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D1C" w:rsidRPr="00D252D5" w:rsidRDefault="003C3D1C" w:rsidP="00016AA6">
      <w:pPr>
        <w:rPr>
          <w:lang w:val="it-IT"/>
        </w:rPr>
      </w:pPr>
    </w:p>
    <w:p w:rsidR="003C3D1C" w:rsidRPr="006F07C8" w:rsidRDefault="003C3D1C" w:rsidP="003C3D1C">
      <w:pPr>
        <w:shd w:val="clear" w:color="auto" w:fill="D9D9D9"/>
        <w:spacing w:after="120"/>
        <w:jc w:val="center"/>
        <w:rPr>
          <w:rFonts w:ascii="Times New Roman" w:hAnsi="Times New Roman"/>
          <w:b/>
          <w:sz w:val="32"/>
          <w:lang w:val="it-IT"/>
        </w:rPr>
      </w:pPr>
      <w:r w:rsidRPr="006F07C8">
        <w:rPr>
          <w:rFonts w:ascii="Times New Roman" w:hAnsi="Times New Roman"/>
          <w:b/>
          <w:sz w:val="32"/>
          <w:lang w:val="it-IT"/>
        </w:rPr>
        <w:t>Partecipazione, esclusione linguistica e traduzione:</w:t>
      </w:r>
    </w:p>
    <w:p w:rsidR="003C3D1C" w:rsidRPr="006F07C8" w:rsidRDefault="003C3D1C" w:rsidP="003C3D1C">
      <w:pPr>
        <w:shd w:val="clear" w:color="auto" w:fill="D9D9D9"/>
        <w:spacing w:after="120"/>
        <w:jc w:val="center"/>
        <w:rPr>
          <w:rFonts w:ascii="Times New Roman" w:hAnsi="Times New Roman"/>
          <w:b/>
          <w:sz w:val="32"/>
          <w:lang w:val="it-IT"/>
        </w:rPr>
      </w:pPr>
      <w:r w:rsidRPr="006F07C8">
        <w:rPr>
          <w:rFonts w:ascii="Times New Roman" w:hAnsi="Times New Roman"/>
          <w:b/>
          <w:sz w:val="32"/>
          <w:lang w:val="it-IT"/>
        </w:rPr>
        <w:t>Una valutazione del regime linguistico dell’Unione europea</w:t>
      </w:r>
    </w:p>
    <w:p w:rsidR="00016AA6" w:rsidRPr="006F07C8" w:rsidRDefault="00016AA6" w:rsidP="00016AA6">
      <w:pPr>
        <w:shd w:val="clear" w:color="auto" w:fill="D9D9D9"/>
        <w:spacing w:after="0" w:line="240" w:lineRule="auto"/>
        <w:jc w:val="center"/>
        <w:rPr>
          <w:rFonts w:ascii="Times New Roman" w:hAnsi="Times New Roman"/>
          <w:b/>
          <w:i/>
          <w:sz w:val="24"/>
          <w:lang w:val="en-GB"/>
        </w:rPr>
      </w:pPr>
      <w:r w:rsidRPr="006F07C8">
        <w:rPr>
          <w:rFonts w:ascii="Times New Roman" w:hAnsi="Times New Roman"/>
          <w:b/>
          <w:i/>
          <w:sz w:val="24"/>
          <w:lang w:val="en-GB"/>
        </w:rPr>
        <w:t xml:space="preserve">(Participation, Linguistic Disenfranchisement and Translation: </w:t>
      </w:r>
    </w:p>
    <w:p w:rsidR="00016AA6" w:rsidRPr="006F07C8" w:rsidRDefault="00016AA6" w:rsidP="00016AA6">
      <w:pPr>
        <w:shd w:val="clear" w:color="auto" w:fill="D9D9D9"/>
        <w:spacing w:after="0" w:line="240" w:lineRule="auto"/>
        <w:jc w:val="center"/>
        <w:rPr>
          <w:rFonts w:ascii="Times New Roman" w:hAnsi="Times New Roman"/>
          <w:b/>
          <w:i/>
          <w:sz w:val="24"/>
          <w:lang w:val="en-GB"/>
        </w:rPr>
      </w:pPr>
      <w:r w:rsidRPr="006F07C8">
        <w:rPr>
          <w:rFonts w:ascii="Times New Roman" w:hAnsi="Times New Roman"/>
          <w:b/>
          <w:i/>
          <w:sz w:val="24"/>
          <w:lang w:val="en-GB"/>
        </w:rPr>
        <w:t>An Evaluation of the Language Regime of the European Union)</w:t>
      </w:r>
    </w:p>
    <w:p w:rsidR="003C3D1C" w:rsidRPr="006F07C8" w:rsidRDefault="003C3D1C" w:rsidP="003C3D1C">
      <w:pPr>
        <w:spacing w:after="120"/>
        <w:ind w:firstLine="709"/>
        <w:jc w:val="center"/>
        <w:rPr>
          <w:rFonts w:eastAsia="Batang"/>
          <w:i/>
          <w:sz w:val="28"/>
          <w:szCs w:val="28"/>
          <w:lang w:val="en-GB"/>
        </w:rPr>
      </w:pPr>
    </w:p>
    <w:p w:rsidR="003C3D1C" w:rsidRPr="006F07C8" w:rsidRDefault="003C3D1C" w:rsidP="003C3D1C">
      <w:pPr>
        <w:spacing w:line="240" w:lineRule="auto"/>
        <w:jc w:val="center"/>
        <w:rPr>
          <w:rFonts w:ascii="Times New Roman" w:hAnsi="Times New Roman" w:cs="Times New Roman"/>
          <w:sz w:val="24"/>
          <w:szCs w:val="24"/>
          <w:lang w:val="de-DE"/>
        </w:rPr>
      </w:pPr>
      <w:r w:rsidRPr="006F07C8">
        <w:rPr>
          <w:rFonts w:ascii="Times New Roman" w:hAnsi="Times New Roman" w:cs="Times New Roman"/>
          <w:b/>
          <w:sz w:val="24"/>
          <w:szCs w:val="24"/>
          <w:lang w:val="de-DE"/>
        </w:rPr>
        <w:t>Michele Gazzola</w:t>
      </w:r>
      <w:r w:rsidRPr="006F07C8">
        <w:rPr>
          <w:rFonts w:ascii="Times New Roman" w:hAnsi="Times New Roman" w:cs="Times New Roman"/>
          <w:sz w:val="24"/>
          <w:szCs w:val="24"/>
          <w:lang w:val="de-DE"/>
        </w:rPr>
        <w:t>,</w:t>
      </w:r>
      <w:r w:rsidRPr="006F07C8">
        <w:rPr>
          <w:rStyle w:val="FootnoteReference"/>
          <w:rFonts w:ascii="Times New Roman" w:hAnsi="Times New Roman" w:cs="Times New Roman"/>
          <w:sz w:val="24"/>
          <w:szCs w:val="24"/>
          <w:lang w:val="it-IT"/>
        </w:rPr>
        <w:footnoteReference w:id="1"/>
      </w:r>
      <w:r w:rsidRPr="006F07C8">
        <w:rPr>
          <w:rFonts w:ascii="Times New Roman" w:hAnsi="Times New Roman" w:cs="Times New Roman"/>
          <w:sz w:val="24"/>
          <w:szCs w:val="24"/>
          <w:lang w:val="de-DE"/>
        </w:rPr>
        <w:t xml:space="preserve"> </w:t>
      </w:r>
    </w:p>
    <w:p w:rsidR="003C3D1C" w:rsidRPr="006F07C8" w:rsidRDefault="003C3D1C" w:rsidP="003C3D1C">
      <w:pPr>
        <w:spacing w:line="240" w:lineRule="auto"/>
        <w:jc w:val="center"/>
        <w:rPr>
          <w:rFonts w:ascii="Times New Roman" w:hAnsi="Times New Roman" w:cs="Times New Roman"/>
          <w:sz w:val="24"/>
          <w:szCs w:val="24"/>
          <w:lang w:val="de-DE"/>
        </w:rPr>
      </w:pPr>
      <w:r w:rsidRPr="006F07C8">
        <w:rPr>
          <w:rFonts w:ascii="Times New Roman" w:hAnsi="Times New Roman" w:cs="Times New Roman"/>
          <w:sz w:val="24"/>
          <w:szCs w:val="24"/>
          <w:lang w:val="de-DE"/>
        </w:rPr>
        <w:t>Humboldt-Universität zu Berlin, 2014 ©</w:t>
      </w:r>
    </w:p>
    <w:p w:rsidR="003C3D1C" w:rsidRPr="006F07C8" w:rsidRDefault="003C3D1C">
      <w:pPr>
        <w:rPr>
          <w:rFonts w:eastAsia="Batang"/>
          <w:b/>
          <w:lang w:val="de-DE"/>
        </w:rPr>
      </w:pPr>
    </w:p>
    <w:p w:rsidR="003C3D1C" w:rsidRPr="006F07C8" w:rsidRDefault="003C3D1C">
      <w:pPr>
        <w:rPr>
          <w:rFonts w:eastAsia="Batang"/>
          <w:b/>
          <w:lang w:val="de-DE"/>
        </w:rPr>
      </w:pPr>
    </w:p>
    <w:tbl>
      <w:tblPr>
        <w:tblStyle w:val="TableGrid"/>
        <w:tblW w:w="0" w:type="auto"/>
        <w:tblLook w:val="04A0" w:firstRow="1" w:lastRow="0" w:firstColumn="1" w:lastColumn="0" w:noHBand="0" w:noVBand="1"/>
      </w:tblPr>
      <w:tblGrid>
        <w:gridCol w:w="9212"/>
      </w:tblGrid>
      <w:tr w:rsidR="003C3D1C" w:rsidRPr="006F07C8" w:rsidTr="003C3D1C">
        <w:tc>
          <w:tcPr>
            <w:tcW w:w="9212" w:type="dxa"/>
          </w:tcPr>
          <w:p w:rsidR="003C3D1C" w:rsidRPr="006F07C8" w:rsidRDefault="003C3D1C" w:rsidP="003C3D1C">
            <w:pPr>
              <w:jc w:val="both"/>
              <w:rPr>
                <w:rFonts w:ascii="Times New Roman" w:hAnsi="Times New Roman" w:cs="Times New Roman"/>
                <w:sz w:val="24"/>
                <w:szCs w:val="24"/>
                <w:lang w:val="de-DE"/>
              </w:rPr>
            </w:pPr>
          </w:p>
          <w:p w:rsidR="003C3D1C" w:rsidRPr="006F07C8" w:rsidRDefault="003C3D1C" w:rsidP="00B226A5">
            <w:pPr>
              <w:jc w:val="center"/>
              <w:rPr>
                <w:rFonts w:ascii="Times New Roman" w:hAnsi="Times New Roman" w:cs="Times New Roman"/>
                <w:sz w:val="24"/>
                <w:szCs w:val="24"/>
                <w:lang w:val="it-IT"/>
              </w:rPr>
            </w:pPr>
            <w:r w:rsidRPr="006F07C8">
              <w:rPr>
                <w:rFonts w:ascii="Times New Roman" w:hAnsi="Times New Roman" w:cs="Times New Roman"/>
                <w:sz w:val="24"/>
                <w:szCs w:val="24"/>
                <w:lang w:val="it-IT"/>
              </w:rPr>
              <w:t xml:space="preserve">Michele Gazzola ©, 1 marzo 2014. </w:t>
            </w:r>
            <w:r w:rsidR="006D0CB8" w:rsidRPr="006F07C8">
              <w:rPr>
                <w:rFonts w:ascii="Times New Roman" w:hAnsi="Times New Roman" w:cs="Times New Roman"/>
                <w:sz w:val="24"/>
                <w:szCs w:val="24"/>
                <w:lang w:val="it-IT"/>
              </w:rPr>
              <w:t>Versione provvisoria / Provisional draft</w:t>
            </w:r>
          </w:p>
          <w:p w:rsidR="006D0CB8" w:rsidRPr="006F07C8" w:rsidRDefault="006D0CB8" w:rsidP="00B226A5">
            <w:pPr>
              <w:jc w:val="center"/>
              <w:rPr>
                <w:rFonts w:ascii="Times New Roman" w:hAnsi="Times New Roman" w:cs="Times New Roman"/>
                <w:sz w:val="24"/>
                <w:szCs w:val="24"/>
                <w:lang w:val="it-IT"/>
              </w:rPr>
            </w:pPr>
          </w:p>
          <w:p w:rsidR="006D0CB8" w:rsidRPr="006F07C8" w:rsidRDefault="006D0CB8" w:rsidP="00B226A5">
            <w:pPr>
              <w:jc w:val="center"/>
              <w:rPr>
                <w:rFonts w:ascii="Times New Roman" w:hAnsi="Times New Roman" w:cs="Times New Roman"/>
                <w:sz w:val="24"/>
                <w:szCs w:val="24"/>
                <w:lang w:val="it-IT"/>
              </w:rPr>
            </w:pPr>
            <w:r w:rsidRPr="006F07C8">
              <w:rPr>
                <w:rFonts w:ascii="Times New Roman" w:hAnsi="Times New Roman" w:cs="Times New Roman"/>
                <w:sz w:val="24"/>
                <w:szCs w:val="24"/>
                <w:lang w:val="it-IT"/>
              </w:rPr>
              <w:t>Commenti bene accetti / Comments welcome</w:t>
            </w:r>
          </w:p>
          <w:p w:rsidR="006D0CB8" w:rsidRPr="006F07C8" w:rsidRDefault="006D0CB8" w:rsidP="00B226A5">
            <w:pPr>
              <w:jc w:val="center"/>
              <w:rPr>
                <w:rFonts w:ascii="Times New Roman" w:hAnsi="Times New Roman" w:cs="Times New Roman"/>
                <w:sz w:val="24"/>
                <w:szCs w:val="24"/>
                <w:lang w:val="it-IT"/>
              </w:rPr>
            </w:pPr>
          </w:p>
          <w:p w:rsidR="006D0CB8" w:rsidRPr="006F07C8" w:rsidRDefault="00B14B1B" w:rsidP="00B226A5">
            <w:pPr>
              <w:jc w:val="center"/>
              <w:rPr>
                <w:rFonts w:ascii="Times New Roman" w:hAnsi="Times New Roman" w:cs="Times New Roman"/>
                <w:sz w:val="24"/>
                <w:szCs w:val="24"/>
                <w:lang w:val="it-IT"/>
              </w:rPr>
            </w:pPr>
            <w:hyperlink r:id="rId7" w:history="1">
              <w:r w:rsidR="006D0CB8" w:rsidRPr="006F07C8">
                <w:rPr>
                  <w:rStyle w:val="Hyperlink"/>
                  <w:rFonts w:ascii="Times New Roman" w:hAnsi="Times New Roman" w:cs="Times New Roman"/>
                  <w:sz w:val="24"/>
                  <w:szCs w:val="24"/>
                  <w:lang w:val="it-IT"/>
                </w:rPr>
                <w:t>www.michelegazzola.com</w:t>
              </w:r>
            </w:hyperlink>
          </w:p>
          <w:p w:rsidR="003C3D1C" w:rsidRPr="006F07C8" w:rsidRDefault="003C3D1C" w:rsidP="003C3D1C">
            <w:pPr>
              <w:jc w:val="both"/>
              <w:rPr>
                <w:rFonts w:ascii="Times New Roman" w:hAnsi="Times New Roman" w:cs="Times New Roman"/>
                <w:sz w:val="24"/>
                <w:szCs w:val="24"/>
                <w:lang w:val="it-IT"/>
              </w:rPr>
            </w:pPr>
          </w:p>
        </w:tc>
      </w:tr>
      <w:tr w:rsidR="003C3D1C" w:rsidRPr="006F07C8" w:rsidTr="003C3D1C">
        <w:tc>
          <w:tcPr>
            <w:tcW w:w="9212" w:type="dxa"/>
          </w:tcPr>
          <w:p w:rsidR="003C3D1C" w:rsidRPr="006F07C8" w:rsidRDefault="003C3D1C">
            <w:pPr>
              <w:rPr>
                <w:rFonts w:eastAsia="Batang"/>
                <w:b/>
                <w:lang w:val="it-IT"/>
              </w:rPr>
            </w:pPr>
          </w:p>
        </w:tc>
      </w:tr>
    </w:tbl>
    <w:p w:rsidR="003C3D1C" w:rsidRPr="006F07C8" w:rsidRDefault="003C3D1C">
      <w:pPr>
        <w:rPr>
          <w:rFonts w:eastAsia="Batang"/>
          <w:b/>
          <w:lang w:val="it-IT"/>
        </w:rPr>
      </w:pPr>
    </w:p>
    <w:p w:rsidR="003C3D1C" w:rsidRPr="006F07C8" w:rsidRDefault="003C3D1C">
      <w:pPr>
        <w:rPr>
          <w:rFonts w:eastAsia="Batang"/>
          <w:b/>
          <w:lang w:val="it-IT"/>
        </w:rPr>
      </w:pPr>
      <w:r w:rsidRPr="006F07C8">
        <w:rPr>
          <w:rFonts w:eastAsia="Batang"/>
          <w:b/>
          <w:lang w:val="it-IT"/>
        </w:rPr>
        <w:br w:type="page"/>
      </w:r>
    </w:p>
    <w:p w:rsidR="00071A0D" w:rsidRPr="006F07C8" w:rsidRDefault="00754B70" w:rsidP="002F52A9">
      <w:pPr>
        <w:pStyle w:val="Heading3"/>
        <w:spacing w:line="240" w:lineRule="auto"/>
        <w:jc w:val="center"/>
        <w:rPr>
          <w:rFonts w:ascii="Times New Roman" w:hAnsi="Times New Roman" w:cs="Times New Roman"/>
          <w:sz w:val="24"/>
          <w:szCs w:val="24"/>
          <w:lang w:val="it-IT"/>
        </w:rPr>
      </w:pPr>
      <w:bookmarkStart w:id="0" w:name="_Toc384652918"/>
      <w:r w:rsidRPr="006F07C8">
        <w:rPr>
          <w:rFonts w:ascii="Times New Roman" w:hAnsi="Times New Roman" w:cs="Times New Roman"/>
          <w:sz w:val="24"/>
          <w:szCs w:val="24"/>
          <w:lang w:val="it-IT"/>
        </w:rPr>
        <w:lastRenderedPageBreak/>
        <w:t>Riassunto</w:t>
      </w:r>
      <w:bookmarkEnd w:id="0"/>
    </w:p>
    <w:p w:rsidR="00A2558B" w:rsidRPr="006F07C8" w:rsidRDefault="00A2558B" w:rsidP="007726BD">
      <w:pPr>
        <w:jc w:val="both"/>
        <w:rPr>
          <w:rFonts w:ascii="Times New Roman" w:hAnsi="Times New Roman" w:cs="Times New Roman"/>
          <w:i/>
          <w:szCs w:val="24"/>
          <w:lang w:val="it-IT"/>
        </w:rPr>
      </w:pPr>
      <w:r w:rsidRPr="006F07C8">
        <w:rPr>
          <w:rFonts w:ascii="Times New Roman" w:hAnsi="Times New Roman" w:cs="Times New Roman"/>
          <w:i/>
          <w:szCs w:val="24"/>
          <w:lang w:val="it-IT"/>
        </w:rPr>
        <w:t xml:space="preserve">Questo articolo presenta una valutazione dell’attuale politica linguistica </w:t>
      </w:r>
      <w:r w:rsidR="009E56E5" w:rsidRPr="006F07C8">
        <w:rPr>
          <w:rFonts w:ascii="Times New Roman" w:hAnsi="Times New Roman" w:cs="Times New Roman"/>
          <w:i/>
          <w:szCs w:val="24"/>
          <w:lang w:val="it-IT"/>
        </w:rPr>
        <w:t xml:space="preserve">istituzionale </w:t>
      </w:r>
      <w:r w:rsidRPr="006F07C8">
        <w:rPr>
          <w:rFonts w:ascii="Times New Roman" w:hAnsi="Times New Roman" w:cs="Times New Roman"/>
          <w:i/>
          <w:szCs w:val="24"/>
          <w:lang w:val="it-IT"/>
        </w:rPr>
        <w:t>(o regime linguistico) dell’UE</w:t>
      </w:r>
      <w:r w:rsidR="00EE0B69" w:rsidRPr="006F07C8">
        <w:rPr>
          <w:rFonts w:ascii="Times New Roman" w:hAnsi="Times New Roman" w:cs="Times New Roman"/>
          <w:i/>
          <w:szCs w:val="24"/>
          <w:lang w:val="it-IT"/>
        </w:rPr>
        <w:t xml:space="preserve"> utilizzando </w:t>
      </w:r>
      <w:r w:rsidR="000C4DC5" w:rsidRPr="006F07C8">
        <w:rPr>
          <w:rFonts w:ascii="Times New Roman" w:hAnsi="Times New Roman" w:cs="Times New Roman"/>
          <w:i/>
          <w:szCs w:val="24"/>
          <w:lang w:val="it-IT"/>
        </w:rPr>
        <w:t>dei</w:t>
      </w:r>
      <w:r w:rsidR="00EE0B69" w:rsidRPr="006F07C8">
        <w:rPr>
          <w:rFonts w:ascii="Times New Roman" w:hAnsi="Times New Roman" w:cs="Times New Roman"/>
          <w:i/>
          <w:szCs w:val="24"/>
          <w:lang w:val="it-IT"/>
        </w:rPr>
        <w:t xml:space="preserve"> dati </w:t>
      </w:r>
      <w:r w:rsidR="000C4DC5" w:rsidRPr="006F07C8">
        <w:rPr>
          <w:rFonts w:ascii="Times New Roman" w:hAnsi="Times New Roman" w:cs="Times New Roman"/>
          <w:i/>
          <w:szCs w:val="24"/>
          <w:lang w:val="it-IT"/>
        </w:rPr>
        <w:t xml:space="preserve">pubblicati di recente </w:t>
      </w:r>
      <w:r w:rsidR="00EE0B69" w:rsidRPr="006F07C8">
        <w:rPr>
          <w:rFonts w:ascii="Times New Roman" w:hAnsi="Times New Roman" w:cs="Times New Roman"/>
          <w:i/>
          <w:szCs w:val="24"/>
          <w:lang w:val="it-IT"/>
        </w:rPr>
        <w:t xml:space="preserve">da </w:t>
      </w:r>
      <w:r w:rsidR="00EE0B69" w:rsidRPr="006F07C8">
        <w:rPr>
          <w:rFonts w:ascii="Times New Roman" w:hAnsi="Times New Roman" w:cs="Times New Roman"/>
          <w:szCs w:val="24"/>
          <w:lang w:val="it-IT"/>
        </w:rPr>
        <w:t>Eurostat</w:t>
      </w:r>
      <w:r w:rsidR="00EE0B69" w:rsidRPr="006F07C8">
        <w:rPr>
          <w:rFonts w:ascii="Times New Roman" w:hAnsi="Times New Roman" w:cs="Times New Roman"/>
          <w:i/>
          <w:szCs w:val="24"/>
          <w:lang w:val="it-IT"/>
        </w:rPr>
        <w:t xml:space="preserve">. Si </w:t>
      </w:r>
      <w:r w:rsidRPr="006F07C8">
        <w:rPr>
          <w:rFonts w:ascii="Times New Roman" w:hAnsi="Times New Roman" w:cs="Times New Roman"/>
          <w:i/>
          <w:szCs w:val="24"/>
          <w:lang w:val="it-IT"/>
        </w:rPr>
        <w:t>mostra che</w:t>
      </w:r>
      <w:r w:rsidR="009E56E5" w:rsidRPr="006F07C8">
        <w:rPr>
          <w:rFonts w:ascii="Times New Roman" w:hAnsi="Times New Roman" w:cs="Times New Roman"/>
          <w:i/>
          <w:szCs w:val="24"/>
          <w:lang w:val="it-IT"/>
        </w:rPr>
        <w:t>, in due ambiti distinti,</w:t>
      </w:r>
      <w:r w:rsidRPr="006F07C8">
        <w:rPr>
          <w:rFonts w:ascii="Times New Roman" w:hAnsi="Times New Roman" w:cs="Times New Roman"/>
          <w:i/>
          <w:szCs w:val="24"/>
          <w:lang w:val="it-IT"/>
        </w:rPr>
        <w:t xml:space="preserve"> una politica multilingue è al tempo stesso più efficace ed equa del monolinguismo </w:t>
      </w:r>
      <w:r w:rsidR="00EE0B69" w:rsidRPr="006F07C8">
        <w:rPr>
          <w:rFonts w:ascii="Times New Roman" w:hAnsi="Times New Roman" w:cs="Times New Roman"/>
          <w:i/>
          <w:szCs w:val="24"/>
          <w:lang w:val="it-IT"/>
        </w:rPr>
        <w:t xml:space="preserve">inglese </w:t>
      </w:r>
      <w:r w:rsidRPr="006F07C8">
        <w:rPr>
          <w:rFonts w:ascii="Times New Roman" w:hAnsi="Times New Roman" w:cs="Times New Roman"/>
          <w:i/>
          <w:szCs w:val="24"/>
          <w:lang w:val="it-IT"/>
        </w:rPr>
        <w:t xml:space="preserve">o dell’oligarchia linguistica </w:t>
      </w:r>
      <w:r w:rsidR="00EE0B69" w:rsidRPr="006F07C8">
        <w:rPr>
          <w:rFonts w:ascii="Times New Roman" w:hAnsi="Times New Roman" w:cs="Times New Roman"/>
          <w:i/>
          <w:szCs w:val="24"/>
          <w:lang w:val="it-IT"/>
        </w:rPr>
        <w:t>fondata sul francese, inglese e tedesco</w:t>
      </w:r>
      <w:r w:rsidRPr="006F07C8">
        <w:rPr>
          <w:rFonts w:ascii="Times New Roman" w:hAnsi="Times New Roman" w:cs="Times New Roman"/>
          <w:i/>
          <w:szCs w:val="24"/>
          <w:lang w:val="it-IT"/>
        </w:rPr>
        <w:t xml:space="preserve">. Il primo </w:t>
      </w:r>
      <w:r w:rsidR="00EE0B69" w:rsidRPr="006F07C8">
        <w:rPr>
          <w:rFonts w:ascii="Times New Roman" w:hAnsi="Times New Roman" w:cs="Times New Roman"/>
          <w:i/>
          <w:szCs w:val="24"/>
          <w:lang w:val="it-IT"/>
        </w:rPr>
        <w:t xml:space="preserve">ambito </w:t>
      </w:r>
      <w:r w:rsidRPr="006F07C8">
        <w:rPr>
          <w:rFonts w:ascii="Times New Roman" w:hAnsi="Times New Roman" w:cs="Times New Roman"/>
          <w:i/>
          <w:szCs w:val="24"/>
          <w:lang w:val="it-IT"/>
        </w:rPr>
        <w:t xml:space="preserve">riguarda la partecipazione democratica (almeno potenziale) dei residenti e cittadini europei alle attività dell’Unione, mentre il secondo concerne </w:t>
      </w:r>
      <w:r w:rsidR="000C4DC5" w:rsidRPr="006F07C8">
        <w:rPr>
          <w:rFonts w:ascii="Times New Roman" w:hAnsi="Times New Roman" w:cs="Times New Roman"/>
          <w:i/>
          <w:szCs w:val="24"/>
          <w:lang w:val="it-IT"/>
        </w:rPr>
        <w:t xml:space="preserve">la </w:t>
      </w:r>
      <w:r w:rsidRPr="006F07C8">
        <w:rPr>
          <w:rFonts w:ascii="Times New Roman" w:hAnsi="Times New Roman" w:cs="Times New Roman"/>
          <w:i/>
          <w:szCs w:val="24"/>
          <w:lang w:val="it-IT"/>
        </w:rPr>
        <w:t xml:space="preserve">comunicazione dell’UE rivolta al mondo professionale. </w:t>
      </w:r>
      <w:r w:rsidR="00EE0B69" w:rsidRPr="006F07C8">
        <w:rPr>
          <w:rFonts w:ascii="Times New Roman" w:hAnsi="Times New Roman" w:cs="Times New Roman"/>
          <w:i/>
          <w:szCs w:val="24"/>
          <w:lang w:val="it-IT"/>
        </w:rPr>
        <w:t>L</w:t>
      </w:r>
      <w:r w:rsidRPr="006F07C8">
        <w:rPr>
          <w:rFonts w:ascii="Times New Roman" w:hAnsi="Times New Roman" w:cs="Times New Roman"/>
          <w:i/>
          <w:szCs w:val="24"/>
          <w:lang w:val="it-IT"/>
        </w:rPr>
        <w:t xml:space="preserve">a traduzione e l’interpretazione </w:t>
      </w:r>
      <w:r w:rsidR="006E112B" w:rsidRPr="006F07C8">
        <w:rPr>
          <w:rFonts w:ascii="Times New Roman" w:hAnsi="Times New Roman" w:cs="Times New Roman"/>
          <w:i/>
          <w:szCs w:val="24"/>
          <w:lang w:val="it-IT"/>
        </w:rPr>
        <w:t xml:space="preserve">risultano </w:t>
      </w:r>
      <w:r w:rsidR="000C4DC5" w:rsidRPr="006F07C8">
        <w:rPr>
          <w:rFonts w:ascii="Times New Roman" w:hAnsi="Times New Roman" w:cs="Times New Roman"/>
          <w:i/>
          <w:szCs w:val="24"/>
          <w:lang w:val="it-IT"/>
        </w:rPr>
        <w:t xml:space="preserve">quindi </w:t>
      </w:r>
      <w:r w:rsidR="006E112B" w:rsidRPr="006F07C8">
        <w:rPr>
          <w:rFonts w:ascii="Times New Roman" w:hAnsi="Times New Roman" w:cs="Times New Roman"/>
          <w:i/>
          <w:szCs w:val="24"/>
          <w:lang w:val="it-IT"/>
        </w:rPr>
        <w:t>essere</w:t>
      </w:r>
      <w:r w:rsidR="00EE0B69" w:rsidRPr="006F07C8">
        <w:rPr>
          <w:rFonts w:ascii="Times New Roman" w:hAnsi="Times New Roman" w:cs="Times New Roman"/>
          <w:i/>
          <w:szCs w:val="24"/>
          <w:lang w:val="it-IT"/>
        </w:rPr>
        <w:t xml:space="preserve"> </w:t>
      </w:r>
      <w:r w:rsidRPr="006F07C8">
        <w:rPr>
          <w:rFonts w:ascii="Times New Roman" w:hAnsi="Times New Roman" w:cs="Times New Roman"/>
          <w:i/>
          <w:szCs w:val="24"/>
          <w:lang w:val="it-IT"/>
        </w:rPr>
        <w:t xml:space="preserve">strumenti essenziali di politica linguistica in una società plurilingue che possono contribuire </w:t>
      </w:r>
      <w:r w:rsidR="00EE0B69" w:rsidRPr="006F07C8">
        <w:rPr>
          <w:rFonts w:ascii="Times New Roman" w:hAnsi="Times New Roman" w:cs="Times New Roman"/>
          <w:i/>
          <w:szCs w:val="24"/>
          <w:lang w:val="it-IT"/>
        </w:rPr>
        <w:t xml:space="preserve">non solo </w:t>
      </w:r>
      <w:r w:rsidRPr="006F07C8">
        <w:rPr>
          <w:rFonts w:ascii="Times New Roman" w:hAnsi="Times New Roman" w:cs="Times New Roman"/>
          <w:i/>
          <w:szCs w:val="24"/>
          <w:lang w:val="it-IT"/>
        </w:rPr>
        <w:t xml:space="preserve">a rendere la comunicazione istituzionale più efficace </w:t>
      </w:r>
      <w:r w:rsidR="00EE0B69" w:rsidRPr="006F07C8">
        <w:rPr>
          <w:rFonts w:ascii="Times New Roman" w:hAnsi="Times New Roman" w:cs="Times New Roman"/>
          <w:i/>
          <w:szCs w:val="24"/>
          <w:lang w:val="it-IT"/>
        </w:rPr>
        <w:t xml:space="preserve">ma anche </w:t>
      </w:r>
      <w:r w:rsidRPr="006F07C8">
        <w:rPr>
          <w:rFonts w:ascii="Times New Roman" w:hAnsi="Times New Roman" w:cs="Times New Roman"/>
          <w:i/>
          <w:szCs w:val="24"/>
          <w:lang w:val="it-IT"/>
        </w:rPr>
        <w:t>a preservare la coesione sociale in Europa.</w:t>
      </w:r>
    </w:p>
    <w:p w:rsidR="003C3D1C" w:rsidRPr="006F07C8" w:rsidRDefault="00071A0D" w:rsidP="002F52A9">
      <w:pPr>
        <w:spacing w:line="240" w:lineRule="auto"/>
        <w:jc w:val="both"/>
        <w:rPr>
          <w:rFonts w:ascii="Times New Roman" w:hAnsi="Times New Roman" w:cs="Times New Roman"/>
          <w:sz w:val="24"/>
          <w:szCs w:val="24"/>
          <w:lang w:val="it-IT"/>
        </w:rPr>
      </w:pPr>
      <w:r w:rsidRPr="006F07C8">
        <w:rPr>
          <w:rFonts w:ascii="Times New Roman" w:hAnsi="Times New Roman" w:cs="Times New Roman"/>
          <w:b/>
          <w:sz w:val="24"/>
          <w:szCs w:val="24"/>
          <w:lang w:val="it-IT"/>
        </w:rPr>
        <w:t>Parole chiave</w:t>
      </w:r>
      <w:r w:rsidR="009E56E5" w:rsidRPr="006F07C8">
        <w:rPr>
          <w:rFonts w:ascii="Times New Roman" w:hAnsi="Times New Roman" w:cs="Times New Roman"/>
          <w:sz w:val="24"/>
          <w:szCs w:val="24"/>
          <w:lang w:val="it-IT"/>
        </w:rPr>
        <w:t>: Multilinguismo, T</w:t>
      </w:r>
      <w:r w:rsidRPr="006F07C8">
        <w:rPr>
          <w:rFonts w:ascii="Times New Roman" w:hAnsi="Times New Roman" w:cs="Times New Roman"/>
          <w:sz w:val="24"/>
          <w:szCs w:val="24"/>
          <w:lang w:val="it-IT"/>
        </w:rPr>
        <w:t xml:space="preserve">raduzione, </w:t>
      </w:r>
      <w:r w:rsidR="009E56E5" w:rsidRPr="006F07C8">
        <w:rPr>
          <w:rFonts w:ascii="Times New Roman" w:hAnsi="Times New Roman" w:cs="Times New Roman"/>
          <w:sz w:val="24"/>
          <w:szCs w:val="24"/>
          <w:lang w:val="it-IT"/>
        </w:rPr>
        <w:t>G</w:t>
      </w:r>
      <w:r w:rsidRPr="006F07C8">
        <w:rPr>
          <w:rFonts w:ascii="Times New Roman" w:hAnsi="Times New Roman" w:cs="Times New Roman"/>
          <w:sz w:val="24"/>
          <w:szCs w:val="24"/>
          <w:lang w:val="it-IT"/>
        </w:rPr>
        <w:t xml:space="preserve">iustizia linguistica, Unione europea, </w:t>
      </w:r>
      <w:r w:rsidR="009E56E5" w:rsidRPr="006F07C8">
        <w:rPr>
          <w:rFonts w:ascii="Times New Roman" w:hAnsi="Times New Roman" w:cs="Times New Roman"/>
          <w:sz w:val="24"/>
          <w:szCs w:val="24"/>
          <w:lang w:val="it-IT"/>
        </w:rPr>
        <w:t>V</w:t>
      </w:r>
      <w:r w:rsidRPr="006F07C8">
        <w:rPr>
          <w:rFonts w:ascii="Times New Roman" w:hAnsi="Times New Roman" w:cs="Times New Roman"/>
          <w:sz w:val="24"/>
          <w:szCs w:val="24"/>
          <w:lang w:val="it-IT"/>
        </w:rPr>
        <w:t>alutazione</w:t>
      </w:r>
      <w:r w:rsidR="009E56E5" w:rsidRPr="006F07C8">
        <w:rPr>
          <w:rFonts w:ascii="Times New Roman" w:hAnsi="Times New Roman" w:cs="Times New Roman"/>
          <w:sz w:val="24"/>
          <w:szCs w:val="24"/>
          <w:lang w:val="it-IT"/>
        </w:rPr>
        <w:t xml:space="preserve"> delle</w:t>
      </w:r>
      <w:r w:rsidRPr="006F07C8">
        <w:rPr>
          <w:rFonts w:ascii="Times New Roman" w:hAnsi="Times New Roman" w:cs="Times New Roman"/>
          <w:sz w:val="24"/>
          <w:szCs w:val="24"/>
          <w:lang w:val="it-IT"/>
        </w:rPr>
        <w:t xml:space="preserve"> politiche linguistiche</w:t>
      </w:r>
    </w:p>
    <w:p w:rsidR="007726BD" w:rsidRPr="006F07C8" w:rsidRDefault="007726BD" w:rsidP="00016AA6">
      <w:pPr>
        <w:rPr>
          <w:lang w:val="it-IT"/>
        </w:rPr>
      </w:pPr>
    </w:p>
    <w:p w:rsidR="003C3D1C" w:rsidRPr="006F07C8" w:rsidRDefault="003C3D1C" w:rsidP="003C3D1C">
      <w:pPr>
        <w:pStyle w:val="Heading3"/>
        <w:jc w:val="center"/>
        <w:rPr>
          <w:rFonts w:ascii="Times New Roman" w:hAnsi="Times New Roman" w:cs="Times New Roman"/>
          <w:sz w:val="24"/>
          <w:szCs w:val="24"/>
          <w:lang w:val="en-GB"/>
        </w:rPr>
      </w:pPr>
      <w:bookmarkStart w:id="1" w:name="_Toc384652919"/>
      <w:r w:rsidRPr="006F07C8">
        <w:rPr>
          <w:rFonts w:ascii="Times New Roman" w:hAnsi="Times New Roman" w:cs="Times New Roman"/>
          <w:sz w:val="24"/>
          <w:szCs w:val="24"/>
          <w:lang w:val="en-GB"/>
        </w:rPr>
        <w:t>Abstract</w:t>
      </w:r>
      <w:bookmarkEnd w:id="1"/>
    </w:p>
    <w:p w:rsidR="003C3D1C" w:rsidRPr="006F07C8" w:rsidRDefault="00F07320" w:rsidP="007726BD">
      <w:pPr>
        <w:jc w:val="both"/>
        <w:rPr>
          <w:rFonts w:ascii="Times New Roman" w:hAnsi="Times New Roman" w:cs="Times New Roman"/>
          <w:i/>
          <w:szCs w:val="24"/>
          <w:lang w:val="en-GB"/>
        </w:rPr>
      </w:pPr>
      <w:r w:rsidRPr="006F07C8">
        <w:rPr>
          <w:rFonts w:ascii="Times New Roman" w:hAnsi="Times New Roman" w:cs="Times New Roman"/>
          <w:i/>
          <w:szCs w:val="24"/>
          <w:lang w:val="en-GB"/>
        </w:rPr>
        <w:t xml:space="preserve">This </w:t>
      </w:r>
      <w:r w:rsidR="00FC21BB" w:rsidRPr="006F07C8">
        <w:rPr>
          <w:rFonts w:ascii="Times New Roman" w:hAnsi="Times New Roman" w:cs="Times New Roman"/>
          <w:i/>
          <w:szCs w:val="24"/>
          <w:lang w:val="en-GB"/>
        </w:rPr>
        <w:t>article</w:t>
      </w:r>
      <w:r w:rsidRPr="006F07C8">
        <w:rPr>
          <w:rFonts w:ascii="Times New Roman" w:hAnsi="Times New Roman" w:cs="Times New Roman"/>
          <w:i/>
          <w:szCs w:val="24"/>
          <w:lang w:val="en-GB"/>
        </w:rPr>
        <w:t xml:space="preserve"> deals with the evaluation of the </w:t>
      </w:r>
      <w:r w:rsidR="001144C0" w:rsidRPr="006F07C8">
        <w:rPr>
          <w:rFonts w:ascii="Times New Roman" w:hAnsi="Times New Roman" w:cs="Times New Roman"/>
          <w:i/>
          <w:szCs w:val="24"/>
          <w:lang w:val="en-GB"/>
        </w:rPr>
        <w:t xml:space="preserve">effectiveness and </w:t>
      </w:r>
      <w:r w:rsidR="00FC21BB" w:rsidRPr="006F07C8">
        <w:rPr>
          <w:rFonts w:ascii="Times New Roman" w:hAnsi="Times New Roman" w:cs="Times New Roman"/>
          <w:i/>
          <w:szCs w:val="24"/>
          <w:lang w:val="en-GB"/>
        </w:rPr>
        <w:t xml:space="preserve">the </w:t>
      </w:r>
      <w:r w:rsidR="001144C0" w:rsidRPr="006F07C8">
        <w:rPr>
          <w:rFonts w:ascii="Times New Roman" w:hAnsi="Times New Roman" w:cs="Times New Roman"/>
          <w:i/>
          <w:szCs w:val="24"/>
          <w:lang w:val="en-GB"/>
        </w:rPr>
        <w:t xml:space="preserve">fairness (or </w:t>
      </w:r>
      <w:r w:rsidRPr="006F07C8">
        <w:rPr>
          <w:rFonts w:ascii="Times New Roman" w:hAnsi="Times New Roman" w:cs="Times New Roman"/>
          <w:i/>
          <w:szCs w:val="24"/>
          <w:lang w:val="en-GB"/>
        </w:rPr>
        <w:t>linguistic justice</w:t>
      </w:r>
      <w:r w:rsidR="001144C0" w:rsidRPr="006F07C8">
        <w:rPr>
          <w:rFonts w:ascii="Times New Roman" w:hAnsi="Times New Roman" w:cs="Times New Roman"/>
          <w:i/>
          <w:szCs w:val="24"/>
          <w:lang w:val="en-GB"/>
        </w:rPr>
        <w:t>)</w:t>
      </w:r>
      <w:r w:rsidRPr="006F07C8">
        <w:rPr>
          <w:rFonts w:ascii="Times New Roman" w:hAnsi="Times New Roman" w:cs="Times New Roman"/>
          <w:i/>
          <w:szCs w:val="24"/>
          <w:lang w:val="en-GB"/>
        </w:rPr>
        <w:t xml:space="preserve"> of the current language policy of the European Union (EU). By linguistic justice I mean the distributive consequences of language policies on the relative position of citizens and stakeholders. More precisely, I address the following question: what would be the </w:t>
      </w:r>
      <w:r w:rsidR="007726BD" w:rsidRPr="006F07C8">
        <w:rPr>
          <w:rFonts w:ascii="Times New Roman" w:hAnsi="Times New Roman" w:cs="Times New Roman"/>
          <w:i/>
          <w:szCs w:val="24"/>
          <w:lang w:val="en-GB"/>
        </w:rPr>
        <w:t xml:space="preserve">allocative and </w:t>
      </w:r>
      <w:r w:rsidRPr="006F07C8">
        <w:rPr>
          <w:rFonts w:ascii="Times New Roman" w:hAnsi="Times New Roman" w:cs="Times New Roman"/>
          <w:i/>
          <w:szCs w:val="24"/>
          <w:lang w:val="en-GB"/>
        </w:rPr>
        <w:t>distributive effects on European residents of a change of the current multilingual language policy of the EU, which is founded on the formal equality between 24 official languages? Using statistical analysis and data provided by Eurostat, I correlate data on the knowledge of first and second languages of EU residents with data on their age, income, education and social status. I calculate the percentage of residents who do not understand a given language by country and by socio-economic status. Then, I use this percentage as an indicator to identify who would win and who lose if a restrictive language policy were adopted by the institutions of the EU (e.g. an English-only or and English-French-German language regime).</w:t>
      </w:r>
      <w:r w:rsidR="00D252D5" w:rsidRPr="006F07C8">
        <w:rPr>
          <w:rFonts w:ascii="Times New Roman" w:hAnsi="Times New Roman" w:cs="Times New Roman"/>
          <w:i/>
          <w:szCs w:val="24"/>
          <w:lang w:val="en-GB"/>
        </w:rPr>
        <w:t xml:space="preserve"> </w:t>
      </w:r>
      <w:r w:rsidRPr="006F07C8">
        <w:rPr>
          <w:rFonts w:ascii="Times New Roman" w:hAnsi="Times New Roman" w:cs="Times New Roman"/>
          <w:i/>
          <w:szCs w:val="24"/>
          <w:lang w:val="en-GB"/>
        </w:rPr>
        <w:t xml:space="preserve">I show that a change in the current language policy of the EU would have significant distributional consequences among countries and social groups. A drastic reduction in the number of official and working languages of the EU would disadvantage not only (and quite obviously) some countries; it would also be significantly detrimental to EU </w:t>
      </w:r>
      <w:r w:rsidR="00D252D5" w:rsidRPr="006F07C8">
        <w:rPr>
          <w:rFonts w:ascii="Times New Roman" w:hAnsi="Times New Roman" w:cs="Times New Roman"/>
          <w:i/>
          <w:szCs w:val="24"/>
          <w:lang w:val="en-GB"/>
        </w:rPr>
        <w:t>residents</w:t>
      </w:r>
      <w:r w:rsidRPr="006F07C8">
        <w:rPr>
          <w:rFonts w:ascii="Times New Roman" w:hAnsi="Times New Roman" w:cs="Times New Roman"/>
          <w:i/>
          <w:szCs w:val="24"/>
          <w:lang w:val="en-GB"/>
        </w:rPr>
        <w:t xml:space="preserve"> with a low level of education and low income, and to the socially excluded. Hence, empirical evidence shows that providing multilingual communication through 24 official languages is more valuable for the weakest sections of society. In this perspective, multilingualism contributes to the social cohesion in the EU. By contrast, data show that monolingualism (e.g. an English-only language policy) or a language regime based on three languages only would create significant inequalities among EU residents based on their social status.</w:t>
      </w:r>
      <w:r w:rsidR="001144C0" w:rsidRPr="006F07C8">
        <w:rPr>
          <w:rFonts w:ascii="Times New Roman" w:hAnsi="Times New Roman" w:cs="Times New Roman"/>
          <w:i/>
          <w:szCs w:val="24"/>
          <w:lang w:val="en-GB"/>
        </w:rPr>
        <w:t xml:space="preserve"> </w:t>
      </w:r>
      <w:r w:rsidR="00FC21BB" w:rsidRPr="006F07C8">
        <w:rPr>
          <w:rFonts w:ascii="Times New Roman" w:hAnsi="Times New Roman" w:cs="Times New Roman"/>
          <w:i/>
          <w:szCs w:val="24"/>
          <w:lang w:val="en-GB"/>
        </w:rPr>
        <w:t>Finally, this article shows</w:t>
      </w:r>
      <w:r w:rsidR="007726BD" w:rsidRPr="006F07C8">
        <w:rPr>
          <w:rFonts w:ascii="Times New Roman" w:hAnsi="Times New Roman" w:cs="Times New Roman"/>
          <w:i/>
          <w:szCs w:val="24"/>
          <w:lang w:val="en-GB"/>
        </w:rPr>
        <w:t xml:space="preserve"> that an English-only language policy or a language policy based on three languages would be much less effective than multilingualism in conveying information about EU public policies to EU citizens in general, and, more specifically</w:t>
      </w:r>
      <w:r w:rsidR="00187173" w:rsidRPr="006F07C8">
        <w:rPr>
          <w:rFonts w:ascii="Times New Roman" w:hAnsi="Times New Roman" w:cs="Times New Roman"/>
          <w:i/>
          <w:szCs w:val="24"/>
          <w:lang w:val="en-GB"/>
        </w:rPr>
        <w:t xml:space="preserve"> </w:t>
      </w:r>
      <w:r w:rsidR="001144C0" w:rsidRPr="006F07C8">
        <w:rPr>
          <w:rFonts w:ascii="Times New Roman" w:hAnsi="Times New Roman" w:cs="Times New Roman"/>
          <w:i/>
          <w:szCs w:val="24"/>
          <w:lang w:val="en-GB"/>
        </w:rPr>
        <w:t>to EU residents working in economic sector</w:t>
      </w:r>
      <w:r w:rsidR="007726BD" w:rsidRPr="006F07C8">
        <w:rPr>
          <w:rFonts w:ascii="Times New Roman" w:hAnsi="Times New Roman" w:cs="Times New Roman"/>
          <w:i/>
          <w:szCs w:val="24"/>
          <w:lang w:val="en-GB"/>
        </w:rPr>
        <w:t>s</w:t>
      </w:r>
      <w:r w:rsidR="001144C0" w:rsidRPr="006F07C8">
        <w:rPr>
          <w:rFonts w:ascii="Times New Roman" w:hAnsi="Times New Roman" w:cs="Times New Roman"/>
          <w:i/>
          <w:szCs w:val="24"/>
          <w:lang w:val="en-GB"/>
        </w:rPr>
        <w:t xml:space="preserve"> affected by </w:t>
      </w:r>
      <w:r w:rsidR="007726BD" w:rsidRPr="006F07C8">
        <w:rPr>
          <w:rFonts w:ascii="Times New Roman" w:hAnsi="Times New Roman" w:cs="Times New Roman"/>
          <w:i/>
          <w:szCs w:val="24"/>
          <w:lang w:val="en-GB"/>
        </w:rPr>
        <w:t xml:space="preserve">such </w:t>
      </w:r>
      <w:r w:rsidR="001144C0" w:rsidRPr="006F07C8">
        <w:rPr>
          <w:rFonts w:ascii="Times New Roman" w:hAnsi="Times New Roman" w:cs="Times New Roman"/>
          <w:i/>
          <w:szCs w:val="24"/>
          <w:lang w:val="en-GB"/>
        </w:rPr>
        <w:t>policies</w:t>
      </w:r>
      <w:r w:rsidR="007726BD" w:rsidRPr="006F07C8">
        <w:rPr>
          <w:rFonts w:ascii="Times New Roman" w:hAnsi="Times New Roman" w:cs="Times New Roman"/>
          <w:i/>
          <w:szCs w:val="24"/>
          <w:lang w:val="en-GB"/>
        </w:rPr>
        <w:t>.</w:t>
      </w:r>
    </w:p>
    <w:p w:rsidR="001144C0" w:rsidRPr="006F07C8" w:rsidRDefault="001144C0" w:rsidP="002F52A9">
      <w:pPr>
        <w:spacing w:line="240" w:lineRule="auto"/>
        <w:jc w:val="both"/>
        <w:rPr>
          <w:rFonts w:ascii="Times New Roman" w:hAnsi="Times New Roman" w:cs="Times New Roman"/>
          <w:sz w:val="24"/>
          <w:szCs w:val="24"/>
          <w:lang w:val="en-GB"/>
        </w:rPr>
      </w:pPr>
      <w:r w:rsidRPr="006F07C8">
        <w:rPr>
          <w:rFonts w:ascii="Times New Roman" w:hAnsi="Times New Roman" w:cs="Times New Roman"/>
          <w:b/>
          <w:sz w:val="24"/>
          <w:szCs w:val="24"/>
          <w:lang w:val="en-GB"/>
        </w:rPr>
        <w:t>Keywords</w:t>
      </w:r>
      <w:r w:rsidRPr="006F07C8">
        <w:rPr>
          <w:rFonts w:ascii="Times New Roman" w:hAnsi="Times New Roman" w:cs="Times New Roman"/>
          <w:sz w:val="24"/>
          <w:szCs w:val="24"/>
          <w:lang w:val="en-GB"/>
        </w:rPr>
        <w:t>: Multilingualism, European Union, Evaluation of Language Policies, Linguistic Justice</w:t>
      </w:r>
    </w:p>
    <w:p w:rsidR="00FA1E72" w:rsidRPr="006F07C8" w:rsidRDefault="00071A0D">
      <w:pPr>
        <w:rPr>
          <w:rFonts w:ascii="Times New Roman" w:hAnsi="Times New Roman" w:cs="Times New Roman"/>
          <w:sz w:val="24"/>
          <w:szCs w:val="24"/>
          <w:lang w:val="en-GB"/>
        </w:rPr>
      </w:pPr>
      <w:r w:rsidRPr="006F07C8">
        <w:rPr>
          <w:rFonts w:ascii="Times New Roman" w:hAnsi="Times New Roman" w:cs="Times New Roman"/>
          <w:sz w:val="24"/>
          <w:szCs w:val="24"/>
          <w:lang w:val="en-GB"/>
        </w:rPr>
        <w:br w:type="page"/>
      </w:r>
    </w:p>
    <w:p w:rsidR="00FA1E72" w:rsidRPr="006F07C8" w:rsidRDefault="00FA1E72" w:rsidP="00FA1E72">
      <w:pPr>
        <w:jc w:val="center"/>
        <w:rPr>
          <w:rFonts w:eastAsia="Batang"/>
          <w:b/>
          <w:lang w:val="de-DE"/>
        </w:rPr>
      </w:pPr>
      <w:r w:rsidRPr="006F07C8">
        <w:rPr>
          <w:rFonts w:eastAsia="Batang"/>
          <w:b/>
          <w:lang w:val="de-DE"/>
        </w:rPr>
        <w:lastRenderedPageBreak/>
        <w:t>Indice</w:t>
      </w:r>
    </w:p>
    <w:p w:rsidR="00FA1E72" w:rsidRPr="006F07C8" w:rsidRDefault="00FA1E72">
      <w:pPr>
        <w:pStyle w:val="TOC3"/>
        <w:tabs>
          <w:tab w:val="right" w:leader="dot" w:pos="9062"/>
        </w:tabs>
        <w:rPr>
          <w:rFonts w:asciiTheme="minorHAnsi" w:eastAsiaTheme="minorEastAsia" w:hAnsiTheme="minorHAnsi" w:cstheme="minorBidi"/>
          <w:i w:val="0"/>
          <w:iCs w:val="0"/>
          <w:noProof/>
          <w:sz w:val="22"/>
          <w:szCs w:val="22"/>
          <w:lang w:val="fr-CH" w:eastAsia="fr-CH"/>
        </w:rPr>
      </w:pPr>
      <w:r w:rsidRPr="006F07C8">
        <w:rPr>
          <w:rFonts w:eastAsia="Batang"/>
          <w:i w:val="0"/>
        </w:rPr>
        <w:fldChar w:fldCharType="begin"/>
      </w:r>
      <w:r w:rsidRPr="006F07C8">
        <w:rPr>
          <w:rFonts w:eastAsia="Batang"/>
          <w:i w:val="0"/>
        </w:rPr>
        <w:instrText xml:space="preserve"> TOC \o "1-3" \h \z \u </w:instrText>
      </w:r>
      <w:r w:rsidRPr="006F07C8">
        <w:rPr>
          <w:rFonts w:eastAsia="Batang"/>
          <w:i w:val="0"/>
        </w:rPr>
        <w:fldChar w:fldCharType="separate"/>
      </w:r>
      <w:hyperlink w:anchor="_Toc384652918" w:history="1">
        <w:r w:rsidRPr="006F07C8">
          <w:rPr>
            <w:rStyle w:val="Hyperlink"/>
            <w:rFonts w:ascii="Times New Roman" w:hAnsi="Times New Roman" w:cs="Times New Roman"/>
            <w:noProof/>
            <w:lang w:val="it-IT"/>
          </w:rPr>
          <w:t>Riassunto</w:t>
        </w:r>
        <w:r w:rsidRPr="006F07C8">
          <w:rPr>
            <w:noProof/>
            <w:webHidden/>
          </w:rPr>
          <w:tab/>
        </w:r>
        <w:r w:rsidRPr="006F07C8">
          <w:rPr>
            <w:noProof/>
            <w:webHidden/>
          </w:rPr>
          <w:fldChar w:fldCharType="begin"/>
        </w:r>
        <w:r w:rsidRPr="006F07C8">
          <w:rPr>
            <w:noProof/>
            <w:webHidden/>
          </w:rPr>
          <w:instrText xml:space="preserve"> PAGEREF _Toc384652918 \h </w:instrText>
        </w:r>
        <w:r w:rsidRPr="006F07C8">
          <w:rPr>
            <w:noProof/>
            <w:webHidden/>
          </w:rPr>
        </w:r>
        <w:r w:rsidRPr="006F07C8">
          <w:rPr>
            <w:noProof/>
            <w:webHidden/>
          </w:rPr>
          <w:fldChar w:fldCharType="separate"/>
        </w:r>
        <w:r w:rsidR="00087B27" w:rsidRPr="006F07C8">
          <w:rPr>
            <w:noProof/>
            <w:webHidden/>
          </w:rPr>
          <w:t>2</w:t>
        </w:r>
        <w:r w:rsidRPr="006F07C8">
          <w:rPr>
            <w:noProof/>
            <w:webHidden/>
          </w:rPr>
          <w:fldChar w:fldCharType="end"/>
        </w:r>
      </w:hyperlink>
    </w:p>
    <w:p w:rsidR="00FA1E72" w:rsidRPr="006F07C8" w:rsidRDefault="00B14B1B">
      <w:pPr>
        <w:pStyle w:val="TOC3"/>
        <w:tabs>
          <w:tab w:val="right" w:leader="dot" w:pos="9062"/>
        </w:tabs>
        <w:rPr>
          <w:rFonts w:asciiTheme="minorHAnsi" w:eastAsiaTheme="minorEastAsia" w:hAnsiTheme="minorHAnsi" w:cstheme="minorBidi"/>
          <w:i w:val="0"/>
          <w:iCs w:val="0"/>
          <w:noProof/>
          <w:sz w:val="22"/>
          <w:szCs w:val="22"/>
          <w:lang w:val="fr-CH" w:eastAsia="fr-CH"/>
        </w:rPr>
      </w:pPr>
      <w:hyperlink w:anchor="_Toc384652919" w:history="1">
        <w:r w:rsidR="00FA1E72" w:rsidRPr="006F07C8">
          <w:rPr>
            <w:rStyle w:val="Hyperlink"/>
            <w:rFonts w:ascii="Times New Roman" w:hAnsi="Times New Roman" w:cs="Times New Roman"/>
            <w:noProof/>
            <w:lang w:val="en-GB"/>
          </w:rPr>
          <w:t>Abstract</w:t>
        </w:r>
        <w:r w:rsidR="00FA1E72" w:rsidRPr="006F07C8">
          <w:rPr>
            <w:noProof/>
            <w:webHidden/>
          </w:rPr>
          <w:tab/>
        </w:r>
        <w:r w:rsidR="00FA1E72" w:rsidRPr="006F07C8">
          <w:rPr>
            <w:noProof/>
            <w:webHidden/>
          </w:rPr>
          <w:fldChar w:fldCharType="begin"/>
        </w:r>
        <w:r w:rsidR="00FA1E72" w:rsidRPr="006F07C8">
          <w:rPr>
            <w:noProof/>
            <w:webHidden/>
          </w:rPr>
          <w:instrText xml:space="preserve"> PAGEREF _Toc384652919 \h </w:instrText>
        </w:r>
        <w:r w:rsidR="00FA1E72" w:rsidRPr="006F07C8">
          <w:rPr>
            <w:noProof/>
            <w:webHidden/>
          </w:rPr>
        </w:r>
        <w:r w:rsidR="00FA1E72" w:rsidRPr="006F07C8">
          <w:rPr>
            <w:noProof/>
            <w:webHidden/>
          </w:rPr>
          <w:fldChar w:fldCharType="separate"/>
        </w:r>
        <w:r w:rsidR="00087B27" w:rsidRPr="006F07C8">
          <w:rPr>
            <w:noProof/>
            <w:webHidden/>
          </w:rPr>
          <w:t>2</w:t>
        </w:r>
        <w:r w:rsidR="00FA1E72" w:rsidRPr="006F07C8">
          <w:rPr>
            <w:noProof/>
            <w:webHidden/>
          </w:rPr>
          <w:fldChar w:fldCharType="end"/>
        </w:r>
      </w:hyperlink>
    </w:p>
    <w:p w:rsidR="00FA1E72" w:rsidRPr="006F07C8" w:rsidRDefault="00B14B1B">
      <w:pPr>
        <w:pStyle w:val="TOC2"/>
        <w:tabs>
          <w:tab w:val="left" w:pos="660"/>
          <w:tab w:val="right" w:leader="dot" w:pos="9062"/>
        </w:tabs>
        <w:rPr>
          <w:rFonts w:eastAsiaTheme="minorEastAsia"/>
          <w:noProof/>
          <w:lang w:eastAsia="fr-CH"/>
        </w:rPr>
      </w:pPr>
      <w:hyperlink w:anchor="_Toc384652920" w:history="1">
        <w:r w:rsidR="00FA1E72" w:rsidRPr="006F07C8">
          <w:rPr>
            <w:rStyle w:val="Hyperlink"/>
            <w:rFonts w:ascii="Times New Roman" w:hAnsi="Times New Roman" w:cs="Times New Roman"/>
            <w:noProof/>
            <w:lang w:val="it-IT"/>
          </w:rPr>
          <w:t>1.</w:t>
        </w:r>
        <w:r w:rsidR="00FA1E72" w:rsidRPr="006F07C8">
          <w:rPr>
            <w:rFonts w:eastAsiaTheme="minorEastAsia"/>
            <w:noProof/>
            <w:lang w:eastAsia="fr-CH"/>
          </w:rPr>
          <w:tab/>
        </w:r>
        <w:r w:rsidR="00FA1E72" w:rsidRPr="006F07C8">
          <w:rPr>
            <w:rStyle w:val="Hyperlink"/>
            <w:rFonts w:ascii="Times New Roman" w:hAnsi="Times New Roman" w:cs="Times New Roman"/>
            <w:noProof/>
            <w:lang w:val="it-IT"/>
          </w:rPr>
          <w:t>Introduzione: perché valutare una politica linguistica</w:t>
        </w:r>
        <w:r w:rsidR="00FA1E72" w:rsidRPr="006F07C8">
          <w:rPr>
            <w:noProof/>
            <w:webHidden/>
          </w:rPr>
          <w:tab/>
        </w:r>
        <w:r w:rsidR="00FA1E72" w:rsidRPr="006F07C8">
          <w:rPr>
            <w:noProof/>
            <w:webHidden/>
          </w:rPr>
          <w:fldChar w:fldCharType="begin"/>
        </w:r>
        <w:r w:rsidR="00FA1E72" w:rsidRPr="006F07C8">
          <w:rPr>
            <w:noProof/>
            <w:webHidden/>
          </w:rPr>
          <w:instrText xml:space="preserve"> PAGEREF _Toc384652920 \h </w:instrText>
        </w:r>
        <w:r w:rsidR="00FA1E72" w:rsidRPr="006F07C8">
          <w:rPr>
            <w:noProof/>
            <w:webHidden/>
          </w:rPr>
        </w:r>
        <w:r w:rsidR="00FA1E72" w:rsidRPr="006F07C8">
          <w:rPr>
            <w:noProof/>
            <w:webHidden/>
          </w:rPr>
          <w:fldChar w:fldCharType="separate"/>
        </w:r>
        <w:r w:rsidR="00087B27" w:rsidRPr="006F07C8">
          <w:rPr>
            <w:noProof/>
            <w:webHidden/>
          </w:rPr>
          <w:t>4</w:t>
        </w:r>
        <w:r w:rsidR="00FA1E72" w:rsidRPr="006F07C8">
          <w:rPr>
            <w:noProof/>
            <w:webHidden/>
          </w:rPr>
          <w:fldChar w:fldCharType="end"/>
        </w:r>
      </w:hyperlink>
    </w:p>
    <w:p w:rsidR="00FA1E72" w:rsidRPr="006F07C8" w:rsidRDefault="00B14B1B">
      <w:pPr>
        <w:pStyle w:val="TOC2"/>
        <w:tabs>
          <w:tab w:val="left" w:pos="660"/>
          <w:tab w:val="right" w:leader="dot" w:pos="9062"/>
        </w:tabs>
        <w:rPr>
          <w:rFonts w:eastAsiaTheme="minorEastAsia"/>
          <w:noProof/>
          <w:lang w:eastAsia="fr-CH"/>
        </w:rPr>
      </w:pPr>
      <w:hyperlink w:anchor="_Toc384652921" w:history="1">
        <w:r w:rsidR="00FA1E72" w:rsidRPr="006F07C8">
          <w:rPr>
            <w:rStyle w:val="Hyperlink"/>
            <w:rFonts w:ascii="Times New Roman" w:hAnsi="Times New Roman" w:cs="Times New Roman"/>
            <w:noProof/>
            <w:lang w:val="it-IT"/>
          </w:rPr>
          <w:t>2.</w:t>
        </w:r>
        <w:r w:rsidR="00FA1E72" w:rsidRPr="006F07C8">
          <w:rPr>
            <w:rFonts w:eastAsiaTheme="minorEastAsia"/>
            <w:noProof/>
            <w:lang w:eastAsia="fr-CH"/>
          </w:rPr>
          <w:tab/>
        </w:r>
        <w:r w:rsidR="00FA1E72" w:rsidRPr="006F07C8">
          <w:rPr>
            <w:rStyle w:val="Hyperlink"/>
            <w:rFonts w:ascii="Times New Roman" w:hAnsi="Times New Roman" w:cs="Times New Roman"/>
            <w:noProof/>
            <w:lang w:val="it-IT"/>
          </w:rPr>
          <w:t>Tradurre come politica linguistica: il multilinguismo nella UE</w:t>
        </w:r>
        <w:r w:rsidR="00FA1E72" w:rsidRPr="006F07C8">
          <w:rPr>
            <w:noProof/>
            <w:webHidden/>
          </w:rPr>
          <w:tab/>
        </w:r>
        <w:r w:rsidR="00FA1E72" w:rsidRPr="006F07C8">
          <w:rPr>
            <w:noProof/>
            <w:webHidden/>
          </w:rPr>
          <w:fldChar w:fldCharType="begin"/>
        </w:r>
        <w:r w:rsidR="00FA1E72" w:rsidRPr="006F07C8">
          <w:rPr>
            <w:noProof/>
            <w:webHidden/>
          </w:rPr>
          <w:instrText xml:space="preserve"> PAGEREF _Toc384652921 \h </w:instrText>
        </w:r>
        <w:r w:rsidR="00FA1E72" w:rsidRPr="006F07C8">
          <w:rPr>
            <w:noProof/>
            <w:webHidden/>
          </w:rPr>
        </w:r>
        <w:r w:rsidR="00FA1E72" w:rsidRPr="006F07C8">
          <w:rPr>
            <w:noProof/>
            <w:webHidden/>
          </w:rPr>
          <w:fldChar w:fldCharType="separate"/>
        </w:r>
        <w:r w:rsidR="00087B27" w:rsidRPr="006F07C8">
          <w:rPr>
            <w:noProof/>
            <w:webHidden/>
          </w:rPr>
          <w:t>7</w:t>
        </w:r>
        <w:r w:rsidR="00FA1E72" w:rsidRPr="006F07C8">
          <w:rPr>
            <w:noProof/>
            <w:webHidden/>
          </w:rPr>
          <w:fldChar w:fldCharType="end"/>
        </w:r>
      </w:hyperlink>
    </w:p>
    <w:p w:rsidR="00FA1E72" w:rsidRPr="006F07C8" w:rsidRDefault="00B14B1B">
      <w:pPr>
        <w:pStyle w:val="TOC2"/>
        <w:tabs>
          <w:tab w:val="left" w:pos="660"/>
          <w:tab w:val="right" w:leader="dot" w:pos="9062"/>
        </w:tabs>
        <w:rPr>
          <w:rFonts w:eastAsiaTheme="minorEastAsia"/>
          <w:noProof/>
          <w:lang w:eastAsia="fr-CH"/>
        </w:rPr>
      </w:pPr>
      <w:hyperlink w:anchor="_Toc384652922" w:history="1">
        <w:r w:rsidR="00FA1E72" w:rsidRPr="006F07C8">
          <w:rPr>
            <w:rStyle w:val="Hyperlink"/>
            <w:rFonts w:ascii="Times New Roman" w:hAnsi="Times New Roman" w:cs="Times New Roman"/>
            <w:noProof/>
            <w:lang w:val="it-IT"/>
          </w:rPr>
          <w:t>3.</w:t>
        </w:r>
        <w:r w:rsidR="00FA1E72" w:rsidRPr="006F07C8">
          <w:rPr>
            <w:rFonts w:eastAsiaTheme="minorEastAsia"/>
            <w:noProof/>
            <w:lang w:eastAsia="fr-CH"/>
          </w:rPr>
          <w:tab/>
        </w:r>
        <w:r w:rsidR="00FA1E72" w:rsidRPr="006F07C8">
          <w:rPr>
            <w:rStyle w:val="Hyperlink"/>
            <w:rFonts w:ascii="Times New Roman" w:hAnsi="Times New Roman" w:cs="Times New Roman"/>
            <w:noProof/>
            <w:lang w:val="it-IT"/>
          </w:rPr>
          <w:t>Dati e metodologia di analisi</w:t>
        </w:r>
        <w:r w:rsidR="00FA1E72" w:rsidRPr="006F07C8">
          <w:rPr>
            <w:noProof/>
            <w:webHidden/>
          </w:rPr>
          <w:tab/>
        </w:r>
        <w:r w:rsidR="00FA1E72" w:rsidRPr="006F07C8">
          <w:rPr>
            <w:noProof/>
            <w:webHidden/>
          </w:rPr>
          <w:fldChar w:fldCharType="begin"/>
        </w:r>
        <w:r w:rsidR="00FA1E72" w:rsidRPr="006F07C8">
          <w:rPr>
            <w:noProof/>
            <w:webHidden/>
          </w:rPr>
          <w:instrText xml:space="preserve"> PAGEREF _Toc384652922 \h </w:instrText>
        </w:r>
        <w:r w:rsidR="00FA1E72" w:rsidRPr="006F07C8">
          <w:rPr>
            <w:noProof/>
            <w:webHidden/>
          </w:rPr>
        </w:r>
        <w:r w:rsidR="00FA1E72" w:rsidRPr="006F07C8">
          <w:rPr>
            <w:noProof/>
            <w:webHidden/>
          </w:rPr>
          <w:fldChar w:fldCharType="separate"/>
        </w:r>
        <w:r w:rsidR="00087B27" w:rsidRPr="006F07C8">
          <w:rPr>
            <w:noProof/>
            <w:webHidden/>
          </w:rPr>
          <w:t>9</w:t>
        </w:r>
        <w:r w:rsidR="00FA1E72" w:rsidRPr="006F07C8">
          <w:rPr>
            <w:noProof/>
            <w:webHidden/>
          </w:rPr>
          <w:fldChar w:fldCharType="end"/>
        </w:r>
      </w:hyperlink>
    </w:p>
    <w:p w:rsidR="00FA1E72" w:rsidRPr="006F07C8" w:rsidRDefault="00B14B1B">
      <w:pPr>
        <w:pStyle w:val="TOC3"/>
        <w:tabs>
          <w:tab w:val="right" w:leader="dot" w:pos="9062"/>
        </w:tabs>
        <w:rPr>
          <w:rFonts w:asciiTheme="minorHAnsi" w:eastAsiaTheme="minorEastAsia" w:hAnsiTheme="minorHAnsi" w:cstheme="minorBidi"/>
          <w:i w:val="0"/>
          <w:iCs w:val="0"/>
          <w:noProof/>
          <w:sz w:val="22"/>
          <w:szCs w:val="22"/>
          <w:lang w:val="fr-CH" w:eastAsia="fr-CH"/>
        </w:rPr>
      </w:pPr>
      <w:hyperlink w:anchor="_Toc384652923" w:history="1">
        <w:r w:rsidR="00FA1E72" w:rsidRPr="006F07C8">
          <w:rPr>
            <w:rStyle w:val="Hyperlink"/>
            <w:rFonts w:ascii="Times New Roman" w:hAnsi="Times New Roman" w:cs="Times New Roman"/>
            <w:noProof/>
            <w:lang w:val="it-IT"/>
          </w:rPr>
          <w:t>3.1 I dati</w:t>
        </w:r>
        <w:r w:rsidR="00FA1E72" w:rsidRPr="006F07C8">
          <w:rPr>
            <w:noProof/>
            <w:webHidden/>
          </w:rPr>
          <w:tab/>
        </w:r>
        <w:r w:rsidR="00FA1E72" w:rsidRPr="006F07C8">
          <w:rPr>
            <w:noProof/>
            <w:webHidden/>
          </w:rPr>
          <w:fldChar w:fldCharType="begin"/>
        </w:r>
        <w:r w:rsidR="00FA1E72" w:rsidRPr="006F07C8">
          <w:rPr>
            <w:noProof/>
            <w:webHidden/>
          </w:rPr>
          <w:instrText xml:space="preserve"> PAGEREF _Toc384652923 \h </w:instrText>
        </w:r>
        <w:r w:rsidR="00FA1E72" w:rsidRPr="006F07C8">
          <w:rPr>
            <w:noProof/>
            <w:webHidden/>
          </w:rPr>
        </w:r>
        <w:r w:rsidR="00FA1E72" w:rsidRPr="006F07C8">
          <w:rPr>
            <w:noProof/>
            <w:webHidden/>
          </w:rPr>
          <w:fldChar w:fldCharType="separate"/>
        </w:r>
        <w:r w:rsidR="00087B27" w:rsidRPr="006F07C8">
          <w:rPr>
            <w:noProof/>
            <w:webHidden/>
          </w:rPr>
          <w:t>9</w:t>
        </w:r>
        <w:r w:rsidR="00FA1E72" w:rsidRPr="006F07C8">
          <w:rPr>
            <w:noProof/>
            <w:webHidden/>
          </w:rPr>
          <w:fldChar w:fldCharType="end"/>
        </w:r>
      </w:hyperlink>
    </w:p>
    <w:p w:rsidR="00FA1E72" w:rsidRPr="006F07C8" w:rsidRDefault="00B14B1B">
      <w:pPr>
        <w:pStyle w:val="TOC3"/>
        <w:tabs>
          <w:tab w:val="right" w:leader="dot" w:pos="9062"/>
        </w:tabs>
        <w:rPr>
          <w:rFonts w:asciiTheme="minorHAnsi" w:eastAsiaTheme="minorEastAsia" w:hAnsiTheme="minorHAnsi" w:cstheme="minorBidi"/>
          <w:i w:val="0"/>
          <w:iCs w:val="0"/>
          <w:noProof/>
          <w:sz w:val="22"/>
          <w:szCs w:val="22"/>
          <w:lang w:val="fr-CH" w:eastAsia="fr-CH"/>
        </w:rPr>
      </w:pPr>
      <w:hyperlink w:anchor="_Toc384652924" w:history="1">
        <w:r w:rsidR="00FA1E72" w:rsidRPr="006F07C8">
          <w:rPr>
            <w:rStyle w:val="Hyperlink"/>
            <w:rFonts w:ascii="Times New Roman" w:hAnsi="Times New Roman" w:cs="Times New Roman"/>
            <w:noProof/>
            <w:lang w:val="it-IT"/>
          </w:rPr>
          <w:t>3.2 Gli indicatori</w:t>
        </w:r>
        <w:r w:rsidR="00FA1E72" w:rsidRPr="006F07C8">
          <w:rPr>
            <w:noProof/>
            <w:webHidden/>
          </w:rPr>
          <w:tab/>
        </w:r>
        <w:r w:rsidR="00FA1E72" w:rsidRPr="006F07C8">
          <w:rPr>
            <w:noProof/>
            <w:webHidden/>
          </w:rPr>
          <w:fldChar w:fldCharType="begin"/>
        </w:r>
        <w:r w:rsidR="00FA1E72" w:rsidRPr="006F07C8">
          <w:rPr>
            <w:noProof/>
            <w:webHidden/>
          </w:rPr>
          <w:instrText xml:space="preserve"> PAGEREF _Toc384652924 \h </w:instrText>
        </w:r>
        <w:r w:rsidR="00FA1E72" w:rsidRPr="006F07C8">
          <w:rPr>
            <w:noProof/>
            <w:webHidden/>
          </w:rPr>
        </w:r>
        <w:r w:rsidR="00FA1E72" w:rsidRPr="006F07C8">
          <w:rPr>
            <w:noProof/>
            <w:webHidden/>
          </w:rPr>
          <w:fldChar w:fldCharType="separate"/>
        </w:r>
        <w:r w:rsidR="00087B27" w:rsidRPr="006F07C8">
          <w:rPr>
            <w:noProof/>
            <w:webHidden/>
          </w:rPr>
          <w:t>10</w:t>
        </w:r>
        <w:r w:rsidR="00FA1E72" w:rsidRPr="006F07C8">
          <w:rPr>
            <w:noProof/>
            <w:webHidden/>
          </w:rPr>
          <w:fldChar w:fldCharType="end"/>
        </w:r>
      </w:hyperlink>
    </w:p>
    <w:p w:rsidR="00FA1E72" w:rsidRPr="006F07C8" w:rsidRDefault="00B14B1B">
      <w:pPr>
        <w:pStyle w:val="TOC2"/>
        <w:tabs>
          <w:tab w:val="left" w:pos="660"/>
          <w:tab w:val="right" w:leader="dot" w:pos="9062"/>
        </w:tabs>
        <w:rPr>
          <w:rFonts w:eastAsiaTheme="minorEastAsia"/>
          <w:noProof/>
          <w:lang w:eastAsia="fr-CH"/>
        </w:rPr>
      </w:pPr>
      <w:hyperlink w:anchor="_Toc384652925" w:history="1">
        <w:r w:rsidR="00FA1E72" w:rsidRPr="006F07C8">
          <w:rPr>
            <w:rStyle w:val="Hyperlink"/>
            <w:rFonts w:ascii="Times New Roman" w:hAnsi="Times New Roman" w:cs="Times New Roman"/>
            <w:noProof/>
            <w:lang w:val="it-IT"/>
          </w:rPr>
          <w:t>4.</w:t>
        </w:r>
        <w:r w:rsidR="00FA1E72" w:rsidRPr="006F07C8">
          <w:rPr>
            <w:rFonts w:eastAsiaTheme="minorEastAsia"/>
            <w:noProof/>
            <w:lang w:eastAsia="fr-CH"/>
          </w:rPr>
          <w:tab/>
        </w:r>
        <w:r w:rsidR="00FA1E72" w:rsidRPr="006F07C8">
          <w:rPr>
            <w:rStyle w:val="Hyperlink"/>
            <w:rFonts w:ascii="Times New Roman" w:hAnsi="Times New Roman" w:cs="Times New Roman"/>
            <w:noProof/>
            <w:lang w:val="it-IT"/>
          </w:rPr>
          <w:t>Multilinguismo e partecipazione</w:t>
        </w:r>
        <w:r w:rsidR="00FA1E72" w:rsidRPr="006F07C8">
          <w:rPr>
            <w:noProof/>
            <w:webHidden/>
          </w:rPr>
          <w:tab/>
        </w:r>
        <w:r w:rsidR="00FA1E72" w:rsidRPr="006F07C8">
          <w:rPr>
            <w:noProof/>
            <w:webHidden/>
          </w:rPr>
          <w:fldChar w:fldCharType="begin"/>
        </w:r>
        <w:r w:rsidR="00FA1E72" w:rsidRPr="006F07C8">
          <w:rPr>
            <w:noProof/>
            <w:webHidden/>
          </w:rPr>
          <w:instrText xml:space="preserve"> PAGEREF _Toc384652925 \h </w:instrText>
        </w:r>
        <w:r w:rsidR="00FA1E72" w:rsidRPr="006F07C8">
          <w:rPr>
            <w:noProof/>
            <w:webHidden/>
          </w:rPr>
        </w:r>
        <w:r w:rsidR="00FA1E72" w:rsidRPr="006F07C8">
          <w:rPr>
            <w:noProof/>
            <w:webHidden/>
          </w:rPr>
          <w:fldChar w:fldCharType="separate"/>
        </w:r>
        <w:r w:rsidR="00087B27" w:rsidRPr="006F07C8">
          <w:rPr>
            <w:noProof/>
            <w:webHidden/>
          </w:rPr>
          <w:t>11</w:t>
        </w:r>
        <w:r w:rsidR="00FA1E72" w:rsidRPr="006F07C8">
          <w:rPr>
            <w:noProof/>
            <w:webHidden/>
          </w:rPr>
          <w:fldChar w:fldCharType="end"/>
        </w:r>
      </w:hyperlink>
    </w:p>
    <w:p w:rsidR="00FA1E72" w:rsidRPr="006F07C8" w:rsidRDefault="00B14B1B">
      <w:pPr>
        <w:pStyle w:val="TOC3"/>
        <w:tabs>
          <w:tab w:val="right" w:leader="dot" w:pos="9062"/>
        </w:tabs>
        <w:rPr>
          <w:rFonts w:asciiTheme="minorHAnsi" w:eastAsiaTheme="minorEastAsia" w:hAnsiTheme="minorHAnsi" w:cstheme="minorBidi"/>
          <w:i w:val="0"/>
          <w:iCs w:val="0"/>
          <w:noProof/>
          <w:sz w:val="22"/>
          <w:szCs w:val="22"/>
          <w:lang w:val="fr-CH" w:eastAsia="fr-CH"/>
        </w:rPr>
      </w:pPr>
      <w:hyperlink w:anchor="_Toc384652926" w:history="1">
        <w:r w:rsidR="00FA1E72" w:rsidRPr="006F07C8">
          <w:rPr>
            <w:rStyle w:val="Hyperlink"/>
            <w:rFonts w:ascii="Times New Roman" w:hAnsi="Times New Roman" w:cs="Times New Roman"/>
            <w:noProof/>
            <w:lang w:val="it-IT"/>
          </w:rPr>
          <w:t>4.1 L’efficacia del regime linguistico della UE</w:t>
        </w:r>
        <w:r w:rsidR="00FA1E72" w:rsidRPr="006F07C8">
          <w:rPr>
            <w:noProof/>
            <w:webHidden/>
          </w:rPr>
          <w:tab/>
        </w:r>
        <w:r w:rsidR="00FA1E72" w:rsidRPr="006F07C8">
          <w:rPr>
            <w:noProof/>
            <w:webHidden/>
          </w:rPr>
          <w:fldChar w:fldCharType="begin"/>
        </w:r>
        <w:r w:rsidR="00FA1E72" w:rsidRPr="006F07C8">
          <w:rPr>
            <w:noProof/>
            <w:webHidden/>
          </w:rPr>
          <w:instrText xml:space="preserve"> PAGEREF _Toc384652926 \h </w:instrText>
        </w:r>
        <w:r w:rsidR="00FA1E72" w:rsidRPr="006F07C8">
          <w:rPr>
            <w:noProof/>
            <w:webHidden/>
          </w:rPr>
        </w:r>
        <w:r w:rsidR="00FA1E72" w:rsidRPr="006F07C8">
          <w:rPr>
            <w:noProof/>
            <w:webHidden/>
          </w:rPr>
          <w:fldChar w:fldCharType="separate"/>
        </w:r>
        <w:r w:rsidR="00087B27" w:rsidRPr="006F07C8">
          <w:rPr>
            <w:noProof/>
            <w:webHidden/>
          </w:rPr>
          <w:t>11</w:t>
        </w:r>
        <w:r w:rsidR="00FA1E72" w:rsidRPr="006F07C8">
          <w:rPr>
            <w:noProof/>
            <w:webHidden/>
          </w:rPr>
          <w:fldChar w:fldCharType="end"/>
        </w:r>
      </w:hyperlink>
    </w:p>
    <w:p w:rsidR="00FA1E72" w:rsidRPr="006F07C8" w:rsidRDefault="00B14B1B">
      <w:pPr>
        <w:pStyle w:val="TOC3"/>
        <w:tabs>
          <w:tab w:val="right" w:leader="dot" w:pos="9062"/>
        </w:tabs>
        <w:rPr>
          <w:rFonts w:asciiTheme="minorHAnsi" w:eastAsiaTheme="minorEastAsia" w:hAnsiTheme="minorHAnsi" w:cstheme="minorBidi"/>
          <w:i w:val="0"/>
          <w:iCs w:val="0"/>
          <w:noProof/>
          <w:sz w:val="22"/>
          <w:szCs w:val="22"/>
          <w:lang w:val="fr-CH" w:eastAsia="fr-CH"/>
        </w:rPr>
      </w:pPr>
      <w:hyperlink w:anchor="_Toc384652927" w:history="1">
        <w:r w:rsidR="00FA1E72" w:rsidRPr="006F07C8">
          <w:rPr>
            <w:rStyle w:val="Hyperlink"/>
            <w:rFonts w:ascii="Times New Roman" w:hAnsi="Times New Roman" w:cs="Times New Roman"/>
            <w:noProof/>
            <w:lang w:val="it-IT"/>
          </w:rPr>
          <w:t>4.2 L’equità del regime linguistico della UE</w:t>
        </w:r>
        <w:r w:rsidR="00FA1E72" w:rsidRPr="006F07C8">
          <w:rPr>
            <w:noProof/>
            <w:webHidden/>
          </w:rPr>
          <w:tab/>
        </w:r>
        <w:r w:rsidR="00FA1E72" w:rsidRPr="006F07C8">
          <w:rPr>
            <w:noProof/>
            <w:webHidden/>
          </w:rPr>
          <w:fldChar w:fldCharType="begin"/>
        </w:r>
        <w:r w:rsidR="00FA1E72" w:rsidRPr="006F07C8">
          <w:rPr>
            <w:noProof/>
            <w:webHidden/>
          </w:rPr>
          <w:instrText xml:space="preserve"> PAGEREF _Toc384652927 \h </w:instrText>
        </w:r>
        <w:r w:rsidR="00FA1E72" w:rsidRPr="006F07C8">
          <w:rPr>
            <w:noProof/>
            <w:webHidden/>
          </w:rPr>
        </w:r>
        <w:r w:rsidR="00FA1E72" w:rsidRPr="006F07C8">
          <w:rPr>
            <w:noProof/>
            <w:webHidden/>
          </w:rPr>
          <w:fldChar w:fldCharType="separate"/>
        </w:r>
        <w:r w:rsidR="00087B27" w:rsidRPr="006F07C8">
          <w:rPr>
            <w:noProof/>
            <w:webHidden/>
          </w:rPr>
          <w:t>17</w:t>
        </w:r>
        <w:r w:rsidR="00FA1E72" w:rsidRPr="006F07C8">
          <w:rPr>
            <w:noProof/>
            <w:webHidden/>
          </w:rPr>
          <w:fldChar w:fldCharType="end"/>
        </w:r>
      </w:hyperlink>
    </w:p>
    <w:p w:rsidR="00FA1E72" w:rsidRPr="006F07C8" w:rsidRDefault="00B14B1B">
      <w:pPr>
        <w:pStyle w:val="TOC2"/>
        <w:tabs>
          <w:tab w:val="left" w:pos="660"/>
          <w:tab w:val="right" w:leader="dot" w:pos="9062"/>
        </w:tabs>
        <w:rPr>
          <w:rFonts w:eastAsiaTheme="minorEastAsia"/>
          <w:noProof/>
          <w:lang w:eastAsia="fr-CH"/>
        </w:rPr>
      </w:pPr>
      <w:hyperlink w:anchor="_Toc384652928" w:history="1">
        <w:r w:rsidR="00FA1E72" w:rsidRPr="006F07C8">
          <w:rPr>
            <w:rStyle w:val="Hyperlink"/>
            <w:rFonts w:ascii="Times New Roman" w:hAnsi="Times New Roman" w:cs="Times New Roman"/>
            <w:noProof/>
            <w:lang w:val="it-IT"/>
          </w:rPr>
          <w:t>5.</w:t>
        </w:r>
        <w:r w:rsidR="00FA1E72" w:rsidRPr="006F07C8">
          <w:rPr>
            <w:rFonts w:eastAsiaTheme="minorEastAsia"/>
            <w:noProof/>
            <w:lang w:eastAsia="fr-CH"/>
          </w:rPr>
          <w:tab/>
        </w:r>
        <w:r w:rsidR="00FA1E72" w:rsidRPr="006F07C8">
          <w:rPr>
            <w:rStyle w:val="Hyperlink"/>
            <w:rFonts w:ascii="Times New Roman" w:hAnsi="Times New Roman" w:cs="Times New Roman"/>
            <w:noProof/>
            <w:lang w:val="it-IT"/>
          </w:rPr>
          <w:t>Lingue e professioni</w:t>
        </w:r>
        <w:r w:rsidR="00FA1E72" w:rsidRPr="006F07C8">
          <w:rPr>
            <w:noProof/>
            <w:webHidden/>
          </w:rPr>
          <w:tab/>
        </w:r>
        <w:r w:rsidR="00FA1E72" w:rsidRPr="006F07C8">
          <w:rPr>
            <w:noProof/>
            <w:webHidden/>
          </w:rPr>
          <w:fldChar w:fldCharType="begin"/>
        </w:r>
        <w:r w:rsidR="00FA1E72" w:rsidRPr="006F07C8">
          <w:rPr>
            <w:noProof/>
            <w:webHidden/>
          </w:rPr>
          <w:instrText xml:space="preserve"> PAGEREF _Toc384652928 \h </w:instrText>
        </w:r>
        <w:r w:rsidR="00FA1E72" w:rsidRPr="006F07C8">
          <w:rPr>
            <w:noProof/>
            <w:webHidden/>
          </w:rPr>
        </w:r>
        <w:r w:rsidR="00FA1E72" w:rsidRPr="006F07C8">
          <w:rPr>
            <w:noProof/>
            <w:webHidden/>
          </w:rPr>
          <w:fldChar w:fldCharType="separate"/>
        </w:r>
        <w:r w:rsidR="00087B27" w:rsidRPr="006F07C8">
          <w:rPr>
            <w:noProof/>
            <w:webHidden/>
          </w:rPr>
          <w:t>20</w:t>
        </w:r>
        <w:r w:rsidR="00FA1E72" w:rsidRPr="006F07C8">
          <w:rPr>
            <w:noProof/>
            <w:webHidden/>
          </w:rPr>
          <w:fldChar w:fldCharType="end"/>
        </w:r>
      </w:hyperlink>
    </w:p>
    <w:p w:rsidR="00FA1E72" w:rsidRPr="006F07C8" w:rsidRDefault="00B14B1B">
      <w:pPr>
        <w:pStyle w:val="TOC2"/>
        <w:tabs>
          <w:tab w:val="left" w:pos="660"/>
          <w:tab w:val="right" w:leader="dot" w:pos="9062"/>
        </w:tabs>
        <w:rPr>
          <w:rFonts w:eastAsiaTheme="minorEastAsia"/>
          <w:noProof/>
          <w:lang w:eastAsia="fr-CH"/>
        </w:rPr>
      </w:pPr>
      <w:hyperlink w:anchor="_Toc384652929" w:history="1">
        <w:r w:rsidR="00FA1E72" w:rsidRPr="006F07C8">
          <w:rPr>
            <w:rStyle w:val="Hyperlink"/>
            <w:rFonts w:ascii="Times New Roman" w:hAnsi="Times New Roman" w:cs="Times New Roman"/>
            <w:noProof/>
            <w:lang w:val="it-IT"/>
          </w:rPr>
          <w:t>6.</w:t>
        </w:r>
        <w:r w:rsidR="00FA1E72" w:rsidRPr="006F07C8">
          <w:rPr>
            <w:rFonts w:eastAsiaTheme="minorEastAsia"/>
            <w:noProof/>
            <w:lang w:eastAsia="fr-CH"/>
          </w:rPr>
          <w:tab/>
        </w:r>
        <w:r w:rsidR="00FA1E72" w:rsidRPr="006F07C8">
          <w:rPr>
            <w:rStyle w:val="Hyperlink"/>
            <w:rFonts w:ascii="Times New Roman" w:hAnsi="Times New Roman" w:cs="Times New Roman"/>
            <w:noProof/>
            <w:lang w:val="it-IT"/>
          </w:rPr>
          <w:t>Conclusioni</w:t>
        </w:r>
        <w:r w:rsidR="00FA1E72" w:rsidRPr="006F07C8">
          <w:rPr>
            <w:noProof/>
            <w:webHidden/>
          </w:rPr>
          <w:tab/>
        </w:r>
        <w:r w:rsidR="00FA1E72" w:rsidRPr="006F07C8">
          <w:rPr>
            <w:noProof/>
            <w:webHidden/>
          </w:rPr>
          <w:fldChar w:fldCharType="begin"/>
        </w:r>
        <w:r w:rsidR="00FA1E72" w:rsidRPr="006F07C8">
          <w:rPr>
            <w:noProof/>
            <w:webHidden/>
          </w:rPr>
          <w:instrText xml:space="preserve"> PAGEREF _Toc384652929 \h </w:instrText>
        </w:r>
        <w:r w:rsidR="00FA1E72" w:rsidRPr="006F07C8">
          <w:rPr>
            <w:noProof/>
            <w:webHidden/>
          </w:rPr>
        </w:r>
        <w:r w:rsidR="00FA1E72" w:rsidRPr="006F07C8">
          <w:rPr>
            <w:noProof/>
            <w:webHidden/>
          </w:rPr>
          <w:fldChar w:fldCharType="separate"/>
        </w:r>
        <w:r w:rsidR="00087B27" w:rsidRPr="006F07C8">
          <w:rPr>
            <w:noProof/>
            <w:webHidden/>
          </w:rPr>
          <w:t>26</w:t>
        </w:r>
        <w:r w:rsidR="00FA1E72" w:rsidRPr="006F07C8">
          <w:rPr>
            <w:noProof/>
            <w:webHidden/>
          </w:rPr>
          <w:fldChar w:fldCharType="end"/>
        </w:r>
      </w:hyperlink>
    </w:p>
    <w:p w:rsidR="00FA1E72" w:rsidRPr="006F07C8" w:rsidRDefault="00B14B1B">
      <w:pPr>
        <w:pStyle w:val="TOC2"/>
        <w:tabs>
          <w:tab w:val="left" w:pos="660"/>
          <w:tab w:val="right" w:leader="dot" w:pos="9062"/>
        </w:tabs>
        <w:rPr>
          <w:rFonts w:eastAsiaTheme="minorEastAsia"/>
          <w:noProof/>
          <w:lang w:eastAsia="fr-CH"/>
        </w:rPr>
      </w:pPr>
      <w:hyperlink w:anchor="_Toc384652930" w:history="1">
        <w:r w:rsidR="00FA1E72" w:rsidRPr="006F07C8">
          <w:rPr>
            <w:rStyle w:val="Hyperlink"/>
            <w:rFonts w:ascii="Times New Roman" w:hAnsi="Times New Roman" w:cs="Times New Roman"/>
            <w:noProof/>
            <w:lang w:val="it-IT"/>
          </w:rPr>
          <w:t>7.</w:t>
        </w:r>
        <w:r w:rsidR="00FA1E72" w:rsidRPr="006F07C8">
          <w:rPr>
            <w:rFonts w:eastAsiaTheme="minorEastAsia"/>
            <w:noProof/>
            <w:lang w:eastAsia="fr-CH"/>
          </w:rPr>
          <w:tab/>
        </w:r>
        <w:r w:rsidR="00FA1E72" w:rsidRPr="006F07C8">
          <w:rPr>
            <w:rStyle w:val="Hyperlink"/>
            <w:rFonts w:ascii="Times New Roman" w:hAnsi="Times New Roman" w:cs="Times New Roman"/>
            <w:noProof/>
            <w:lang w:val="it-IT"/>
          </w:rPr>
          <w:t>Bibliografia</w:t>
        </w:r>
        <w:r w:rsidR="00FA1E72" w:rsidRPr="006F07C8">
          <w:rPr>
            <w:noProof/>
            <w:webHidden/>
          </w:rPr>
          <w:tab/>
        </w:r>
        <w:r w:rsidR="00FA1E72" w:rsidRPr="006F07C8">
          <w:rPr>
            <w:noProof/>
            <w:webHidden/>
          </w:rPr>
          <w:fldChar w:fldCharType="begin"/>
        </w:r>
        <w:r w:rsidR="00FA1E72" w:rsidRPr="006F07C8">
          <w:rPr>
            <w:noProof/>
            <w:webHidden/>
          </w:rPr>
          <w:instrText xml:space="preserve"> PAGEREF _Toc384652930 \h </w:instrText>
        </w:r>
        <w:r w:rsidR="00FA1E72" w:rsidRPr="006F07C8">
          <w:rPr>
            <w:noProof/>
            <w:webHidden/>
          </w:rPr>
        </w:r>
        <w:r w:rsidR="00FA1E72" w:rsidRPr="006F07C8">
          <w:rPr>
            <w:noProof/>
            <w:webHidden/>
          </w:rPr>
          <w:fldChar w:fldCharType="separate"/>
        </w:r>
        <w:r w:rsidR="00087B27" w:rsidRPr="006F07C8">
          <w:rPr>
            <w:noProof/>
            <w:webHidden/>
          </w:rPr>
          <w:t>27</w:t>
        </w:r>
        <w:r w:rsidR="00FA1E72" w:rsidRPr="006F07C8">
          <w:rPr>
            <w:noProof/>
            <w:webHidden/>
          </w:rPr>
          <w:fldChar w:fldCharType="end"/>
        </w:r>
      </w:hyperlink>
    </w:p>
    <w:p w:rsidR="00FA1E72" w:rsidRPr="006F07C8" w:rsidRDefault="00FA1E72" w:rsidP="00FA1E72">
      <w:pPr>
        <w:rPr>
          <w:rFonts w:eastAsia="Batang"/>
        </w:rPr>
      </w:pPr>
      <w:r w:rsidRPr="006F07C8">
        <w:rPr>
          <w:rFonts w:eastAsia="Batang"/>
          <w:i/>
        </w:rPr>
        <w:fldChar w:fldCharType="end"/>
      </w:r>
    </w:p>
    <w:p w:rsidR="00FA1E72" w:rsidRPr="006F07C8" w:rsidRDefault="00FA1E72">
      <w:pPr>
        <w:rPr>
          <w:rFonts w:ascii="Times New Roman" w:hAnsi="Times New Roman" w:cs="Times New Roman"/>
          <w:sz w:val="24"/>
          <w:szCs w:val="24"/>
          <w:lang w:val="en-GB"/>
        </w:rPr>
      </w:pPr>
      <w:r w:rsidRPr="006F07C8">
        <w:rPr>
          <w:rFonts w:ascii="Times New Roman" w:hAnsi="Times New Roman" w:cs="Times New Roman"/>
          <w:sz w:val="24"/>
          <w:szCs w:val="24"/>
          <w:lang w:val="en-GB"/>
        </w:rPr>
        <w:br w:type="page"/>
      </w:r>
    </w:p>
    <w:p w:rsidR="002347F7" w:rsidRPr="006F07C8" w:rsidRDefault="00425EAC" w:rsidP="002F52A9">
      <w:pPr>
        <w:pStyle w:val="Heading2"/>
        <w:numPr>
          <w:ilvl w:val="0"/>
          <w:numId w:val="12"/>
        </w:numPr>
        <w:spacing w:line="240" w:lineRule="auto"/>
        <w:rPr>
          <w:rFonts w:ascii="Times New Roman" w:hAnsi="Times New Roman" w:cs="Times New Roman"/>
          <w:lang w:val="it-IT"/>
        </w:rPr>
      </w:pPr>
      <w:bookmarkStart w:id="2" w:name="_Toc384652920"/>
      <w:r w:rsidRPr="006F07C8">
        <w:rPr>
          <w:rFonts w:ascii="Times New Roman" w:hAnsi="Times New Roman" w:cs="Times New Roman"/>
          <w:lang w:val="it-IT"/>
        </w:rPr>
        <w:lastRenderedPageBreak/>
        <w:t xml:space="preserve">Introduzione: </w:t>
      </w:r>
      <w:r w:rsidR="00384C5F" w:rsidRPr="006F07C8">
        <w:rPr>
          <w:rFonts w:ascii="Times New Roman" w:hAnsi="Times New Roman" w:cs="Times New Roman"/>
          <w:lang w:val="it-IT"/>
        </w:rPr>
        <w:t xml:space="preserve">perché valutare una </w:t>
      </w:r>
      <w:r w:rsidR="001806E0" w:rsidRPr="006F07C8">
        <w:rPr>
          <w:rFonts w:ascii="Times New Roman" w:hAnsi="Times New Roman" w:cs="Times New Roman"/>
          <w:lang w:val="it-IT"/>
        </w:rPr>
        <w:t>p</w:t>
      </w:r>
      <w:r w:rsidR="002347F7" w:rsidRPr="006F07C8">
        <w:rPr>
          <w:rFonts w:ascii="Times New Roman" w:hAnsi="Times New Roman" w:cs="Times New Roman"/>
          <w:lang w:val="it-IT"/>
        </w:rPr>
        <w:t>olitic</w:t>
      </w:r>
      <w:r w:rsidR="00384C5F" w:rsidRPr="006F07C8">
        <w:rPr>
          <w:rFonts w:ascii="Times New Roman" w:hAnsi="Times New Roman" w:cs="Times New Roman"/>
          <w:lang w:val="it-IT"/>
        </w:rPr>
        <w:t>a</w:t>
      </w:r>
      <w:r w:rsidR="002347F7" w:rsidRPr="006F07C8">
        <w:rPr>
          <w:rFonts w:ascii="Times New Roman" w:hAnsi="Times New Roman" w:cs="Times New Roman"/>
          <w:lang w:val="it-IT"/>
        </w:rPr>
        <w:t xml:space="preserve"> linguistic</w:t>
      </w:r>
      <w:r w:rsidR="00384C5F" w:rsidRPr="006F07C8">
        <w:rPr>
          <w:rFonts w:ascii="Times New Roman" w:hAnsi="Times New Roman" w:cs="Times New Roman"/>
          <w:lang w:val="it-IT"/>
        </w:rPr>
        <w:t>a</w:t>
      </w:r>
      <w:bookmarkEnd w:id="2"/>
    </w:p>
    <w:p w:rsidR="001D1CB6" w:rsidRPr="006F07C8" w:rsidRDefault="001D1CB6" w:rsidP="002F52A9">
      <w:pPr>
        <w:spacing w:line="240" w:lineRule="auto"/>
        <w:jc w:val="both"/>
        <w:rPr>
          <w:rFonts w:ascii="Times New Roman" w:hAnsi="Times New Roman" w:cs="Times New Roman"/>
          <w:sz w:val="20"/>
          <w:lang w:val="it-IT"/>
        </w:rPr>
      </w:pPr>
    </w:p>
    <w:p w:rsidR="00E46401" w:rsidRPr="006F07C8" w:rsidRDefault="006F325D" w:rsidP="002F52A9">
      <w:pPr>
        <w:spacing w:line="240" w:lineRule="auto"/>
        <w:jc w:val="both"/>
        <w:rPr>
          <w:rFonts w:ascii="Times New Roman" w:hAnsi="Times New Roman" w:cs="Times New Roman"/>
          <w:sz w:val="24"/>
          <w:szCs w:val="24"/>
          <w:lang w:val="it-IT"/>
        </w:rPr>
      </w:pPr>
      <w:r w:rsidRPr="006F07C8">
        <w:rPr>
          <w:rFonts w:ascii="Times New Roman" w:hAnsi="Times New Roman" w:cs="Times New Roman"/>
          <w:sz w:val="24"/>
          <w:szCs w:val="24"/>
          <w:lang w:val="it-IT"/>
        </w:rPr>
        <w:t>La politica linguistica</w:t>
      </w:r>
      <w:r w:rsidR="00202BF4" w:rsidRPr="006F07C8">
        <w:rPr>
          <w:rFonts w:ascii="Times New Roman" w:hAnsi="Times New Roman" w:cs="Times New Roman"/>
          <w:sz w:val="24"/>
          <w:szCs w:val="24"/>
          <w:lang w:val="it-IT"/>
        </w:rPr>
        <w:t xml:space="preserve"> dell’</w:t>
      </w:r>
      <w:r w:rsidRPr="006F07C8">
        <w:rPr>
          <w:rFonts w:ascii="Times New Roman" w:hAnsi="Times New Roman" w:cs="Times New Roman"/>
          <w:sz w:val="24"/>
          <w:szCs w:val="24"/>
          <w:lang w:val="it-IT"/>
        </w:rPr>
        <w:t xml:space="preserve">Unione europea </w:t>
      </w:r>
      <w:r w:rsidR="00D97877" w:rsidRPr="006F07C8">
        <w:rPr>
          <w:rFonts w:ascii="Times New Roman" w:hAnsi="Times New Roman" w:cs="Times New Roman"/>
          <w:sz w:val="24"/>
          <w:szCs w:val="24"/>
          <w:lang w:val="it-IT"/>
        </w:rPr>
        <w:t xml:space="preserve">(UE) </w:t>
      </w:r>
      <w:r w:rsidRPr="006F07C8">
        <w:rPr>
          <w:rFonts w:ascii="Times New Roman" w:hAnsi="Times New Roman" w:cs="Times New Roman"/>
          <w:sz w:val="24"/>
          <w:szCs w:val="24"/>
          <w:lang w:val="it-IT"/>
        </w:rPr>
        <w:t xml:space="preserve">è </w:t>
      </w:r>
      <w:r w:rsidR="00CD3413" w:rsidRPr="006F07C8">
        <w:rPr>
          <w:rFonts w:ascii="Times New Roman" w:hAnsi="Times New Roman" w:cs="Times New Roman"/>
          <w:sz w:val="24"/>
          <w:szCs w:val="24"/>
          <w:lang w:val="it-IT"/>
        </w:rPr>
        <w:t xml:space="preserve">stata studiata da </w:t>
      </w:r>
      <w:r w:rsidR="00742BA4" w:rsidRPr="006F07C8">
        <w:rPr>
          <w:rFonts w:ascii="Times New Roman" w:hAnsi="Times New Roman" w:cs="Times New Roman"/>
          <w:sz w:val="24"/>
          <w:szCs w:val="24"/>
          <w:lang w:val="it-IT"/>
        </w:rPr>
        <w:t xml:space="preserve">diverse prospettive </w:t>
      </w:r>
      <w:r w:rsidR="00CD3413" w:rsidRPr="006F07C8">
        <w:rPr>
          <w:rFonts w:ascii="Times New Roman" w:hAnsi="Times New Roman" w:cs="Times New Roman"/>
          <w:sz w:val="24"/>
          <w:szCs w:val="24"/>
          <w:lang w:val="it-IT"/>
        </w:rPr>
        <w:t>disciplinari</w:t>
      </w:r>
      <w:r w:rsidR="00EA5F41" w:rsidRPr="006F07C8">
        <w:rPr>
          <w:rFonts w:ascii="Times New Roman" w:hAnsi="Times New Roman" w:cs="Times New Roman"/>
          <w:sz w:val="24"/>
          <w:szCs w:val="24"/>
          <w:lang w:val="it-IT"/>
        </w:rPr>
        <w:t>.</w:t>
      </w:r>
      <w:r w:rsidR="000575E1" w:rsidRPr="006F07C8">
        <w:rPr>
          <w:rStyle w:val="FootnoteReference"/>
          <w:rFonts w:ascii="Times New Roman" w:hAnsi="Times New Roman" w:cs="Times New Roman"/>
          <w:sz w:val="24"/>
          <w:szCs w:val="24"/>
          <w:lang w:val="it-IT"/>
        </w:rPr>
        <w:footnoteReference w:id="2"/>
      </w:r>
      <w:r w:rsidR="00EA5F41" w:rsidRPr="006F07C8">
        <w:rPr>
          <w:rFonts w:ascii="Times New Roman" w:hAnsi="Times New Roman" w:cs="Times New Roman"/>
          <w:sz w:val="24"/>
          <w:szCs w:val="24"/>
          <w:lang w:val="it-IT"/>
        </w:rPr>
        <w:t xml:space="preserve"> La </w:t>
      </w:r>
      <w:r w:rsidR="00CD3413" w:rsidRPr="006F07C8">
        <w:rPr>
          <w:rFonts w:ascii="Times New Roman" w:hAnsi="Times New Roman" w:cs="Times New Roman"/>
          <w:sz w:val="24"/>
          <w:szCs w:val="24"/>
          <w:lang w:val="it-IT"/>
        </w:rPr>
        <w:t xml:space="preserve">sociolinguistica o </w:t>
      </w:r>
      <w:r w:rsidR="00742BA4" w:rsidRPr="006F07C8">
        <w:rPr>
          <w:rFonts w:ascii="Times New Roman" w:hAnsi="Times New Roman" w:cs="Times New Roman"/>
          <w:sz w:val="24"/>
          <w:szCs w:val="24"/>
          <w:lang w:val="it-IT"/>
        </w:rPr>
        <w:t xml:space="preserve">la </w:t>
      </w:r>
      <w:r w:rsidR="00CD3413" w:rsidRPr="006F07C8">
        <w:rPr>
          <w:rFonts w:ascii="Times New Roman" w:hAnsi="Times New Roman" w:cs="Times New Roman"/>
          <w:sz w:val="24"/>
          <w:szCs w:val="24"/>
          <w:lang w:val="it-IT"/>
        </w:rPr>
        <w:t>linguistica applicata</w:t>
      </w:r>
      <w:r w:rsidR="00742BA4" w:rsidRPr="006F07C8">
        <w:rPr>
          <w:rFonts w:ascii="Times New Roman" w:hAnsi="Times New Roman" w:cs="Times New Roman"/>
          <w:sz w:val="24"/>
          <w:szCs w:val="24"/>
          <w:lang w:val="it-IT"/>
        </w:rPr>
        <w:t xml:space="preserve"> occupano </w:t>
      </w:r>
      <w:r w:rsidR="00C91A70" w:rsidRPr="006F07C8">
        <w:rPr>
          <w:rFonts w:ascii="Times New Roman" w:hAnsi="Times New Roman" w:cs="Times New Roman"/>
          <w:sz w:val="24"/>
          <w:szCs w:val="24"/>
          <w:lang w:val="it-IT"/>
        </w:rPr>
        <w:t xml:space="preserve">certamente </w:t>
      </w:r>
      <w:r w:rsidR="00742BA4" w:rsidRPr="006F07C8">
        <w:rPr>
          <w:rFonts w:ascii="Times New Roman" w:hAnsi="Times New Roman" w:cs="Times New Roman"/>
          <w:sz w:val="24"/>
          <w:szCs w:val="24"/>
          <w:lang w:val="it-IT"/>
        </w:rPr>
        <w:t>un ruolo di primo piano</w:t>
      </w:r>
      <w:r w:rsidR="00CD3413" w:rsidRPr="006F07C8">
        <w:rPr>
          <w:rFonts w:ascii="Times New Roman" w:hAnsi="Times New Roman" w:cs="Times New Roman"/>
          <w:sz w:val="24"/>
          <w:szCs w:val="24"/>
          <w:lang w:val="it-IT"/>
        </w:rPr>
        <w:t xml:space="preserve">, ma non </w:t>
      </w:r>
      <w:r w:rsidR="00742BA4" w:rsidRPr="006F07C8">
        <w:rPr>
          <w:rFonts w:ascii="Times New Roman" w:hAnsi="Times New Roman" w:cs="Times New Roman"/>
          <w:sz w:val="24"/>
          <w:szCs w:val="24"/>
          <w:lang w:val="it-IT"/>
        </w:rPr>
        <w:t>mancano contributi provenienti da altre tradizioni scientifiche</w:t>
      </w:r>
      <w:r w:rsidR="00CD3413" w:rsidRPr="006F07C8">
        <w:rPr>
          <w:rFonts w:ascii="Times New Roman" w:hAnsi="Times New Roman" w:cs="Times New Roman"/>
          <w:sz w:val="24"/>
          <w:szCs w:val="24"/>
          <w:lang w:val="it-IT"/>
        </w:rPr>
        <w:t xml:space="preserve">. </w:t>
      </w:r>
      <w:r w:rsidR="00677E27" w:rsidRPr="006F07C8">
        <w:rPr>
          <w:rFonts w:ascii="Times New Roman" w:hAnsi="Times New Roman" w:cs="Times New Roman"/>
          <w:sz w:val="24"/>
          <w:szCs w:val="24"/>
          <w:lang w:val="it-IT"/>
        </w:rPr>
        <w:t>In questo articolo l</w:t>
      </w:r>
      <w:r w:rsidR="00CD3413" w:rsidRPr="006F07C8">
        <w:rPr>
          <w:rFonts w:ascii="Times New Roman" w:hAnsi="Times New Roman" w:cs="Times New Roman"/>
          <w:sz w:val="24"/>
          <w:szCs w:val="24"/>
          <w:lang w:val="it-IT"/>
        </w:rPr>
        <w:t xml:space="preserve">a questione del multilinguismo europeo </w:t>
      </w:r>
      <w:r w:rsidR="00C91A70" w:rsidRPr="006F07C8">
        <w:rPr>
          <w:rFonts w:ascii="Times New Roman" w:hAnsi="Times New Roman" w:cs="Times New Roman"/>
          <w:sz w:val="24"/>
          <w:szCs w:val="24"/>
          <w:lang w:val="it-IT"/>
        </w:rPr>
        <w:t>è</w:t>
      </w:r>
      <w:r w:rsidR="00CD3413" w:rsidRPr="006F07C8">
        <w:rPr>
          <w:rFonts w:ascii="Times New Roman" w:hAnsi="Times New Roman" w:cs="Times New Roman"/>
          <w:sz w:val="24"/>
          <w:szCs w:val="24"/>
          <w:lang w:val="it-IT"/>
        </w:rPr>
        <w:t xml:space="preserve"> </w:t>
      </w:r>
      <w:r w:rsidR="00677E27" w:rsidRPr="006F07C8">
        <w:rPr>
          <w:rFonts w:ascii="Times New Roman" w:hAnsi="Times New Roman" w:cs="Times New Roman"/>
          <w:sz w:val="24"/>
          <w:szCs w:val="24"/>
          <w:lang w:val="it-IT"/>
        </w:rPr>
        <w:t xml:space="preserve">discussa </w:t>
      </w:r>
      <w:r w:rsidR="00CD3413" w:rsidRPr="006F07C8">
        <w:rPr>
          <w:rFonts w:ascii="Times New Roman" w:hAnsi="Times New Roman" w:cs="Times New Roman"/>
          <w:sz w:val="24"/>
          <w:szCs w:val="24"/>
          <w:lang w:val="it-IT"/>
        </w:rPr>
        <w:t xml:space="preserve">dal punto di vista dell’analisi </w:t>
      </w:r>
      <w:r w:rsidR="00C91A70" w:rsidRPr="006F07C8">
        <w:rPr>
          <w:rFonts w:ascii="Times New Roman" w:hAnsi="Times New Roman" w:cs="Times New Roman"/>
          <w:sz w:val="24"/>
          <w:szCs w:val="24"/>
          <w:lang w:val="it-IT"/>
        </w:rPr>
        <w:t xml:space="preserve">o valutazione </w:t>
      </w:r>
      <w:r w:rsidR="00CD3413" w:rsidRPr="006F07C8">
        <w:rPr>
          <w:rFonts w:ascii="Times New Roman" w:hAnsi="Times New Roman" w:cs="Times New Roman"/>
          <w:sz w:val="24"/>
          <w:szCs w:val="24"/>
          <w:lang w:val="it-IT"/>
        </w:rPr>
        <w:t>delle politiche pubbliche</w:t>
      </w:r>
      <w:r w:rsidR="00202BF4" w:rsidRPr="006F07C8">
        <w:rPr>
          <w:rFonts w:ascii="Times New Roman" w:hAnsi="Times New Roman" w:cs="Times New Roman"/>
          <w:sz w:val="24"/>
          <w:szCs w:val="24"/>
          <w:lang w:val="it-IT"/>
        </w:rPr>
        <w:t xml:space="preserve">. </w:t>
      </w:r>
      <w:r w:rsidR="00D85B7A" w:rsidRPr="006F07C8">
        <w:rPr>
          <w:rFonts w:ascii="Times New Roman" w:hAnsi="Times New Roman" w:cs="Times New Roman"/>
          <w:sz w:val="24"/>
          <w:szCs w:val="24"/>
          <w:lang w:val="it-IT"/>
        </w:rPr>
        <w:t>È</w:t>
      </w:r>
      <w:r w:rsidR="00F85D40" w:rsidRPr="006F07C8">
        <w:rPr>
          <w:rFonts w:ascii="Times New Roman" w:hAnsi="Times New Roman" w:cs="Times New Roman"/>
          <w:sz w:val="24"/>
          <w:szCs w:val="24"/>
          <w:lang w:val="it-IT"/>
        </w:rPr>
        <w:t xml:space="preserve"> quindi </w:t>
      </w:r>
      <w:r w:rsidRPr="006F07C8">
        <w:rPr>
          <w:rFonts w:ascii="Times New Roman" w:hAnsi="Times New Roman" w:cs="Times New Roman"/>
          <w:sz w:val="24"/>
          <w:szCs w:val="24"/>
          <w:lang w:val="it-IT"/>
        </w:rPr>
        <w:t>opportuno</w:t>
      </w:r>
      <w:r w:rsidR="00BE32FB" w:rsidRPr="006F07C8">
        <w:rPr>
          <w:rFonts w:ascii="Times New Roman" w:hAnsi="Times New Roman" w:cs="Times New Roman"/>
          <w:sz w:val="24"/>
          <w:szCs w:val="24"/>
          <w:lang w:val="it-IT"/>
        </w:rPr>
        <w:t xml:space="preserve"> </w:t>
      </w:r>
      <w:r w:rsidR="00D85B7A" w:rsidRPr="006F07C8">
        <w:rPr>
          <w:rFonts w:ascii="Times New Roman" w:hAnsi="Times New Roman" w:cs="Times New Roman"/>
          <w:sz w:val="24"/>
          <w:szCs w:val="24"/>
          <w:lang w:val="it-IT"/>
        </w:rPr>
        <w:t xml:space="preserve">iniziare con un paragrafo introduttivo </w:t>
      </w:r>
      <w:r w:rsidR="00CD3413" w:rsidRPr="006F07C8">
        <w:rPr>
          <w:rFonts w:ascii="Times New Roman" w:hAnsi="Times New Roman" w:cs="Times New Roman"/>
          <w:sz w:val="24"/>
          <w:szCs w:val="24"/>
          <w:lang w:val="it-IT"/>
        </w:rPr>
        <w:t xml:space="preserve">per </w:t>
      </w:r>
      <w:r w:rsidR="001A2803" w:rsidRPr="006F07C8">
        <w:rPr>
          <w:rFonts w:ascii="Times New Roman" w:hAnsi="Times New Roman" w:cs="Times New Roman"/>
          <w:sz w:val="24"/>
          <w:szCs w:val="24"/>
          <w:lang w:val="it-IT"/>
        </w:rPr>
        <w:t>posizionar</w:t>
      </w:r>
      <w:r w:rsidR="00F85D40" w:rsidRPr="006F07C8">
        <w:rPr>
          <w:rFonts w:ascii="Times New Roman" w:hAnsi="Times New Roman" w:cs="Times New Roman"/>
          <w:sz w:val="24"/>
          <w:szCs w:val="24"/>
          <w:lang w:val="it-IT"/>
        </w:rPr>
        <w:t xml:space="preserve">e questo studio </w:t>
      </w:r>
      <w:r w:rsidR="00CD3413" w:rsidRPr="006F07C8">
        <w:rPr>
          <w:rFonts w:ascii="Times New Roman" w:hAnsi="Times New Roman" w:cs="Times New Roman"/>
          <w:sz w:val="24"/>
          <w:szCs w:val="24"/>
          <w:lang w:val="it-IT"/>
        </w:rPr>
        <w:t xml:space="preserve">nella letteratura </w:t>
      </w:r>
      <w:r w:rsidR="00742BA4" w:rsidRPr="006F07C8">
        <w:rPr>
          <w:rFonts w:ascii="Times New Roman" w:hAnsi="Times New Roman" w:cs="Times New Roman"/>
          <w:sz w:val="24"/>
          <w:szCs w:val="24"/>
          <w:lang w:val="it-IT"/>
        </w:rPr>
        <w:t xml:space="preserve">specialistica </w:t>
      </w:r>
      <w:r w:rsidR="00DC5FF3" w:rsidRPr="006F07C8">
        <w:rPr>
          <w:rFonts w:ascii="Times New Roman" w:hAnsi="Times New Roman" w:cs="Times New Roman"/>
          <w:sz w:val="24"/>
          <w:szCs w:val="24"/>
          <w:lang w:val="it-IT"/>
        </w:rPr>
        <w:t xml:space="preserve">e per </w:t>
      </w:r>
      <w:r w:rsidR="00D97877" w:rsidRPr="006F07C8">
        <w:rPr>
          <w:rFonts w:ascii="Times New Roman" w:hAnsi="Times New Roman" w:cs="Times New Roman"/>
          <w:sz w:val="24"/>
          <w:szCs w:val="24"/>
          <w:lang w:val="it-IT"/>
        </w:rPr>
        <w:t xml:space="preserve">chiarire </w:t>
      </w:r>
      <w:r w:rsidRPr="006F07C8">
        <w:rPr>
          <w:rFonts w:ascii="Times New Roman" w:hAnsi="Times New Roman" w:cs="Times New Roman"/>
          <w:sz w:val="24"/>
          <w:szCs w:val="24"/>
          <w:lang w:val="it-IT"/>
        </w:rPr>
        <w:t xml:space="preserve">le relazioni fra </w:t>
      </w:r>
      <w:r w:rsidR="00C91A70" w:rsidRPr="006F07C8">
        <w:rPr>
          <w:rFonts w:ascii="Times New Roman" w:hAnsi="Times New Roman" w:cs="Times New Roman"/>
          <w:sz w:val="24"/>
          <w:szCs w:val="24"/>
          <w:lang w:val="it-IT"/>
        </w:rPr>
        <w:t xml:space="preserve">l’approccio </w:t>
      </w:r>
      <w:r w:rsidR="006E112B" w:rsidRPr="006F07C8">
        <w:rPr>
          <w:rFonts w:ascii="Times New Roman" w:hAnsi="Times New Roman" w:cs="Times New Roman"/>
          <w:sz w:val="24"/>
          <w:szCs w:val="24"/>
          <w:lang w:val="it-IT"/>
        </w:rPr>
        <w:t xml:space="preserve">qui </w:t>
      </w:r>
      <w:r w:rsidR="00C91A70" w:rsidRPr="006F07C8">
        <w:rPr>
          <w:rFonts w:ascii="Times New Roman" w:hAnsi="Times New Roman" w:cs="Times New Roman"/>
          <w:sz w:val="24"/>
          <w:szCs w:val="24"/>
          <w:lang w:val="it-IT"/>
        </w:rPr>
        <w:t xml:space="preserve">seguito e </w:t>
      </w:r>
      <w:r w:rsidR="00DC5FF3" w:rsidRPr="006F07C8">
        <w:rPr>
          <w:rFonts w:ascii="Times New Roman" w:hAnsi="Times New Roman" w:cs="Times New Roman"/>
          <w:sz w:val="24"/>
          <w:szCs w:val="24"/>
          <w:lang w:val="it-IT"/>
        </w:rPr>
        <w:t>la tradizione sociolinguistica</w:t>
      </w:r>
      <w:r w:rsidR="00BE32FB" w:rsidRPr="006F07C8">
        <w:rPr>
          <w:rFonts w:ascii="Times New Roman" w:hAnsi="Times New Roman" w:cs="Times New Roman"/>
          <w:sz w:val="24"/>
          <w:szCs w:val="24"/>
          <w:lang w:val="it-IT"/>
        </w:rPr>
        <w:t>.</w:t>
      </w:r>
    </w:p>
    <w:p w:rsidR="00466021" w:rsidRPr="006F07C8" w:rsidRDefault="00565C60" w:rsidP="002F52A9">
      <w:pPr>
        <w:spacing w:line="240" w:lineRule="auto"/>
        <w:jc w:val="both"/>
        <w:rPr>
          <w:rFonts w:ascii="Times New Roman" w:hAnsi="Times New Roman" w:cs="Times New Roman"/>
          <w:sz w:val="24"/>
          <w:szCs w:val="24"/>
          <w:lang w:val="it-IT"/>
        </w:rPr>
      </w:pPr>
      <w:r w:rsidRPr="006F07C8">
        <w:rPr>
          <w:rFonts w:ascii="Times New Roman" w:hAnsi="Times New Roman" w:cs="Times New Roman"/>
          <w:sz w:val="24"/>
          <w:szCs w:val="24"/>
          <w:lang w:val="it-IT"/>
        </w:rPr>
        <w:t xml:space="preserve">È </w:t>
      </w:r>
      <w:r w:rsidR="00876EA5" w:rsidRPr="006F07C8">
        <w:rPr>
          <w:rFonts w:ascii="Times New Roman" w:hAnsi="Times New Roman" w:cs="Times New Roman"/>
          <w:sz w:val="24"/>
          <w:szCs w:val="24"/>
          <w:lang w:val="it-IT"/>
        </w:rPr>
        <w:t xml:space="preserve">ancora </w:t>
      </w:r>
      <w:r w:rsidRPr="006F07C8">
        <w:rPr>
          <w:rFonts w:ascii="Times New Roman" w:hAnsi="Times New Roman" w:cs="Times New Roman"/>
          <w:sz w:val="24"/>
          <w:szCs w:val="24"/>
          <w:lang w:val="it-IT"/>
        </w:rPr>
        <w:t xml:space="preserve">piuttosto diffusa l’idea </w:t>
      </w:r>
      <w:r w:rsidR="009D2EFC" w:rsidRPr="006F07C8">
        <w:rPr>
          <w:rFonts w:ascii="Times New Roman" w:hAnsi="Times New Roman" w:cs="Times New Roman"/>
          <w:sz w:val="24"/>
          <w:szCs w:val="24"/>
          <w:lang w:val="it-IT"/>
        </w:rPr>
        <w:t xml:space="preserve">secondo </w:t>
      </w:r>
      <w:r w:rsidR="00F31564" w:rsidRPr="006F07C8">
        <w:rPr>
          <w:rFonts w:ascii="Times New Roman" w:hAnsi="Times New Roman" w:cs="Times New Roman"/>
          <w:sz w:val="24"/>
          <w:szCs w:val="24"/>
          <w:lang w:val="it-IT"/>
        </w:rPr>
        <w:t>cui</w:t>
      </w:r>
      <w:r w:rsidRPr="006F07C8">
        <w:rPr>
          <w:rFonts w:ascii="Times New Roman" w:hAnsi="Times New Roman" w:cs="Times New Roman"/>
          <w:sz w:val="24"/>
          <w:szCs w:val="24"/>
          <w:lang w:val="it-IT"/>
        </w:rPr>
        <w:t xml:space="preserve"> </w:t>
      </w:r>
      <w:r w:rsidR="00B23FA9" w:rsidRPr="006F07C8">
        <w:rPr>
          <w:rFonts w:ascii="Times New Roman" w:hAnsi="Times New Roman" w:cs="Times New Roman"/>
          <w:sz w:val="24"/>
          <w:szCs w:val="24"/>
          <w:lang w:val="it-IT"/>
        </w:rPr>
        <w:t>i poteri pubblici</w:t>
      </w:r>
      <w:r w:rsidR="00D97877" w:rsidRPr="006F07C8">
        <w:rPr>
          <w:rFonts w:ascii="Times New Roman" w:hAnsi="Times New Roman" w:cs="Times New Roman"/>
          <w:sz w:val="24"/>
          <w:szCs w:val="24"/>
          <w:lang w:val="it-IT"/>
        </w:rPr>
        <w:t xml:space="preserve"> ― </w:t>
      </w:r>
      <w:r w:rsidR="00466021" w:rsidRPr="006F07C8">
        <w:rPr>
          <w:rFonts w:ascii="Times New Roman" w:hAnsi="Times New Roman" w:cs="Times New Roman"/>
          <w:sz w:val="24"/>
          <w:szCs w:val="24"/>
          <w:lang w:val="it-IT"/>
        </w:rPr>
        <w:t xml:space="preserve">e </w:t>
      </w:r>
      <w:r w:rsidR="00D97877" w:rsidRPr="006F07C8">
        <w:rPr>
          <w:rFonts w:ascii="Times New Roman" w:hAnsi="Times New Roman" w:cs="Times New Roman"/>
          <w:sz w:val="24"/>
          <w:szCs w:val="24"/>
          <w:lang w:val="it-IT"/>
        </w:rPr>
        <w:t xml:space="preserve">in particolare </w:t>
      </w:r>
      <w:r w:rsidR="00B23FA9" w:rsidRPr="006F07C8">
        <w:rPr>
          <w:rFonts w:ascii="Times New Roman" w:hAnsi="Times New Roman" w:cs="Times New Roman"/>
          <w:sz w:val="24"/>
          <w:szCs w:val="24"/>
          <w:lang w:val="it-IT"/>
        </w:rPr>
        <w:t xml:space="preserve">lo Stato </w:t>
      </w:r>
      <w:r w:rsidR="00D97877" w:rsidRPr="006F07C8">
        <w:rPr>
          <w:rFonts w:ascii="Times New Roman" w:hAnsi="Times New Roman" w:cs="Times New Roman"/>
          <w:sz w:val="24"/>
          <w:szCs w:val="24"/>
          <w:lang w:val="it-IT"/>
        </w:rPr>
        <w:t>o le organizzazioni sovranazionali come la UE ―</w:t>
      </w:r>
      <w:r w:rsidR="00466021" w:rsidRPr="006F07C8">
        <w:rPr>
          <w:rFonts w:ascii="Times New Roman" w:hAnsi="Times New Roman" w:cs="Times New Roman"/>
          <w:sz w:val="24"/>
          <w:szCs w:val="24"/>
          <w:lang w:val="it-IT"/>
        </w:rPr>
        <w:t xml:space="preserve"> </w:t>
      </w:r>
      <w:r w:rsidR="00F85D40" w:rsidRPr="006F07C8">
        <w:rPr>
          <w:rFonts w:ascii="Times New Roman" w:hAnsi="Times New Roman" w:cs="Times New Roman"/>
          <w:sz w:val="24"/>
          <w:szCs w:val="24"/>
          <w:lang w:val="it-IT"/>
        </w:rPr>
        <w:t xml:space="preserve">possano e </w:t>
      </w:r>
      <w:r w:rsidR="00876EA5" w:rsidRPr="006F07C8">
        <w:rPr>
          <w:rFonts w:ascii="Times New Roman" w:hAnsi="Times New Roman" w:cs="Times New Roman"/>
          <w:sz w:val="24"/>
          <w:szCs w:val="24"/>
          <w:lang w:val="it-IT"/>
        </w:rPr>
        <w:t>debbano</w:t>
      </w:r>
      <w:r w:rsidR="00A40CEF" w:rsidRPr="006F07C8">
        <w:rPr>
          <w:rFonts w:ascii="Times New Roman" w:hAnsi="Times New Roman" w:cs="Times New Roman"/>
          <w:sz w:val="24"/>
          <w:szCs w:val="24"/>
          <w:lang w:val="it-IT"/>
        </w:rPr>
        <w:t xml:space="preserve"> </w:t>
      </w:r>
      <w:r w:rsidR="003375F6" w:rsidRPr="006F07C8">
        <w:rPr>
          <w:rFonts w:ascii="Times New Roman" w:hAnsi="Times New Roman" w:cs="Times New Roman"/>
          <w:sz w:val="24"/>
          <w:szCs w:val="24"/>
          <w:lang w:val="it-IT"/>
        </w:rPr>
        <w:t xml:space="preserve">mantenere </w:t>
      </w:r>
      <w:r w:rsidR="00A1509A" w:rsidRPr="006F07C8">
        <w:rPr>
          <w:rFonts w:ascii="Times New Roman" w:hAnsi="Times New Roman" w:cs="Times New Roman"/>
          <w:sz w:val="24"/>
          <w:szCs w:val="24"/>
          <w:lang w:val="it-IT"/>
        </w:rPr>
        <w:t>rispetto alla diversità linguistica</w:t>
      </w:r>
      <w:r w:rsidR="009D2EFC" w:rsidRPr="006F07C8">
        <w:rPr>
          <w:rFonts w:ascii="Times New Roman" w:hAnsi="Times New Roman" w:cs="Times New Roman"/>
          <w:sz w:val="24"/>
          <w:szCs w:val="24"/>
          <w:lang w:val="it-IT"/>
        </w:rPr>
        <w:t xml:space="preserve"> un atteggiamento neutrale, vale a dire </w:t>
      </w:r>
      <w:r w:rsidR="00466021" w:rsidRPr="006F07C8">
        <w:rPr>
          <w:rFonts w:ascii="Times New Roman" w:hAnsi="Times New Roman" w:cs="Times New Roman"/>
          <w:sz w:val="24"/>
          <w:szCs w:val="24"/>
          <w:lang w:val="it-IT"/>
        </w:rPr>
        <w:t xml:space="preserve">una disposizione non interventista e </w:t>
      </w:r>
      <w:r w:rsidR="00F85D40" w:rsidRPr="006F07C8">
        <w:rPr>
          <w:rFonts w:ascii="Times New Roman" w:hAnsi="Times New Roman" w:cs="Times New Roman"/>
          <w:sz w:val="24"/>
          <w:szCs w:val="24"/>
          <w:lang w:val="it-IT"/>
        </w:rPr>
        <w:t xml:space="preserve">del tutto </w:t>
      </w:r>
      <w:r w:rsidR="00466021" w:rsidRPr="006F07C8">
        <w:rPr>
          <w:rFonts w:ascii="Times New Roman" w:hAnsi="Times New Roman" w:cs="Times New Roman"/>
          <w:sz w:val="24"/>
          <w:szCs w:val="24"/>
          <w:lang w:val="it-IT"/>
        </w:rPr>
        <w:t xml:space="preserve">distaccata </w:t>
      </w:r>
      <w:r w:rsidR="00876EA5" w:rsidRPr="006F07C8">
        <w:rPr>
          <w:rFonts w:ascii="Times New Roman" w:hAnsi="Times New Roman" w:cs="Times New Roman"/>
          <w:sz w:val="24"/>
          <w:szCs w:val="24"/>
          <w:lang w:val="it-IT"/>
        </w:rPr>
        <w:t>nei confronti del</w:t>
      </w:r>
      <w:r w:rsidR="00466021" w:rsidRPr="006F07C8">
        <w:rPr>
          <w:rFonts w:ascii="Times New Roman" w:hAnsi="Times New Roman" w:cs="Times New Roman"/>
          <w:sz w:val="24"/>
          <w:szCs w:val="24"/>
          <w:lang w:val="it-IT"/>
        </w:rPr>
        <w:t xml:space="preserve">le dinamiche </w:t>
      </w:r>
      <w:r w:rsidR="00876EA5" w:rsidRPr="006F07C8">
        <w:rPr>
          <w:rFonts w:ascii="Times New Roman" w:hAnsi="Times New Roman" w:cs="Times New Roman"/>
          <w:sz w:val="24"/>
          <w:szCs w:val="24"/>
          <w:lang w:val="it-IT"/>
        </w:rPr>
        <w:t>socio</w:t>
      </w:r>
      <w:r w:rsidR="00466021" w:rsidRPr="006F07C8">
        <w:rPr>
          <w:rFonts w:ascii="Times New Roman" w:hAnsi="Times New Roman" w:cs="Times New Roman"/>
          <w:sz w:val="24"/>
          <w:szCs w:val="24"/>
          <w:lang w:val="it-IT"/>
        </w:rPr>
        <w:t xml:space="preserve">linguistiche in corso nella società. </w:t>
      </w:r>
      <w:r w:rsidR="00D97877" w:rsidRPr="006F07C8">
        <w:rPr>
          <w:rFonts w:ascii="Times New Roman" w:hAnsi="Times New Roman" w:cs="Times New Roman"/>
          <w:sz w:val="24"/>
          <w:szCs w:val="24"/>
          <w:lang w:val="it-IT"/>
        </w:rPr>
        <w:t>Come notato fra gli altri da Crystal, “molti linguisti hanno aderito all’idea che il cambiamento linguistico sia un fenomeno naturale e spontaneo, il risultato di forze sociali e/o linguistiche soggiacenti con cui è impossibile o comunque non desiderabile interferire. Secondo costoro dovremmo, in altre parole, ‘lasciar</w:t>
      </w:r>
      <w:r w:rsidR="00A40CEF" w:rsidRPr="006F07C8">
        <w:rPr>
          <w:rFonts w:ascii="Times New Roman" w:hAnsi="Times New Roman" w:cs="Times New Roman"/>
          <w:sz w:val="24"/>
          <w:szCs w:val="24"/>
          <w:lang w:val="it-IT"/>
        </w:rPr>
        <w:t>e in pace la nostra lingua’ […]</w:t>
      </w:r>
      <w:r w:rsidR="00D97877" w:rsidRPr="006F07C8">
        <w:rPr>
          <w:rFonts w:ascii="Times New Roman" w:hAnsi="Times New Roman" w:cs="Times New Roman"/>
          <w:sz w:val="24"/>
          <w:szCs w:val="24"/>
          <w:lang w:val="it-IT"/>
        </w:rPr>
        <w:t>” (</w:t>
      </w:r>
      <w:hyperlink w:anchor="_ENREF_18" w:tooltip="Crystal, 1993 #473" w:history="1">
        <w:r w:rsidR="00101624" w:rsidRPr="006F07C8">
          <w:rPr>
            <w:rFonts w:ascii="Times New Roman" w:hAnsi="Times New Roman" w:cs="Times New Roman"/>
            <w:sz w:val="24"/>
            <w:szCs w:val="24"/>
            <w:lang w:val="it-IT"/>
          </w:rPr>
          <w:fldChar w:fldCharType="begin"/>
        </w:r>
        <w:r w:rsidR="00101624" w:rsidRPr="006F07C8">
          <w:rPr>
            <w:rFonts w:ascii="Times New Roman" w:hAnsi="Times New Roman" w:cs="Times New Roman"/>
            <w:sz w:val="24"/>
            <w:szCs w:val="24"/>
            <w:lang w:val="it-IT"/>
          </w:rPr>
          <w:instrText xml:space="preserve"> ADDIN EN.CITE &lt;EndNote&gt;&lt;Cite&gt;&lt;Author&gt;Crystal&lt;/Author&gt;&lt;Year&gt;1993&lt;/Year&gt;&lt;RecNum&gt;473&lt;/RecNum&gt;&lt;Pages&gt;364&lt;/Pages&gt;&lt;DisplayText&gt;Crystal 1993: 364&lt;/DisplayText&gt;&lt;record&gt;&lt;rec-number&gt;473&lt;/rec-number&gt;&lt;foreign-keys&gt;&lt;key app="EN" db-id="wvvszzd93a0z5wesdfpvdv9z5wrra5p05axp"&gt;473&lt;/key&gt;&lt;/foreign-keys&gt;&lt;ref-type name="Book"&gt;6&lt;/ref-type&gt;&lt;contributors&gt;&lt;authors&gt;&lt;author&gt;Crystal, David&lt;/author&gt;&lt;/authors&gt;&lt;/contributors&gt;&lt;titles&gt;&lt;title&gt;Enciclopedia Cambridge delle scienze del linguaggio&lt;/title&gt;&lt;translated-title&gt;Trad. italiana di: The Cambridge Encyclopedia of Language, 1987&lt;/translated-title&gt;&lt;/titles&gt;&lt;keywords&gt;&lt;keyword&gt;langage [encyclopédie]&lt;/keyword&gt;&lt;keyword&gt;linguistique [encyclopédie]&lt;/keyword&gt;&lt;/keywords&gt;&lt;dates&gt;&lt;year&gt;1993&lt;/year&gt;&lt;/dates&gt;&lt;pub-location&gt;Bologna&lt;/pub-location&gt;&lt;publisher&gt;Zanichelli&lt;/publisher&gt;&lt;isbn&gt;8808140784&lt;/isbn&gt;&lt;urls&gt;&lt;/urls&gt;&lt;/record&gt;&lt;/Cite&gt;&lt;/EndNote&gt;</w:instrText>
        </w:r>
        <w:r w:rsidR="00101624" w:rsidRPr="006F07C8">
          <w:rPr>
            <w:rFonts w:ascii="Times New Roman" w:hAnsi="Times New Roman" w:cs="Times New Roman"/>
            <w:sz w:val="24"/>
            <w:szCs w:val="24"/>
            <w:lang w:val="it-IT"/>
          </w:rPr>
          <w:fldChar w:fldCharType="separate"/>
        </w:r>
        <w:r w:rsidR="00101624" w:rsidRPr="006F07C8">
          <w:rPr>
            <w:rFonts w:ascii="Times New Roman" w:hAnsi="Times New Roman" w:cs="Times New Roman"/>
            <w:noProof/>
            <w:sz w:val="24"/>
            <w:szCs w:val="24"/>
            <w:lang w:val="it-IT"/>
          </w:rPr>
          <w:t>Crystal 1993: 364</w:t>
        </w:r>
        <w:r w:rsidR="00101624" w:rsidRPr="006F07C8">
          <w:rPr>
            <w:rFonts w:ascii="Times New Roman" w:hAnsi="Times New Roman" w:cs="Times New Roman"/>
            <w:sz w:val="24"/>
            <w:szCs w:val="24"/>
            <w:lang w:val="it-IT"/>
          </w:rPr>
          <w:fldChar w:fldCharType="end"/>
        </w:r>
      </w:hyperlink>
      <w:r w:rsidR="00D97877" w:rsidRPr="006F07C8">
        <w:rPr>
          <w:rFonts w:ascii="Times New Roman" w:hAnsi="Times New Roman" w:cs="Times New Roman"/>
          <w:sz w:val="24"/>
          <w:szCs w:val="24"/>
          <w:lang w:val="it-IT"/>
        </w:rPr>
        <w:t xml:space="preserve">). </w:t>
      </w:r>
      <w:r w:rsidR="00F31564" w:rsidRPr="006F07C8">
        <w:rPr>
          <w:rFonts w:ascii="Times New Roman" w:hAnsi="Times New Roman" w:cs="Times New Roman"/>
          <w:sz w:val="24"/>
          <w:szCs w:val="24"/>
          <w:lang w:val="it-IT"/>
        </w:rPr>
        <w:t>In altri termini,</w:t>
      </w:r>
      <w:r w:rsidR="003375F6" w:rsidRPr="006F07C8">
        <w:rPr>
          <w:rFonts w:ascii="Times New Roman" w:hAnsi="Times New Roman" w:cs="Times New Roman"/>
          <w:sz w:val="24"/>
          <w:szCs w:val="24"/>
          <w:lang w:val="it-IT"/>
        </w:rPr>
        <w:t xml:space="preserve"> </w:t>
      </w:r>
      <w:r w:rsidR="00CA27F8" w:rsidRPr="006F07C8">
        <w:rPr>
          <w:rFonts w:ascii="Times New Roman" w:hAnsi="Times New Roman" w:cs="Times New Roman"/>
          <w:sz w:val="24"/>
          <w:szCs w:val="24"/>
          <w:lang w:val="it-IT"/>
        </w:rPr>
        <w:t xml:space="preserve">lo Stato </w:t>
      </w:r>
      <w:r w:rsidR="00F31564" w:rsidRPr="006F07C8">
        <w:rPr>
          <w:rFonts w:ascii="Times New Roman" w:hAnsi="Times New Roman" w:cs="Times New Roman"/>
          <w:sz w:val="24"/>
          <w:szCs w:val="24"/>
          <w:lang w:val="it-IT"/>
        </w:rPr>
        <w:t xml:space="preserve">non </w:t>
      </w:r>
      <w:r w:rsidR="00CA27F8" w:rsidRPr="006F07C8">
        <w:rPr>
          <w:rFonts w:ascii="Times New Roman" w:hAnsi="Times New Roman" w:cs="Times New Roman"/>
          <w:sz w:val="24"/>
          <w:szCs w:val="24"/>
          <w:lang w:val="it-IT"/>
        </w:rPr>
        <w:t xml:space="preserve">avrebbe </w:t>
      </w:r>
      <w:r w:rsidR="00E41874" w:rsidRPr="006F07C8">
        <w:rPr>
          <w:rFonts w:ascii="Times New Roman" w:hAnsi="Times New Roman" w:cs="Times New Roman"/>
          <w:sz w:val="24"/>
          <w:szCs w:val="24"/>
          <w:lang w:val="it-IT"/>
        </w:rPr>
        <w:t xml:space="preserve">né </w:t>
      </w:r>
      <w:r w:rsidR="007D2437" w:rsidRPr="006F07C8">
        <w:rPr>
          <w:rFonts w:ascii="Times New Roman" w:hAnsi="Times New Roman" w:cs="Times New Roman"/>
          <w:sz w:val="24"/>
          <w:szCs w:val="24"/>
          <w:lang w:val="it-IT"/>
        </w:rPr>
        <w:t xml:space="preserve">la forza né la legittimità per incidere </w:t>
      </w:r>
      <w:r w:rsidR="00A40CEF" w:rsidRPr="006F07C8">
        <w:rPr>
          <w:rFonts w:ascii="Times New Roman" w:hAnsi="Times New Roman" w:cs="Times New Roman"/>
          <w:sz w:val="24"/>
          <w:szCs w:val="24"/>
          <w:lang w:val="it-IT"/>
        </w:rPr>
        <w:t xml:space="preserve">significativamente sulle </w:t>
      </w:r>
      <w:r w:rsidR="003375F6" w:rsidRPr="006F07C8">
        <w:rPr>
          <w:rFonts w:ascii="Times New Roman" w:hAnsi="Times New Roman" w:cs="Times New Roman"/>
          <w:sz w:val="24"/>
          <w:szCs w:val="24"/>
          <w:lang w:val="it-IT"/>
        </w:rPr>
        <w:t xml:space="preserve">dinamiche </w:t>
      </w:r>
      <w:r w:rsidR="00876EA5" w:rsidRPr="006F07C8">
        <w:rPr>
          <w:rFonts w:ascii="Times New Roman" w:hAnsi="Times New Roman" w:cs="Times New Roman"/>
          <w:sz w:val="24"/>
          <w:szCs w:val="24"/>
          <w:lang w:val="it-IT"/>
        </w:rPr>
        <w:t>socio</w:t>
      </w:r>
      <w:r w:rsidR="00225E56" w:rsidRPr="006F07C8">
        <w:rPr>
          <w:rFonts w:ascii="Times New Roman" w:hAnsi="Times New Roman" w:cs="Times New Roman"/>
          <w:sz w:val="24"/>
          <w:szCs w:val="24"/>
          <w:lang w:val="it-IT"/>
        </w:rPr>
        <w:t>linguistiche</w:t>
      </w:r>
      <w:r w:rsidR="007D2437" w:rsidRPr="006F07C8">
        <w:rPr>
          <w:rFonts w:ascii="Times New Roman" w:hAnsi="Times New Roman" w:cs="Times New Roman"/>
          <w:sz w:val="24"/>
          <w:szCs w:val="24"/>
          <w:lang w:val="it-IT"/>
        </w:rPr>
        <w:t xml:space="preserve"> in corso nella società</w:t>
      </w:r>
      <w:r w:rsidR="00B9138A" w:rsidRPr="006F07C8">
        <w:rPr>
          <w:rFonts w:ascii="Times New Roman" w:hAnsi="Times New Roman" w:cs="Times New Roman"/>
          <w:sz w:val="24"/>
          <w:szCs w:val="24"/>
          <w:lang w:val="it-IT"/>
        </w:rPr>
        <w:t>.</w:t>
      </w:r>
      <w:r w:rsidR="002C58DF" w:rsidRPr="006F07C8">
        <w:rPr>
          <w:rStyle w:val="FootnoteReference"/>
          <w:rFonts w:ascii="Times New Roman" w:hAnsi="Times New Roman" w:cs="Times New Roman"/>
          <w:sz w:val="24"/>
          <w:szCs w:val="24"/>
          <w:lang w:val="it-IT"/>
        </w:rPr>
        <w:footnoteReference w:id="3"/>
      </w:r>
    </w:p>
    <w:p w:rsidR="003865ED" w:rsidRPr="006F07C8" w:rsidRDefault="00AA043D" w:rsidP="002F52A9">
      <w:pPr>
        <w:spacing w:line="240" w:lineRule="auto"/>
        <w:jc w:val="both"/>
        <w:rPr>
          <w:rFonts w:ascii="Times New Roman" w:hAnsi="Times New Roman" w:cs="Times New Roman"/>
          <w:sz w:val="24"/>
          <w:szCs w:val="24"/>
          <w:lang w:val="it-IT"/>
        </w:rPr>
      </w:pPr>
      <w:r w:rsidRPr="006F07C8">
        <w:rPr>
          <w:rFonts w:ascii="Times New Roman" w:hAnsi="Times New Roman" w:cs="Times New Roman"/>
          <w:sz w:val="24"/>
          <w:szCs w:val="24"/>
          <w:lang w:val="it-IT"/>
        </w:rPr>
        <w:t>Si tratta di un’</w:t>
      </w:r>
      <w:r w:rsidR="00225E56" w:rsidRPr="006F07C8">
        <w:rPr>
          <w:rFonts w:ascii="Times New Roman" w:hAnsi="Times New Roman" w:cs="Times New Roman"/>
          <w:sz w:val="24"/>
          <w:szCs w:val="24"/>
          <w:lang w:val="it-IT"/>
        </w:rPr>
        <w:t>idea</w:t>
      </w:r>
      <w:r w:rsidR="00876EA5" w:rsidRPr="006F07C8">
        <w:rPr>
          <w:rFonts w:ascii="Times New Roman" w:hAnsi="Times New Roman" w:cs="Times New Roman"/>
          <w:sz w:val="24"/>
          <w:szCs w:val="24"/>
          <w:lang w:val="it-IT"/>
        </w:rPr>
        <w:t xml:space="preserve"> </w:t>
      </w:r>
      <w:r w:rsidRPr="006F07C8">
        <w:rPr>
          <w:rFonts w:ascii="Times New Roman" w:hAnsi="Times New Roman" w:cs="Times New Roman"/>
          <w:sz w:val="24"/>
          <w:szCs w:val="24"/>
          <w:lang w:val="it-IT"/>
        </w:rPr>
        <w:t xml:space="preserve">che </w:t>
      </w:r>
      <w:r w:rsidR="009D2EFC" w:rsidRPr="006F07C8">
        <w:rPr>
          <w:rFonts w:ascii="Times New Roman" w:hAnsi="Times New Roman" w:cs="Times New Roman"/>
          <w:sz w:val="24"/>
          <w:szCs w:val="24"/>
          <w:lang w:val="it-IT"/>
        </w:rPr>
        <w:t xml:space="preserve">emerge spesso nel dibattito interno </w:t>
      </w:r>
      <w:r w:rsidRPr="006F07C8">
        <w:rPr>
          <w:rFonts w:ascii="Times New Roman" w:hAnsi="Times New Roman" w:cs="Times New Roman"/>
          <w:sz w:val="24"/>
          <w:szCs w:val="24"/>
          <w:lang w:val="it-IT"/>
        </w:rPr>
        <w:t>alla pianificazione linguistica ―</w:t>
      </w:r>
      <w:r w:rsidR="009D2EFC" w:rsidRPr="006F07C8">
        <w:rPr>
          <w:rFonts w:ascii="Times New Roman" w:hAnsi="Times New Roman" w:cs="Times New Roman"/>
          <w:sz w:val="24"/>
          <w:szCs w:val="24"/>
          <w:lang w:val="it-IT"/>
        </w:rPr>
        <w:t xml:space="preserve"> un ambito di ricerca interdisciplinare in cui notoriamente la tradizione socioling</w:t>
      </w:r>
      <w:r w:rsidRPr="006F07C8">
        <w:rPr>
          <w:rFonts w:ascii="Times New Roman" w:hAnsi="Times New Roman" w:cs="Times New Roman"/>
          <w:sz w:val="24"/>
          <w:szCs w:val="24"/>
          <w:lang w:val="it-IT"/>
        </w:rPr>
        <w:t xml:space="preserve">uistica </w:t>
      </w:r>
      <w:r w:rsidR="001B0A9D" w:rsidRPr="006F07C8">
        <w:rPr>
          <w:rFonts w:ascii="Times New Roman" w:hAnsi="Times New Roman" w:cs="Times New Roman"/>
          <w:sz w:val="24"/>
          <w:szCs w:val="24"/>
          <w:lang w:val="it-IT"/>
        </w:rPr>
        <w:t>ricopre</w:t>
      </w:r>
      <w:r w:rsidRPr="006F07C8">
        <w:rPr>
          <w:rFonts w:ascii="Times New Roman" w:hAnsi="Times New Roman" w:cs="Times New Roman"/>
          <w:sz w:val="24"/>
          <w:szCs w:val="24"/>
          <w:lang w:val="it-IT"/>
        </w:rPr>
        <w:t xml:space="preserve"> un ruolo centrale ―, forse anche a causa di </w:t>
      </w:r>
      <w:r w:rsidR="00B23FA9" w:rsidRPr="006F07C8">
        <w:rPr>
          <w:rFonts w:ascii="Times New Roman" w:hAnsi="Times New Roman" w:cs="Times New Roman"/>
          <w:sz w:val="24"/>
          <w:szCs w:val="24"/>
          <w:lang w:val="it-IT"/>
        </w:rPr>
        <w:t xml:space="preserve">un </w:t>
      </w:r>
      <w:r w:rsidR="00A25115" w:rsidRPr="006F07C8">
        <w:rPr>
          <w:rFonts w:ascii="Times New Roman" w:hAnsi="Times New Roman" w:cs="Times New Roman"/>
          <w:sz w:val="24"/>
          <w:szCs w:val="24"/>
          <w:lang w:val="it-IT"/>
        </w:rPr>
        <w:t xml:space="preserve">equivoco </w:t>
      </w:r>
      <w:r w:rsidR="00EF48B1" w:rsidRPr="006F07C8">
        <w:rPr>
          <w:rFonts w:ascii="Times New Roman" w:hAnsi="Times New Roman" w:cs="Times New Roman"/>
          <w:sz w:val="24"/>
          <w:szCs w:val="24"/>
          <w:lang w:val="it-IT"/>
        </w:rPr>
        <w:t xml:space="preserve">generato da </w:t>
      </w:r>
      <w:r w:rsidR="00A25115" w:rsidRPr="006F07C8">
        <w:rPr>
          <w:rFonts w:ascii="Times New Roman" w:hAnsi="Times New Roman" w:cs="Times New Roman"/>
          <w:sz w:val="24"/>
          <w:szCs w:val="24"/>
          <w:lang w:val="it-IT"/>
        </w:rPr>
        <w:t xml:space="preserve">una </w:t>
      </w:r>
      <w:r w:rsidR="00565C60" w:rsidRPr="006F07C8">
        <w:rPr>
          <w:rFonts w:ascii="Times New Roman" w:hAnsi="Times New Roman" w:cs="Times New Roman"/>
          <w:sz w:val="24"/>
          <w:szCs w:val="24"/>
          <w:lang w:val="it-IT"/>
        </w:rPr>
        <w:t xml:space="preserve">fuorviante applicazione di </w:t>
      </w:r>
      <w:r w:rsidR="0093246A" w:rsidRPr="006F07C8">
        <w:rPr>
          <w:rFonts w:ascii="Times New Roman" w:hAnsi="Times New Roman" w:cs="Times New Roman"/>
          <w:sz w:val="24"/>
          <w:szCs w:val="24"/>
          <w:lang w:val="it-IT"/>
        </w:rPr>
        <w:t>concetti</w:t>
      </w:r>
      <w:r w:rsidR="00565C60" w:rsidRPr="006F07C8">
        <w:rPr>
          <w:rFonts w:ascii="Times New Roman" w:hAnsi="Times New Roman" w:cs="Times New Roman"/>
          <w:sz w:val="24"/>
          <w:szCs w:val="24"/>
          <w:lang w:val="it-IT"/>
        </w:rPr>
        <w:t xml:space="preserve"> </w:t>
      </w:r>
      <w:r w:rsidR="002C22EA" w:rsidRPr="006F07C8">
        <w:rPr>
          <w:rFonts w:ascii="Times New Roman" w:hAnsi="Times New Roman" w:cs="Times New Roman"/>
          <w:sz w:val="24"/>
          <w:szCs w:val="24"/>
          <w:lang w:val="it-IT"/>
        </w:rPr>
        <w:t xml:space="preserve">economici </w:t>
      </w:r>
      <w:r w:rsidRPr="006F07C8">
        <w:rPr>
          <w:rFonts w:ascii="Times New Roman" w:hAnsi="Times New Roman" w:cs="Times New Roman"/>
          <w:sz w:val="24"/>
          <w:szCs w:val="24"/>
          <w:lang w:val="it-IT"/>
        </w:rPr>
        <w:t>a</w:t>
      </w:r>
      <w:r w:rsidR="000023BB" w:rsidRPr="006F07C8">
        <w:rPr>
          <w:rFonts w:ascii="Times New Roman" w:hAnsi="Times New Roman" w:cs="Times New Roman"/>
          <w:sz w:val="24"/>
          <w:szCs w:val="24"/>
          <w:lang w:val="it-IT"/>
        </w:rPr>
        <w:t xml:space="preserve">lle origini </w:t>
      </w:r>
      <w:r w:rsidRPr="006F07C8">
        <w:rPr>
          <w:rFonts w:ascii="Times New Roman" w:hAnsi="Times New Roman" w:cs="Times New Roman"/>
          <w:sz w:val="24"/>
          <w:szCs w:val="24"/>
          <w:lang w:val="it-IT"/>
        </w:rPr>
        <w:t xml:space="preserve">della disciplina </w:t>
      </w:r>
      <w:r w:rsidR="006E112B" w:rsidRPr="006F07C8">
        <w:rPr>
          <w:rFonts w:ascii="Times New Roman" w:hAnsi="Times New Roman" w:cs="Times New Roman"/>
          <w:sz w:val="24"/>
          <w:szCs w:val="24"/>
          <w:lang w:val="it-IT"/>
        </w:rPr>
        <w:t>negli anni ’60</w:t>
      </w:r>
      <w:r w:rsidRPr="006F07C8">
        <w:rPr>
          <w:rFonts w:ascii="Times New Roman" w:hAnsi="Times New Roman" w:cs="Times New Roman"/>
          <w:sz w:val="24"/>
          <w:szCs w:val="24"/>
          <w:lang w:val="it-IT"/>
        </w:rPr>
        <w:t>. In questo periodo, infatti, la pianificazione linguistica</w:t>
      </w:r>
      <w:r w:rsidR="000023BB" w:rsidRPr="006F07C8">
        <w:rPr>
          <w:rFonts w:ascii="Times New Roman" w:hAnsi="Times New Roman" w:cs="Times New Roman"/>
          <w:sz w:val="24"/>
          <w:szCs w:val="24"/>
          <w:lang w:val="it-IT"/>
        </w:rPr>
        <w:t xml:space="preserve"> </w:t>
      </w:r>
      <w:r w:rsidR="00143DED" w:rsidRPr="006F07C8">
        <w:rPr>
          <w:rFonts w:ascii="Times New Roman" w:hAnsi="Times New Roman" w:cs="Times New Roman"/>
          <w:sz w:val="24"/>
          <w:szCs w:val="24"/>
          <w:lang w:val="it-IT"/>
        </w:rPr>
        <w:t>aveva attinto</w:t>
      </w:r>
      <w:r w:rsidR="000023BB" w:rsidRPr="006F07C8">
        <w:rPr>
          <w:rFonts w:ascii="Times New Roman" w:hAnsi="Times New Roman" w:cs="Times New Roman"/>
          <w:sz w:val="24"/>
          <w:szCs w:val="24"/>
          <w:lang w:val="it-IT"/>
        </w:rPr>
        <w:t xml:space="preserve"> diversi concetti dalle scienze sociali</w:t>
      </w:r>
      <w:r w:rsidRPr="006F07C8">
        <w:rPr>
          <w:rFonts w:ascii="Times New Roman" w:hAnsi="Times New Roman" w:cs="Times New Roman"/>
          <w:sz w:val="24"/>
          <w:szCs w:val="24"/>
          <w:lang w:val="it-IT"/>
        </w:rPr>
        <w:t xml:space="preserve"> e segnatamente dall’economia</w:t>
      </w:r>
      <w:r w:rsidR="00E41874" w:rsidRPr="006F07C8">
        <w:rPr>
          <w:rFonts w:ascii="Times New Roman" w:hAnsi="Times New Roman" w:cs="Times New Roman"/>
          <w:sz w:val="24"/>
          <w:szCs w:val="24"/>
          <w:lang w:val="it-IT"/>
        </w:rPr>
        <w:t xml:space="preserve"> (Gazzola </w:t>
      </w:r>
      <w:hyperlink w:anchor="_ENREF_30" w:tooltip="Gazzola, 2014 #887" w:history="1">
        <w:r w:rsidR="00101624" w:rsidRPr="006F07C8">
          <w:rPr>
            <w:rFonts w:ascii="Times New Roman" w:hAnsi="Times New Roman" w:cs="Times New Roman"/>
            <w:sz w:val="24"/>
            <w:szCs w:val="24"/>
            <w:lang w:val="it-IT"/>
          </w:rPr>
          <w:fldChar w:fldCharType="begin"/>
        </w:r>
        <w:r w:rsidR="00101624" w:rsidRPr="006F07C8">
          <w:rPr>
            <w:rFonts w:ascii="Times New Roman" w:hAnsi="Times New Roman" w:cs="Times New Roman"/>
            <w:sz w:val="24"/>
            <w:szCs w:val="24"/>
            <w:lang w:val="it-IT"/>
          </w:rPr>
          <w:instrText xml:space="preserve"> ADDIN EN.CITE &lt;EndNote&gt;&lt;Cite ExcludeAuth="1"&gt;&lt;Author&gt;Gazzola&lt;/Author&gt;&lt;Year&gt;2014&lt;/Year&gt;&lt;RecNum&gt;887&lt;/RecNum&gt;&lt;DisplayText&gt;2014&lt;/DisplayText&gt;&lt;record&gt;&lt;rec-number&gt;887&lt;/rec-number&gt;&lt;foreign-keys&gt;&lt;key app="EN" db-id="wvvszzd93a0z5wesdfpvdv9z5wrra5p05axp"&gt;887&lt;/key&gt;&lt;/foreign-keys&gt;&lt;ref-type name="Book"&gt;6&lt;/ref-type&gt;&lt;contributors&gt;&lt;authors&gt;&lt;author&gt;Gazzola, Michele&lt;/author&gt;&lt;/authors&gt;&lt;/contributors&gt;&lt;titles&gt;&lt;title&gt;The evaluation of language regimes. Theory and application to multilingual patent organisations&lt;/title&gt;&lt;/titles&gt;&lt;dates&gt;&lt;year&gt;2014&lt;/year&gt;&lt;/dates&gt;&lt;pub-location&gt;Amsterdam&lt;/pub-location&gt;&lt;publisher&gt;John Benjamins&lt;/publisher&gt;&lt;urls&gt;&lt;/urls&gt;&lt;/record&gt;&lt;/Cite&gt;&lt;/EndNote&gt;</w:instrText>
        </w:r>
        <w:r w:rsidR="00101624" w:rsidRPr="006F07C8">
          <w:rPr>
            <w:rFonts w:ascii="Times New Roman" w:hAnsi="Times New Roman" w:cs="Times New Roman"/>
            <w:sz w:val="24"/>
            <w:szCs w:val="24"/>
            <w:lang w:val="it-IT"/>
          </w:rPr>
          <w:fldChar w:fldCharType="separate"/>
        </w:r>
        <w:r w:rsidR="00101624" w:rsidRPr="006F07C8">
          <w:rPr>
            <w:rFonts w:ascii="Times New Roman" w:hAnsi="Times New Roman" w:cs="Times New Roman"/>
            <w:sz w:val="24"/>
            <w:szCs w:val="24"/>
            <w:lang w:val="it-IT"/>
          </w:rPr>
          <w:t>2014</w:t>
        </w:r>
        <w:r w:rsidR="00101624" w:rsidRPr="006F07C8">
          <w:rPr>
            <w:rFonts w:ascii="Times New Roman" w:hAnsi="Times New Roman" w:cs="Times New Roman"/>
            <w:sz w:val="24"/>
            <w:szCs w:val="24"/>
            <w:lang w:val="it-IT"/>
          </w:rPr>
          <w:fldChar w:fldCharType="end"/>
        </w:r>
      </w:hyperlink>
      <w:r w:rsidR="00E41874" w:rsidRPr="006F07C8">
        <w:rPr>
          <w:rFonts w:ascii="Times New Roman" w:hAnsi="Times New Roman" w:cs="Times New Roman"/>
          <w:sz w:val="24"/>
          <w:szCs w:val="24"/>
          <w:lang w:val="it-IT"/>
        </w:rPr>
        <w:t>)</w:t>
      </w:r>
      <w:r w:rsidR="000023BB" w:rsidRPr="006F07C8">
        <w:rPr>
          <w:rFonts w:ascii="Times New Roman" w:hAnsi="Times New Roman" w:cs="Times New Roman"/>
          <w:sz w:val="24"/>
          <w:szCs w:val="24"/>
          <w:lang w:val="it-IT"/>
        </w:rPr>
        <w:t xml:space="preserve">. </w:t>
      </w:r>
      <w:r w:rsidRPr="006F07C8">
        <w:rPr>
          <w:rFonts w:ascii="Times New Roman" w:hAnsi="Times New Roman" w:cs="Times New Roman"/>
          <w:sz w:val="24"/>
          <w:szCs w:val="24"/>
          <w:lang w:val="it-IT"/>
        </w:rPr>
        <w:t>Oggi è</w:t>
      </w:r>
      <w:r w:rsidR="000023BB" w:rsidRPr="006F07C8">
        <w:rPr>
          <w:rFonts w:ascii="Times New Roman" w:hAnsi="Times New Roman" w:cs="Times New Roman"/>
          <w:sz w:val="24"/>
          <w:szCs w:val="24"/>
          <w:lang w:val="it-IT"/>
        </w:rPr>
        <w:t xml:space="preserve"> </w:t>
      </w:r>
      <w:r w:rsidR="00A25115" w:rsidRPr="006F07C8">
        <w:rPr>
          <w:rFonts w:ascii="Times New Roman" w:hAnsi="Times New Roman" w:cs="Times New Roman"/>
          <w:sz w:val="24"/>
          <w:szCs w:val="24"/>
          <w:lang w:val="it-IT"/>
        </w:rPr>
        <w:t xml:space="preserve">ancora </w:t>
      </w:r>
      <w:r w:rsidR="00997B6E" w:rsidRPr="006F07C8">
        <w:rPr>
          <w:rFonts w:ascii="Times New Roman" w:hAnsi="Times New Roman" w:cs="Times New Roman"/>
          <w:sz w:val="24"/>
          <w:szCs w:val="24"/>
          <w:lang w:val="it-IT"/>
        </w:rPr>
        <w:t>comune</w:t>
      </w:r>
      <w:r w:rsidR="00A25115" w:rsidRPr="006F07C8">
        <w:rPr>
          <w:rFonts w:ascii="Times New Roman" w:hAnsi="Times New Roman" w:cs="Times New Roman"/>
          <w:sz w:val="24"/>
          <w:szCs w:val="24"/>
          <w:lang w:val="it-IT"/>
        </w:rPr>
        <w:t xml:space="preserve"> </w:t>
      </w:r>
      <w:r w:rsidRPr="006F07C8">
        <w:rPr>
          <w:rFonts w:ascii="Times New Roman" w:hAnsi="Times New Roman" w:cs="Times New Roman"/>
          <w:sz w:val="24"/>
          <w:szCs w:val="24"/>
          <w:lang w:val="it-IT"/>
        </w:rPr>
        <w:t xml:space="preserve">in sociolinguistica </w:t>
      </w:r>
      <w:r w:rsidR="00F63B5E" w:rsidRPr="006F07C8">
        <w:rPr>
          <w:rFonts w:ascii="Times New Roman" w:hAnsi="Times New Roman" w:cs="Times New Roman"/>
          <w:sz w:val="24"/>
          <w:szCs w:val="24"/>
          <w:lang w:val="it-IT"/>
        </w:rPr>
        <w:t xml:space="preserve">contrapporre </w:t>
      </w:r>
      <w:r w:rsidR="00C46520" w:rsidRPr="006F07C8">
        <w:rPr>
          <w:rFonts w:ascii="Times New Roman" w:hAnsi="Times New Roman" w:cs="Times New Roman"/>
          <w:sz w:val="24"/>
          <w:szCs w:val="24"/>
          <w:lang w:val="it-IT"/>
        </w:rPr>
        <w:t xml:space="preserve">“pianificazione linguistica” o “politica linguistica” a concetti come </w:t>
      </w:r>
      <w:r w:rsidR="00A25115" w:rsidRPr="006F07C8">
        <w:rPr>
          <w:rFonts w:ascii="Times New Roman" w:hAnsi="Times New Roman" w:cs="Times New Roman"/>
          <w:sz w:val="24"/>
          <w:szCs w:val="24"/>
          <w:lang w:val="it-IT"/>
        </w:rPr>
        <w:t>“</w:t>
      </w:r>
      <w:r w:rsidR="00A25115" w:rsidRPr="006F07C8">
        <w:rPr>
          <w:rFonts w:ascii="Times New Roman" w:hAnsi="Times New Roman" w:cs="Times New Roman"/>
          <w:i/>
          <w:sz w:val="24"/>
          <w:szCs w:val="24"/>
          <w:lang w:val="it-IT"/>
        </w:rPr>
        <w:t>laissez-faire</w:t>
      </w:r>
      <w:r w:rsidR="00A25115" w:rsidRPr="006F07C8">
        <w:rPr>
          <w:rFonts w:ascii="Times New Roman" w:hAnsi="Times New Roman" w:cs="Times New Roman"/>
          <w:sz w:val="24"/>
          <w:szCs w:val="24"/>
          <w:lang w:val="it-IT"/>
        </w:rPr>
        <w:t xml:space="preserve"> linguistico” (Kaplan </w:t>
      </w:r>
      <w:r w:rsidR="00AF4108" w:rsidRPr="006F07C8">
        <w:rPr>
          <w:rFonts w:ascii="Times New Roman" w:hAnsi="Times New Roman" w:cs="Times New Roman"/>
          <w:sz w:val="24"/>
          <w:szCs w:val="24"/>
          <w:lang w:val="it-IT"/>
        </w:rPr>
        <w:t>e</w:t>
      </w:r>
      <w:r w:rsidR="00A25115" w:rsidRPr="006F07C8">
        <w:rPr>
          <w:rFonts w:ascii="Times New Roman" w:hAnsi="Times New Roman" w:cs="Times New Roman"/>
          <w:sz w:val="24"/>
          <w:szCs w:val="24"/>
          <w:lang w:val="it-IT"/>
        </w:rPr>
        <w:t xml:space="preserve"> Baldauf </w:t>
      </w:r>
      <w:hyperlink w:anchor="_ENREF_51" w:tooltip="Kaplan, 1997 #303" w:history="1">
        <w:r w:rsidR="00101624" w:rsidRPr="006F07C8">
          <w:rPr>
            <w:rFonts w:ascii="Times New Roman" w:hAnsi="Times New Roman" w:cs="Times New Roman"/>
            <w:sz w:val="24"/>
            <w:szCs w:val="24"/>
            <w:lang w:val="it-IT"/>
          </w:rPr>
          <w:fldChar w:fldCharType="begin"/>
        </w:r>
        <w:r w:rsidR="00101624" w:rsidRPr="006F07C8">
          <w:rPr>
            <w:rFonts w:ascii="Times New Roman" w:hAnsi="Times New Roman" w:cs="Times New Roman"/>
            <w:sz w:val="24"/>
            <w:szCs w:val="24"/>
            <w:lang w:val="it-IT"/>
          </w:rPr>
          <w:instrText xml:space="preserve"> ADDIN EN.CITE &lt;EndNote&gt;&lt;Cite ExcludeAuth="1"&gt;&lt;Year&gt;1997&lt;/Year&gt;&lt;RecNum&gt;303&lt;/RecNum&gt;&lt;DisplayText&gt;1997&lt;/DisplayText&gt;&lt;record&gt;&lt;rec-number&gt;303&lt;/rec-number&gt;&lt;foreign-keys&gt;&lt;key app="EN" db-id="wvvszzd93a0z5wesdfpvdv9z5wrra5p05axp"&gt;303&lt;/key&gt;&lt;/foreign-keys&gt;&lt;ref-type name="Book"&gt;6&lt;/ref-type&gt;&lt;contributors&gt;&lt;authors&gt;&lt;author&gt;Kaplan, Robert B.&lt;/author&gt;&lt;author&gt;Baldauf, Richard B.&lt;/author&gt;&lt;/authors&gt;&lt;/contributors&gt;&lt;titles&gt;&lt;title&gt;Language planning. From practice to theory&lt;/title&gt;&lt;/titles&gt;&lt;pages&gt;XIV, 403p.&lt;/pages&gt;&lt;keywords&gt;&lt;keyword&gt;planification linguistique [©*tudes diverses]&lt;/keyword&gt;&lt;/keywords&gt;&lt;dates&gt;&lt;year&gt;1997&lt;/year&gt;&lt;/dates&gt;&lt;pub-location&gt;Clevedon&lt;/pub-location&gt;&lt;publisher&gt;Multilingual Matters&lt;/publisher&gt;&lt;isbn&gt;1853593710 (pbk.)&amp;#xD;1853593729 (hbk.)&lt;/isbn&gt;&lt;urls&gt;&lt;/urls&gt;&lt;/record&gt;&lt;/Cite&gt;&lt;/EndNote&gt;</w:instrText>
        </w:r>
        <w:r w:rsidR="00101624" w:rsidRPr="006F07C8">
          <w:rPr>
            <w:rFonts w:ascii="Times New Roman" w:hAnsi="Times New Roman" w:cs="Times New Roman"/>
            <w:sz w:val="24"/>
            <w:szCs w:val="24"/>
            <w:lang w:val="it-IT"/>
          </w:rPr>
          <w:fldChar w:fldCharType="separate"/>
        </w:r>
        <w:r w:rsidR="00101624" w:rsidRPr="006F07C8">
          <w:rPr>
            <w:rFonts w:ascii="Times New Roman" w:hAnsi="Times New Roman" w:cs="Times New Roman"/>
            <w:noProof/>
            <w:sz w:val="24"/>
            <w:szCs w:val="24"/>
            <w:lang w:val="it-IT"/>
          </w:rPr>
          <w:t>1997</w:t>
        </w:r>
        <w:r w:rsidR="00101624" w:rsidRPr="006F07C8">
          <w:rPr>
            <w:rFonts w:ascii="Times New Roman" w:hAnsi="Times New Roman" w:cs="Times New Roman"/>
            <w:sz w:val="24"/>
            <w:szCs w:val="24"/>
            <w:lang w:val="it-IT"/>
          </w:rPr>
          <w:fldChar w:fldCharType="end"/>
        </w:r>
      </w:hyperlink>
      <w:r w:rsidR="00A25115" w:rsidRPr="006F07C8">
        <w:rPr>
          <w:rFonts w:ascii="Times New Roman" w:hAnsi="Times New Roman" w:cs="Times New Roman"/>
          <w:sz w:val="24"/>
          <w:szCs w:val="24"/>
          <w:lang w:val="it-IT"/>
        </w:rPr>
        <w:t>)</w:t>
      </w:r>
      <w:r w:rsidR="00592EE7" w:rsidRPr="006F07C8">
        <w:rPr>
          <w:rFonts w:ascii="Times New Roman" w:hAnsi="Times New Roman" w:cs="Times New Roman"/>
          <w:sz w:val="24"/>
          <w:szCs w:val="24"/>
          <w:lang w:val="it-IT"/>
        </w:rPr>
        <w:t xml:space="preserve"> o</w:t>
      </w:r>
      <w:r w:rsidR="00C46520" w:rsidRPr="006F07C8">
        <w:rPr>
          <w:rFonts w:ascii="Times New Roman" w:hAnsi="Times New Roman" w:cs="Times New Roman"/>
          <w:sz w:val="24"/>
          <w:szCs w:val="24"/>
          <w:lang w:val="it-IT"/>
        </w:rPr>
        <w:t xml:space="preserve"> “mercato delle lingue” </w:t>
      </w:r>
      <w:r w:rsidR="00592EE7" w:rsidRPr="006F07C8">
        <w:rPr>
          <w:rFonts w:ascii="Times New Roman" w:hAnsi="Times New Roman" w:cs="Times New Roman"/>
          <w:sz w:val="24"/>
          <w:szCs w:val="24"/>
          <w:lang w:val="it-IT"/>
        </w:rPr>
        <w:t xml:space="preserve">(Rossi-Landi </w:t>
      </w:r>
      <w:hyperlink w:anchor="_ENREF_68" w:tooltip="Rossi-Landi, 1968 #945" w:history="1">
        <w:r w:rsidR="00101624" w:rsidRPr="006F07C8">
          <w:rPr>
            <w:rFonts w:ascii="Times New Roman" w:hAnsi="Times New Roman" w:cs="Times New Roman"/>
            <w:sz w:val="24"/>
            <w:szCs w:val="24"/>
            <w:lang w:val="it-IT"/>
          </w:rPr>
          <w:fldChar w:fldCharType="begin"/>
        </w:r>
        <w:r w:rsidR="00101624" w:rsidRPr="006F07C8">
          <w:rPr>
            <w:rFonts w:ascii="Times New Roman" w:hAnsi="Times New Roman" w:cs="Times New Roman"/>
            <w:sz w:val="24"/>
            <w:szCs w:val="24"/>
            <w:lang w:val="it-IT"/>
          </w:rPr>
          <w:instrText xml:space="preserve"> ADDIN EN.CITE &lt;EndNote&gt;&lt;Cite ExcludeAuth="1"&gt;&lt;Author&gt;Rossi-Landi&lt;/Author&gt;&lt;Year&gt;1968&lt;/Year&gt;&lt;RecNum&gt;945&lt;/RecNum&gt;&lt;DisplayText&gt;1968&lt;/DisplayText&gt;&lt;record&gt;&lt;rec-number&gt;945&lt;/rec-number&gt;&lt;foreign-keys&gt;&lt;key app="EN" db-id="wvvszzd93a0z5wesdfpvdv9z5wrra5p05axp"&gt;945&lt;/key&gt;&lt;/foreign-keys&gt;&lt;ref-type name="Book"&gt;6&lt;/ref-type&gt;&lt;contributors&gt;&lt;authors&gt;&lt;author&gt;Rossi-Landi, Ferruccio&lt;/author&gt;&lt;/authors&gt;&lt;/contributors&gt;&lt;titles&gt;&lt;title&gt;Il linguaggio come lavoro e come mercato. Una teoria della produzione e dell&amp;apos;alienazione linguistiche&lt;/title&gt;&lt;/titles&gt;&lt;dates&gt;&lt;year&gt;1968&lt;/year&gt;&lt;/dates&gt;&lt;pub-location&gt;Milano&lt;/pub-location&gt;&lt;publisher&gt;Bompiani&lt;/publisher&gt;&lt;urls&gt;&lt;/urls&gt;&lt;/record&gt;&lt;/Cite&gt;&lt;/EndNote&gt;</w:instrText>
        </w:r>
        <w:r w:rsidR="00101624" w:rsidRPr="006F07C8">
          <w:rPr>
            <w:rFonts w:ascii="Times New Roman" w:hAnsi="Times New Roman" w:cs="Times New Roman"/>
            <w:sz w:val="24"/>
            <w:szCs w:val="24"/>
            <w:lang w:val="it-IT"/>
          </w:rPr>
          <w:fldChar w:fldCharType="separate"/>
        </w:r>
        <w:r w:rsidR="00101624" w:rsidRPr="006F07C8">
          <w:rPr>
            <w:rFonts w:ascii="Times New Roman" w:hAnsi="Times New Roman" w:cs="Times New Roman"/>
            <w:noProof/>
            <w:sz w:val="24"/>
            <w:szCs w:val="24"/>
            <w:lang w:val="it-IT"/>
          </w:rPr>
          <w:t>1968</w:t>
        </w:r>
        <w:r w:rsidR="00101624" w:rsidRPr="006F07C8">
          <w:rPr>
            <w:rFonts w:ascii="Times New Roman" w:hAnsi="Times New Roman" w:cs="Times New Roman"/>
            <w:sz w:val="24"/>
            <w:szCs w:val="24"/>
            <w:lang w:val="it-IT"/>
          </w:rPr>
          <w:fldChar w:fldCharType="end"/>
        </w:r>
      </w:hyperlink>
      <w:r w:rsidR="00592EE7" w:rsidRPr="006F07C8">
        <w:rPr>
          <w:rFonts w:ascii="Times New Roman" w:hAnsi="Times New Roman" w:cs="Times New Roman"/>
          <w:sz w:val="24"/>
          <w:szCs w:val="24"/>
          <w:lang w:val="it-IT"/>
        </w:rPr>
        <w:t xml:space="preserve">, </w:t>
      </w:r>
      <w:hyperlink w:anchor="_ENREF_9" w:tooltip="Bourdieu, 2001 #78" w:history="1">
        <w:r w:rsidR="00101624" w:rsidRPr="006F07C8">
          <w:rPr>
            <w:rFonts w:ascii="Times New Roman" w:hAnsi="Times New Roman" w:cs="Times New Roman"/>
            <w:sz w:val="24"/>
            <w:szCs w:val="24"/>
            <w:lang w:val="it-IT"/>
          </w:rPr>
          <w:fldChar w:fldCharType="begin"/>
        </w:r>
        <w:r w:rsidR="00101624" w:rsidRPr="006F07C8">
          <w:rPr>
            <w:rFonts w:ascii="Times New Roman" w:hAnsi="Times New Roman" w:cs="Times New Roman"/>
            <w:sz w:val="24"/>
            <w:szCs w:val="24"/>
            <w:lang w:val="it-IT"/>
          </w:rPr>
          <w:instrText xml:space="preserve"> ADDIN EN.CITE &lt;EndNote&gt;&lt;Cite&gt;&lt;Author&gt;Bourdieu&lt;/Author&gt;&lt;Year&gt;2001&lt;/Year&gt;&lt;RecNum&gt;78&lt;/RecNum&gt;&lt;DisplayText&gt;Bourdieu 2001&lt;/DisplayText&gt;&lt;record&gt;&lt;rec-number&gt;78&lt;/rec-number&gt;&lt;foreign-keys&gt;&lt;key app="EN" db-id="wvvszzd93a0z5wesdfpvdv9z5wrra5p05axp"&gt;78&lt;/key&gt;&lt;/foreign-keys&gt;&lt;ref-type name="Book"&gt;6&lt;/ref-type&gt;&lt;contributors&gt;&lt;authors&gt;&lt;author&gt;Bourdieu, Pierre&lt;/author&gt;&lt;/authors&gt;&lt;/contributors&gt;&lt;titles&gt;&lt;title&gt;Langage et pouvoir symbolique&lt;/title&gt;&lt;/titles&gt;&lt;keywords&gt;&lt;keyword&gt;langage&lt;/keyword&gt;&lt;keyword&gt;discours (linguistique)&lt;/keyword&gt;&lt;/keywords&gt;&lt;dates&gt;&lt;year&gt;2001&lt;/year&gt;&lt;/dates&gt;&lt;pub-location&gt;Paris&lt;/pub-location&gt;&lt;publisher&gt;&lt;style face="normal" font="default" size="100%"&gt;Éditions du Seuil. [Published in 1991 by Polity Press with the title: &lt;/style&gt;&lt;style face="italic" font="default" size="100%"&gt;Language and Symbolic Power&lt;/style&gt;&lt;style face="normal" font="default" size="100%"&gt;, reviwed and enlarged edition of &lt;/style&gt;&lt;style face="italic" font="default" size="100%"&gt;Ce que parler veut dire, &lt;/style&gt;&lt;style face="normal" font="default" size="100%"&gt; Paris: Fayard, 1982]&lt;/style&gt;&lt;/publisher&gt;&lt;isbn&gt;2020509229&lt;/isbn&gt;&lt;accession-num&gt;vtls003092821&lt;/accession-num&gt;&lt;urls&gt;&lt;/urls&gt;&lt;/record&gt;&lt;/Cite&gt;&lt;/EndNote&gt;</w:instrText>
        </w:r>
        <w:r w:rsidR="00101624" w:rsidRPr="006F07C8">
          <w:rPr>
            <w:rFonts w:ascii="Times New Roman" w:hAnsi="Times New Roman" w:cs="Times New Roman"/>
            <w:sz w:val="24"/>
            <w:szCs w:val="24"/>
            <w:lang w:val="it-IT"/>
          </w:rPr>
          <w:fldChar w:fldCharType="separate"/>
        </w:r>
        <w:r w:rsidR="00101624" w:rsidRPr="006F07C8">
          <w:rPr>
            <w:rFonts w:ascii="Times New Roman" w:hAnsi="Times New Roman" w:cs="Times New Roman"/>
            <w:noProof/>
            <w:sz w:val="24"/>
            <w:szCs w:val="24"/>
            <w:lang w:val="it-IT"/>
          </w:rPr>
          <w:t>Bourdieu 2001</w:t>
        </w:r>
        <w:r w:rsidR="00101624" w:rsidRPr="006F07C8">
          <w:rPr>
            <w:rFonts w:ascii="Times New Roman" w:hAnsi="Times New Roman" w:cs="Times New Roman"/>
            <w:sz w:val="24"/>
            <w:szCs w:val="24"/>
            <w:lang w:val="it-IT"/>
          </w:rPr>
          <w:fldChar w:fldCharType="end"/>
        </w:r>
      </w:hyperlink>
      <w:r w:rsidR="00592EE7" w:rsidRPr="006F07C8">
        <w:rPr>
          <w:rFonts w:ascii="Times New Roman" w:hAnsi="Times New Roman" w:cs="Times New Roman"/>
          <w:sz w:val="24"/>
          <w:szCs w:val="24"/>
          <w:lang w:val="it-IT"/>
        </w:rPr>
        <w:t xml:space="preserve"> e Calvet </w:t>
      </w:r>
      <w:hyperlink w:anchor="_ENREF_10" w:tooltip="Calvet, 2002 #199" w:history="1">
        <w:r w:rsidR="00101624" w:rsidRPr="006F07C8">
          <w:rPr>
            <w:rFonts w:ascii="Times New Roman" w:hAnsi="Times New Roman" w:cs="Times New Roman"/>
            <w:sz w:val="24"/>
            <w:szCs w:val="24"/>
            <w:lang w:val="it-IT"/>
          </w:rPr>
          <w:fldChar w:fldCharType="begin"/>
        </w:r>
        <w:r w:rsidR="00101624" w:rsidRPr="006F07C8">
          <w:rPr>
            <w:rFonts w:ascii="Times New Roman" w:hAnsi="Times New Roman" w:cs="Times New Roman"/>
            <w:sz w:val="24"/>
            <w:szCs w:val="24"/>
            <w:lang w:val="it-IT"/>
          </w:rPr>
          <w:instrText xml:space="preserve"> ADDIN EN.CITE &lt;EndNote&gt;&lt;Cite ExcludeAuth="1"&gt;&lt;Author&gt;Calvet&lt;/Author&gt;&lt;Year&gt;2002&lt;/Year&gt;&lt;RecNum&gt;199&lt;/RecNum&gt;&lt;DisplayText&gt;2002&lt;/DisplayText&gt;&lt;record&gt;&lt;rec-number&gt;199&lt;/rec-number&gt;&lt;foreign-keys&gt;&lt;key app="EN" db-id="wvvszzd93a0z5wesdfpvdv9z5wrra5p05axp"&gt;199&lt;/key&gt;&lt;/foreign-keys&gt;&lt;ref-type name="Book"&gt;6&lt;/ref-type&gt;&lt;contributors&gt;&lt;authors&gt;&lt;author&gt;Calvet, Louis-Jean&lt;/author&gt;&lt;/authors&gt;&lt;/contributors&gt;&lt;titles&gt;&lt;title&gt;Le marché aux langues : essai de politologie linguistique sur la mondialisation&lt;/title&gt;&lt;/titles&gt;&lt;keywords&gt;&lt;keyword&gt;globalisation (mondialisation) langue&lt;/keyword&gt;&lt;keyword&gt;globalisation (mondialisation)&lt;/keyword&gt;&lt;/keywords&gt;&lt;dates&gt;&lt;year&gt;2002&lt;/year&gt;&lt;/dates&gt;&lt;pub-location&gt;Paris&lt;/pub-location&gt;&lt;publisher&gt;Plon&lt;/publisher&gt;&lt;isbn&gt;2259196608&lt;/isbn&gt;&lt;accession-num&gt;vtls003189537&lt;/accession-num&gt;&lt;urls&gt;&lt;/urls&gt;&lt;/record&gt;&lt;/Cite&gt;&lt;/EndNote&gt;</w:instrText>
        </w:r>
        <w:r w:rsidR="00101624" w:rsidRPr="006F07C8">
          <w:rPr>
            <w:rFonts w:ascii="Times New Roman" w:hAnsi="Times New Roman" w:cs="Times New Roman"/>
            <w:sz w:val="24"/>
            <w:szCs w:val="24"/>
            <w:lang w:val="it-IT"/>
          </w:rPr>
          <w:fldChar w:fldCharType="separate"/>
        </w:r>
        <w:r w:rsidR="00101624" w:rsidRPr="006F07C8">
          <w:rPr>
            <w:rFonts w:ascii="Times New Roman" w:hAnsi="Times New Roman" w:cs="Times New Roman"/>
            <w:noProof/>
            <w:sz w:val="24"/>
            <w:szCs w:val="24"/>
            <w:lang w:val="it-IT"/>
          </w:rPr>
          <w:t>2002</w:t>
        </w:r>
        <w:r w:rsidR="00101624" w:rsidRPr="006F07C8">
          <w:rPr>
            <w:rFonts w:ascii="Times New Roman" w:hAnsi="Times New Roman" w:cs="Times New Roman"/>
            <w:sz w:val="24"/>
            <w:szCs w:val="24"/>
            <w:lang w:val="it-IT"/>
          </w:rPr>
          <w:fldChar w:fldCharType="end"/>
        </w:r>
      </w:hyperlink>
      <w:r w:rsidR="00592EE7" w:rsidRPr="006F07C8">
        <w:rPr>
          <w:rFonts w:ascii="Times New Roman" w:hAnsi="Times New Roman" w:cs="Times New Roman"/>
          <w:sz w:val="24"/>
          <w:szCs w:val="24"/>
          <w:lang w:val="it-IT"/>
        </w:rPr>
        <w:t>)</w:t>
      </w:r>
      <w:r w:rsidR="000023BB" w:rsidRPr="006F07C8">
        <w:rPr>
          <w:rFonts w:ascii="Times New Roman" w:hAnsi="Times New Roman" w:cs="Times New Roman"/>
          <w:sz w:val="24"/>
          <w:szCs w:val="24"/>
          <w:lang w:val="it-IT"/>
        </w:rPr>
        <w:t>.</w:t>
      </w:r>
      <w:r w:rsidR="008A2A8B" w:rsidRPr="006F07C8">
        <w:rPr>
          <w:rFonts w:ascii="Times New Roman" w:hAnsi="Times New Roman" w:cs="Times New Roman"/>
          <w:sz w:val="24"/>
          <w:szCs w:val="24"/>
          <w:lang w:val="it-IT"/>
        </w:rPr>
        <w:t xml:space="preserve"> Si tratta però di contrapposizioni </w:t>
      </w:r>
      <w:r w:rsidR="00E41874" w:rsidRPr="006F07C8">
        <w:rPr>
          <w:rFonts w:ascii="Times New Roman" w:hAnsi="Times New Roman" w:cs="Times New Roman"/>
          <w:sz w:val="24"/>
          <w:szCs w:val="24"/>
          <w:lang w:val="it-IT"/>
        </w:rPr>
        <w:t>ingannevoli</w:t>
      </w:r>
      <w:r w:rsidR="008A2A8B" w:rsidRPr="006F07C8">
        <w:rPr>
          <w:rFonts w:ascii="Times New Roman" w:hAnsi="Times New Roman" w:cs="Times New Roman"/>
          <w:sz w:val="24"/>
          <w:szCs w:val="24"/>
          <w:lang w:val="it-IT"/>
        </w:rPr>
        <w:t>. T</w:t>
      </w:r>
      <w:r w:rsidR="00565C60" w:rsidRPr="006F07C8">
        <w:rPr>
          <w:rFonts w:ascii="Times New Roman" w:hAnsi="Times New Roman" w:cs="Times New Roman"/>
          <w:sz w:val="24"/>
          <w:szCs w:val="24"/>
          <w:lang w:val="it-IT"/>
        </w:rPr>
        <w:t xml:space="preserve">ermini </w:t>
      </w:r>
      <w:r w:rsidR="008A2A8B" w:rsidRPr="006F07C8">
        <w:rPr>
          <w:rFonts w:ascii="Times New Roman" w:hAnsi="Times New Roman" w:cs="Times New Roman"/>
          <w:sz w:val="24"/>
          <w:szCs w:val="24"/>
          <w:lang w:val="it-IT"/>
        </w:rPr>
        <w:t xml:space="preserve">come </w:t>
      </w:r>
      <w:r w:rsidR="007F106E" w:rsidRPr="006F07C8">
        <w:rPr>
          <w:rFonts w:ascii="Times New Roman" w:hAnsi="Times New Roman" w:cs="Times New Roman"/>
          <w:sz w:val="24"/>
          <w:szCs w:val="24"/>
          <w:lang w:val="it-IT"/>
        </w:rPr>
        <w:t>“</w:t>
      </w:r>
      <w:r w:rsidR="008A2A8B" w:rsidRPr="006F07C8">
        <w:rPr>
          <w:rFonts w:ascii="Times New Roman" w:hAnsi="Times New Roman" w:cs="Times New Roman"/>
          <w:sz w:val="24"/>
          <w:szCs w:val="24"/>
          <w:lang w:val="it-IT"/>
        </w:rPr>
        <w:t>mercato</w:t>
      </w:r>
      <w:r w:rsidR="007F106E" w:rsidRPr="006F07C8">
        <w:rPr>
          <w:rFonts w:ascii="Times New Roman" w:hAnsi="Times New Roman" w:cs="Times New Roman"/>
          <w:sz w:val="24"/>
          <w:szCs w:val="24"/>
          <w:lang w:val="it-IT"/>
        </w:rPr>
        <w:t xml:space="preserve"> concorrenziale”</w:t>
      </w:r>
      <w:r w:rsidR="008A2A8B" w:rsidRPr="006F07C8">
        <w:rPr>
          <w:rFonts w:ascii="Times New Roman" w:hAnsi="Times New Roman" w:cs="Times New Roman"/>
          <w:sz w:val="24"/>
          <w:szCs w:val="24"/>
          <w:lang w:val="it-IT"/>
        </w:rPr>
        <w:t xml:space="preserve">, </w:t>
      </w:r>
      <w:r w:rsidR="007F106E" w:rsidRPr="006F07C8">
        <w:rPr>
          <w:rFonts w:ascii="Times New Roman" w:hAnsi="Times New Roman" w:cs="Times New Roman"/>
          <w:sz w:val="24"/>
          <w:szCs w:val="24"/>
          <w:lang w:val="it-IT"/>
        </w:rPr>
        <w:t>“</w:t>
      </w:r>
      <w:r w:rsidR="00565C60" w:rsidRPr="006F07C8">
        <w:rPr>
          <w:rFonts w:ascii="Times New Roman" w:hAnsi="Times New Roman" w:cs="Times New Roman"/>
          <w:i/>
          <w:sz w:val="24"/>
          <w:szCs w:val="24"/>
          <w:lang w:val="it-IT"/>
        </w:rPr>
        <w:t>laissez-faire</w:t>
      </w:r>
      <w:r w:rsidR="007F106E" w:rsidRPr="006F07C8">
        <w:rPr>
          <w:rFonts w:ascii="Times New Roman" w:hAnsi="Times New Roman" w:cs="Times New Roman"/>
          <w:sz w:val="24"/>
          <w:szCs w:val="24"/>
          <w:lang w:val="it-IT"/>
        </w:rPr>
        <w:t>”</w:t>
      </w:r>
      <w:r w:rsidR="00565C60" w:rsidRPr="006F07C8">
        <w:rPr>
          <w:rFonts w:ascii="Times New Roman" w:hAnsi="Times New Roman" w:cs="Times New Roman"/>
          <w:sz w:val="24"/>
          <w:szCs w:val="24"/>
          <w:lang w:val="it-IT"/>
        </w:rPr>
        <w:t xml:space="preserve"> e </w:t>
      </w:r>
      <w:r w:rsidR="007F106E" w:rsidRPr="006F07C8">
        <w:rPr>
          <w:rFonts w:ascii="Times New Roman" w:hAnsi="Times New Roman" w:cs="Times New Roman"/>
          <w:sz w:val="24"/>
          <w:szCs w:val="24"/>
          <w:lang w:val="it-IT"/>
        </w:rPr>
        <w:t>“</w:t>
      </w:r>
      <w:r w:rsidR="00565C60" w:rsidRPr="006F07C8">
        <w:rPr>
          <w:rFonts w:ascii="Times New Roman" w:hAnsi="Times New Roman" w:cs="Times New Roman"/>
          <w:sz w:val="24"/>
          <w:szCs w:val="24"/>
          <w:lang w:val="it-IT"/>
        </w:rPr>
        <w:t>pianificazione</w:t>
      </w:r>
      <w:r w:rsidR="007F106E" w:rsidRPr="006F07C8">
        <w:rPr>
          <w:rFonts w:ascii="Times New Roman" w:hAnsi="Times New Roman" w:cs="Times New Roman"/>
          <w:sz w:val="24"/>
          <w:szCs w:val="24"/>
          <w:lang w:val="it-IT"/>
        </w:rPr>
        <w:t>”</w:t>
      </w:r>
      <w:r w:rsidR="008A2A8B" w:rsidRPr="006F07C8">
        <w:rPr>
          <w:rFonts w:ascii="Times New Roman" w:hAnsi="Times New Roman" w:cs="Times New Roman"/>
          <w:sz w:val="24"/>
          <w:szCs w:val="24"/>
          <w:lang w:val="it-IT"/>
        </w:rPr>
        <w:t xml:space="preserve">, infatti, hanno </w:t>
      </w:r>
      <w:r w:rsidR="00565C60" w:rsidRPr="006F07C8">
        <w:rPr>
          <w:rFonts w:ascii="Times New Roman" w:hAnsi="Times New Roman" w:cs="Times New Roman"/>
          <w:sz w:val="24"/>
          <w:szCs w:val="24"/>
          <w:lang w:val="it-IT"/>
        </w:rPr>
        <w:t xml:space="preserve">in economia un significato </w:t>
      </w:r>
      <w:r w:rsidR="008224A3" w:rsidRPr="006F07C8">
        <w:rPr>
          <w:rFonts w:ascii="Times New Roman" w:hAnsi="Times New Roman" w:cs="Times New Roman"/>
          <w:sz w:val="24"/>
          <w:szCs w:val="24"/>
          <w:lang w:val="it-IT"/>
        </w:rPr>
        <w:t xml:space="preserve">preciso </w:t>
      </w:r>
      <w:r w:rsidR="00565C60" w:rsidRPr="006F07C8">
        <w:rPr>
          <w:rFonts w:ascii="Times New Roman" w:hAnsi="Times New Roman" w:cs="Times New Roman"/>
          <w:sz w:val="24"/>
          <w:szCs w:val="24"/>
          <w:lang w:val="it-IT"/>
        </w:rPr>
        <w:t xml:space="preserve">che fonda il suo senso su una teoria generale dell’allocazione e distribuzione delle risorse </w:t>
      </w:r>
      <w:r w:rsidR="00517D00" w:rsidRPr="006F07C8">
        <w:rPr>
          <w:rFonts w:ascii="Times New Roman" w:hAnsi="Times New Roman" w:cs="Times New Roman"/>
          <w:sz w:val="24"/>
          <w:szCs w:val="24"/>
          <w:lang w:val="it-IT"/>
        </w:rPr>
        <w:t>limitate</w:t>
      </w:r>
      <w:r w:rsidR="00565C60" w:rsidRPr="006F07C8">
        <w:rPr>
          <w:rFonts w:ascii="Times New Roman" w:hAnsi="Times New Roman" w:cs="Times New Roman"/>
          <w:sz w:val="24"/>
          <w:szCs w:val="24"/>
          <w:lang w:val="it-IT"/>
        </w:rPr>
        <w:t xml:space="preserve"> e soggette ad usi alternativi</w:t>
      </w:r>
      <w:r w:rsidR="00EC2390" w:rsidRPr="006F07C8">
        <w:rPr>
          <w:rFonts w:ascii="Times New Roman" w:hAnsi="Times New Roman" w:cs="Times New Roman"/>
          <w:sz w:val="24"/>
          <w:szCs w:val="24"/>
          <w:lang w:val="it-IT"/>
        </w:rPr>
        <w:t xml:space="preserve">, e </w:t>
      </w:r>
      <w:r w:rsidR="00517D00" w:rsidRPr="006F07C8">
        <w:rPr>
          <w:rFonts w:ascii="Times New Roman" w:hAnsi="Times New Roman" w:cs="Times New Roman"/>
          <w:sz w:val="24"/>
          <w:szCs w:val="24"/>
          <w:lang w:val="it-IT"/>
        </w:rPr>
        <w:t xml:space="preserve">non </w:t>
      </w:r>
      <w:r w:rsidR="00F63B5E" w:rsidRPr="006F07C8">
        <w:rPr>
          <w:rFonts w:ascii="Times New Roman" w:hAnsi="Times New Roman" w:cs="Times New Roman"/>
          <w:sz w:val="24"/>
          <w:szCs w:val="24"/>
          <w:lang w:val="it-IT"/>
        </w:rPr>
        <w:t xml:space="preserve">è </w:t>
      </w:r>
      <w:r w:rsidR="008A2A8B" w:rsidRPr="006F07C8">
        <w:rPr>
          <w:rFonts w:ascii="Times New Roman" w:hAnsi="Times New Roman" w:cs="Times New Roman"/>
          <w:sz w:val="24"/>
          <w:szCs w:val="24"/>
          <w:lang w:val="it-IT"/>
        </w:rPr>
        <w:t xml:space="preserve">mai </w:t>
      </w:r>
      <w:r w:rsidR="00F05132" w:rsidRPr="006F07C8">
        <w:rPr>
          <w:rFonts w:ascii="Times New Roman" w:hAnsi="Times New Roman" w:cs="Times New Roman"/>
          <w:sz w:val="24"/>
          <w:szCs w:val="24"/>
          <w:lang w:val="it-IT"/>
        </w:rPr>
        <w:t>stato chiarito</w:t>
      </w:r>
      <w:r w:rsidR="00F63B5E" w:rsidRPr="006F07C8">
        <w:rPr>
          <w:rFonts w:ascii="Times New Roman" w:hAnsi="Times New Roman" w:cs="Times New Roman"/>
          <w:sz w:val="24"/>
          <w:szCs w:val="24"/>
          <w:lang w:val="it-IT"/>
        </w:rPr>
        <w:t xml:space="preserve"> </w:t>
      </w:r>
      <w:r w:rsidR="005F1449" w:rsidRPr="006F07C8">
        <w:rPr>
          <w:rFonts w:ascii="Times New Roman" w:hAnsi="Times New Roman" w:cs="Times New Roman"/>
          <w:sz w:val="24"/>
          <w:szCs w:val="24"/>
          <w:lang w:val="it-IT"/>
        </w:rPr>
        <w:t>fino a che punto</w:t>
      </w:r>
      <w:r w:rsidR="00F63B5E" w:rsidRPr="006F07C8">
        <w:rPr>
          <w:rFonts w:ascii="Times New Roman" w:hAnsi="Times New Roman" w:cs="Times New Roman"/>
          <w:sz w:val="24"/>
          <w:szCs w:val="24"/>
          <w:lang w:val="it-IT"/>
        </w:rPr>
        <w:t xml:space="preserve"> </w:t>
      </w:r>
      <w:r w:rsidR="00F05132" w:rsidRPr="006F07C8">
        <w:rPr>
          <w:rFonts w:ascii="Times New Roman" w:hAnsi="Times New Roman" w:cs="Times New Roman"/>
          <w:sz w:val="24"/>
          <w:szCs w:val="24"/>
          <w:lang w:val="it-IT"/>
        </w:rPr>
        <w:t xml:space="preserve">essi </w:t>
      </w:r>
      <w:r w:rsidR="00F63B5E" w:rsidRPr="006F07C8">
        <w:rPr>
          <w:rFonts w:ascii="Times New Roman" w:hAnsi="Times New Roman" w:cs="Times New Roman"/>
          <w:sz w:val="24"/>
          <w:szCs w:val="24"/>
          <w:lang w:val="it-IT"/>
        </w:rPr>
        <w:t xml:space="preserve">siano </w:t>
      </w:r>
      <w:r w:rsidR="005F1449" w:rsidRPr="006F07C8">
        <w:rPr>
          <w:rFonts w:ascii="Times New Roman" w:hAnsi="Times New Roman" w:cs="Times New Roman"/>
          <w:sz w:val="24"/>
          <w:szCs w:val="24"/>
          <w:lang w:val="it-IT"/>
        </w:rPr>
        <w:t>adeguati a descrivere il cambiamento linguistico</w:t>
      </w:r>
      <w:r w:rsidR="007F106E" w:rsidRPr="006F07C8">
        <w:rPr>
          <w:rFonts w:ascii="Times New Roman" w:hAnsi="Times New Roman" w:cs="Times New Roman"/>
          <w:sz w:val="24"/>
          <w:szCs w:val="24"/>
          <w:lang w:val="it-IT"/>
        </w:rPr>
        <w:t xml:space="preserve"> e dare giudizi sulla legittimità delle politiche linguistiche</w:t>
      </w:r>
      <w:r w:rsidR="00565C60" w:rsidRPr="006F07C8">
        <w:rPr>
          <w:rFonts w:ascii="Times New Roman" w:hAnsi="Times New Roman" w:cs="Times New Roman"/>
          <w:sz w:val="24"/>
          <w:szCs w:val="24"/>
          <w:lang w:val="it-IT"/>
        </w:rPr>
        <w:t>.</w:t>
      </w:r>
      <w:r w:rsidR="00EC2390" w:rsidRPr="006F07C8">
        <w:rPr>
          <w:rFonts w:ascii="Times New Roman" w:hAnsi="Times New Roman" w:cs="Times New Roman"/>
          <w:sz w:val="24"/>
          <w:szCs w:val="24"/>
          <w:lang w:val="it-IT"/>
        </w:rPr>
        <w:t xml:space="preserve"> </w:t>
      </w:r>
      <w:r w:rsidR="003865ED" w:rsidRPr="006F07C8">
        <w:rPr>
          <w:rFonts w:ascii="Times New Roman" w:hAnsi="Times New Roman" w:cs="Times New Roman"/>
          <w:sz w:val="24"/>
          <w:szCs w:val="24"/>
          <w:lang w:val="it-IT"/>
        </w:rPr>
        <w:t>Senza entrare nel dettaglio, cerchiamo di chiarir</w:t>
      </w:r>
      <w:r w:rsidR="00E41874" w:rsidRPr="006F07C8">
        <w:rPr>
          <w:rFonts w:ascii="Times New Roman" w:hAnsi="Times New Roman" w:cs="Times New Roman"/>
          <w:sz w:val="24"/>
          <w:szCs w:val="24"/>
          <w:lang w:val="it-IT"/>
        </w:rPr>
        <w:t>e brevemente di cosa si tratta.</w:t>
      </w:r>
    </w:p>
    <w:p w:rsidR="00441918" w:rsidRPr="006F07C8" w:rsidRDefault="00FC2FCB" w:rsidP="002F52A9">
      <w:pPr>
        <w:spacing w:line="240" w:lineRule="auto"/>
        <w:jc w:val="both"/>
        <w:rPr>
          <w:rFonts w:ascii="Times New Roman" w:hAnsi="Times New Roman" w:cs="Times New Roman"/>
          <w:sz w:val="24"/>
          <w:szCs w:val="24"/>
          <w:lang w:val="it-IT"/>
        </w:rPr>
      </w:pPr>
      <w:r w:rsidRPr="006F07C8">
        <w:rPr>
          <w:rFonts w:ascii="Times New Roman" w:hAnsi="Times New Roman" w:cs="Times New Roman"/>
          <w:sz w:val="24"/>
          <w:szCs w:val="24"/>
          <w:lang w:val="it-IT"/>
        </w:rPr>
        <w:t>Il libero mercato è sistema di produzione e scambio di beni, servizi e dotazioni che emerge dall’interazione individuale degli agenti economici e che si regola tramite i prezzi. Esso è un sistema di allocazione delle risorse che non ha bisogno di essere diretto dallo Stato per fun</w:t>
      </w:r>
      <w:r w:rsidRPr="006F07C8">
        <w:rPr>
          <w:rFonts w:ascii="Times New Roman" w:hAnsi="Times New Roman" w:cs="Times New Roman"/>
          <w:sz w:val="24"/>
          <w:szCs w:val="24"/>
          <w:lang w:val="it-IT"/>
        </w:rPr>
        <w:lastRenderedPageBreak/>
        <w:t>zionare.</w:t>
      </w:r>
      <w:r w:rsidR="00441918" w:rsidRPr="006F07C8">
        <w:rPr>
          <w:rFonts w:ascii="Times New Roman" w:hAnsi="Times New Roman" w:cs="Times New Roman"/>
          <w:sz w:val="24"/>
          <w:szCs w:val="24"/>
          <w:lang w:val="it-IT"/>
        </w:rPr>
        <w:t xml:space="preserve"> Uno dei teoremi fondamentali delle scienze economiche </w:t>
      </w:r>
      <w:r w:rsidR="008A2A8B" w:rsidRPr="006F07C8">
        <w:rPr>
          <w:rFonts w:ascii="Times New Roman" w:hAnsi="Times New Roman" w:cs="Times New Roman"/>
          <w:sz w:val="24"/>
          <w:szCs w:val="24"/>
          <w:lang w:val="it-IT"/>
        </w:rPr>
        <w:t>di</w:t>
      </w:r>
      <w:r w:rsidR="00441918" w:rsidRPr="006F07C8">
        <w:rPr>
          <w:rFonts w:ascii="Times New Roman" w:hAnsi="Times New Roman" w:cs="Times New Roman"/>
          <w:sz w:val="24"/>
          <w:szCs w:val="24"/>
          <w:lang w:val="it-IT"/>
        </w:rPr>
        <w:t>mostra che</w:t>
      </w:r>
      <w:r w:rsidR="008A2A8B" w:rsidRPr="006F07C8">
        <w:rPr>
          <w:rFonts w:ascii="Times New Roman" w:hAnsi="Times New Roman" w:cs="Times New Roman"/>
          <w:sz w:val="24"/>
          <w:szCs w:val="24"/>
          <w:lang w:val="it-IT"/>
        </w:rPr>
        <w:t xml:space="preserve"> </w:t>
      </w:r>
      <w:r w:rsidR="005617AC" w:rsidRPr="006F07C8">
        <w:rPr>
          <w:rFonts w:ascii="Times New Roman" w:hAnsi="Times New Roman" w:cs="Times New Roman"/>
          <w:sz w:val="24"/>
          <w:szCs w:val="24"/>
          <w:lang w:val="it-IT"/>
        </w:rPr>
        <w:t xml:space="preserve">il mercato </w:t>
      </w:r>
      <w:r w:rsidR="00F300C9" w:rsidRPr="006F07C8">
        <w:rPr>
          <w:rFonts w:ascii="Times New Roman" w:hAnsi="Times New Roman" w:cs="Times New Roman"/>
          <w:sz w:val="24"/>
          <w:szCs w:val="24"/>
          <w:lang w:val="it-IT"/>
        </w:rPr>
        <w:t xml:space="preserve">in concorrenza perfetta (o mercato concorrenziale) </w:t>
      </w:r>
      <w:r w:rsidR="005617AC" w:rsidRPr="006F07C8">
        <w:rPr>
          <w:rFonts w:ascii="Times New Roman" w:hAnsi="Times New Roman" w:cs="Times New Roman"/>
          <w:sz w:val="24"/>
          <w:szCs w:val="24"/>
          <w:lang w:val="it-IT"/>
        </w:rPr>
        <w:t xml:space="preserve">può assicurare l’efficienza nell’allocazione delle risorse senza il bisogno di alcuna forma di interferenza esterna </w:t>
      </w:r>
      <w:r w:rsidR="00F300C9" w:rsidRPr="006F07C8">
        <w:rPr>
          <w:rFonts w:ascii="Times New Roman" w:hAnsi="Times New Roman" w:cs="Times New Roman"/>
          <w:sz w:val="24"/>
          <w:szCs w:val="24"/>
          <w:lang w:val="it-IT"/>
        </w:rPr>
        <w:t>da parte de</w:t>
      </w:r>
      <w:r w:rsidR="00080643" w:rsidRPr="006F07C8">
        <w:rPr>
          <w:rFonts w:ascii="Times New Roman" w:hAnsi="Times New Roman" w:cs="Times New Roman"/>
          <w:sz w:val="24"/>
          <w:szCs w:val="24"/>
          <w:lang w:val="it-IT"/>
        </w:rPr>
        <w:t xml:space="preserve">llo </w:t>
      </w:r>
      <w:r w:rsidR="003865ED" w:rsidRPr="006F07C8">
        <w:rPr>
          <w:rFonts w:ascii="Times New Roman" w:hAnsi="Times New Roman" w:cs="Times New Roman"/>
          <w:sz w:val="24"/>
          <w:szCs w:val="24"/>
          <w:lang w:val="it-IT"/>
        </w:rPr>
        <w:t>S</w:t>
      </w:r>
      <w:r w:rsidR="00080643" w:rsidRPr="006F07C8">
        <w:rPr>
          <w:rFonts w:ascii="Times New Roman" w:hAnsi="Times New Roman" w:cs="Times New Roman"/>
          <w:sz w:val="24"/>
          <w:szCs w:val="24"/>
          <w:lang w:val="it-IT"/>
        </w:rPr>
        <w:t>tato</w:t>
      </w:r>
      <w:r w:rsidR="005617AC" w:rsidRPr="006F07C8">
        <w:rPr>
          <w:rFonts w:ascii="Times New Roman" w:hAnsi="Times New Roman" w:cs="Times New Roman"/>
          <w:sz w:val="24"/>
          <w:szCs w:val="24"/>
          <w:lang w:val="it-IT"/>
        </w:rPr>
        <w:t>.</w:t>
      </w:r>
      <w:r w:rsidR="005617AC" w:rsidRPr="006F07C8">
        <w:rPr>
          <w:rStyle w:val="FootnoteReference"/>
          <w:rFonts w:ascii="Times New Roman" w:hAnsi="Times New Roman" w:cs="Times New Roman"/>
          <w:sz w:val="24"/>
          <w:szCs w:val="24"/>
          <w:lang w:val="it-IT"/>
        </w:rPr>
        <w:footnoteReference w:id="4"/>
      </w:r>
      <w:r w:rsidR="00E06A00" w:rsidRPr="006F07C8">
        <w:rPr>
          <w:rFonts w:ascii="Times New Roman" w:hAnsi="Times New Roman" w:cs="Times New Roman"/>
          <w:sz w:val="24"/>
          <w:szCs w:val="24"/>
          <w:lang w:val="it-IT"/>
        </w:rPr>
        <w:t xml:space="preserve"> Il corollario di ciò è che </w:t>
      </w:r>
      <w:r w:rsidR="00441918" w:rsidRPr="006F07C8">
        <w:rPr>
          <w:rFonts w:ascii="Times New Roman" w:hAnsi="Times New Roman" w:cs="Times New Roman"/>
          <w:sz w:val="24"/>
          <w:szCs w:val="24"/>
          <w:lang w:val="it-IT"/>
        </w:rPr>
        <w:t xml:space="preserve">il </w:t>
      </w:r>
      <w:r w:rsidR="00F300C9" w:rsidRPr="006F07C8">
        <w:rPr>
          <w:rFonts w:ascii="Times New Roman" w:hAnsi="Times New Roman" w:cs="Times New Roman"/>
          <w:sz w:val="24"/>
          <w:szCs w:val="24"/>
          <w:lang w:val="it-IT"/>
        </w:rPr>
        <w:t xml:space="preserve">libero </w:t>
      </w:r>
      <w:r w:rsidR="00080643" w:rsidRPr="006F07C8">
        <w:rPr>
          <w:rFonts w:ascii="Times New Roman" w:hAnsi="Times New Roman" w:cs="Times New Roman"/>
          <w:sz w:val="24"/>
          <w:szCs w:val="24"/>
          <w:lang w:val="it-IT"/>
        </w:rPr>
        <w:t xml:space="preserve">mercato </w:t>
      </w:r>
      <w:r w:rsidR="00441918" w:rsidRPr="006F07C8">
        <w:rPr>
          <w:rFonts w:ascii="Times New Roman" w:hAnsi="Times New Roman" w:cs="Times New Roman"/>
          <w:sz w:val="24"/>
          <w:szCs w:val="24"/>
          <w:lang w:val="it-IT"/>
        </w:rPr>
        <w:t>è un sistema di produzione e scambio più efficiente dell’economia pianificata</w:t>
      </w:r>
      <w:r w:rsidR="00F300C9" w:rsidRPr="006F07C8">
        <w:rPr>
          <w:rFonts w:ascii="Times New Roman" w:hAnsi="Times New Roman" w:cs="Times New Roman"/>
          <w:sz w:val="24"/>
          <w:szCs w:val="24"/>
          <w:lang w:val="it-IT"/>
        </w:rPr>
        <w:t xml:space="preserve"> (</w:t>
      </w:r>
      <w:r w:rsidR="003B01EE" w:rsidRPr="006F07C8">
        <w:rPr>
          <w:rFonts w:ascii="Times New Roman" w:hAnsi="Times New Roman" w:cs="Times New Roman"/>
          <w:sz w:val="24"/>
          <w:szCs w:val="24"/>
          <w:lang w:val="it-IT"/>
        </w:rPr>
        <w:t xml:space="preserve">anche </w:t>
      </w:r>
      <w:r w:rsidR="00E06A00" w:rsidRPr="006F07C8">
        <w:rPr>
          <w:rFonts w:ascii="Times New Roman" w:hAnsi="Times New Roman" w:cs="Times New Roman"/>
          <w:sz w:val="24"/>
          <w:szCs w:val="24"/>
          <w:lang w:val="it-IT"/>
        </w:rPr>
        <w:t>se e</w:t>
      </w:r>
      <w:r w:rsidR="00FF6ECF" w:rsidRPr="006F07C8">
        <w:rPr>
          <w:rFonts w:ascii="Times New Roman" w:hAnsi="Times New Roman" w:cs="Times New Roman"/>
          <w:sz w:val="24"/>
          <w:szCs w:val="24"/>
          <w:lang w:val="it-IT"/>
        </w:rPr>
        <w:t xml:space="preserve">sistono </w:t>
      </w:r>
      <w:r w:rsidR="007D2437" w:rsidRPr="006F07C8">
        <w:rPr>
          <w:rFonts w:ascii="Times New Roman" w:hAnsi="Times New Roman" w:cs="Times New Roman"/>
          <w:sz w:val="24"/>
          <w:szCs w:val="24"/>
          <w:lang w:val="it-IT"/>
        </w:rPr>
        <w:t>tuttavia dei casi</w:t>
      </w:r>
      <w:r w:rsidR="00E06A00" w:rsidRPr="006F07C8">
        <w:rPr>
          <w:rFonts w:ascii="Times New Roman" w:hAnsi="Times New Roman" w:cs="Times New Roman"/>
          <w:sz w:val="24"/>
          <w:szCs w:val="24"/>
          <w:lang w:val="it-IT"/>
        </w:rPr>
        <w:t>,</w:t>
      </w:r>
      <w:r w:rsidR="007D2437" w:rsidRPr="006F07C8">
        <w:rPr>
          <w:rFonts w:ascii="Times New Roman" w:hAnsi="Times New Roman" w:cs="Times New Roman"/>
          <w:sz w:val="24"/>
          <w:szCs w:val="24"/>
          <w:lang w:val="it-IT"/>
        </w:rPr>
        <w:t xml:space="preserve"> chiamati</w:t>
      </w:r>
      <w:r w:rsidR="00FF6ECF" w:rsidRPr="006F07C8">
        <w:rPr>
          <w:rFonts w:ascii="Times New Roman" w:hAnsi="Times New Roman" w:cs="Times New Roman"/>
          <w:sz w:val="24"/>
          <w:szCs w:val="24"/>
          <w:lang w:val="it-IT"/>
        </w:rPr>
        <w:t xml:space="preserve"> </w:t>
      </w:r>
      <w:r w:rsidR="00FF6ECF" w:rsidRPr="006F07C8">
        <w:rPr>
          <w:rFonts w:ascii="Times New Roman" w:hAnsi="Times New Roman" w:cs="Times New Roman"/>
          <w:i/>
          <w:sz w:val="24"/>
          <w:szCs w:val="24"/>
          <w:lang w:val="it-IT"/>
        </w:rPr>
        <w:t>fallimenti del mercato</w:t>
      </w:r>
      <w:r w:rsidR="00E06A00" w:rsidRPr="006F07C8">
        <w:rPr>
          <w:rFonts w:ascii="Times New Roman" w:hAnsi="Times New Roman" w:cs="Times New Roman"/>
          <w:sz w:val="24"/>
          <w:szCs w:val="24"/>
          <w:lang w:val="it-IT"/>
        </w:rPr>
        <w:t>,</w:t>
      </w:r>
      <w:r w:rsidR="00FF6ECF" w:rsidRPr="006F07C8">
        <w:rPr>
          <w:rFonts w:ascii="Times New Roman" w:hAnsi="Times New Roman" w:cs="Times New Roman"/>
          <w:sz w:val="24"/>
          <w:szCs w:val="24"/>
          <w:lang w:val="it-IT"/>
        </w:rPr>
        <w:t xml:space="preserve"> in cui l’intervento pubblico </w:t>
      </w:r>
      <w:r w:rsidR="00DD62F5" w:rsidRPr="006F07C8">
        <w:rPr>
          <w:rFonts w:ascii="Times New Roman" w:hAnsi="Times New Roman" w:cs="Times New Roman"/>
          <w:sz w:val="24"/>
          <w:szCs w:val="24"/>
          <w:lang w:val="it-IT"/>
        </w:rPr>
        <w:t xml:space="preserve">permette un’allocazione </w:t>
      </w:r>
      <w:r w:rsidR="00F300C9" w:rsidRPr="006F07C8">
        <w:rPr>
          <w:rFonts w:ascii="Times New Roman" w:hAnsi="Times New Roman" w:cs="Times New Roman"/>
          <w:sz w:val="24"/>
          <w:szCs w:val="24"/>
          <w:lang w:val="it-IT"/>
        </w:rPr>
        <w:t xml:space="preserve">più efficiente </w:t>
      </w:r>
      <w:r w:rsidR="00DD62F5" w:rsidRPr="006F07C8">
        <w:rPr>
          <w:rFonts w:ascii="Times New Roman" w:hAnsi="Times New Roman" w:cs="Times New Roman"/>
          <w:sz w:val="24"/>
          <w:szCs w:val="24"/>
          <w:lang w:val="it-IT"/>
        </w:rPr>
        <w:t>delle risorse</w:t>
      </w:r>
      <w:r w:rsidR="00F300C9" w:rsidRPr="006F07C8">
        <w:rPr>
          <w:rFonts w:ascii="Times New Roman" w:hAnsi="Times New Roman" w:cs="Times New Roman"/>
          <w:sz w:val="24"/>
          <w:szCs w:val="24"/>
          <w:lang w:val="it-IT"/>
        </w:rPr>
        <w:t>; u</w:t>
      </w:r>
      <w:r w:rsidR="00E07854" w:rsidRPr="006F07C8">
        <w:rPr>
          <w:rFonts w:ascii="Times New Roman" w:hAnsi="Times New Roman" w:cs="Times New Roman"/>
          <w:sz w:val="24"/>
          <w:szCs w:val="24"/>
          <w:lang w:val="it-IT"/>
        </w:rPr>
        <w:t>n esempio</w:t>
      </w:r>
      <w:r w:rsidR="00FF6ECF" w:rsidRPr="006F07C8">
        <w:rPr>
          <w:rFonts w:ascii="Times New Roman" w:hAnsi="Times New Roman" w:cs="Times New Roman"/>
          <w:sz w:val="24"/>
          <w:szCs w:val="24"/>
          <w:lang w:val="it-IT"/>
        </w:rPr>
        <w:t xml:space="preserve"> </w:t>
      </w:r>
      <w:r w:rsidR="006617F4" w:rsidRPr="006F07C8">
        <w:rPr>
          <w:rFonts w:ascii="Times New Roman" w:hAnsi="Times New Roman" w:cs="Times New Roman"/>
          <w:sz w:val="24"/>
          <w:szCs w:val="24"/>
          <w:lang w:val="it-IT"/>
        </w:rPr>
        <w:t>classico</w:t>
      </w:r>
      <w:r w:rsidR="00FF6ECF" w:rsidRPr="006F07C8">
        <w:rPr>
          <w:rFonts w:ascii="Times New Roman" w:hAnsi="Times New Roman" w:cs="Times New Roman"/>
          <w:sz w:val="24"/>
          <w:szCs w:val="24"/>
          <w:lang w:val="it-IT"/>
        </w:rPr>
        <w:t xml:space="preserve"> </w:t>
      </w:r>
      <w:r w:rsidR="00E07854" w:rsidRPr="006F07C8">
        <w:rPr>
          <w:rFonts w:ascii="Times New Roman" w:hAnsi="Times New Roman" w:cs="Times New Roman"/>
          <w:sz w:val="24"/>
          <w:szCs w:val="24"/>
          <w:lang w:val="it-IT"/>
        </w:rPr>
        <w:t>è</w:t>
      </w:r>
      <w:r w:rsidR="00FF6ECF" w:rsidRPr="006F07C8">
        <w:rPr>
          <w:rFonts w:ascii="Times New Roman" w:hAnsi="Times New Roman" w:cs="Times New Roman"/>
          <w:sz w:val="24"/>
          <w:szCs w:val="24"/>
          <w:lang w:val="it-IT"/>
        </w:rPr>
        <w:t xml:space="preserve"> </w:t>
      </w:r>
      <w:r w:rsidR="00441918" w:rsidRPr="006F07C8">
        <w:rPr>
          <w:rFonts w:ascii="Times New Roman" w:hAnsi="Times New Roman" w:cs="Times New Roman"/>
          <w:sz w:val="24"/>
          <w:szCs w:val="24"/>
          <w:lang w:val="it-IT"/>
        </w:rPr>
        <w:t xml:space="preserve">la fornitura di beni </w:t>
      </w:r>
      <w:r w:rsidR="007D2437" w:rsidRPr="006F07C8">
        <w:rPr>
          <w:rFonts w:ascii="Times New Roman" w:hAnsi="Times New Roman" w:cs="Times New Roman"/>
          <w:sz w:val="24"/>
          <w:szCs w:val="24"/>
          <w:lang w:val="it-IT"/>
        </w:rPr>
        <w:t>collettivi</w:t>
      </w:r>
      <w:r w:rsidR="00441918" w:rsidRPr="006F07C8">
        <w:rPr>
          <w:rFonts w:ascii="Times New Roman" w:hAnsi="Times New Roman" w:cs="Times New Roman"/>
          <w:sz w:val="24"/>
          <w:szCs w:val="24"/>
          <w:lang w:val="it-IT"/>
        </w:rPr>
        <w:t xml:space="preserve"> </w:t>
      </w:r>
      <w:r w:rsidR="00E07854" w:rsidRPr="006F07C8">
        <w:rPr>
          <w:rFonts w:ascii="Times New Roman" w:hAnsi="Times New Roman" w:cs="Times New Roman"/>
          <w:sz w:val="24"/>
          <w:szCs w:val="24"/>
          <w:lang w:val="it-IT"/>
        </w:rPr>
        <w:t>come la difesa e l’illuminazione pubblica</w:t>
      </w:r>
      <w:r w:rsidR="00F300C9" w:rsidRPr="006F07C8">
        <w:rPr>
          <w:rFonts w:ascii="Times New Roman" w:hAnsi="Times New Roman" w:cs="Times New Roman"/>
          <w:sz w:val="24"/>
          <w:szCs w:val="24"/>
          <w:lang w:val="it-IT"/>
        </w:rPr>
        <w:t>)</w:t>
      </w:r>
      <w:r w:rsidR="00E07854" w:rsidRPr="006F07C8">
        <w:rPr>
          <w:rFonts w:ascii="Times New Roman" w:hAnsi="Times New Roman" w:cs="Times New Roman"/>
          <w:sz w:val="24"/>
          <w:szCs w:val="24"/>
          <w:lang w:val="it-IT"/>
        </w:rPr>
        <w:t>.</w:t>
      </w:r>
      <w:r w:rsidR="00E41874" w:rsidRPr="006F07C8">
        <w:rPr>
          <w:rStyle w:val="FootnoteReference"/>
          <w:rFonts w:ascii="Times New Roman" w:hAnsi="Times New Roman" w:cs="Times New Roman"/>
          <w:sz w:val="24"/>
          <w:szCs w:val="24"/>
          <w:lang w:val="it-IT"/>
        </w:rPr>
        <w:footnoteReference w:id="5"/>
      </w:r>
      <w:r w:rsidR="003865ED" w:rsidRPr="006F07C8">
        <w:rPr>
          <w:rFonts w:ascii="Times New Roman" w:hAnsi="Times New Roman" w:cs="Times New Roman"/>
          <w:sz w:val="24"/>
          <w:szCs w:val="24"/>
          <w:lang w:val="it-IT"/>
        </w:rPr>
        <w:t xml:space="preserve"> Il </w:t>
      </w:r>
      <w:r w:rsidR="003865ED" w:rsidRPr="006F07C8">
        <w:rPr>
          <w:rFonts w:ascii="Times New Roman" w:hAnsi="Times New Roman" w:cs="Times New Roman"/>
          <w:i/>
          <w:sz w:val="24"/>
          <w:szCs w:val="24"/>
          <w:lang w:val="it-IT"/>
        </w:rPr>
        <w:t xml:space="preserve">laissez-faire, </w:t>
      </w:r>
      <w:r w:rsidR="003865ED" w:rsidRPr="006F07C8">
        <w:rPr>
          <w:rFonts w:ascii="Times New Roman" w:hAnsi="Times New Roman" w:cs="Times New Roman"/>
          <w:sz w:val="24"/>
          <w:szCs w:val="24"/>
          <w:lang w:val="it-IT"/>
        </w:rPr>
        <w:t xml:space="preserve">in generale, può essere definito come un atteggiamento distaccato e neutrale da parte dello Stato </w:t>
      </w:r>
      <w:r w:rsidR="00933401" w:rsidRPr="006F07C8">
        <w:rPr>
          <w:rFonts w:ascii="Times New Roman" w:hAnsi="Times New Roman" w:cs="Times New Roman"/>
          <w:sz w:val="24"/>
          <w:szCs w:val="24"/>
          <w:lang w:val="it-IT"/>
        </w:rPr>
        <w:t>nei confronti delle dinamiche in corso nella sfera economica (e per alcuni anche nella società civile). Si tratta insomma del principio di non interferenza</w:t>
      </w:r>
      <w:r w:rsidR="00ED347F" w:rsidRPr="006F07C8">
        <w:rPr>
          <w:rFonts w:ascii="Times New Roman" w:hAnsi="Times New Roman" w:cs="Times New Roman"/>
          <w:sz w:val="24"/>
          <w:szCs w:val="24"/>
          <w:lang w:val="it-IT"/>
        </w:rPr>
        <w:t xml:space="preserve"> della mano pubblica nella sfera economica</w:t>
      </w:r>
      <w:r w:rsidR="00933401" w:rsidRPr="006F07C8">
        <w:rPr>
          <w:rFonts w:ascii="Times New Roman" w:hAnsi="Times New Roman" w:cs="Times New Roman"/>
          <w:sz w:val="24"/>
          <w:szCs w:val="24"/>
          <w:lang w:val="it-IT"/>
        </w:rPr>
        <w:t xml:space="preserve">. L’intervento dello Stato, nel </w:t>
      </w:r>
      <w:r w:rsidR="00933401" w:rsidRPr="006F07C8">
        <w:rPr>
          <w:rFonts w:ascii="Times New Roman" w:hAnsi="Times New Roman" w:cs="Times New Roman"/>
          <w:i/>
          <w:sz w:val="24"/>
          <w:szCs w:val="24"/>
          <w:lang w:val="it-IT"/>
        </w:rPr>
        <w:t>laissez-faire</w:t>
      </w:r>
      <w:r w:rsidR="00933401" w:rsidRPr="006F07C8">
        <w:rPr>
          <w:rFonts w:ascii="Times New Roman" w:hAnsi="Times New Roman" w:cs="Times New Roman"/>
          <w:sz w:val="24"/>
          <w:szCs w:val="24"/>
          <w:lang w:val="it-IT"/>
        </w:rPr>
        <w:t xml:space="preserve">, è richiesto per fare rispettare i contratti fra privati e </w:t>
      </w:r>
      <w:r w:rsidR="007D2437" w:rsidRPr="006F07C8">
        <w:rPr>
          <w:rFonts w:ascii="Times New Roman" w:hAnsi="Times New Roman" w:cs="Times New Roman"/>
          <w:sz w:val="24"/>
          <w:szCs w:val="24"/>
          <w:lang w:val="it-IT"/>
        </w:rPr>
        <w:t xml:space="preserve">per </w:t>
      </w:r>
      <w:r w:rsidR="00933401" w:rsidRPr="006F07C8">
        <w:rPr>
          <w:rFonts w:ascii="Times New Roman" w:hAnsi="Times New Roman" w:cs="Times New Roman"/>
          <w:sz w:val="24"/>
          <w:szCs w:val="24"/>
          <w:lang w:val="it-IT"/>
        </w:rPr>
        <w:t xml:space="preserve">mantenere l’ordine pubblico. Il </w:t>
      </w:r>
      <w:r w:rsidR="00DB402F" w:rsidRPr="006F07C8">
        <w:rPr>
          <w:rFonts w:ascii="Times New Roman" w:hAnsi="Times New Roman" w:cs="Times New Roman"/>
          <w:i/>
          <w:sz w:val="24"/>
          <w:szCs w:val="24"/>
          <w:lang w:val="it-IT"/>
        </w:rPr>
        <w:t>laissez-faire</w:t>
      </w:r>
      <w:r w:rsidR="00933401" w:rsidRPr="006F07C8">
        <w:rPr>
          <w:rFonts w:ascii="Times New Roman" w:hAnsi="Times New Roman" w:cs="Times New Roman"/>
          <w:sz w:val="24"/>
          <w:szCs w:val="24"/>
          <w:lang w:val="it-IT"/>
        </w:rPr>
        <w:t xml:space="preserve">, quindi, presuppone l’esistenza del mercato </w:t>
      </w:r>
      <w:r w:rsidR="00ED347F" w:rsidRPr="006F07C8">
        <w:rPr>
          <w:rFonts w:ascii="Times New Roman" w:hAnsi="Times New Roman" w:cs="Times New Roman"/>
          <w:sz w:val="24"/>
          <w:szCs w:val="24"/>
          <w:lang w:val="it-IT"/>
        </w:rPr>
        <w:t xml:space="preserve">concorrenziale </w:t>
      </w:r>
      <w:r w:rsidR="00933401" w:rsidRPr="006F07C8">
        <w:rPr>
          <w:rFonts w:ascii="Times New Roman" w:hAnsi="Times New Roman" w:cs="Times New Roman"/>
          <w:sz w:val="24"/>
          <w:szCs w:val="24"/>
          <w:lang w:val="it-IT"/>
        </w:rPr>
        <w:t xml:space="preserve">e </w:t>
      </w:r>
      <w:r w:rsidR="00ED347F" w:rsidRPr="006F07C8">
        <w:rPr>
          <w:rFonts w:ascii="Times New Roman" w:hAnsi="Times New Roman" w:cs="Times New Roman"/>
          <w:sz w:val="24"/>
          <w:szCs w:val="24"/>
          <w:lang w:val="it-IT"/>
        </w:rPr>
        <w:t xml:space="preserve">trova </w:t>
      </w:r>
      <w:r w:rsidR="009376A9" w:rsidRPr="006F07C8">
        <w:rPr>
          <w:rFonts w:ascii="Times New Roman" w:hAnsi="Times New Roman" w:cs="Times New Roman"/>
          <w:sz w:val="24"/>
          <w:szCs w:val="24"/>
          <w:lang w:val="it-IT"/>
        </w:rPr>
        <w:t xml:space="preserve">una delle sue </w:t>
      </w:r>
      <w:r w:rsidR="00ED347F" w:rsidRPr="006F07C8">
        <w:rPr>
          <w:rFonts w:ascii="Times New Roman" w:hAnsi="Times New Roman" w:cs="Times New Roman"/>
          <w:sz w:val="24"/>
          <w:szCs w:val="24"/>
          <w:lang w:val="it-IT"/>
        </w:rPr>
        <w:t>giusti</w:t>
      </w:r>
      <w:r w:rsidR="009376A9" w:rsidRPr="006F07C8">
        <w:rPr>
          <w:rFonts w:ascii="Times New Roman" w:hAnsi="Times New Roman" w:cs="Times New Roman"/>
          <w:sz w:val="24"/>
          <w:szCs w:val="24"/>
          <w:lang w:val="it-IT"/>
        </w:rPr>
        <w:t xml:space="preserve">ficazioni </w:t>
      </w:r>
      <w:r w:rsidR="00F300C9" w:rsidRPr="006F07C8">
        <w:rPr>
          <w:rFonts w:ascii="Times New Roman" w:hAnsi="Times New Roman" w:cs="Times New Roman"/>
          <w:sz w:val="24"/>
          <w:szCs w:val="24"/>
          <w:lang w:val="it-IT"/>
        </w:rPr>
        <w:t xml:space="preserve">ideologiche </w:t>
      </w:r>
      <w:r w:rsidR="009376A9" w:rsidRPr="006F07C8">
        <w:rPr>
          <w:rFonts w:ascii="Times New Roman" w:hAnsi="Times New Roman" w:cs="Times New Roman"/>
          <w:sz w:val="24"/>
          <w:szCs w:val="24"/>
          <w:lang w:val="it-IT"/>
        </w:rPr>
        <w:t>proprio nel</w:t>
      </w:r>
      <w:r w:rsidR="00F300C9" w:rsidRPr="006F07C8">
        <w:rPr>
          <w:rFonts w:ascii="Times New Roman" w:hAnsi="Times New Roman" w:cs="Times New Roman"/>
          <w:sz w:val="24"/>
          <w:szCs w:val="24"/>
          <w:lang w:val="it-IT"/>
        </w:rPr>
        <w:t xml:space="preserve"> fatto che il libero mercato permette una migliore </w:t>
      </w:r>
      <w:r w:rsidR="009376A9" w:rsidRPr="006F07C8">
        <w:rPr>
          <w:rFonts w:ascii="Times New Roman" w:hAnsi="Times New Roman" w:cs="Times New Roman"/>
          <w:sz w:val="24"/>
          <w:szCs w:val="24"/>
          <w:lang w:val="it-IT"/>
        </w:rPr>
        <w:t>efficienza nell’allocazione delle risorse</w:t>
      </w:r>
      <w:r w:rsidR="007D2437" w:rsidRPr="006F07C8">
        <w:rPr>
          <w:rFonts w:ascii="Times New Roman" w:hAnsi="Times New Roman" w:cs="Times New Roman"/>
          <w:sz w:val="24"/>
          <w:szCs w:val="24"/>
          <w:lang w:val="it-IT"/>
        </w:rPr>
        <w:t xml:space="preserve"> rispetto a</w:t>
      </w:r>
      <w:r w:rsidR="00592EE7" w:rsidRPr="006F07C8">
        <w:rPr>
          <w:rFonts w:ascii="Times New Roman" w:hAnsi="Times New Roman" w:cs="Times New Roman"/>
          <w:sz w:val="24"/>
          <w:szCs w:val="24"/>
          <w:lang w:val="it-IT"/>
        </w:rPr>
        <w:t>l</w:t>
      </w:r>
      <w:r w:rsidR="00DB402F" w:rsidRPr="006F07C8">
        <w:rPr>
          <w:rFonts w:ascii="Times New Roman" w:hAnsi="Times New Roman" w:cs="Times New Roman"/>
          <w:sz w:val="24"/>
          <w:szCs w:val="24"/>
          <w:lang w:val="it-IT"/>
        </w:rPr>
        <w:t>l</w:t>
      </w:r>
      <w:r w:rsidR="00592EE7" w:rsidRPr="006F07C8">
        <w:rPr>
          <w:rFonts w:ascii="Times New Roman" w:hAnsi="Times New Roman" w:cs="Times New Roman"/>
          <w:sz w:val="24"/>
          <w:szCs w:val="24"/>
          <w:lang w:val="it-IT"/>
        </w:rPr>
        <w:t>’economia di piano</w:t>
      </w:r>
      <w:r w:rsidR="009376A9" w:rsidRPr="006F07C8">
        <w:rPr>
          <w:rFonts w:ascii="Times New Roman" w:hAnsi="Times New Roman" w:cs="Times New Roman"/>
          <w:sz w:val="24"/>
          <w:szCs w:val="24"/>
          <w:lang w:val="it-IT"/>
        </w:rPr>
        <w:t>.</w:t>
      </w:r>
    </w:p>
    <w:p w:rsidR="00F40B71" w:rsidRPr="006F07C8" w:rsidRDefault="00565C60" w:rsidP="002F52A9">
      <w:pPr>
        <w:spacing w:line="240" w:lineRule="auto"/>
        <w:jc w:val="both"/>
        <w:rPr>
          <w:rFonts w:ascii="Times New Roman" w:hAnsi="Times New Roman" w:cs="Times New Roman"/>
          <w:sz w:val="24"/>
          <w:szCs w:val="24"/>
          <w:lang w:val="it-IT"/>
        </w:rPr>
      </w:pPr>
      <w:r w:rsidRPr="006F07C8">
        <w:rPr>
          <w:rFonts w:ascii="Times New Roman" w:hAnsi="Times New Roman" w:cs="Times New Roman"/>
          <w:sz w:val="24"/>
          <w:szCs w:val="24"/>
          <w:lang w:val="it-IT"/>
        </w:rPr>
        <w:t xml:space="preserve">Ma cosa si intende esattamente per </w:t>
      </w:r>
      <w:r w:rsidRPr="006F07C8">
        <w:rPr>
          <w:rFonts w:ascii="Times New Roman" w:hAnsi="Times New Roman" w:cs="Times New Roman"/>
          <w:i/>
          <w:sz w:val="24"/>
          <w:szCs w:val="24"/>
          <w:lang w:val="it-IT"/>
        </w:rPr>
        <w:t>laissez-faire</w:t>
      </w:r>
      <w:r w:rsidRPr="006F07C8">
        <w:rPr>
          <w:rFonts w:ascii="Times New Roman" w:hAnsi="Times New Roman" w:cs="Times New Roman"/>
          <w:sz w:val="24"/>
          <w:szCs w:val="24"/>
          <w:lang w:val="it-IT"/>
        </w:rPr>
        <w:t xml:space="preserve"> linguistico? </w:t>
      </w:r>
      <w:r w:rsidR="009376A9" w:rsidRPr="006F07C8">
        <w:rPr>
          <w:rFonts w:ascii="Times New Roman" w:hAnsi="Times New Roman" w:cs="Times New Roman"/>
          <w:sz w:val="24"/>
          <w:szCs w:val="24"/>
          <w:lang w:val="it-IT"/>
        </w:rPr>
        <w:t>Può lo Stato essere neutrale verso la diversità linguistica? E ancora, s</w:t>
      </w:r>
      <w:r w:rsidR="006A7B82" w:rsidRPr="006F07C8">
        <w:rPr>
          <w:rFonts w:ascii="Times New Roman" w:hAnsi="Times New Roman" w:cs="Times New Roman"/>
          <w:sz w:val="24"/>
          <w:szCs w:val="24"/>
          <w:lang w:val="it-IT"/>
        </w:rPr>
        <w:t xml:space="preserve">e esiste un </w:t>
      </w:r>
      <w:r w:rsidR="006A7B82" w:rsidRPr="006F07C8">
        <w:rPr>
          <w:rFonts w:ascii="Times New Roman" w:hAnsi="Times New Roman" w:cs="Times New Roman"/>
          <w:i/>
          <w:sz w:val="24"/>
          <w:szCs w:val="24"/>
          <w:lang w:val="it-IT"/>
        </w:rPr>
        <w:t>laissez-faire</w:t>
      </w:r>
      <w:r w:rsidR="006A7B82" w:rsidRPr="006F07C8">
        <w:rPr>
          <w:rFonts w:ascii="Times New Roman" w:hAnsi="Times New Roman" w:cs="Times New Roman"/>
          <w:sz w:val="24"/>
          <w:szCs w:val="24"/>
          <w:lang w:val="it-IT"/>
        </w:rPr>
        <w:t xml:space="preserve"> linguistico, </w:t>
      </w:r>
      <w:r w:rsidR="009376A9" w:rsidRPr="006F07C8">
        <w:rPr>
          <w:rFonts w:ascii="Times New Roman" w:hAnsi="Times New Roman" w:cs="Times New Roman"/>
          <w:sz w:val="24"/>
          <w:szCs w:val="24"/>
          <w:lang w:val="it-IT"/>
        </w:rPr>
        <w:t xml:space="preserve">deve </w:t>
      </w:r>
      <w:r w:rsidR="00143DED" w:rsidRPr="006F07C8">
        <w:rPr>
          <w:rFonts w:ascii="Times New Roman" w:hAnsi="Times New Roman" w:cs="Times New Roman"/>
          <w:sz w:val="24"/>
          <w:szCs w:val="24"/>
          <w:lang w:val="it-IT"/>
        </w:rPr>
        <w:t xml:space="preserve">allora </w:t>
      </w:r>
      <w:r w:rsidR="009376A9" w:rsidRPr="006F07C8">
        <w:rPr>
          <w:rFonts w:ascii="Times New Roman" w:hAnsi="Times New Roman" w:cs="Times New Roman"/>
          <w:sz w:val="24"/>
          <w:szCs w:val="24"/>
          <w:lang w:val="it-IT"/>
        </w:rPr>
        <w:t xml:space="preserve">esistere </w:t>
      </w:r>
      <w:r w:rsidR="006A7B82" w:rsidRPr="006F07C8">
        <w:rPr>
          <w:rFonts w:ascii="Times New Roman" w:hAnsi="Times New Roman" w:cs="Times New Roman"/>
          <w:sz w:val="24"/>
          <w:szCs w:val="24"/>
          <w:lang w:val="it-IT"/>
        </w:rPr>
        <w:t xml:space="preserve">un </w:t>
      </w:r>
      <w:r w:rsidR="00592EE7" w:rsidRPr="006F07C8">
        <w:rPr>
          <w:rFonts w:ascii="Times New Roman" w:hAnsi="Times New Roman" w:cs="Times New Roman"/>
          <w:sz w:val="24"/>
          <w:szCs w:val="24"/>
          <w:lang w:val="it-IT"/>
        </w:rPr>
        <w:t>“</w:t>
      </w:r>
      <w:r w:rsidR="006A7B82" w:rsidRPr="006F07C8">
        <w:rPr>
          <w:rFonts w:ascii="Times New Roman" w:hAnsi="Times New Roman" w:cs="Times New Roman"/>
          <w:sz w:val="24"/>
          <w:szCs w:val="24"/>
          <w:lang w:val="it-IT"/>
        </w:rPr>
        <w:t>mercato delle lingue</w:t>
      </w:r>
      <w:r w:rsidR="00592EE7" w:rsidRPr="006F07C8">
        <w:rPr>
          <w:rFonts w:ascii="Times New Roman" w:hAnsi="Times New Roman" w:cs="Times New Roman"/>
          <w:sz w:val="24"/>
          <w:szCs w:val="24"/>
          <w:lang w:val="it-IT"/>
        </w:rPr>
        <w:t>”</w:t>
      </w:r>
      <w:r w:rsidR="006A7B82" w:rsidRPr="006F07C8">
        <w:rPr>
          <w:rFonts w:ascii="Times New Roman" w:hAnsi="Times New Roman" w:cs="Times New Roman"/>
          <w:sz w:val="24"/>
          <w:szCs w:val="24"/>
          <w:lang w:val="it-IT"/>
        </w:rPr>
        <w:t xml:space="preserve"> da </w:t>
      </w:r>
      <w:r w:rsidR="00E44EFE" w:rsidRPr="006F07C8">
        <w:rPr>
          <w:rFonts w:ascii="Times New Roman" w:hAnsi="Times New Roman" w:cs="Times New Roman"/>
          <w:sz w:val="24"/>
          <w:szCs w:val="24"/>
          <w:lang w:val="it-IT"/>
        </w:rPr>
        <w:t xml:space="preserve">poter </w:t>
      </w:r>
      <w:r w:rsidR="006A7B82" w:rsidRPr="006F07C8">
        <w:rPr>
          <w:rFonts w:ascii="Times New Roman" w:hAnsi="Times New Roman" w:cs="Times New Roman"/>
          <w:sz w:val="24"/>
          <w:szCs w:val="24"/>
          <w:lang w:val="it-IT"/>
        </w:rPr>
        <w:t>contrapporre a un intervento pianificato dallo Stato sull</w:t>
      </w:r>
      <w:r w:rsidR="005F1449" w:rsidRPr="006F07C8">
        <w:rPr>
          <w:rFonts w:ascii="Times New Roman" w:hAnsi="Times New Roman" w:cs="Times New Roman"/>
          <w:sz w:val="24"/>
          <w:szCs w:val="24"/>
          <w:lang w:val="it-IT"/>
        </w:rPr>
        <w:t>a realtà sociolinguistica</w:t>
      </w:r>
      <w:r w:rsidR="009376A9" w:rsidRPr="006F07C8">
        <w:rPr>
          <w:rFonts w:ascii="Times New Roman" w:hAnsi="Times New Roman" w:cs="Times New Roman"/>
          <w:sz w:val="24"/>
          <w:szCs w:val="24"/>
          <w:lang w:val="it-IT"/>
        </w:rPr>
        <w:t>.</w:t>
      </w:r>
      <w:r w:rsidR="006A7B82" w:rsidRPr="006F07C8">
        <w:rPr>
          <w:rFonts w:ascii="Times New Roman" w:hAnsi="Times New Roman" w:cs="Times New Roman"/>
          <w:sz w:val="24"/>
          <w:szCs w:val="24"/>
          <w:lang w:val="it-IT"/>
        </w:rPr>
        <w:t xml:space="preserve"> Ma</w:t>
      </w:r>
      <w:r w:rsidRPr="006F07C8">
        <w:rPr>
          <w:rFonts w:ascii="Times New Roman" w:hAnsi="Times New Roman" w:cs="Times New Roman"/>
          <w:sz w:val="24"/>
          <w:szCs w:val="24"/>
          <w:lang w:val="it-IT"/>
        </w:rPr>
        <w:t xml:space="preserve"> </w:t>
      </w:r>
      <w:r w:rsidR="006A7B82" w:rsidRPr="006F07C8">
        <w:rPr>
          <w:rFonts w:ascii="Times New Roman" w:hAnsi="Times New Roman" w:cs="Times New Roman"/>
          <w:sz w:val="24"/>
          <w:szCs w:val="24"/>
          <w:lang w:val="it-IT"/>
        </w:rPr>
        <w:t xml:space="preserve">quali sarebbero esattamente le caratteristiche di </w:t>
      </w:r>
      <w:r w:rsidR="00F63B5E" w:rsidRPr="006F07C8">
        <w:rPr>
          <w:rFonts w:ascii="Times New Roman" w:hAnsi="Times New Roman" w:cs="Times New Roman"/>
          <w:sz w:val="24"/>
          <w:szCs w:val="24"/>
          <w:lang w:val="it-IT"/>
        </w:rPr>
        <w:t xml:space="preserve">tale </w:t>
      </w:r>
      <w:r w:rsidRPr="006F07C8">
        <w:rPr>
          <w:rFonts w:ascii="Times New Roman" w:hAnsi="Times New Roman" w:cs="Times New Roman"/>
          <w:sz w:val="24"/>
          <w:szCs w:val="24"/>
          <w:lang w:val="it-IT"/>
        </w:rPr>
        <w:t>mercato</w:t>
      </w:r>
      <w:r w:rsidR="00F63B5E" w:rsidRPr="006F07C8">
        <w:rPr>
          <w:rFonts w:ascii="Times New Roman" w:hAnsi="Times New Roman" w:cs="Times New Roman"/>
          <w:sz w:val="24"/>
          <w:szCs w:val="24"/>
          <w:lang w:val="it-IT"/>
        </w:rPr>
        <w:t>,</w:t>
      </w:r>
      <w:r w:rsidR="006A7B82" w:rsidRPr="006F07C8">
        <w:rPr>
          <w:rFonts w:ascii="Times New Roman" w:hAnsi="Times New Roman" w:cs="Times New Roman"/>
          <w:sz w:val="24"/>
          <w:szCs w:val="24"/>
          <w:lang w:val="it-IT"/>
        </w:rPr>
        <w:t xml:space="preserve"> quali beni vi </w:t>
      </w:r>
      <w:r w:rsidR="00592EE7" w:rsidRPr="006F07C8">
        <w:rPr>
          <w:rFonts w:ascii="Times New Roman" w:hAnsi="Times New Roman" w:cs="Times New Roman"/>
          <w:sz w:val="24"/>
          <w:szCs w:val="24"/>
          <w:lang w:val="it-IT"/>
        </w:rPr>
        <w:t>sarebbero</w:t>
      </w:r>
      <w:r w:rsidR="006A7B82" w:rsidRPr="006F07C8">
        <w:rPr>
          <w:rFonts w:ascii="Times New Roman" w:hAnsi="Times New Roman" w:cs="Times New Roman"/>
          <w:sz w:val="24"/>
          <w:szCs w:val="24"/>
          <w:lang w:val="it-IT"/>
        </w:rPr>
        <w:t xml:space="preserve"> scambiati</w:t>
      </w:r>
      <w:r w:rsidR="00F63B5E" w:rsidRPr="006F07C8">
        <w:rPr>
          <w:rFonts w:ascii="Times New Roman" w:hAnsi="Times New Roman" w:cs="Times New Roman"/>
          <w:sz w:val="24"/>
          <w:szCs w:val="24"/>
          <w:lang w:val="it-IT"/>
        </w:rPr>
        <w:t xml:space="preserve"> e </w:t>
      </w:r>
      <w:r w:rsidR="005F1449" w:rsidRPr="006F07C8">
        <w:rPr>
          <w:rFonts w:ascii="Times New Roman" w:hAnsi="Times New Roman" w:cs="Times New Roman"/>
          <w:sz w:val="24"/>
          <w:szCs w:val="24"/>
          <w:lang w:val="it-IT"/>
        </w:rPr>
        <w:t>come si for</w:t>
      </w:r>
      <w:r w:rsidR="00592EE7" w:rsidRPr="006F07C8">
        <w:rPr>
          <w:rFonts w:ascii="Times New Roman" w:hAnsi="Times New Roman" w:cs="Times New Roman"/>
          <w:sz w:val="24"/>
          <w:szCs w:val="24"/>
          <w:lang w:val="it-IT"/>
        </w:rPr>
        <w:t>merebbe</w:t>
      </w:r>
      <w:r w:rsidR="005F1449" w:rsidRPr="006F07C8">
        <w:rPr>
          <w:rFonts w:ascii="Times New Roman" w:hAnsi="Times New Roman" w:cs="Times New Roman"/>
          <w:sz w:val="24"/>
          <w:szCs w:val="24"/>
          <w:lang w:val="it-IT"/>
        </w:rPr>
        <w:t xml:space="preserve"> il </w:t>
      </w:r>
      <w:r w:rsidR="00F63B5E" w:rsidRPr="006F07C8">
        <w:rPr>
          <w:rFonts w:ascii="Times New Roman" w:hAnsi="Times New Roman" w:cs="Times New Roman"/>
          <w:sz w:val="24"/>
          <w:szCs w:val="24"/>
          <w:lang w:val="it-IT"/>
        </w:rPr>
        <w:t>prezzo</w:t>
      </w:r>
      <w:r w:rsidR="005F1449" w:rsidRPr="006F07C8">
        <w:rPr>
          <w:rFonts w:ascii="Times New Roman" w:hAnsi="Times New Roman" w:cs="Times New Roman"/>
          <w:sz w:val="24"/>
          <w:szCs w:val="24"/>
          <w:lang w:val="it-IT"/>
        </w:rPr>
        <w:t xml:space="preserve"> di scambio</w:t>
      </w:r>
      <w:r w:rsidRPr="006F07C8">
        <w:rPr>
          <w:rFonts w:ascii="Times New Roman" w:hAnsi="Times New Roman" w:cs="Times New Roman"/>
          <w:sz w:val="24"/>
          <w:szCs w:val="24"/>
          <w:lang w:val="it-IT"/>
        </w:rPr>
        <w:t xml:space="preserve">? </w:t>
      </w:r>
      <w:r w:rsidR="006A7B82" w:rsidRPr="006F07C8">
        <w:rPr>
          <w:rFonts w:ascii="Times New Roman" w:hAnsi="Times New Roman" w:cs="Times New Roman"/>
          <w:sz w:val="24"/>
          <w:szCs w:val="24"/>
          <w:lang w:val="it-IT"/>
        </w:rPr>
        <w:t>Infine, s</w:t>
      </w:r>
      <w:r w:rsidRPr="006F07C8">
        <w:rPr>
          <w:rFonts w:ascii="Times New Roman" w:hAnsi="Times New Roman" w:cs="Times New Roman"/>
          <w:sz w:val="24"/>
          <w:szCs w:val="24"/>
          <w:lang w:val="it-IT"/>
        </w:rPr>
        <w:t>econdo quali criteri</w:t>
      </w:r>
      <w:r w:rsidR="00F05132" w:rsidRPr="006F07C8">
        <w:rPr>
          <w:rFonts w:ascii="Times New Roman" w:hAnsi="Times New Roman" w:cs="Times New Roman"/>
          <w:sz w:val="24"/>
          <w:szCs w:val="24"/>
          <w:lang w:val="it-IT"/>
        </w:rPr>
        <w:t>, parametri</w:t>
      </w:r>
      <w:r w:rsidRPr="006F07C8">
        <w:rPr>
          <w:rFonts w:ascii="Times New Roman" w:hAnsi="Times New Roman" w:cs="Times New Roman"/>
          <w:sz w:val="24"/>
          <w:szCs w:val="24"/>
          <w:lang w:val="it-IT"/>
        </w:rPr>
        <w:t xml:space="preserve"> e assunti teorici il </w:t>
      </w:r>
      <w:r w:rsidRPr="006F07C8">
        <w:rPr>
          <w:rFonts w:ascii="Times New Roman" w:hAnsi="Times New Roman" w:cs="Times New Roman"/>
          <w:i/>
          <w:sz w:val="24"/>
          <w:szCs w:val="24"/>
          <w:lang w:val="it-IT"/>
        </w:rPr>
        <w:t>laissez-faire</w:t>
      </w:r>
      <w:r w:rsidRPr="006F07C8">
        <w:rPr>
          <w:rFonts w:ascii="Times New Roman" w:hAnsi="Times New Roman" w:cs="Times New Roman"/>
          <w:sz w:val="24"/>
          <w:szCs w:val="24"/>
          <w:lang w:val="it-IT"/>
        </w:rPr>
        <w:t xml:space="preserve"> linguistico sarebbe migliore dell’intervento diretto e pianificato sull</w:t>
      </w:r>
      <w:r w:rsidR="005F1449" w:rsidRPr="006F07C8">
        <w:rPr>
          <w:rFonts w:ascii="Times New Roman" w:hAnsi="Times New Roman" w:cs="Times New Roman"/>
          <w:sz w:val="24"/>
          <w:szCs w:val="24"/>
          <w:lang w:val="it-IT"/>
        </w:rPr>
        <w:t>a realtà sociolinguistica di un dato territorio</w:t>
      </w:r>
      <w:r w:rsidRPr="006F07C8">
        <w:rPr>
          <w:rFonts w:ascii="Times New Roman" w:hAnsi="Times New Roman" w:cs="Times New Roman"/>
          <w:sz w:val="24"/>
          <w:szCs w:val="24"/>
          <w:lang w:val="it-IT"/>
        </w:rPr>
        <w:t>?</w:t>
      </w:r>
      <w:r w:rsidR="009376A9" w:rsidRPr="006F07C8">
        <w:rPr>
          <w:rFonts w:ascii="Times New Roman" w:hAnsi="Times New Roman" w:cs="Times New Roman"/>
          <w:sz w:val="24"/>
          <w:szCs w:val="24"/>
          <w:lang w:val="it-IT"/>
        </w:rPr>
        <w:t xml:space="preserve"> </w:t>
      </w:r>
      <w:r w:rsidR="0093246A" w:rsidRPr="006F07C8">
        <w:rPr>
          <w:rFonts w:ascii="Times New Roman" w:hAnsi="Times New Roman" w:cs="Times New Roman"/>
          <w:sz w:val="24"/>
          <w:szCs w:val="24"/>
          <w:lang w:val="it-IT"/>
        </w:rPr>
        <w:t xml:space="preserve">Ad una attenta analisi i concetti di </w:t>
      </w:r>
      <w:r w:rsidR="0093246A" w:rsidRPr="006F07C8">
        <w:rPr>
          <w:rFonts w:ascii="Times New Roman" w:hAnsi="Times New Roman" w:cs="Times New Roman"/>
          <w:i/>
          <w:sz w:val="24"/>
          <w:szCs w:val="24"/>
          <w:lang w:val="it-IT"/>
        </w:rPr>
        <w:t>laissez-faire</w:t>
      </w:r>
      <w:r w:rsidR="0093246A" w:rsidRPr="006F07C8">
        <w:rPr>
          <w:rFonts w:ascii="Times New Roman" w:hAnsi="Times New Roman" w:cs="Times New Roman"/>
          <w:sz w:val="24"/>
          <w:szCs w:val="24"/>
          <w:lang w:val="it-IT"/>
        </w:rPr>
        <w:t xml:space="preserve"> linguistico e mercato delle lingue si rivelano per lo più metafore</w:t>
      </w:r>
      <w:r w:rsidR="001A2803" w:rsidRPr="006F07C8">
        <w:rPr>
          <w:rFonts w:ascii="Times New Roman" w:hAnsi="Times New Roman" w:cs="Times New Roman"/>
          <w:sz w:val="24"/>
          <w:szCs w:val="24"/>
          <w:lang w:val="it-IT"/>
        </w:rPr>
        <w:t>,</w:t>
      </w:r>
      <w:r w:rsidR="00F63B5E" w:rsidRPr="006F07C8">
        <w:rPr>
          <w:rFonts w:ascii="Times New Roman" w:hAnsi="Times New Roman" w:cs="Times New Roman"/>
          <w:sz w:val="24"/>
          <w:szCs w:val="24"/>
          <w:lang w:val="it-IT"/>
        </w:rPr>
        <w:t xml:space="preserve"> e il </w:t>
      </w:r>
      <w:r w:rsidR="0093246A" w:rsidRPr="006F07C8">
        <w:rPr>
          <w:rFonts w:ascii="Times New Roman" w:hAnsi="Times New Roman" w:cs="Times New Roman"/>
          <w:i/>
          <w:sz w:val="24"/>
          <w:szCs w:val="24"/>
          <w:lang w:val="it-IT"/>
        </w:rPr>
        <w:t>laissez-faire</w:t>
      </w:r>
      <w:r w:rsidR="0093246A" w:rsidRPr="006F07C8">
        <w:rPr>
          <w:rFonts w:ascii="Times New Roman" w:hAnsi="Times New Roman" w:cs="Times New Roman"/>
          <w:sz w:val="24"/>
          <w:szCs w:val="24"/>
          <w:lang w:val="it-IT"/>
        </w:rPr>
        <w:t xml:space="preserve"> linguistico </w:t>
      </w:r>
      <w:r w:rsidR="00F63B5E" w:rsidRPr="006F07C8">
        <w:rPr>
          <w:rFonts w:ascii="Times New Roman" w:hAnsi="Times New Roman" w:cs="Times New Roman"/>
          <w:sz w:val="24"/>
          <w:szCs w:val="24"/>
          <w:lang w:val="it-IT"/>
        </w:rPr>
        <w:t>in realtà</w:t>
      </w:r>
      <w:r w:rsidR="005F1449" w:rsidRPr="006F07C8">
        <w:rPr>
          <w:rFonts w:ascii="Times New Roman" w:hAnsi="Times New Roman" w:cs="Times New Roman"/>
          <w:sz w:val="24"/>
          <w:szCs w:val="24"/>
          <w:lang w:val="it-IT"/>
        </w:rPr>
        <w:t xml:space="preserve"> è un fraintendimento</w:t>
      </w:r>
      <w:r w:rsidR="00F63B5E" w:rsidRPr="006F07C8">
        <w:rPr>
          <w:rFonts w:ascii="Times New Roman" w:hAnsi="Times New Roman" w:cs="Times New Roman"/>
          <w:sz w:val="24"/>
          <w:szCs w:val="24"/>
          <w:lang w:val="it-IT"/>
        </w:rPr>
        <w:t xml:space="preserve">. </w:t>
      </w:r>
      <w:r w:rsidR="00C65BFC" w:rsidRPr="006F07C8">
        <w:rPr>
          <w:rFonts w:ascii="Times New Roman" w:hAnsi="Times New Roman" w:cs="Times New Roman"/>
          <w:sz w:val="24"/>
          <w:szCs w:val="24"/>
          <w:lang w:val="it-IT"/>
        </w:rPr>
        <w:t>N</w:t>
      </w:r>
      <w:r w:rsidR="00F63B5E" w:rsidRPr="006F07C8">
        <w:rPr>
          <w:rFonts w:ascii="Times New Roman" w:hAnsi="Times New Roman" w:cs="Times New Roman"/>
          <w:sz w:val="24"/>
          <w:szCs w:val="24"/>
          <w:lang w:val="it-IT"/>
        </w:rPr>
        <w:t xml:space="preserve">egli ultimi </w:t>
      </w:r>
      <w:r w:rsidR="00997B6E" w:rsidRPr="006F07C8">
        <w:rPr>
          <w:rFonts w:ascii="Times New Roman" w:hAnsi="Times New Roman" w:cs="Times New Roman"/>
          <w:sz w:val="24"/>
          <w:szCs w:val="24"/>
          <w:lang w:val="it-IT"/>
        </w:rPr>
        <w:t>anni</w:t>
      </w:r>
      <w:r w:rsidR="00F63B5E" w:rsidRPr="006F07C8">
        <w:rPr>
          <w:rFonts w:ascii="Times New Roman" w:hAnsi="Times New Roman" w:cs="Times New Roman"/>
          <w:sz w:val="24"/>
          <w:szCs w:val="24"/>
          <w:lang w:val="it-IT"/>
        </w:rPr>
        <w:t xml:space="preserve"> </w:t>
      </w:r>
      <w:r w:rsidR="00C65BFC" w:rsidRPr="006F07C8">
        <w:rPr>
          <w:rFonts w:ascii="Times New Roman" w:hAnsi="Times New Roman" w:cs="Times New Roman"/>
          <w:sz w:val="24"/>
          <w:szCs w:val="24"/>
          <w:lang w:val="it-IT"/>
        </w:rPr>
        <w:t xml:space="preserve">la questione è stata </w:t>
      </w:r>
      <w:r w:rsidR="007224D9" w:rsidRPr="006F07C8">
        <w:rPr>
          <w:rFonts w:ascii="Times New Roman" w:hAnsi="Times New Roman" w:cs="Times New Roman"/>
          <w:sz w:val="24"/>
          <w:szCs w:val="24"/>
          <w:lang w:val="it-IT"/>
        </w:rPr>
        <w:t>ampiamente</w:t>
      </w:r>
      <w:r w:rsidR="00C65BFC" w:rsidRPr="006F07C8">
        <w:rPr>
          <w:rFonts w:ascii="Times New Roman" w:hAnsi="Times New Roman" w:cs="Times New Roman"/>
          <w:sz w:val="24"/>
          <w:szCs w:val="24"/>
          <w:lang w:val="it-IT"/>
        </w:rPr>
        <w:t xml:space="preserve"> dibattuta </w:t>
      </w:r>
      <w:r w:rsidR="00997B6E" w:rsidRPr="006F07C8">
        <w:rPr>
          <w:rFonts w:ascii="Times New Roman" w:hAnsi="Times New Roman" w:cs="Times New Roman"/>
          <w:sz w:val="24"/>
          <w:szCs w:val="24"/>
          <w:lang w:val="it-IT"/>
        </w:rPr>
        <w:t>non solo all’interno della sociolinguistica,</w:t>
      </w:r>
      <w:r w:rsidR="00997B6E" w:rsidRPr="006F07C8">
        <w:rPr>
          <w:rStyle w:val="FootnoteReference"/>
          <w:rFonts w:ascii="Times New Roman" w:hAnsi="Times New Roman" w:cs="Times New Roman"/>
          <w:sz w:val="24"/>
          <w:szCs w:val="24"/>
          <w:lang w:val="it-IT"/>
        </w:rPr>
        <w:footnoteReference w:id="6"/>
      </w:r>
      <w:r w:rsidR="00997B6E" w:rsidRPr="006F07C8">
        <w:rPr>
          <w:rFonts w:ascii="Times New Roman" w:hAnsi="Times New Roman" w:cs="Times New Roman"/>
          <w:sz w:val="24"/>
          <w:szCs w:val="24"/>
          <w:lang w:val="it-IT"/>
        </w:rPr>
        <w:t xml:space="preserve"> ma anche e </w:t>
      </w:r>
      <w:r w:rsidR="00C65BFC" w:rsidRPr="006F07C8">
        <w:rPr>
          <w:rFonts w:ascii="Times New Roman" w:hAnsi="Times New Roman" w:cs="Times New Roman"/>
          <w:sz w:val="24"/>
          <w:szCs w:val="24"/>
          <w:lang w:val="it-IT"/>
        </w:rPr>
        <w:t xml:space="preserve">soprattutto </w:t>
      </w:r>
      <w:r w:rsidR="00F63B5E" w:rsidRPr="006F07C8">
        <w:rPr>
          <w:rFonts w:ascii="Times New Roman" w:hAnsi="Times New Roman" w:cs="Times New Roman"/>
          <w:sz w:val="24"/>
          <w:szCs w:val="24"/>
          <w:lang w:val="it-IT"/>
        </w:rPr>
        <w:t>nella filosofia politica</w:t>
      </w:r>
      <w:r w:rsidR="00997B6E" w:rsidRPr="006F07C8">
        <w:rPr>
          <w:rFonts w:ascii="Times New Roman" w:hAnsi="Times New Roman" w:cs="Times New Roman"/>
          <w:sz w:val="24"/>
          <w:szCs w:val="24"/>
          <w:lang w:val="it-IT"/>
        </w:rPr>
        <w:t>. S</w:t>
      </w:r>
      <w:r w:rsidR="007224D9" w:rsidRPr="006F07C8">
        <w:rPr>
          <w:rFonts w:ascii="Times New Roman" w:hAnsi="Times New Roman" w:cs="Times New Roman"/>
          <w:sz w:val="24"/>
          <w:szCs w:val="24"/>
          <w:lang w:val="it-IT"/>
        </w:rPr>
        <w:t xml:space="preserve">econdo De Schutter </w:t>
      </w:r>
      <w:r w:rsidR="00F63B5E" w:rsidRPr="006F07C8">
        <w:rPr>
          <w:rFonts w:ascii="Times New Roman" w:hAnsi="Times New Roman" w:cs="Times New Roman"/>
          <w:sz w:val="24"/>
          <w:szCs w:val="24"/>
          <w:lang w:val="it-IT"/>
        </w:rPr>
        <w:t>(</w:t>
      </w:r>
      <w:hyperlink w:anchor="_ENREF_19" w:tooltip="De Schutter, 2007 #238" w:history="1">
        <w:r w:rsidR="00101624" w:rsidRPr="006F07C8">
          <w:rPr>
            <w:rFonts w:ascii="Times New Roman" w:hAnsi="Times New Roman" w:cs="Times New Roman"/>
            <w:sz w:val="24"/>
            <w:szCs w:val="24"/>
            <w:lang w:val="it-IT"/>
          </w:rPr>
          <w:fldChar w:fldCharType="begin"/>
        </w:r>
        <w:r w:rsidR="00101624" w:rsidRPr="006F07C8">
          <w:rPr>
            <w:rFonts w:ascii="Times New Roman" w:hAnsi="Times New Roman" w:cs="Times New Roman"/>
            <w:sz w:val="24"/>
            <w:szCs w:val="24"/>
            <w:lang w:val="it-IT"/>
          </w:rPr>
          <w:instrText xml:space="preserve"> ADDIN EN.CITE &lt;EndNote&gt;&lt;Cite ExcludeAuth="1"&gt;&lt;Author&gt;De Schutter&lt;/Author&gt;&lt;Year&gt;2007&lt;/Year&gt;&lt;RecNum&gt;238&lt;/RecNum&gt;&lt;DisplayText&gt;2007&lt;/DisplayText&gt;&lt;record&gt;&lt;rec-number&gt;238&lt;/rec-number&gt;&lt;foreign-keys&gt;&lt;key app="EN" db-id="wvvszzd93a0z5wesdfpvdv9z5wrra5p05axp"&gt;238&lt;/key&gt;&lt;/foreign-keys&gt;&lt;ref-type name="Journal Article"&gt;17&lt;/ref-type&gt;&lt;contributors&gt;&lt;authors&gt;&lt;author&gt;De Schutter, Helder&lt;/author&gt;&lt;/authors&gt;&lt;/contributors&gt;&lt;titles&gt;&lt;title&gt;Language policy and political philosophy: On the emerging linguistic justice debate&lt;/title&gt;&lt;secondary-title&gt;Language Problems &amp;amp; Language Planning&lt;/secondary-title&gt;&lt;/titles&gt;&lt;periodical&gt;&lt;full-title&gt;Language Problems &amp;amp; Language Planning&lt;/full-title&gt;&lt;/periodical&gt;&lt;pages&gt;1-23&lt;/pages&gt;&lt;volume&gt;31&lt;/volume&gt;&lt;number&gt;1&lt;/number&gt;&lt;dates&gt;&lt;year&gt;2007&lt;/year&gt;&lt;/dates&gt;&lt;urls&gt;&lt;/urls&gt;&lt;/record&gt;&lt;/Cite&gt;&lt;/EndNote&gt;</w:instrText>
        </w:r>
        <w:r w:rsidR="00101624" w:rsidRPr="006F07C8">
          <w:rPr>
            <w:rFonts w:ascii="Times New Roman" w:hAnsi="Times New Roman" w:cs="Times New Roman"/>
            <w:sz w:val="24"/>
            <w:szCs w:val="24"/>
            <w:lang w:val="it-IT"/>
          </w:rPr>
          <w:fldChar w:fldCharType="separate"/>
        </w:r>
        <w:r w:rsidR="00101624" w:rsidRPr="006F07C8">
          <w:rPr>
            <w:rFonts w:ascii="Times New Roman" w:hAnsi="Times New Roman" w:cs="Times New Roman"/>
            <w:noProof/>
            <w:sz w:val="24"/>
            <w:szCs w:val="24"/>
            <w:lang w:val="it-IT"/>
          </w:rPr>
          <w:t>2007</w:t>
        </w:r>
        <w:r w:rsidR="00101624" w:rsidRPr="006F07C8">
          <w:rPr>
            <w:rFonts w:ascii="Times New Roman" w:hAnsi="Times New Roman" w:cs="Times New Roman"/>
            <w:sz w:val="24"/>
            <w:szCs w:val="24"/>
            <w:lang w:val="it-IT"/>
          </w:rPr>
          <w:fldChar w:fldCharType="end"/>
        </w:r>
      </w:hyperlink>
      <w:r w:rsidR="00F63B5E" w:rsidRPr="006F07C8">
        <w:rPr>
          <w:rFonts w:ascii="Times New Roman" w:hAnsi="Times New Roman" w:cs="Times New Roman"/>
          <w:sz w:val="24"/>
          <w:szCs w:val="24"/>
          <w:lang w:val="it-IT"/>
        </w:rPr>
        <w:t>)</w:t>
      </w:r>
      <w:r w:rsidR="007224D9" w:rsidRPr="006F07C8">
        <w:rPr>
          <w:rFonts w:ascii="Times New Roman" w:hAnsi="Times New Roman" w:cs="Times New Roman"/>
          <w:sz w:val="24"/>
          <w:szCs w:val="24"/>
          <w:lang w:val="it-IT"/>
        </w:rPr>
        <w:t xml:space="preserve">, </w:t>
      </w:r>
      <w:r w:rsidR="00DA40FB" w:rsidRPr="006F07C8">
        <w:rPr>
          <w:rFonts w:ascii="Times New Roman" w:hAnsi="Times New Roman" w:cs="Times New Roman"/>
          <w:sz w:val="24"/>
          <w:szCs w:val="24"/>
          <w:lang w:val="it-IT"/>
        </w:rPr>
        <w:t xml:space="preserve">cui </w:t>
      </w:r>
      <w:r w:rsidR="00EC2390" w:rsidRPr="006F07C8">
        <w:rPr>
          <w:rFonts w:ascii="Times New Roman" w:hAnsi="Times New Roman" w:cs="Times New Roman"/>
          <w:sz w:val="24"/>
          <w:szCs w:val="24"/>
          <w:lang w:val="it-IT"/>
        </w:rPr>
        <w:t>si rimanda</w:t>
      </w:r>
      <w:r w:rsidR="00DA40FB" w:rsidRPr="006F07C8">
        <w:rPr>
          <w:rFonts w:ascii="Times New Roman" w:hAnsi="Times New Roman" w:cs="Times New Roman"/>
          <w:sz w:val="24"/>
          <w:szCs w:val="24"/>
          <w:lang w:val="it-IT"/>
        </w:rPr>
        <w:t xml:space="preserve"> per una panoramica di tale dibattito, </w:t>
      </w:r>
      <w:r w:rsidR="007224D9" w:rsidRPr="006F07C8">
        <w:rPr>
          <w:rFonts w:ascii="Times New Roman" w:hAnsi="Times New Roman" w:cs="Times New Roman"/>
          <w:sz w:val="24"/>
          <w:szCs w:val="24"/>
          <w:lang w:val="it-IT"/>
        </w:rPr>
        <w:t>un</w:t>
      </w:r>
      <w:r w:rsidR="00EC2390" w:rsidRPr="006F07C8">
        <w:rPr>
          <w:rFonts w:ascii="Times New Roman" w:hAnsi="Times New Roman" w:cs="Times New Roman"/>
          <w:sz w:val="24"/>
          <w:szCs w:val="24"/>
          <w:lang w:val="it-IT"/>
        </w:rPr>
        <w:t>a</w:t>
      </w:r>
      <w:r w:rsidR="007224D9" w:rsidRPr="006F07C8">
        <w:rPr>
          <w:rFonts w:ascii="Times New Roman" w:hAnsi="Times New Roman" w:cs="Times New Roman"/>
          <w:sz w:val="24"/>
          <w:szCs w:val="24"/>
          <w:lang w:val="it-IT"/>
        </w:rPr>
        <w:t xml:space="preserve"> de</w:t>
      </w:r>
      <w:r w:rsidR="00146E19" w:rsidRPr="006F07C8">
        <w:rPr>
          <w:rFonts w:ascii="Times New Roman" w:hAnsi="Times New Roman" w:cs="Times New Roman"/>
          <w:sz w:val="24"/>
          <w:szCs w:val="24"/>
          <w:lang w:val="it-IT"/>
        </w:rPr>
        <w:t>lle principali conclusioni emerse</w:t>
      </w:r>
      <w:r w:rsidR="007224D9" w:rsidRPr="006F07C8">
        <w:rPr>
          <w:rFonts w:ascii="Times New Roman" w:hAnsi="Times New Roman" w:cs="Times New Roman"/>
          <w:sz w:val="24"/>
          <w:szCs w:val="24"/>
          <w:lang w:val="it-IT"/>
        </w:rPr>
        <w:t xml:space="preserve"> è che </w:t>
      </w:r>
      <w:r w:rsidR="00F40B71" w:rsidRPr="006F07C8">
        <w:rPr>
          <w:rFonts w:ascii="Times New Roman" w:hAnsi="Times New Roman" w:cs="Times New Roman"/>
          <w:sz w:val="24"/>
          <w:szCs w:val="24"/>
          <w:lang w:val="it-IT"/>
        </w:rPr>
        <w:t>mentre lo Stato può essere neutrale nei confronti dei vari credi religiosi, esso non può essere neutrale rispetto all’uso delle lingue. Lo Stato</w:t>
      </w:r>
      <w:r w:rsidR="006324D1" w:rsidRPr="006F07C8">
        <w:rPr>
          <w:rFonts w:ascii="Times New Roman" w:hAnsi="Times New Roman" w:cs="Times New Roman"/>
          <w:sz w:val="24"/>
          <w:szCs w:val="24"/>
          <w:lang w:val="it-IT"/>
        </w:rPr>
        <w:t>, infatti,</w:t>
      </w:r>
      <w:r w:rsidR="009376A9" w:rsidRPr="006F07C8">
        <w:rPr>
          <w:rFonts w:ascii="Times New Roman" w:hAnsi="Times New Roman" w:cs="Times New Roman"/>
          <w:sz w:val="24"/>
          <w:szCs w:val="24"/>
          <w:lang w:val="it-IT"/>
        </w:rPr>
        <w:t xml:space="preserve"> non può </w:t>
      </w:r>
      <w:r w:rsidR="00146E19" w:rsidRPr="006F07C8">
        <w:rPr>
          <w:rFonts w:ascii="Times New Roman" w:hAnsi="Times New Roman" w:cs="Times New Roman"/>
          <w:sz w:val="24"/>
          <w:szCs w:val="24"/>
          <w:lang w:val="it-IT"/>
        </w:rPr>
        <w:t xml:space="preserve">evitare di fare delle scelte linguistiche perché </w:t>
      </w:r>
      <w:r w:rsidR="006324D1" w:rsidRPr="006F07C8">
        <w:rPr>
          <w:rFonts w:ascii="Times New Roman" w:hAnsi="Times New Roman" w:cs="Times New Roman"/>
          <w:sz w:val="24"/>
          <w:szCs w:val="24"/>
          <w:lang w:val="it-IT"/>
        </w:rPr>
        <w:t>tali scelte</w:t>
      </w:r>
      <w:r w:rsidR="00146E19" w:rsidRPr="006F07C8">
        <w:rPr>
          <w:rFonts w:ascii="Times New Roman" w:hAnsi="Times New Roman" w:cs="Times New Roman"/>
          <w:sz w:val="24"/>
          <w:szCs w:val="24"/>
          <w:lang w:val="it-IT"/>
        </w:rPr>
        <w:t xml:space="preserve"> sono intrinsecamente connesse a </w:t>
      </w:r>
      <w:r w:rsidR="00C41370" w:rsidRPr="006F07C8">
        <w:rPr>
          <w:rFonts w:ascii="Times New Roman" w:hAnsi="Times New Roman" w:cs="Times New Roman"/>
          <w:sz w:val="24"/>
          <w:szCs w:val="24"/>
          <w:lang w:val="it-IT"/>
        </w:rPr>
        <w:t xml:space="preserve">ogni tipo di provvedimento amministrativo o </w:t>
      </w:r>
      <w:r w:rsidR="00F05132" w:rsidRPr="006F07C8">
        <w:rPr>
          <w:rFonts w:ascii="Times New Roman" w:hAnsi="Times New Roman" w:cs="Times New Roman"/>
          <w:sz w:val="24"/>
          <w:szCs w:val="24"/>
          <w:lang w:val="it-IT"/>
        </w:rPr>
        <w:t xml:space="preserve">di </w:t>
      </w:r>
      <w:r w:rsidR="00C41370" w:rsidRPr="006F07C8">
        <w:rPr>
          <w:rFonts w:ascii="Times New Roman" w:hAnsi="Times New Roman" w:cs="Times New Roman"/>
          <w:sz w:val="24"/>
          <w:szCs w:val="24"/>
          <w:lang w:val="it-IT"/>
        </w:rPr>
        <w:t xml:space="preserve">politica pubblica </w:t>
      </w:r>
      <w:r w:rsidR="008224A3" w:rsidRPr="006F07C8">
        <w:rPr>
          <w:rFonts w:ascii="Times New Roman" w:hAnsi="Times New Roman" w:cs="Times New Roman"/>
          <w:sz w:val="24"/>
          <w:szCs w:val="24"/>
          <w:lang w:val="it-IT"/>
        </w:rPr>
        <w:t xml:space="preserve">in </w:t>
      </w:r>
      <w:r w:rsidR="00F05132" w:rsidRPr="006F07C8">
        <w:rPr>
          <w:rFonts w:ascii="Times New Roman" w:hAnsi="Times New Roman" w:cs="Times New Roman"/>
          <w:sz w:val="24"/>
          <w:szCs w:val="24"/>
          <w:lang w:val="it-IT"/>
        </w:rPr>
        <w:t xml:space="preserve">ambiti come </w:t>
      </w:r>
      <w:r w:rsidR="008224A3" w:rsidRPr="006F07C8">
        <w:rPr>
          <w:rFonts w:ascii="Times New Roman" w:hAnsi="Times New Roman" w:cs="Times New Roman"/>
          <w:sz w:val="24"/>
          <w:szCs w:val="24"/>
          <w:lang w:val="it-IT"/>
        </w:rPr>
        <w:t>l’</w:t>
      </w:r>
      <w:r w:rsidR="00C41370" w:rsidRPr="006F07C8">
        <w:rPr>
          <w:rFonts w:ascii="Times New Roman" w:hAnsi="Times New Roman" w:cs="Times New Roman"/>
          <w:sz w:val="24"/>
          <w:szCs w:val="24"/>
          <w:lang w:val="it-IT"/>
        </w:rPr>
        <w:t>educazione</w:t>
      </w:r>
      <w:r w:rsidR="00F05132" w:rsidRPr="006F07C8">
        <w:rPr>
          <w:rFonts w:ascii="Times New Roman" w:hAnsi="Times New Roman" w:cs="Times New Roman"/>
          <w:sz w:val="24"/>
          <w:szCs w:val="24"/>
          <w:lang w:val="it-IT"/>
        </w:rPr>
        <w:t>,</w:t>
      </w:r>
      <w:r w:rsidR="008224A3" w:rsidRPr="006F07C8">
        <w:rPr>
          <w:rFonts w:ascii="Times New Roman" w:hAnsi="Times New Roman" w:cs="Times New Roman"/>
          <w:sz w:val="24"/>
          <w:szCs w:val="24"/>
          <w:lang w:val="it-IT"/>
        </w:rPr>
        <w:t xml:space="preserve"> la </w:t>
      </w:r>
      <w:r w:rsidR="00C41370" w:rsidRPr="006F07C8">
        <w:rPr>
          <w:rFonts w:ascii="Times New Roman" w:hAnsi="Times New Roman" w:cs="Times New Roman"/>
          <w:sz w:val="24"/>
          <w:szCs w:val="24"/>
          <w:lang w:val="it-IT"/>
        </w:rPr>
        <w:t xml:space="preserve">comunicazione </w:t>
      </w:r>
      <w:r w:rsidR="008224A3" w:rsidRPr="006F07C8">
        <w:rPr>
          <w:rFonts w:ascii="Times New Roman" w:hAnsi="Times New Roman" w:cs="Times New Roman"/>
          <w:sz w:val="24"/>
          <w:szCs w:val="24"/>
          <w:lang w:val="it-IT"/>
        </w:rPr>
        <w:t xml:space="preserve">di massa </w:t>
      </w:r>
      <w:r w:rsidR="00F05132" w:rsidRPr="006F07C8">
        <w:rPr>
          <w:rFonts w:ascii="Times New Roman" w:hAnsi="Times New Roman" w:cs="Times New Roman"/>
          <w:sz w:val="24"/>
          <w:szCs w:val="24"/>
          <w:lang w:val="it-IT"/>
        </w:rPr>
        <w:t xml:space="preserve">e </w:t>
      </w:r>
      <w:r w:rsidR="00146E19" w:rsidRPr="006F07C8">
        <w:rPr>
          <w:rFonts w:ascii="Times New Roman" w:hAnsi="Times New Roman" w:cs="Times New Roman"/>
          <w:sz w:val="24"/>
          <w:szCs w:val="24"/>
          <w:lang w:val="it-IT"/>
        </w:rPr>
        <w:t xml:space="preserve">la giustizia. </w:t>
      </w:r>
      <w:r w:rsidR="00F40B71" w:rsidRPr="006F07C8">
        <w:rPr>
          <w:rFonts w:ascii="Times New Roman" w:hAnsi="Times New Roman" w:cs="Times New Roman"/>
          <w:sz w:val="24"/>
          <w:szCs w:val="24"/>
          <w:lang w:val="it-IT"/>
        </w:rPr>
        <w:t xml:space="preserve">Queste scelte influenzano inevitabilmente lo </w:t>
      </w:r>
      <w:r w:rsidR="00F40B71" w:rsidRPr="006F07C8">
        <w:rPr>
          <w:rFonts w:ascii="Times New Roman" w:hAnsi="Times New Roman" w:cs="Times New Roman"/>
          <w:i/>
          <w:sz w:val="24"/>
          <w:szCs w:val="24"/>
          <w:lang w:val="it-IT"/>
        </w:rPr>
        <w:t>status</w:t>
      </w:r>
      <w:r w:rsidR="00F40B71" w:rsidRPr="006F07C8">
        <w:rPr>
          <w:rFonts w:ascii="Times New Roman" w:hAnsi="Times New Roman" w:cs="Times New Roman"/>
          <w:sz w:val="24"/>
          <w:szCs w:val="24"/>
          <w:lang w:val="it-IT"/>
        </w:rPr>
        <w:t xml:space="preserve">, il </w:t>
      </w:r>
      <w:r w:rsidR="00F40B71" w:rsidRPr="006F07C8">
        <w:rPr>
          <w:rFonts w:ascii="Times New Roman" w:hAnsi="Times New Roman" w:cs="Times New Roman"/>
          <w:i/>
          <w:sz w:val="24"/>
          <w:szCs w:val="24"/>
          <w:lang w:val="it-IT"/>
        </w:rPr>
        <w:t>corpus</w:t>
      </w:r>
      <w:r w:rsidR="00F40B71" w:rsidRPr="006F07C8">
        <w:rPr>
          <w:rFonts w:ascii="Times New Roman" w:hAnsi="Times New Roman" w:cs="Times New Roman"/>
          <w:sz w:val="24"/>
          <w:szCs w:val="24"/>
          <w:lang w:val="it-IT"/>
        </w:rPr>
        <w:t xml:space="preserve"> e l’acquisizione delle lingue,</w:t>
      </w:r>
      <w:r w:rsidR="00F40B71" w:rsidRPr="006F07C8">
        <w:rPr>
          <w:rStyle w:val="FootnoteReference"/>
          <w:rFonts w:ascii="Times New Roman" w:hAnsi="Times New Roman" w:cs="Times New Roman"/>
          <w:sz w:val="24"/>
          <w:szCs w:val="24"/>
          <w:lang w:val="it-IT"/>
        </w:rPr>
        <w:footnoteReference w:id="7"/>
      </w:r>
      <w:r w:rsidR="00F40B71" w:rsidRPr="006F07C8">
        <w:rPr>
          <w:rFonts w:ascii="Times New Roman" w:hAnsi="Times New Roman" w:cs="Times New Roman"/>
          <w:sz w:val="24"/>
          <w:szCs w:val="24"/>
          <w:lang w:val="it-IT"/>
        </w:rPr>
        <w:t xml:space="preserve"> e conseguentemente esse interferiscono con il comportamento </w:t>
      </w:r>
      <w:r w:rsidR="00E93E7D" w:rsidRPr="006F07C8">
        <w:rPr>
          <w:rFonts w:ascii="Times New Roman" w:hAnsi="Times New Roman" w:cs="Times New Roman"/>
          <w:sz w:val="24"/>
          <w:szCs w:val="24"/>
          <w:lang w:val="it-IT"/>
        </w:rPr>
        <w:t xml:space="preserve">linguistico </w:t>
      </w:r>
      <w:r w:rsidR="00F40B71" w:rsidRPr="006F07C8">
        <w:rPr>
          <w:rFonts w:ascii="Times New Roman" w:hAnsi="Times New Roman" w:cs="Times New Roman"/>
          <w:sz w:val="24"/>
          <w:szCs w:val="24"/>
          <w:lang w:val="it-IT"/>
        </w:rPr>
        <w:t>degli individui</w:t>
      </w:r>
      <w:r w:rsidR="00D9583D" w:rsidRPr="006F07C8">
        <w:rPr>
          <w:rFonts w:ascii="Times New Roman" w:hAnsi="Times New Roman" w:cs="Times New Roman"/>
          <w:sz w:val="24"/>
          <w:szCs w:val="24"/>
          <w:lang w:val="it-IT"/>
        </w:rPr>
        <w:t xml:space="preserve"> rispetto a </w:t>
      </w:r>
      <w:r w:rsidR="00E93E7D" w:rsidRPr="006F07C8">
        <w:rPr>
          <w:rFonts w:ascii="Times New Roman" w:hAnsi="Times New Roman" w:cs="Times New Roman"/>
          <w:sz w:val="24"/>
          <w:szCs w:val="24"/>
          <w:lang w:val="it-IT"/>
        </w:rPr>
        <w:t>quali lingue usare</w:t>
      </w:r>
      <w:r w:rsidR="00D9583D" w:rsidRPr="006F07C8">
        <w:rPr>
          <w:rFonts w:ascii="Times New Roman" w:hAnsi="Times New Roman" w:cs="Times New Roman"/>
          <w:sz w:val="24"/>
          <w:szCs w:val="24"/>
          <w:lang w:val="it-IT"/>
        </w:rPr>
        <w:t xml:space="preserve"> e</w:t>
      </w:r>
      <w:r w:rsidR="00E93E7D" w:rsidRPr="006F07C8">
        <w:rPr>
          <w:rFonts w:ascii="Times New Roman" w:hAnsi="Times New Roman" w:cs="Times New Roman"/>
          <w:sz w:val="24"/>
          <w:szCs w:val="24"/>
          <w:lang w:val="it-IT"/>
        </w:rPr>
        <w:t xml:space="preserve"> imparare</w:t>
      </w:r>
      <w:r w:rsidR="00F40B71" w:rsidRPr="006F07C8">
        <w:rPr>
          <w:rFonts w:ascii="Times New Roman" w:hAnsi="Times New Roman" w:cs="Times New Roman"/>
          <w:sz w:val="24"/>
          <w:szCs w:val="24"/>
          <w:lang w:val="it-IT"/>
        </w:rPr>
        <w:t xml:space="preserve">. </w:t>
      </w:r>
      <w:r w:rsidR="00F914BC" w:rsidRPr="006F07C8">
        <w:rPr>
          <w:rFonts w:ascii="Times New Roman" w:hAnsi="Times New Roman" w:cs="Times New Roman"/>
          <w:sz w:val="24"/>
          <w:szCs w:val="24"/>
          <w:lang w:val="it-IT"/>
        </w:rPr>
        <w:t xml:space="preserve">Come nota Robichaud, il </w:t>
      </w:r>
      <w:r w:rsidR="00F914BC" w:rsidRPr="006F07C8">
        <w:rPr>
          <w:rFonts w:ascii="Times New Roman" w:hAnsi="Times New Roman" w:cs="Times New Roman"/>
          <w:i/>
          <w:sz w:val="24"/>
          <w:szCs w:val="24"/>
          <w:lang w:val="it-IT"/>
        </w:rPr>
        <w:t xml:space="preserve">laissez-faire </w:t>
      </w:r>
      <w:r w:rsidR="00F914BC" w:rsidRPr="006F07C8">
        <w:rPr>
          <w:rFonts w:ascii="Times New Roman" w:hAnsi="Times New Roman" w:cs="Times New Roman"/>
          <w:sz w:val="24"/>
          <w:szCs w:val="24"/>
          <w:lang w:val="it-IT"/>
        </w:rPr>
        <w:t xml:space="preserve">linguistico </w:t>
      </w:r>
      <w:r w:rsidR="00015622" w:rsidRPr="006F07C8">
        <w:rPr>
          <w:rFonts w:ascii="Times New Roman" w:hAnsi="Times New Roman" w:cs="Times New Roman"/>
          <w:sz w:val="24"/>
          <w:szCs w:val="24"/>
          <w:lang w:val="it-IT"/>
        </w:rPr>
        <w:t>presupporrebb</w:t>
      </w:r>
      <w:r w:rsidR="00F914BC" w:rsidRPr="006F07C8">
        <w:rPr>
          <w:rFonts w:ascii="Times New Roman" w:hAnsi="Times New Roman" w:cs="Times New Roman"/>
          <w:sz w:val="24"/>
          <w:szCs w:val="24"/>
          <w:lang w:val="it-IT"/>
        </w:rPr>
        <w:t>e “un contesto d’interazione fra individui che non si riscontra nella realtà” (</w:t>
      </w:r>
      <w:hyperlink w:anchor="_ENREF_66" w:tooltip="Robichaud, 2011 #943" w:history="1">
        <w:r w:rsidR="00101624" w:rsidRPr="006F07C8">
          <w:rPr>
            <w:rFonts w:ascii="Times New Roman" w:hAnsi="Times New Roman" w:cs="Times New Roman"/>
            <w:sz w:val="24"/>
            <w:szCs w:val="24"/>
            <w:lang w:val="it-IT"/>
          </w:rPr>
          <w:fldChar w:fldCharType="begin"/>
        </w:r>
        <w:r w:rsidR="00101624" w:rsidRPr="006F07C8">
          <w:rPr>
            <w:rFonts w:ascii="Times New Roman" w:hAnsi="Times New Roman" w:cs="Times New Roman"/>
            <w:sz w:val="24"/>
            <w:szCs w:val="24"/>
            <w:lang w:val="it-IT"/>
          </w:rPr>
          <w:instrText xml:space="preserve"> ADDIN EN.CITE &lt;EndNote&gt;&lt;Cite&gt;&lt;Author&gt;Robichaud&lt;/Author&gt;&lt;Year&gt;2011&lt;/Year&gt;&lt;RecNum&gt;943&lt;/RecNum&gt;&lt;Pages&gt;420&lt;/Pages&gt;&lt;DisplayText&gt;Robichaud 2011: 420&lt;/DisplayText&gt;&lt;record&gt;&lt;rec-number&gt;943&lt;/rec-number&gt;&lt;foreign-keys&gt;&lt;key app="EN" db-id="wvvszzd93a0z5wesdfpvdv9z5wrra5p05axp"&gt;943&lt;/key&gt;&lt;/foreign-keys&gt;&lt;ref-type name="Journal Article"&gt;17&lt;/ref-type&gt;&lt;contributors&gt;&lt;authors&gt;&lt;author&gt;Robichaud, David&lt;/author&gt;&lt;/authors&gt;&lt;/contributors&gt;&lt;titles&gt;&lt;title&gt;Justice et politiques linguistiques: Pourquoi les laisser-fairistes devraient exiger des interventions de l’État&lt;/title&gt;&lt;secondary-title&gt;Philosophiques&lt;/secondary-title&gt;&lt;/titles&gt;&lt;periodical&gt;&lt;full-title&gt;Philosophiques&lt;/full-title&gt;&lt;/periodical&gt;&lt;pages&gt;419-438&lt;/pages&gt;&lt;volume&gt;38&lt;/volume&gt;&lt;number&gt;2&lt;/number&gt;&lt;dates&gt;&lt;year&gt;2011&lt;/year&gt;&lt;/dates&gt;&lt;urls&gt;&lt;/urls&gt;&lt;electronic-resource-num&gt;10.7202/1007458ar&lt;/electronic-resource-num&gt;&lt;/record&gt;&lt;/Cite&gt;&lt;/EndNote&gt;</w:instrText>
        </w:r>
        <w:r w:rsidR="00101624" w:rsidRPr="006F07C8">
          <w:rPr>
            <w:rFonts w:ascii="Times New Roman" w:hAnsi="Times New Roman" w:cs="Times New Roman"/>
            <w:sz w:val="24"/>
            <w:szCs w:val="24"/>
            <w:lang w:val="it-IT"/>
          </w:rPr>
          <w:fldChar w:fldCharType="separate"/>
        </w:r>
        <w:r w:rsidR="00101624" w:rsidRPr="006F07C8">
          <w:rPr>
            <w:rFonts w:ascii="Times New Roman" w:hAnsi="Times New Roman" w:cs="Times New Roman"/>
            <w:noProof/>
            <w:sz w:val="24"/>
            <w:szCs w:val="24"/>
            <w:lang w:val="it-IT"/>
          </w:rPr>
          <w:t>Robichaud 2011: 420</w:t>
        </w:r>
        <w:r w:rsidR="00101624" w:rsidRPr="006F07C8">
          <w:rPr>
            <w:rFonts w:ascii="Times New Roman" w:hAnsi="Times New Roman" w:cs="Times New Roman"/>
            <w:sz w:val="24"/>
            <w:szCs w:val="24"/>
            <w:lang w:val="it-IT"/>
          </w:rPr>
          <w:fldChar w:fldCharType="end"/>
        </w:r>
      </w:hyperlink>
      <w:r w:rsidR="00F914BC" w:rsidRPr="006F07C8">
        <w:rPr>
          <w:rFonts w:ascii="Times New Roman" w:hAnsi="Times New Roman" w:cs="Times New Roman"/>
          <w:sz w:val="24"/>
          <w:szCs w:val="24"/>
          <w:lang w:val="it-IT"/>
        </w:rPr>
        <w:t>).</w:t>
      </w:r>
      <w:r w:rsidR="00F40B71" w:rsidRPr="006F07C8">
        <w:rPr>
          <w:rFonts w:ascii="Times New Roman" w:hAnsi="Times New Roman" w:cs="Times New Roman"/>
          <w:sz w:val="24"/>
          <w:szCs w:val="24"/>
          <w:lang w:val="it-IT"/>
        </w:rPr>
        <w:t xml:space="preserve"> </w:t>
      </w:r>
    </w:p>
    <w:p w:rsidR="0093246A" w:rsidRPr="006F07C8" w:rsidRDefault="00F40B71" w:rsidP="002F52A9">
      <w:pPr>
        <w:spacing w:line="240" w:lineRule="auto"/>
        <w:jc w:val="both"/>
        <w:rPr>
          <w:rFonts w:ascii="Times New Roman" w:hAnsi="Times New Roman" w:cs="Times New Roman"/>
          <w:sz w:val="24"/>
          <w:szCs w:val="24"/>
          <w:lang w:val="it-IT"/>
        </w:rPr>
      </w:pPr>
      <w:r w:rsidRPr="006F07C8">
        <w:rPr>
          <w:rFonts w:ascii="Times New Roman" w:hAnsi="Times New Roman" w:cs="Times New Roman"/>
          <w:sz w:val="24"/>
          <w:szCs w:val="24"/>
          <w:lang w:val="it-IT"/>
        </w:rPr>
        <w:t xml:space="preserve">Viene meno quindi non solo il significato del termine “mercato delle lingue”, ma anche ogni presunta superiorità del </w:t>
      </w:r>
      <w:r w:rsidRPr="006F07C8">
        <w:rPr>
          <w:rFonts w:ascii="Times New Roman" w:hAnsi="Times New Roman" w:cs="Times New Roman"/>
          <w:i/>
          <w:sz w:val="24"/>
          <w:szCs w:val="24"/>
          <w:lang w:val="it-IT"/>
        </w:rPr>
        <w:t xml:space="preserve">laissez-faire </w:t>
      </w:r>
      <w:r w:rsidRPr="006F07C8">
        <w:rPr>
          <w:rFonts w:ascii="Times New Roman" w:hAnsi="Times New Roman" w:cs="Times New Roman"/>
          <w:sz w:val="24"/>
          <w:szCs w:val="24"/>
          <w:lang w:val="it-IT"/>
        </w:rPr>
        <w:t xml:space="preserve">linguistico rispetto alla pianificazione linguistica. Poiché </w:t>
      </w:r>
      <w:r w:rsidRPr="006F07C8">
        <w:rPr>
          <w:rFonts w:ascii="Times New Roman" w:hAnsi="Times New Roman" w:cs="Times New Roman"/>
          <w:sz w:val="24"/>
          <w:szCs w:val="24"/>
          <w:lang w:val="it-IT"/>
        </w:rPr>
        <w:lastRenderedPageBreak/>
        <w:t xml:space="preserve">è inevitabile </w:t>
      </w:r>
      <w:r w:rsidR="00936182" w:rsidRPr="006F07C8">
        <w:rPr>
          <w:rFonts w:ascii="Times New Roman" w:hAnsi="Times New Roman" w:cs="Times New Roman"/>
          <w:sz w:val="24"/>
          <w:szCs w:val="24"/>
          <w:lang w:val="it-IT"/>
        </w:rPr>
        <w:t>u</w:t>
      </w:r>
      <w:r w:rsidR="00146E19" w:rsidRPr="006F07C8">
        <w:rPr>
          <w:rFonts w:ascii="Times New Roman" w:hAnsi="Times New Roman" w:cs="Times New Roman"/>
          <w:sz w:val="24"/>
          <w:szCs w:val="24"/>
          <w:lang w:val="it-IT"/>
        </w:rPr>
        <w:t>n certo grado di pianificazione linguistica</w:t>
      </w:r>
      <w:r w:rsidR="00936182" w:rsidRPr="006F07C8">
        <w:rPr>
          <w:rFonts w:ascii="Times New Roman" w:hAnsi="Times New Roman" w:cs="Times New Roman"/>
          <w:sz w:val="24"/>
          <w:szCs w:val="24"/>
          <w:lang w:val="it-IT"/>
        </w:rPr>
        <w:t xml:space="preserve"> </w:t>
      </w:r>
      <w:r w:rsidR="000462BF" w:rsidRPr="006F07C8">
        <w:rPr>
          <w:rFonts w:ascii="Times New Roman" w:hAnsi="Times New Roman" w:cs="Times New Roman"/>
          <w:sz w:val="24"/>
          <w:szCs w:val="24"/>
          <w:lang w:val="it-IT"/>
        </w:rPr>
        <w:t xml:space="preserve">a livello di </w:t>
      </w:r>
      <w:r w:rsidR="000462BF" w:rsidRPr="006F07C8">
        <w:rPr>
          <w:rFonts w:ascii="Times New Roman" w:hAnsi="Times New Roman" w:cs="Times New Roman"/>
          <w:i/>
          <w:sz w:val="24"/>
          <w:szCs w:val="24"/>
          <w:lang w:val="it-IT"/>
        </w:rPr>
        <w:t>status</w:t>
      </w:r>
      <w:r w:rsidR="000462BF" w:rsidRPr="006F07C8">
        <w:rPr>
          <w:rFonts w:ascii="Times New Roman" w:hAnsi="Times New Roman" w:cs="Times New Roman"/>
          <w:sz w:val="24"/>
          <w:szCs w:val="24"/>
          <w:lang w:val="it-IT"/>
        </w:rPr>
        <w:t xml:space="preserve">, </w:t>
      </w:r>
      <w:r w:rsidR="000462BF" w:rsidRPr="006F07C8">
        <w:rPr>
          <w:rFonts w:ascii="Times New Roman" w:hAnsi="Times New Roman" w:cs="Times New Roman"/>
          <w:i/>
          <w:sz w:val="24"/>
          <w:szCs w:val="24"/>
          <w:lang w:val="it-IT"/>
        </w:rPr>
        <w:t>corpus</w:t>
      </w:r>
      <w:r w:rsidR="00247984" w:rsidRPr="006F07C8">
        <w:rPr>
          <w:rFonts w:ascii="Times New Roman" w:hAnsi="Times New Roman" w:cs="Times New Roman"/>
          <w:sz w:val="24"/>
          <w:szCs w:val="24"/>
          <w:lang w:val="it-IT"/>
        </w:rPr>
        <w:t>,</w:t>
      </w:r>
      <w:r w:rsidR="000462BF" w:rsidRPr="006F07C8">
        <w:rPr>
          <w:rFonts w:ascii="Times New Roman" w:hAnsi="Times New Roman" w:cs="Times New Roman"/>
          <w:sz w:val="24"/>
          <w:szCs w:val="24"/>
          <w:lang w:val="it-IT"/>
        </w:rPr>
        <w:t xml:space="preserve"> acquisizione, oppure a una combinazione </w:t>
      </w:r>
      <w:r w:rsidR="00247984" w:rsidRPr="006F07C8">
        <w:rPr>
          <w:rFonts w:ascii="Times New Roman" w:hAnsi="Times New Roman" w:cs="Times New Roman"/>
          <w:sz w:val="24"/>
          <w:szCs w:val="24"/>
          <w:lang w:val="it-IT"/>
        </w:rPr>
        <w:t xml:space="preserve">qualsiasi </w:t>
      </w:r>
      <w:r w:rsidR="000462BF" w:rsidRPr="006F07C8">
        <w:rPr>
          <w:rFonts w:ascii="Times New Roman" w:hAnsi="Times New Roman" w:cs="Times New Roman"/>
          <w:sz w:val="24"/>
          <w:szCs w:val="24"/>
          <w:lang w:val="it-IT"/>
        </w:rPr>
        <w:t>di questi livelli</w:t>
      </w:r>
      <w:r w:rsidRPr="006F07C8">
        <w:rPr>
          <w:rFonts w:ascii="Times New Roman" w:hAnsi="Times New Roman" w:cs="Times New Roman"/>
          <w:sz w:val="24"/>
          <w:szCs w:val="24"/>
          <w:lang w:val="it-IT"/>
        </w:rPr>
        <w:t>,</w:t>
      </w:r>
      <w:r w:rsidR="00146E19" w:rsidRPr="006F07C8">
        <w:rPr>
          <w:rFonts w:ascii="Times New Roman" w:hAnsi="Times New Roman" w:cs="Times New Roman"/>
          <w:sz w:val="24"/>
          <w:szCs w:val="24"/>
          <w:lang w:val="it-IT"/>
        </w:rPr>
        <w:t xml:space="preserve"> </w:t>
      </w:r>
      <w:r w:rsidRPr="006F07C8">
        <w:rPr>
          <w:rFonts w:ascii="Times New Roman" w:hAnsi="Times New Roman" w:cs="Times New Roman"/>
          <w:sz w:val="24"/>
          <w:szCs w:val="24"/>
          <w:lang w:val="it-IT"/>
        </w:rPr>
        <w:t>l</w:t>
      </w:r>
      <w:r w:rsidR="00146E19" w:rsidRPr="006F07C8">
        <w:rPr>
          <w:rFonts w:ascii="Times New Roman" w:hAnsi="Times New Roman" w:cs="Times New Roman"/>
          <w:sz w:val="24"/>
          <w:szCs w:val="24"/>
          <w:lang w:val="it-IT"/>
        </w:rPr>
        <w:t>a corretta distinzione</w:t>
      </w:r>
      <w:r w:rsidR="00C41370" w:rsidRPr="006F07C8">
        <w:rPr>
          <w:rFonts w:ascii="Times New Roman" w:hAnsi="Times New Roman" w:cs="Times New Roman"/>
          <w:sz w:val="24"/>
          <w:szCs w:val="24"/>
          <w:lang w:val="it-IT"/>
        </w:rPr>
        <w:t xml:space="preserve"> da fare</w:t>
      </w:r>
      <w:r w:rsidR="00146E19" w:rsidRPr="006F07C8">
        <w:rPr>
          <w:rFonts w:ascii="Times New Roman" w:hAnsi="Times New Roman" w:cs="Times New Roman"/>
          <w:sz w:val="24"/>
          <w:szCs w:val="24"/>
          <w:lang w:val="it-IT"/>
        </w:rPr>
        <w:t xml:space="preserve"> non è </w:t>
      </w:r>
      <w:r w:rsidRPr="006F07C8">
        <w:rPr>
          <w:rFonts w:ascii="Times New Roman" w:hAnsi="Times New Roman" w:cs="Times New Roman"/>
          <w:sz w:val="24"/>
          <w:szCs w:val="24"/>
          <w:lang w:val="it-IT"/>
        </w:rPr>
        <w:t xml:space="preserve">quella </w:t>
      </w:r>
      <w:r w:rsidR="00146E19" w:rsidRPr="006F07C8">
        <w:rPr>
          <w:rFonts w:ascii="Times New Roman" w:hAnsi="Times New Roman" w:cs="Times New Roman"/>
          <w:sz w:val="24"/>
          <w:szCs w:val="24"/>
          <w:lang w:val="it-IT"/>
        </w:rPr>
        <w:t xml:space="preserve">fra </w:t>
      </w:r>
      <w:r w:rsidR="00146E19" w:rsidRPr="006F07C8">
        <w:rPr>
          <w:rFonts w:ascii="Times New Roman" w:hAnsi="Times New Roman" w:cs="Times New Roman"/>
          <w:i/>
          <w:sz w:val="24"/>
          <w:szCs w:val="24"/>
          <w:lang w:val="it-IT"/>
        </w:rPr>
        <w:t>laissez-faire</w:t>
      </w:r>
      <w:r w:rsidR="00146E19" w:rsidRPr="006F07C8">
        <w:rPr>
          <w:rFonts w:ascii="Times New Roman" w:hAnsi="Times New Roman" w:cs="Times New Roman"/>
          <w:sz w:val="24"/>
          <w:szCs w:val="24"/>
          <w:lang w:val="it-IT"/>
        </w:rPr>
        <w:t xml:space="preserve"> linguistico e pianificazione linguistica (o politica linguistica), ma </w:t>
      </w:r>
      <w:r w:rsidR="00C41370" w:rsidRPr="006F07C8">
        <w:rPr>
          <w:rFonts w:ascii="Times New Roman" w:hAnsi="Times New Roman" w:cs="Times New Roman"/>
          <w:sz w:val="24"/>
          <w:szCs w:val="24"/>
          <w:lang w:val="it-IT"/>
        </w:rPr>
        <w:t xml:space="preserve">solo </w:t>
      </w:r>
      <w:r w:rsidR="00247984" w:rsidRPr="006F07C8">
        <w:rPr>
          <w:rFonts w:ascii="Times New Roman" w:hAnsi="Times New Roman" w:cs="Times New Roman"/>
          <w:sz w:val="24"/>
          <w:szCs w:val="24"/>
          <w:lang w:val="it-IT"/>
        </w:rPr>
        <w:t>fra gradi diversi</w:t>
      </w:r>
      <w:r w:rsidR="00C41370" w:rsidRPr="006F07C8">
        <w:rPr>
          <w:rFonts w:ascii="Times New Roman" w:hAnsi="Times New Roman" w:cs="Times New Roman"/>
          <w:sz w:val="24"/>
          <w:szCs w:val="24"/>
          <w:lang w:val="it-IT"/>
        </w:rPr>
        <w:t xml:space="preserve"> di intensità e pervasività di </w:t>
      </w:r>
      <w:r w:rsidR="00146E19" w:rsidRPr="006F07C8">
        <w:rPr>
          <w:rFonts w:ascii="Times New Roman" w:hAnsi="Times New Roman" w:cs="Times New Roman"/>
          <w:sz w:val="24"/>
          <w:szCs w:val="24"/>
          <w:lang w:val="it-IT"/>
        </w:rPr>
        <w:t>regolamentazione linguistica</w:t>
      </w:r>
      <w:r w:rsidR="00C41370" w:rsidRPr="006F07C8">
        <w:rPr>
          <w:rFonts w:ascii="Times New Roman" w:hAnsi="Times New Roman" w:cs="Times New Roman"/>
          <w:sz w:val="24"/>
          <w:szCs w:val="24"/>
          <w:lang w:val="it-IT"/>
        </w:rPr>
        <w:t xml:space="preserve"> </w:t>
      </w:r>
      <w:r w:rsidR="00247984" w:rsidRPr="006F07C8">
        <w:rPr>
          <w:rFonts w:ascii="Times New Roman" w:hAnsi="Times New Roman" w:cs="Times New Roman"/>
          <w:sz w:val="24"/>
          <w:szCs w:val="24"/>
          <w:lang w:val="it-IT"/>
        </w:rPr>
        <w:t xml:space="preserve">in un </w:t>
      </w:r>
      <w:r w:rsidR="00E47065" w:rsidRPr="006F07C8">
        <w:rPr>
          <w:rFonts w:ascii="Times New Roman" w:hAnsi="Times New Roman" w:cs="Times New Roman"/>
          <w:sz w:val="24"/>
          <w:szCs w:val="24"/>
          <w:lang w:val="it-IT"/>
        </w:rPr>
        <w:t xml:space="preserve">determinato ambiente </w:t>
      </w:r>
      <w:r w:rsidR="005F1449" w:rsidRPr="006F07C8">
        <w:rPr>
          <w:rFonts w:ascii="Times New Roman" w:hAnsi="Times New Roman" w:cs="Times New Roman"/>
          <w:sz w:val="24"/>
          <w:szCs w:val="24"/>
          <w:lang w:val="it-IT"/>
        </w:rPr>
        <w:t>socio</w:t>
      </w:r>
      <w:r w:rsidR="00E47065" w:rsidRPr="006F07C8">
        <w:rPr>
          <w:rFonts w:ascii="Times New Roman" w:hAnsi="Times New Roman" w:cs="Times New Roman"/>
          <w:sz w:val="24"/>
          <w:szCs w:val="24"/>
          <w:lang w:val="it-IT"/>
        </w:rPr>
        <w:t>linguistico</w:t>
      </w:r>
      <w:r w:rsidR="00DA40FB" w:rsidRPr="006F07C8">
        <w:rPr>
          <w:rFonts w:ascii="Times New Roman" w:hAnsi="Times New Roman" w:cs="Times New Roman"/>
          <w:sz w:val="24"/>
          <w:szCs w:val="24"/>
          <w:lang w:val="it-IT"/>
        </w:rPr>
        <w:t>.</w:t>
      </w:r>
      <w:r w:rsidR="0076527E" w:rsidRPr="006F07C8">
        <w:rPr>
          <w:rFonts w:ascii="Times New Roman" w:hAnsi="Times New Roman" w:cs="Times New Roman"/>
          <w:sz w:val="24"/>
          <w:szCs w:val="24"/>
          <w:lang w:val="it-IT"/>
        </w:rPr>
        <w:t xml:space="preserve"> </w:t>
      </w:r>
      <w:r w:rsidRPr="006F07C8">
        <w:rPr>
          <w:rFonts w:ascii="Times New Roman" w:hAnsi="Times New Roman" w:cs="Times New Roman"/>
          <w:sz w:val="24"/>
          <w:szCs w:val="24"/>
          <w:lang w:val="it-IT"/>
        </w:rPr>
        <w:t>Certo, l</w:t>
      </w:r>
      <w:r w:rsidR="00015622" w:rsidRPr="006F07C8">
        <w:rPr>
          <w:rFonts w:ascii="Times New Roman" w:hAnsi="Times New Roman" w:cs="Times New Roman"/>
          <w:sz w:val="24"/>
          <w:szCs w:val="24"/>
          <w:lang w:val="it-IT"/>
        </w:rPr>
        <w:t>o Stato può essere più o meno interventista in materia di lingu</w:t>
      </w:r>
      <w:r w:rsidRPr="006F07C8">
        <w:rPr>
          <w:rFonts w:ascii="Times New Roman" w:hAnsi="Times New Roman" w:cs="Times New Roman"/>
          <w:sz w:val="24"/>
          <w:szCs w:val="24"/>
          <w:lang w:val="it-IT"/>
        </w:rPr>
        <w:t>e</w:t>
      </w:r>
      <w:r w:rsidR="00015622" w:rsidRPr="006F07C8">
        <w:rPr>
          <w:rFonts w:ascii="Times New Roman" w:hAnsi="Times New Roman" w:cs="Times New Roman"/>
          <w:sz w:val="24"/>
          <w:szCs w:val="24"/>
          <w:lang w:val="it-IT"/>
        </w:rPr>
        <w:t xml:space="preserve">, ma non può astenersi del tutto dal fare delle scelte linguistiche. </w:t>
      </w:r>
      <w:r w:rsidR="0076527E" w:rsidRPr="006F07C8">
        <w:rPr>
          <w:rFonts w:ascii="Times New Roman" w:hAnsi="Times New Roman" w:cs="Times New Roman"/>
          <w:sz w:val="24"/>
          <w:szCs w:val="24"/>
          <w:lang w:val="it-IT"/>
        </w:rPr>
        <w:t xml:space="preserve">È forse vero che la cosiddetta “globalizzazione” ha indebolito la capacità e l’incisività d’azione degli Stati nazionali, ma è anche vero che essa ha rafforzato </w:t>
      </w:r>
      <w:r w:rsidR="000575E1" w:rsidRPr="006F07C8">
        <w:rPr>
          <w:rFonts w:ascii="Times New Roman" w:hAnsi="Times New Roman" w:cs="Times New Roman"/>
          <w:sz w:val="24"/>
          <w:szCs w:val="24"/>
          <w:lang w:val="it-IT"/>
        </w:rPr>
        <w:t>il ruolo delle organizzazioni internazionali e sovranazionali, le quali, inevitabilmente, sono anch’esse coinvolte nelle dinamiche sociolinguistiche.</w:t>
      </w:r>
    </w:p>
    <w:p w:rsidR="00DA40FB" w:rsidRPr="006F07C8" w:rsidRDefault="00C41370" w:rsidP="002F52A9">
      <w:pPr>
        <w:spacing w:line="240" w:lineRule="auto"/>
        <w:jc w:val="both"/>
        <w:rPr>
          <w:rFonts w:ascii="Times New Roman" w:hAnsi="Times New Roman" w:cs="Times New Roman"/>
          <w:sz w:val="24"/>
          <w:szCs w:val="24"/>
          <w:lang w:val="it-IT"/>
        </w:rPr>
      </w:pPr>
      <w:r w:rsidRPr="006F07C8">
        <w:rPr>
          <w:rFonts w:ascii="Times New Roman" w:hAnsi="Times New Roman" w:cs="Times New Roman"/>
          <w:sz w:val="24"/>
          <w:szCs w:val="24"/>
          <w:lang w:val="it-IT"/>
        </w:rPr>
        <w:t xml:space="preserve">La questione </w:t>
      </w:r>
      <w:r w:rsidR="000575E1" w:rsidRPr="006F07C8">
        <w:rPr>
          <w:rFonts w:ascii="Times New Roman" w:hAnsi="Times New Roman" w:cs="Times New Roman"/>
          <w:sz w:val="24"/>
          <w:szCs w:val="24"/>
          <w:lang w:val="it-IT"/>
        </w:rPr>
        <w:t xml:space="preserve">insomma </w:t>
      </w:r>
      <w:r w:rsidRPr="006F07C8">
        <w:rPr>
          <w:rFonts w:ascii="Times New Roman" w:hAnsi="Times New Roman" w:cs="Times New Roman"/>
          <w:sz w:val="24"/>
          <w:szCs w:val="24"/>
          <w:lang w:val="it-IT"/>
        </w:rPr>
        <w:t>si sposta dal “se” avere una politica linguistica al “quale” politi</w:t>
      </w:r>
      <w:r w:rsidR="00DA40FB" w:rsidRPr="006F07C8">
        <w:rPr>
          <w:rFonts w:ascii="Times New Roman" w:hAnsi="Times New Roman" w:cs="Times New Roman"/>
          <w:sz w:val="24"/>
          <w:szCs w:val="24"/>
          <w:lang w:val="it-IT"/>
        </w:rPr>
        <w:t xml:space="preserve">ca linguistica mettere in atto fra </w:t>
      </w:r>
      <w:r w:rsidR="00C30945" w:rsidRPr="006F07C8">
        <w:rPr>
          <w:rFonts w:ascii="Times New Roman" w:hAnsi="Times New Roman" w:cs="Times New Roman"/>
          <w:sz w:val="24"/>
          <w:szCs w:val="24"/>
          <w:lang w:val="it-IT"/>
        </w:rPr>
        <w:t>le alternative</w:t>
      </w:r>
      <w:r w:rsidR="00DA40FB" w:rsidRPr="006F07C8">
        <w:rPr>
          <w:rFonts w:ascii="Times New Roman" w:hAnsi="Times New Roman" w:cs="Times New Roman"/>
          <w:sz w:val="24"/>
          <w:szCs w:val="24"/>
          <w:lang w:val="it-IT"/>
        </w:rPr>
        <w:t xml:space="preserve"> possibili</w:t>
      </w:r>
      <w:r w:rsidR="00E47065" w:rsidRPr="006F07C8">
        <w:rPr>
          <w:rFonts w:ascii="Times New Roman" w:hAnsi="Times New Roman" w:cs="Times New Roman"/>
          <w:sz w:val="24"/>
          <w:szCs w:val="24"/>
          <w:lang w:val="it-IT"/>
        </w:rPr>
        <w:t xml:space="preserve">, </w:t>
      </w:r>
      <w:r w:rsidR="00EA67A7" w:rsidRPr="006F07C8">
        <w:rPr>
          <w:rFonts w:ascii="Times New Roman" w:hAnsi="Times New Roman" w:cs="Times New Roman"/>
          <w:sz w:val="24"/>
          <w:szCs w:val="24"/>
          <w:lang w:val="it-IT"/>
        </w:rPr>
        <w:t xml:space="preserve">si tratti di politiche </w:t>
      </w:r>
      <w:r w:rsidR="00E47065" w:rsidRPr="006F07C8">
        <w:rPr>
          <w:rFonts w:ascii="Times New Roman" w:hAnsi="Times New Roman" w:cs="Times New Roman"/>
          <w:sz w:val="24"/>
          <w:szCs w:val="24"/>
          <w:lang w:val="it-IT"/>
        </w:rPr>
        <w:t xml:space="preserve">esplicite o </w:t>
      </w:r>
      <w:r w:rsidR="000575E1" w:rsidRPr="006F07C8">
        <w:rPr>
          <w:rFonts w:ascii="Times New Roman" w:hAnsi="Times New Roman" w:cs="Times New Roman"/>
          <w:sz w:val="24"/>
          <w:szCs w:val="24"/>
          <w:lang w:val="it-IT"/>
        </w:rPr>
        <w:t>di fatto</w:t>
      </w:r>
      <w:r w:rsidR="00DA40FB" w:rsidRPr="006F07C8">
        <w:rPr>
          <w:rFonts w:ascii="Times New Roman" w:hAnsi="Times New Roman" w:cs="Times New Roman"/>
          <w:sz w:val="24"/>
          <w:szCs w:val="24"/>
          <w:lang w:val="it-IT"/>
        </w:rPr>
        <w:t>.</w:t>
      </w:r>
      <w:r w:rsidR="00E47065" w:rsidRPr="006F07C8">
        <w:rPr>
          <w:rStyle w:val="FootnoteReference"/>
          <w:rFonts w:ascii="Times New Roman" w:hAnsi="Times New Roman" w:cs="Times New Roman"/>
          <w:sz w:val="24"/>
          <w:szCs w:val="24"/>
          <w:lang w:val="it-IT"/>
        </w:rPr>
        <w:footnoteReference w:id="8"/>
      </w:r>
      <w:r w:rsidR="00DA40FB" w:rsidRPr="006F07C8">
        <w:rPr>
          <w:rFonts w:ascii="Times New Roman" w:hAnsi="Times New Roman" w:cs="Times New Roman"/>
          <w:sz w:val="24"/>
          <w:szCs w:val="24"/>
          <w:lang w:val="it-IT"/>
        </w:rPr>
        <w:t xml:space="preserve"> </w:t>
      </w:r>
      <w:r w:rsidR="00C30945" w:rsidRPr="006F07C8">
        <w:rPr>
          <w:rFonts w:ascii="Times New Roman" w:hAnsi="Times New Roman" w:cs="Times New Roman"/>
          <w:sz w:val="24"/>
          <w:szCs w:val="24"/>
          <w:lang w:val="it-IT"/>
        </w:rPr>
        <w:t>Di qui l’</w:t>
      </w:r>
      <w:r w:rsidR="00C77EAE" w:rsidRPr="006F07C8">
        <w:rPr>
          <w:rFonts w:ascii="Times New Roman" w:hAnsi="Times New Roman" w:cs="Times New Roman"/>
          <w:sz w:val="24"/>
          <w:szCs w:val="24"/>
          <w:lang w:val="it-IT"/>
        </w:rPr>
        <w:t xml:space="preserve">importanza della valutazione, cioè </w:t>
      </w:r>
      <w:r w:rsidR="001D4E1B" w:rsidRPr="006F07C8">
        <w:rPr>
          <w:rFonts w:ascii="Times New Roman" w:hAnsi="Times New Roman" w:cs="Times New Roman"/>
          <w:sz w:val="24"/>
          <w:szCs w:val="24"/>
          <w:lang w:val="it-IT"/>
        </w:rPr>
        <w:t>l’esame approfondito dei presupporti</w:t>
      </w:r>
      <w:r w:rsidR="00EA67A7" w:rsidRPr="006F07C8">
        <w:rPr>
          <w:rFonts w:ascii="Times New Roman" w:hAnsi="Times New Roman" w:cs="Times New Roman"/>
          <w:sz w:val="24"/>
          <w:szCs w:val="24"/>
          <w:lang w:val="it-IT"/>
        </w:rPr>
        <w:t xml:space="preserve">, degli obiettivi e </w:t>
      </w:r>
      <w:r w:rsidR="001D4E1B" w:rsidRPr="006F07C8">
        <w:rPr>
          <w:rFonts w:ascii="Times New Roman" w:hAnsi="Times New Roman" w:cs="Times New Roman"/>
          <w:sz w:val="24"/>
          <w:szCs w:val="24"/>
          <w:lang w:val="it-IT"/>
        </w:rPr>
        <w:t xml:space="preserve">dei costi delle politiche linguistiche </w:t>
      </w:r>
      <w:r w:rsidR="00EA67A7" w:rsidRPr="006F07C8">
        <w:rPr>
          <w:rFonts w:ascii="Times New Roman" w:hAnsi="Times New Roman" w:cs="Times New Roman"/>
          <w:sz w:val="24"/>
          <w:szCs w:val="24"/>
          <w:lang w:val="it-IT"/>
        </w:rPr>
        <w:t>nonché d</w:t>
      </w:r>
      <w:r w:rsidR="001D4E1B" w:rsidRPr="006F07C8">
        <w:rPr>
          <w:rFonts w:ascii="Times New Roman" w:hAnsi="Times New Roman" w:cs="Times New Roman"/>
          <w:sz w:val="24"/>
          <w:szCs w:val="24"/>
          <w:lang w:val="it-IT"/>
        </w:rPr>
        <w:t>ei loro effetti su</w:t>
      </w:r>
      <w:r w:rsidR="006617F4" w:rsidRPr="006F07C8">
        <w:rPr>
          <w:rFonts w:ascii="Times New Roman" w:hAnsi="Times New Roman" w:cs="Times New Roman"/>
          <w:sz w:val="24"/>
          <w:szCs w:val="24"/>
          <w:lang w:val="it-IT"/>
        </w:rPr>
        <w:t xml:space="preserve">lla popolazione obiettivo e in generale sui legittimi portatori di interessi </w:t>
      </w:r>
      <w:r w:rsidR="00BD7C0C" w:rsidRPr="006F07C8">
        <w:rPr>
          <w:rFonts w:ascii="Times New Roman" w:hAnsi="Times New Roman" w:cs="Times New Roman"/>
          <w:sz w:val="24"/>
          <w:szCs w:val="24"/>
          <w:lang w:val="it-IT"/>
        </w:rPr>
        <w:t>(</w:t>
      </w:r>
      <w:r w:rsidR="00BE16BF" w:rsidRPr="006F07C8">
        <w:rPr>
          <w:rFonts w:ascii="Times New Roman" w:hAnsi="Times New Roman" w:cs="Times New Roman"/>
          <w:sz w:val="24"/>
          <w:szCs w:val="24"/>
          <w:lang w:val="it-IT"/>
        </w:rPr>
        <w:t xml:space="preserve">ad </w:t>
      </w:r>
      <w:r w:rsidR="00BD7C0C" w:rsidRPr="006F07C8">
        <w:rPr>
          <w:rFonts w:ascii="Times New Roman" w:hAnsi="Times New Roman" w:cs="Times New Roman"/>
          <w:sz w:val="24"/>
          <w:szCs w:val="24"/>
          <w:lang w:val="it-IT"/>
        </w:rPr>
        <w:t xml:space="preserve">esempio, </w:t>
      </w:r>
      <w:r w:rsidR="00BE16BF" w:rsidRPr="006F07C8">
        <w:rPr>
          <w:rFonts w:ascii="Times New Roman" w:hAnsi="Times New Roman" w:cs="Times New Roman"/>
          <w:sz w:val="24"/>
          <w:szCs w:val="24"/>
          <w:lang w:val="it-IT"/>
        </w:rPr>
        <w:t xml:space="preserve">i </w:t>
      </w:r>
      <w:r w:rsidR="00BD7C0C" w:rsidRPr="006F07C8">
        <w:rPr>
          <w:rFonts w:ascii="Times New Roman" w:hAnsi="Times New Roman" w:cs="Times New Roman"/>
          <w:sz w:val="24"/>
          <w:szCs w:val="24"/>
          <w:lang w:val="it-IT"/>
        </w:rPr>
        <w:t xml:space="preserve">cittadini, </w:t>
      </w:r>
      <w:r w:rsidR="00BE16BF" w:rsidRPr="006F07C8">
        <w:rPr>
          <w:rFonts w:ascii="Times New Roman" w:hAnsi="Times New Roman" w:cs="Times New Roman"/>
          <w:sz w:val="24"/>
          <w:szCs w:val="24"/>
          <w:lang w:val="it-IT"/>
        </w:rPr>
        <w:t>le imprese</w:t>
      </w:r>
      <w:r w:rsidR="003D4151" w:rsidRPr="006F07C8">
        <w:rPr>
          <w:rFonts w:ascii="Times New Roman" w:hAnsi="Times New Roman" w:cs="Times New Roman"/>
          <w:sz w:val="24"/>
          <w:szCs w:val="24"/>
          <w:lang w:val="it-IT"/>
        </w:rPr>
        <w:t>, le minoranze</w:t>
      </w:r>
      <w:r w:rsidR="00BE16BF" w:rsidRPr="006F07C8">
        <w:rPr>
          <w:rFonts w:ascii="Times New Roman" w:hAnsi="Times New Roman" w:cs="Times New Roman"/>
          <w:sz w:val="24"/>
          <w:szCs w:val="24"/>
          <w:lang w:val="it-IT"/>
        </w:rPr>
        <w:t xml:space="preserve"> o i</w:t>
      </w:r>
      <w:r w:rsidR="00BD7C0C" w:rsidRPr="006F07C8">
        <w:rPr>
          <w:rFonts w:ascii="Times New Roman" w:hAnsi="Times New Roman" w:cs="Times New Roman"/>
          <w:sz w:val="24"/>
          <w:szCs w:val="24"/>
          <w:lang w:val="it-IT"/>
        </w:rPr>
        <w:t xml:space="preserve"> gruppi di immigrati)</w:t>
      </w:r>
      <w:r w:rsidR="001D4E1B" w:rsidRPr="006F07C8">
        <w:rPr>
          <w:rFonts w:ascii="Times New Roman" w:hAnsi="Times New Roman" w:cs="Times New Roman"/>
          <w:sz w:val="24"/>
          <w:szCs w:val="24"/>
          <w:lang w:val="it-IT"/>
        </w:rPr>
        <w:t xml:space="preserve">. </w:t>
      </w:r>
      <w:r w:rsidR="00143DED" w:rsidRPr="006F07C8">
        <w:rPr>
          <w:rFonts w:ascii="Times New Roman" w:hAnsi="Times New Roman" w:cs="Times New Roman"/>
          <w:sz w:val="24"/>
          <w:szCs w:val="24"/>
          <w:lang w:val="it-IT"/>
        </w:rPr>
        <w:t>Detto in</w:t>
      </w:r>
      <w:r w:rsidR="001806E0" w:rsidRPr="006F07C8">
        <w:rPr>
          <w:rFonts w:ascii="Times New Roman" w:hAnsi="Times New Roman" w:cs="Times New Roman"/>
          <w:sz w:val="24"/>
          <w:szCs w:val="24"/>
          <w:lang w:val="it-IT"/>
        </w:rPr>
        <w:t xml:space="preserve"> altri termini, s</w:t>
      </w:r>
      <w:r w:rsidR="001D4E1B" w:rsidRPr="006F07C8">
        <w:rPr>
          <w:rFonts w:ascii="Times New Roman" w:hAnsi="Times New Roman" w:cs="Times New Roman"/>
          <w:sz w:val="24"/>
          <w:szCs w:val="24"/>
          <w:lang w:val="it-IT"/>
        </w:rPr>
        <w:t xml:space="preserve">e </w:t>
      </w:r>
      <w:r w:rsidR="00143DED" w:rsidRPr="006F07C8">
        <w:rPr>
          <w:rFonts w:ascii="Times New Roman" w:hAnsi="Times New Roman" w:cs="Times New Roman"/>
          <w:sz w:val="24"/>
          <w:szCs w:val="24"/>
          <w:lang w:val="it-IT"/>
        </w:rPr>
        <w:t>le autorità pubbliche</w:t>
      </w:r>
      <w:r w:rsidR="001806E0" w:rsidRPr="006F07C8">
        <w:rPr>
          <w:rFonts w:ascii="Times New Roman" w:hAnsi="Times New Roman" w:cs="Times New Roman"/>
          <w:sz w:val="24"/>
          <w:szCs w:val="24"/>
          <w:lang w:val="it-IT"/>
        </w:rPr>
        <w:t xml:space="preserve"> per la loro natura non possono prescindere da</w:t>
      </w:r>
      <w:r w:rsidR="00EA67A7" w:rsidRPr="006F07C8">
        <w:rPr>
          <w:rFonts w:ascii="Times New Roman" w:hAnsi="Times New Roman" w:cs="Times New Roman"/>
          <w:sz w:val="24"/>
          <w:szCs w:val="24"/>
          <w:lang w:val="it-IT"/>
        </w:rPr>
        <w:t>l</w:t>
      </w:r>
      <w:r w:rsidR="001806E0" w:rsidRPr="006F07C8">
        <w:rPr>
          <w:rFonts w:ascii="Times New Roman" w:hAnsi="Times New Roman" w:cs="Times New Roman"/>
          <w:sz w:val="24"/>
          <w:szCs w:val="24"/>
          <w:lang w:val="it-IT"/>
        </w:rPr>
        <w:t xml:space="preserve"> </w:t>
      </w:r>
      <w:r w:rsidR="001D4E1B" w:rsidRPr="006F07C8">
        <w:rPr>
          <w:rFonts w:ascii="Times New Roman" w:hAnsi="Times New Roman" w:cs="Times New Roman"/>
          <w:sz w:val="24"/>
          <w:szCs w:val="24"/>
          <w:lang w:val="it-IT"/>
        </w:rPr>
        <w:t xml:space="preserve">mettere in atto </w:t>
      </w:r>
      <w:r w:rsidR="00BE16BF" w:rsidRPr="006F07C8">
        <w:rPr>
          <w:rFonts w:ascii="Times New Roman" w:hAnsi="Times New Roman" w:cs="Times New Roman"/>
          <w:sz w:val="24"/>
          <w:szCs w:val="24"/>
          <w:lang w:val="it-IT"/>
        </w:rPr>
        <w:t xml:space="preserve">delle </w:t>
      </w:r>
      <w:r w:rsidR="001D4E1B" w:rsidRPr="006F07C8">
        <w:rPr>
          <w:rFonts w:ascii="Times New Roman" w:hAnsi="Times New Roman" w:cs="Times New Roman"/>
          <w:sz w:val="24"/>
          <w:szCs w:val="24"/>
          <w:lang w:val="it-IT"/>
        </w:rPr>
        <w:t>politic</w:t>
      </w:r>
      <w:r w:rsidR="00EA67A7" w:rsidRPr="006F07C8">
        <w:rPr>
          <w:rFonts w:ascii="Times New Roman" w:hAnsi="Times New Roman" w:cs="Times New Roman"/>
          <w:sz w:val="24"/>
          <w:szCs w:val="24"/>
          <w:lang w:val="it-IT"/>
        </w:rPr>
        <w:t>he</w:t>
      </w:r>
      <w:r w:rsidR="001D4E1B" w:rsidRPr="006F07C8">
        <w:rPr>
          <w:rFonts w:ascii="Times New Roman" w:hAnsi="Times New Roman" w:cs="Times New Roman"/>
          <w:sz w:val="24"/>
          <w:szCs w:val="24"/>
          <w:lang w:val="it-IT"/>
        </w:rPr>
        <w:t xml:space="preserve"> linguistic</w:t>
      </w:r>
      <w:r w:rsidR="00EA67A7" w:rsidRPr="006F07C8">
        <w:rPr>
          <w:rFonts w:ascii="Times New Roman" w:hAnsi="Times New Roman" w:cs="Times New Roman"/>
          <w:sz w:val="24"/>
          <w:szCs w:val="24"/>
          <w:lang w:val="it-IT"/>
        </w:rPr>
        <w:t>he</w:t>
      </w:r>
      <w:r w:rsidR="001806E0" w:rsidRPr="006F07C8">
        <w:rPr>
          <w:rFonts w:ascii="Times New Roman" w:hAnsi="Times New Roman" w:cs="Times New Roman"/>
          <w:sz w:val="24"/>
          <w:szCs w:val="24"/>
          <w:lang w:val="it-IT"/>
        </w:rPr>
        <w:t xml:space="preserve">, allora diventa indispensabile sviluppare dei metodi di guida alla scelta, elaborare dei criteri per soppesare i vantaggi e gli svantaggi di politiche alternative e </w:t>
      </w:r>
      <w:r w:rsidR="00BE16BF" w:rsidRPr="006F07C8">
        <w:rPr>
          <w:rFonts w:ascii="Times New Roman" w:hAnsi="Times New Roman" w:cs="Times New Roman"/>
          <w:sz w:val="24"/>
          <w:szCs w:val="24"/>
          <w:lang w:val="it-IT"/>
        </w:rPr>
        <w:t xml:space="preserve">migliorare gli </w:t>
      </w:r>
      <w:r w:rsidR="001806E0" w:rsidRPr="006F07C8">
        <w:rPr>
          <w:rFonts w:ascii="Times New Roman" w:hAnsi="Times New Roman" w:cs="Times New Roman"/>
          <w:sz w:val="24"/>
          <w:szCs w:val="24"/>
          <w:lang w:val="it-IT"/>
        </w:rPr>
        <w:t>strumen</w:t>
      </w:r>
      <w:r w:rsidR="00247984" w:rsidRPr="006F07C8">
        <w:rPr>
          <w:rFonts w:ascii="Times New Roman" w:hAnsi="Times New Roman" w:cs="Times New Roman"/>
          <w:sz w:val="24"/>
          <w:szCs w:val="24"/>
          <w:lang w:val="it-IT"/>
        </w:rPr>
        <w:t>ti per misurare i loro effetti.</w:t>
      </w:r>
    </w:p>
    <w:p w:rsidR="00921395" w:rsidRPr="006F07C8" w:rsidRDefault="00921395" w:rsidP="002F52A9">
      <w:pPr>
        <w:spacing w:line="240" w:lineRule="auto"/>
        <w:jc w:val="both"/>
        <w:rPr>
          <w:rFonts w:ascii="Times New Roman" w:hAnsi="Times New Roman" w:cs="Times New Roman"/>
          <w:sz w:val="24"/>
          <w:szCs w:val="24"/>
          <w:lang w:val="it-IT"/>
        </w:rPr>
      </w:pPr>
      <w:r w:rsidRPr="006F07C8">
        <w:rPr>
          <w:rFonts w:ascii="Times New Roman" w:hAnsi="Times New Roman" w:cs="Times New Roman"/>
          <w:sz w:val="24"/>
          <w:szCs w:val="24"/>
          <w:lang w:val="it-IT"/>
        </w:rPr>
        <w:t xml:space="preserve">La valutazione </w:t>
      </w:r>
      <w:r w:rsidR="00C24F0D" w:rsidRPr="006F07C8">
        <w:rPr>
          <w:rFonts w:ascii="Times New Roman" w:hAnsi="Times New Roman" w:cs="Times New Roman"/>
          <w:sz w:val="24"/>
          <w:szCs w:val="24"/>
          <w:lang w:val="it-IT"/>
        </w:rPr>
        <w:t xml:space="preserve">(o analisi) </w:t>
      </w:r>
      <w:r w:rsidRPr="006F07C8">
        <w:rPr>
          <w:rFonts w:ascii="Times New Roman" w:hAnsi="Times New Roman" w:cs="Times New Roman"/>
          <w:sz w:val="24"/>
          <w:szCs w:val="24"/>
          <w:lang w:val="it-IT"/>
        </w:rPr>
        <w:t xml:space="preserve">delle politiche pubbliche è </w:t>
      </w:r>
      <w:r w:rsidR="00C24F0D" w:rsidRPr="006F07C8">
        <w:rPr>
          <w:rFonts w:ascii="Times New Roman" w:hAnsi="Times New Roman" w:cs="Times New Roman"/>
          <w:sz w:val="24"/>
          <w:szCs w:val="24"/>
          <w:lang w:val="it-IT"/>
        </w:rPr>
        <w:t xml:space="preserve">un campo di ricerca molto vasto e di tradizione </w:t>
      </w:r>
      <w:r w:rsidR="00D669C5" w:rsidRPr="006F07C8">
        <w:rPr>
          <w:rFonts w:ascii="Times New Roman" w:hAnsi="Times New Roman" w:cs="Times New Roman"/>
          <w:sz w:val="24"/>
          <w:szCs w:val="24"/>
          <w:lang w:val="it-IT"/>
        </w:rPr>
        <w:t xml:space="preserve">accademica e pratica </w:t>
      </w:r>
      <w:r w:rsidR="00CF7192" w:rsidRPr="006F07C8">
        <w:rPr>
          <w:rFonts w:ascii="Times New Roman" w:hAnsi="Times New Roman" w:cs="Times New Roman"/>
          <w:sz w:val="24"/>
          <w:szCs w:val="24"/>
          <w:lang w:val="it-IT"/>
        </w:rPr>
        <w:t xml:space="preserve">consolidata </w:t>
      </w:r>
      <w:r w:rsidRPr="006F07C8">
        <w:rPr>
          <w:rFonts w:ascii="Times New Roman" w:hAnsi="Times New Roman" w:cs="Times New Roman"/>
          <w:sz w:val="24"/>
          <w:szCs w:val="24"/>
          <w:lang w:val="it-IT"/>
        </w:rPr>
        <w:t>di cui non è possibile rendere conto</w:t>
      </w:r>
      <w:r w:rsidR="00C24F0D" w:rsidRPr="006F07C8">
        <w:rPr>
          <w:rFonts w:ascii="Times New Roman" w:hAnsi="Times New Roman" w:cs="Times New Roman"/>
          <w:sz w:val="24"/>
          <w:szCs w:val="24"/>
          <w:lang w:val="it-IT"/>
        </w:rPr>
        <w:t xml:space="preserve"> in questa sede</w:t>
      </w:r>
      <w:r w:rsidRPr="006F07C8">
        <w:rPr>
          <w:rFonts w:ascii="Times New Roman" w:hAnsi="Times New Roman" w:cs="Times New Roman"/>
          <w:sz w:val="24"/>
          <w:szCs w:val="24"/>
          <w:lang w:val="it-IT"/>
        </w:rPr>
        <w:t>.</w:t>
      </w:r>
      <w:r w:rsidRPr="006F07C8">
        <w:rPr>
          <w:rStyle w:val="FootnoteReference"/>
          <w:rFonts w:ascii="Times New Roman" w:hAnsi="Times New Roman" w:cs="Times New Roman"/>
          <w:sz w:val="24"/>
          <w:szCs w:val="24"/>
          <w:lang w:val="it-IT"/>
        </w:rPr>
        <w:footnoteReference w:id="9"/>
      </w:r>
      <w:r w:rsidRPr="006F07C8">
        <w:rPr>
          <w:rFonts w:ascii="Times New Roman" w:hAnsi="Times New Roman" w:cs="Times New Roman"/>
          <w:sz w:val="24"/>
          <w:szCs w:val="24"/>
          <w:lang w:val="it-IT"/>
        </w:rPr>
        <w:t xml:space="preserve"> </w:t>
      </w:r>
      <w:r w:rsidR="005C6912" w:rsidRPr="006F07C8">
        <w:rPr>
          <w:rFonts w:ascii="Times New Roman" w:hAnsi="Times New Roman" w:cs="Times New Roman"/>
          <w:sz w:val="24"/>
          <w:szCs w:val="24"/>
          <w:lang w:val="it-IT"/>
        </w:rPr>
        <w:t>Invece l</w:t>
      </w:r>
      <w:r w:rsidR="00C24F0D" w:rsidRPr="006F07C8">
        <w:rPr>
          <w:rFonts w:ascii="Times New Roman" w:hAnsi="Times New Roman" w:cs="Times New Roman"/>
          <w:sz w:val="24"/>
          <w:szCs w:val="24"/>
          <w:lang w:val="it-IT"/>
        </w:rPr>
        <w:t xml:space="preserve">’applicazione </w:t>
      </w:r>
      <w:r w:rsidR="005C6912" w:rsidRPr="006F07C8">
        <w:rPr>
          <w:rFonts w:ascii="Times New Roman" w:hAnsi="Times New Roman" w:cs="Times New Roman"/>
          <w:sz w:val="24"/>
          <w:szCs w:val="24"/>
          <w:lang w:val="it-IT"/>
        </w:rPr>
        <w:t xml:space="preserve">alle politiche linguistiche </w:t>
      </w:r>
      <w:r w:rsidR="00C24F0D" w:rsidRPr="006F07C8">
        <w:rPr>
          <w:rFonts w:ascii="Times New Roman" w:hAnsi="Times New Roman" w:cs="Times New Roman"/>
          <w:sz w:val="24"/>
          <w:szCs w:val="24"/>
          <w:lang w:val="it-IT"/>
        </w:rPr>
        <w:t xml:space="preserve">delle teorie e dei metodi della valutazione è </w:t>
      </w:r>
      <w:r w:rsidR="005C6912" w:rsidRPr="006F07C8">
        <w:rPr>
          <w:rFonts w:ascii="Times New Roman" w:hAnsi="Times New Roman" w:cs="Times New Roman"/>
          <w:sz w:val="24"/>
          <w:szCs w:val="24"/>
          <w:lang w:val="it-IT"/>
        </w:rPr>
        <w:t xml:space="preserve">qualcosa di </w:t>
      </w:r>
      <w:r w:rsidR="00C24F0D" w:rsidRPr="006F07C8">
        <w:rPr>
          <w:rFonts w:ascii="Times New Roman" w:hAnsi="Times New Roman" w:cs="Times New Roman"/>
          <w:sz w:val="24"/>
          <w:szCs w:val="24"/>
          <w:lang w:val="it-IT"/>
        </w:rPr>
        <w:t xml:space="preserve">più recente. </w:t>
      </w:r>
      <w:r w:rsidR="00757065" w:rsidRPr="006F07C8">
        <w:rPr>
          <w:rFonts w:ascii="Times New Roman" w:hAnsi="Times New Roman" w:cs="Times New Roman"/>
          <w:sz w:val="24"/>
          <w:szCs w:val="24"/>
          <w:lang w:val="it-IT"/>
        </w:rPr>
        <w:t xml:space="preserve">I </w:t>
      </w:r>
      <w:r w:rsidR="005C6912" w:rsidRPr="006F07C8">
        <w:rPr>
          <w:rFonts w:ascii="Times New Roman" w:hAnsi="Times New Roman" w:cs="Times New Roman"/>
          <w:sz w:val="24"/>
          <w:szCs w:val="24"/>
          <w:lang w:val="it-IT"/>
        </w:rPr>
        <w:t>pionieri</w:t>
      </w:r>
      <w:r w:rsidR="00757065" w:rsidRPr="006F07C8">
        <w:rPr>
          <w:rFonts w:ascii="Times New Roman" w:hAnsi="Times New Roman" w:cs="Times New Roman"/>
          <w:sz w:val="24"/>
          <w:szCs w:val="24"/>
          <w:lang w:val="it-IT"/>
        </w:rPr>
        <w:t xml:space="preserve"> </w:t>
      </w:r>
      <w:r w:rsidR="005C6912" w:rsidRPr="006F07C8">
        <w:rPr>
          <w:rFonts w:ascii="Times New Roman" w:hAnsi="Times New Roman" w:cs="Times New Roman"/>
          <w:sz w:val="24"/>
          <w:szCs w:val="24"/>
          <w:lang w:val="it-IT"/>
        </w:rPr>
        <w:t xml:space="preserve">nella </w:t>
      </w:r>
      <w:r w:rsidR="00757065" w:rsidRPr="006F07C8">
        <w:rPr>
          <w:rFonts w:ascii="Times New Roman" w:hAnsi="Times New Roman" w:cs="Times New Roman"/>
          <w:sz w:val="24"/>
          <w:szCs w:val="24"/>
          <w:lang w:val="it-IT"/>
        </w:rPr>
        <w:t>pianificazione linguistica</w:t>
      </w:r>
      <w:r w:rsidR="005C6912" w:rsidRPr="006F07C8">
        <w:rPr>
          <w:rFonts w:ascii="Times New Roman" w:hAnsi="Times New Roman" w:cs="Times New Roman"/>
          <w:sz w:val="24"/>
          <w:szCs w:val="24"/>
          <w:lang w:val="it-IT"/>
        </w:rPr>
        <w:t>,</w:t>
      </w:r>
      <w:r w:rsidR="00757065" w:rsidRPr="006F07C8">
        <w:rPr>
          <w:rFonts w:ascii="Times New Roman" w:hAnsi="Times New Roman" w:cs="Times New Roman"/>
          <w:sz w:val="24"/>
          <w:szCs w:val="24"/>
          <w:lang w:val="it-IT"/>
        </w:rPr>
        <w:t xml:space="preserve"> alla fine degli anni ’60</w:t>
      </w:r>
      <w:r w:rsidR="005C6912" w:rsidRPr="006F07C8">
        <w:rPr>
          <w:rFonts w:ascii="Times New Roman" w:hAnsi="Times New Roman" w:cs="Times New Roman"/>
          <w:sz w:val="24"/>
          <w:szCs w:val="24"/>
          <w:lang w:val="it-IT"/>
        </w:rPr>
        <w:t>,</w:t>
      </w:r>
      <w:r w:rsidR="00757065" w:rsidRPr="006F07C8">
        <w:rPr>
          <w:rFonts w:ascii="Times New Roman" w:hAnsi="Times New Roman" w:cs="Times New Roman"/>
          <w:sz w:val="24"/>
          <w:szCs w:val="24"/>
          <w:lang w:val="it-IT"/>
        </w:rPr>
        <w:t xml:space="preserve"> avevano già chiara l</w:t>
      </w:r>
      <w:r w:rsidR="00D669C5" w:rsidRPr="006F07C8">
        <w:rPr>
          <w:rFonts w:ascii="Times New Roman" w:hAnsi="Times New Roman" w:cs="Times New Roman"/>
          <w:sz w:val="24"/>
          <w:szCs w:val="24"/>
          <w:lang w:val="it-IT"/>
        </w:rPr>
        <w:t>’importanza e la pertinenza dell’analisi delle politiche pubbliche per l’elaborazione e la realizzazione delle politiche linguistic</w:t>
      </w:r>
      <w:r w:rsidR="00757065" w:rsidRPr="006F07C8">
        <w:rPr>
          <w:rFonts w:ascii="Times New Roman" w:hAnsi="Times New Roman" w:cs="Times New Roman"/>
          <w:sz w:val="24"/>
          <w:szCs w:val="24"/>
          <w:lang w:val="it-IT"/>
        </w:rPr>
        <w:t>he (</w:t>
      </w:r>
      <w:r w:rsidR="00774D58" w:rsidRPr="006F07C8">
        <w:rPr>
          <w:rFonts w:ascii="Times New Roman" w:hAnsi="Times New Roman" w:cs="Times New Roman"/>
          <w:noProof/>
          <w:sz w:val="24"/>
          <w:szCs w:val="24"/>
          <w:lang w:val="it-IT"/>
        </w:rPr>
        <w:t>Rubin e Jernudd</w:t>
      </w:r>
      <w:r w:rsidR="00774D58" w:rsidRPr="006F07C8">
        <w:rPr>
          <w:rFonts w:ascii="Times New Roman" w:hAnsi="Times New Roman" w:cs="Times New Roman"/>
          <w:sz w:val="24"/>
          <w:szCs w:val="24"/>
          <w:lang w:val="it-IT"/>
        </w:rPr>
        <w:t xml:space="preserve"> </w:t>
      </w:r>
      <w:hyperlink w:anchor="_ENREF_69" w:tooltip="Rubin, 1971 #308" w:history="1">
        <w:r w:rsidR="00101624" w:rsidRPr="006F07C8">
          <w:rPr>
            <w:rFonts w:ascii="Times New Roman" w:hAnsi="Times New Roman" w:cs="Times New Roman"/>
            <w:sz w:val="24"/>
            <w:szCs w:val="24"/>
            <w:lang w:val="it-IT"/>
          </w:rPr>
          <w:fldChar w:fldCharType="begin"/>
        </w:r>
        <w:r w:rsidR="00101624" w:rsidRPr="006F07C8">
          <w:rPr>
            <w:rFonts w:ascii="Times New Roman" w:hAnsi="Times New Roman" w:cs="Times New Roman"/>
            <w:sz w:val="24"/>
            <w:szCs w:val="24"/>
            <w:lang w:val="it-IT"/>
          </w:rPr>
          <w:instrText xml:space="preserve"> ADDIN EN.CITE &lt;EndNote&gt;&lt;Cite ExcludeAuth="1"&gt;&lt;Author&gt;Rubin&lt;/Author&gt;&lt;Year&gt;1971&lt;/Year&gt;&lt;RecNum&gt;308&lt;/RecNum&gt;&lt;DisplayText&gt;1971&lt;/DisplayText&gt;&lt;record&gt;&lt;rec-number&gt;308&lt;/rec-number&gt;&lt;foreign-keys&gt;&lt;key app="EN" db-id="wvvszzd93a0z5wesdfpvdv9z5wrra5p05axp"&gt;308&lt;/key&gt;&lt;/foreign-keys&gt;&lt;ref-type name="Edited Book"&gt;28&lt;/ref-type&gt;&lt;contributors&gt;&lt;authors&gt;&lt;author&gt;Rubin, Joan&lt;/author&gt;&lt;author&gt;Jernudd, Björn  H.&lt;/author&gt;&lt;/authors&gt;&lt;/contributors&gt;&lt;titles&gt;&lt;title&gt;Can language be planned? Sociolinguistic theory and practice for developing nations&lt;/title&gt;&lt;/titles&gt;&lt;dates&gt;&lt;year&gt;1971&lt;/year&gt;&lt;/dates&gt;&lt;pub-location&gt;Honolulu&lt;/pub-location&gt;&lt;publisher&gt;The University Press of Hawaii&lt;/publisher&gt;&lt;urls&gt;&lt;/urls&gt;&lt;/record&gt;&lt;/Cite&gt;&lt;/EndNote&gt;</w:instrText>
        </w:r>
        <w:r w:rsidR="00101624" w:rsidRPr="006F07C8">
          <w:rPr>
            <w:rFonts w:ascii="Times New Roman" w:hAnsi="Times New Roman" w:cs="Times New Roman"/>
            <w:sz w:val="24"/>
            <w:szCs w:val="24"/>
            <w:lang w:val="it-IT"/>
          </w:rPr>
          <w:fldChar w:fldCharType="separate"/>
        </w:r>
        <w:r w:rsidR="00101624" w:rsidRPr="006F07C8">
          <w:rPr>
            <w:rFonts w:ascii="Times New Roman" w:hAnsi="Times New Roman" w:cs="Times New Roman"/>
            <w:noProof/>
            <w:sz w:val="24"/>
            <w:szCs w:val="24"/>
            <w:lang w:val="it-IT"/>
          </w:rPr>
          <w:t>1971</w:t>
        </w:r>
        <w:r w:rsidR="00101624" w:rsidRPr="006F07C8">
          <w:rPr>
            <w:rFonts w:ascii="Times New Roman" w:hAnsi="Times New Roman" w:cs="Times New Roman"/>
            <w:sz w:val="24"/>
            <w:szCs w:val="24"/>
            <w:lang w:val="it-IT"/>
          </w:rPr>
          <w:fldChar w:fldCharType="end"/>
        </w:r>
      </w:hyperlink>
      <w:r w:rsidR="000575E1" w:rsidRPr="006F07C8">
        <w:rPr>
          <w:rFonts w:ascii="Times New Roman" w:hAnsi="Times New Roman" w:cs="Times New Roman"/>
          <w:sz w:val="24"/>
          <w:szCs w:val="24"/>
          <w:lang w:val="it-IT"/>
        </w:rPr>
        <w:t xml:space="preserve">, </w:t>
      </w:r>
      <w:r w:rsidR="00774D58" w:rsidRPr="006F07C8">
        <w:rPr>
          <w:rFonts w:ascii="Times New Roman" w:hAnsi="Times New Roman" w:cs="Times New Roman"/>
          <w:noProof/>
          <w:sz w:val="24"/>
          <w:szCs w:val="24"/>
          <w:lang w:val="it-IT"/>
        </w:rPr>
        <w:t xml:space="preserve">Jernudd e Nekvapil </w:t>
      </w:r>
      <w:hyperlink w:anchor="_ENREF_49" w:tooltip="Jernudd, 2012 #864" w:history="1">
        <w:r w:rsidR="00101624" w:rsidRPr="006F07C8">
          <w:rPr>
            <w:rFonts w:ascii="Times New Roman" w:hAnsi="Times New Roman" w:cs="Times New Roman"/>
            <w:sz w:val="24"/>
            <w:szCs w:val="24"/>
            <w:lang w:val="it-IT"/>
          </w:rPr>
          <w:fldChar w:fldCharType="begin"/>
        </w:r>
        <w:r w:rsidR="00101624" w:rsidRPr="006F07C8">
          <w:rPr>
            <w:rFonts w:ascii="Times New Roman" w:hAnsi="Times New Roman" w:cs="Times New Roman"/>
            <w:sz w:val="24"/>
            <w:szCs w:val="24"/>
            <w:lang w:val="it-IT"/>
          </w:rPr>
          <w:instrText xml:space="preserve"> ADDIN EN.CITE &lt;EndNote&gt;&lt;Cite ExcludeAuth="1"&gt;&lt;Author&gt;Jernudd&lt;/Author&gt;&lt;Year&gt;2012&lt;/Year&gt;&lt;RecNum&gt;864&lt;/RecNum&gt;&lt;DisplayText&gt;2012&lt;/DisplayText&gt;&lt;record&gt;&lt;rec-number&gt;864&lt;/rec-number&gt;&lt;foreign-keys&gt;&lt;key app="EN" db-id="wvvszzd93a0z5wesdfpvdv9z5wrra5p05axp"&gt;864&lt;/key&gt;&lt;/foreign-keys&gt;&lt;ref-type name="Book Section"&gt;5&lt;/ref-type&gt;&lt;contributors&gt;&lt;authors&gt;&lt;author&gt;Jernudd, Björn&lt;/author&gt;&lt;author&gt;&lt;style face="normal" font="default" charset="238" size="100%"&gt;Nekvapil&lt;/style&gt;&lt;style face="normal" font="default" size="100%"&gt;, Ji&lt;/style&gt;&lt;style face="normal" font="default" charset="238" size="100%"&gt;ří&lt;/style&gt;&lt;/author&gt;&lt;/authors&gt;&lt;secondary-authors&gt;&lt;author&gt;Spolsky, Bernard&lt;/author&gt;&lt;/secondary-authors&gt;&lt;/contributors&gt;&lt;titles&gt;&lt;title&gt;History of the field: a sketch&lt;/title&gt;&lt;secondary-title&gt;The Cambridge handbook of language policy&lt;/secondary-title&gt;&lt;/titles&gt;&lt;pages&gt;16-36&lt;/pages&gt;&lt;dates&gt;&lt;year&gt;2012&lt;/year&gt;&lt;/dates&gt;&lt;pub-location&gt;Cambridge&lt;/pub-location&gt;&lt;publisher&gt;Cambridge University Press&lt;/publisher&gt;&lt;urls&gt;&lt;/urls&gt;&lt;/record&gt;&lt;/Cite&gt;&lt;/EndNote&gt;</w:instrText>
        </w:r>
        <w:r w:rsidR="00101624" w:rsidRPr="006F07C8">
          <w:rPr>
            <w:rFonts w:ascii="Times New Roman" w:hAnsi="Times New Roman" w:cs="Times New Roman"/>
            <w:sz w:val="24"/>
            <w:szCs w:val="24"/>
            <w:lang w:val="it-IT"/>
          </w:rPr>
          <w:fldChar w:fldCharType="separate"/>
        </w:r>
        <w:r w:rsidR="00101624" w:rsidRPr="006F07C8">
          <w:rPr>
            <w:rFonts w:ascii="Times New Roman" w:hAnsi="Times New Roman" w:cs="Times New Roman"/>
            <w:noProof/>
            <w:sz w:val="24"/>
            <w:szCs w:val="24"/>
            <w:lang w:val="it-IT"/>
          </w:rPr>
          <w:t>2012</w:t>
        </w:r>
        <w:r w:rsidR="00101624" w:rsidRPr="006F07C8">
          <w:rPr>
            <w:rFonts w:ascii="Times New Roman" w:hAnsi="Times New Roman" w:cs="Times New Roman"/>
            <w:sz w:val="24"/>
            <w:szCs w:val="24"/>
            <w:lang w:val="it-IT"/>
          </w:rPr>
          <w:fldChar w:fldCharType="end"/>
        </w:r>
      </w:hyperlink>
      <w:r w:rsidR="00CF7192" w:rsidRPr="006F07C8">
        <w:rPr>
          <w:rFonts w:ascii="Times New Roman" w:hAnsi="Times New Roman" w:cs="Times New Roman"/>
          <w:sz w:val="24"/>
          <w:szCs w:val="24"/>
          <w:lang w:val="it-IT"/>
        </w:rPr>
        <w:t xml:space="preserve">), ma è solo </w:t>
      </w:r>
      <w:r w:rsidR="005C6912" w:rsidRPr="006F07C8">
        <w:rPr>
          <w:rFonts w:ascii="Times New Roman" w:hAnsi="Times New Roman" w:cs="Times New Roman"/>
          <w:sz w:val="24"/>
          <w:szCs w:val="24"/>
          <w:lang w:val="it-IT"/>
        </w:rPr>
        <w:t xml:space="preserve">a partire </w:t>
      </w:r>
      <w:r w:rsidR="00CF7192" w:rsidRPr="006F07C8">
        <w:rPr>
          <w:rFonts w:ascii="Times New Roman" w:hAnsi="Times New Roman" w:cs="Times New Roman"/>
          <w:sz w:val="24"/>
          <w:szCs w:val="24"/>
          <w:lang w:val="it-IT"/>
        </w:rPr>
        <w:t>dagli</w:t>
      </w:r>
      <w:r w:rsidR="00757065" w:rsidRPr="006F07C8">
        <w:rPr>
          <w:rFonts w:ascii="Times New Roman" w:hAnsi="Times New Roman" w:cs="Times New Roman"/>
          <w:sz w:val="24"/>
          <w:szCs w:val="24"/>
          <w:lang w:val="it-IT"/>
        </w:rPr>
        <w:t xml:space="preserve"> anni ’90</w:t>
      </w:r>
      <w:r w:rsidR="00CF7192" w:rsidRPr="006F07C8">
        <w:rPr>
          <w:rFonts w:ascii="Times New Roman" w:hAnsi="Times New Roman" w:cs="Times New Roman"/>
          <w:sz w:val="24"/>
          <w:szCs w:val="24"/>
          <w:lang w:val="it-IT"/>
        </w:rPr>
        <w:t xml:space="preserve"> che</w:t>
      </w:r>
      <w:r w:rsidR="00757065" w:rsidRPr="006F07C8">
        <w:rPr>
          <w:rFonts w:ascii="Times New Roman" w:hAnsi="Times New Roman" w:cs="Times New Roman"/>
          <w:sz w:val="24"/>
          <w:szCs w:val="24"/>
          <w:lang w:val="it-IT"/>
        </w:rPr>
        <w:t xml:space="preserve"> le tecniche e i metodi dell’analisi delle politiche pubbliche sono stati </w:t>
      </w:r>
      <w:r w:rsidR="00CF369D" w:rsidRPr="006F07C8">
        <w:rPr>
          <w:rFonts w:ascii="Times New Roman" w:hAnsi="Times New Roman" w:cs="Times New Roman"/>
          <w:sz w:val="24"/>
          <w:szCs w:val="24"/>
          <w:lang w:val="it-IT"/>
        </w:rPr>
        <w:t xml:space="preserve">reinterpretati e adattati </w:t>
      </w:r>
      <w:r w:rsidR="00BE16BF" w:rsidRPr="006F07C8">
        <w:rPr>
          <w:rFonts w:ascii="Times New Roman" w:hAnsi="Times New Roman" w:cs="Times New Roman"/>
          <w:sz w:val="24"/>
          <w:szCs w:val="24"/>
          <w:lang w:val="it-IT"/>
        </w:rPr>
        <w:t xml:space="preserve">sistematicamente </w:t>
      </w:r>
      <w:r w:rsidR="00CF369D" w:rsidRPr="006F07C8">
        <w:rPr>
          <w:rFonts w:ascii="Times New Roman" w:hAnsi="Times New Roman" w:cs="Times New Roman"/>
          <w:sz w:val="24"/>
          <w:szCs w:val="24"/>
          <w:lang w:val="it-IT"/>
        </w:rPr>
        <w:t xml:space="preserve">alle politiche linguistiche, </w:t>
      </w:r>
      <w:r w:rsidR="0011066F" w:rsidRPr="006F07C8">
        <w:rPr>
          <w:rFonts w:ascii="Times New Roman" w:hAnsi="Times New Roman" w:cs="Times New Roman"/>
          <w:sz w:val="24"/>
          <w:szCs w:val="24"/>
          <w:lang w:val="it-IT"/>
        </w:rPr>
        <w:t>viste come una particolare forma di politica pubblica</w:t>
      </w:r>
      <w:r w:rsidR="006C095F" w:rsidRPr="006F07C8">
        <w:rPr>
          <w:rFonts w:ascii="Times New Roman" w:hAnsi="Times New Roman" w:cs="Times New Roman"/>
          <w:sz w:val="24"/>
          <w:szCs w:val="24"/>
          <w:lang w:val="it-IT"/>
        </w:rPr>
        <w:t>, soprattutto grazie al lavoro di economisti e scienziati sociali.</w:t>
      </w:r>
      <w:r w:rsidR="006C095F" w:rsidRPr="006F07C8">
        <w:rPr>
          <w:rStyle w:val="FootnoteReference"/>
          <w:rFonts w:ascii="Times New Roman" w:hAnsi="Times New Roman" w:cs="Times New Roman"/>
          <w:sz w:val="24"/>
          <w:szCs w:val="24"/>
          <w:lang w:val="it-IT"/>
        </w:rPr>
        <w:footnoteReference w:id="10"/>
      </w:r>
      <w:r w:rsidR="006C095F" w:rsidRPr="006F07C8">
        <w:rPr>
          <w:rFonts w:ascii="Times New Roman" w:hAnsi="Times New Roman" w:cs="Times New Roman"/>
          <w:sz w:val="24"/>
          <w:szCs w:val="24"/>
          <w:lang w:val="it-IT"/>
        </w:rPr>
        <w:t xml:space="preserve"> Il principale contributo dell</w:t>
      </w:r>
      <w:r w:rsidR="001859A3" w:rsidRPr="006F07C8">
        <w:rPr>
          <w:rFonts w:ascii="Times New Roman" w:hAnsi="Times New Roman" w:cs="Times New Roman"/>
          <w:sz w:val="24"/>
          <w:szCs w:val="24"/>
          <w:lang w:val="it-IT"/>
        </w:rPr>
        <w:t xml:space="preserve">’analisi </w:t>
      </w:r>
      <w:r w:rsidR="002B13C0" w:rsidRPr="006F07C8">
        <w:rPr>
          <w:rFonts w:ascii="Times New Roman" w:hAnsi="Times New Roman" w:cs="Times New Roman"/>
          <w:sz w:val="24"/>
          <w:szCs w:val="24"/>
          <w:lang w:val="it-IT"/>
        </w:rPr>
        <w:t xml:space="preserve">delle politiche pubbliche </w:t>
      </w:r>
      <w:r w:rsidR="006C095F" w:rsidRPr="006F07C8">
        <w:rPr>
          <w:rFonts w:ascii="Times New Roman" w:hAnsi="Times New Roman" w:cs="Times New Roman"/>
          <w:sz w:val="24"/>
          <w:szCs w:val="24"/>
          <w:lang w:val="it-IT"/>
        </w:rPr>
        <w:t xml:space="preserve">è di </w:t>
      </w:r>
      <w:r w:rsidR="002B13C0" w:rsidRPr="006F07C8">
        <w:rPr>
          <w:rFonts w:ascii="Times New Roman" w:hAnsi="Times New Roman" w:cs="Times New Roman"/>
          <w:sz w:val="24"/>
          <w:szCs w:val="24"/>
          <w:lang w:val="it-IT"/>
        </w:rPr>
        <w:t>forni</w:t>
      </w:r>
      <w:r w:rsidR="006C095F" w:rsidRPr="006F07C8">
        <w:rPr>
          <w:rFonts w:ascii="Times New Roman" w:hAnsi="Times New Roman" w:cs="Times New Roman"/>
          <w:sz w:val="24"/>
          <w:szCs w:val="24"/>
          <w:lang w:val="it-IT"/>
        </w:rPr>
        <w:t xml:space="preserve">re </w:t>
      </w:r>
      <w:r w:rsidR="002B13C0" w:rsidRPr="006F07C8">
        <w:rPr>
          <w:rFonts w:ascii="Times New Roman" w:hAnsi="Times New Roman" w:cs="Times New Roman"/>
          <w:sz w:val="24"/>
          <w:szCs w:val="24"/>
          <w:lang w:val="it-IT"/>
        </w:rPr>
        <w:t xml:space="preserve">un quadro metodologico generale </w:t>
      </w:r>
      <w:r w:rsidR="001859A3" w:rsidRPr="006F07C8">
        <w:rPr>
          <w:rFonts w:ascii="Times New Roman" w:hAnsi="Times New Roman" w:cs="Times New Roman"/>
          <w:sz w:val="24"/>
          <w:szCs w:val="24"/>
          <w:lang w:val="it-IT"/>
        </w:rPr>
        <w:t>per la valutazione delle politiche linguistiche</w:t>
      </w:r>
      <w:r w:rsidR="00E93E7D" w:rsidRPr="006F07C8">
        <w:rPr>
          <w:rFonts w:ascii="Times New Roman" w:hAnsi="Times New Roman" w:cs="Times New Roman"/>
          <w:sz w:val="24"/>
          <w:szCs w:val="24"/>
          <w:lang w:val="it-IT"/>
        </w:rPr>
        <w:t xml:space="preserve">. Tuttavia, </w:t>
      </w:r>
      <w:r w:rsidR="006C095F" w:rsidRPr="006F07C8">
        <w:rPr>
          <w:rFonts w:ascii="Times New Roman" w:hAnsi="Times New Roman" w:cs="Times New Roman"/>
          <w:sz w:val="24"/>
          <w:szCs w:val="24"/>
          <w:lang w:val="it-IT"/>
        </w:rPr>
        <w:t xml:space="preserve">all’interno di tale quadro </w:t>
      </w:r>
      <w:r w:rsidR="002B13C0" w:rsidRPr="006F07C8">
        <w:rPr>
          <w:rFonts w:ascii="Times New Roman" w:hAnsi="Times New Roman" w:cs="Times New Roman"/>
          <w:sz w:val="24"/>
          <w:szCs w:val="24"/>
          <w:lang w:val="it-IT"/>
        </w:rPr>
        <w:t xml:space="preserve">la sociolinguistica e la </w:t>
      </w:r>
      <w:r w:rsidR="00BE16BF" w:rsidRPr="006F07C8">
        <w:rPr>
          <w:rFonts w:ascii="Times New Roman" w:hAnsi="Times New Roman" w:cs="Times New Roman"/>
          <w:sz w:val="24"/>
          <w:szCs w:val="24"/>
          <w:lang w:val="it-IT"/>
        </w:rPr>
        <w:t>linguistica applicata</w:t>
      </w:r>
      <w:r w:rsidR="002B13C0" w:rsidRPr="006F07C8">
        <w:rPr>
          <w:rFonts w:ascii="Times New Roman" w:hAnsi="Times New Roman" w:cs="Times New Roman"/>
          <w:sz w:val="24"/>
          <w:szCs w:val="24"/>
          <w:lang w:val="it-IT"/>
        </w:rPr>
        <w:t xml:space="preserve"> </w:t>
      </w:r>
      <w:r w:rsidR="001859A3" w:rsidRPr="006F07C8">
        <w:rPr>
          <w:rFonts w:ascii="Times New Roman" w:hAnsi="Times New Roman" w:cs="Times New Roman"/>
          <w:sz w:val="24"/>
          <w:szCs w:val="24"/>
          <w:lang w:val="it-IT"/>
        </w:rPr>
        <w:t>svolgono un ruolo</w:t>
      </w:r>
      <w:r w:rsidR="002B13C0" w:rsidRPr="006F07C8">
        <w:rPr>
          <w:rFonts w:ascii="Times New Roman" w:hAnsi="Times New Roman" w:cs="Times New Roman"/>
          <w:sz w:val="24"/>
          <w:szCs w:val="24"/>
          <w:lang w:val="it-IT"/>
        </w:rPr>
        <w:t xml:space="preserve"> assolutamente central</w:t>
      </w:r>
      <w:r w:rsidR="001859A3" w:rsidRPr="006F07C8">
        <w:rPr>
          <w:rFonts w:ascii="Times New Roman" w:hAnsi="Times New Roman" w:cs="Times New Roman"/>
          <w:sz w:val="24"/>
          <w:szCs w:val="24"/>
          <w:lang w:val="it-IT"/>
        </w:rPr>
        <w:t>e</w:t>
      </w:r>
      <w:r w:rsidR="00F920E5" w:rsidRPr="006F07C8">
        <w:rPr>
          <w:rFonts w:ascii="Times New Roman" w:hAnsi="Times New Roman" w:cs="Times New Roman"/>
          <w:sz w:val="24"/>
          <w:szCs w:val="24"/>
          <w:lang w:val="it-IT"/>
        </w:rPr>
        <w:t xml:space="preserve">, </w:t>
      </w:r>
      <w:r w:rsidR="005C6912" w:rsidRPr="006F07C8">
        <w:rPr>
          <w:rFonts w:ascii="Times New Roman" w:hAnsi="Times New Roman" w:cs="Times New Roman"/>
          <w:sz w:val="24"/>
          <w:szCs w:val="24"/>
          <w:lang w:val="it-IT"/>
        </w:rPr>
        <w:t xml:space="preserve">e ciò vale </w:t>
      </w:r>
      <w:r w:rsidR="00F920E5" w:rsidRPr="006F07C8">
        <w:rPr>
          <w:rFonts w:ascii="Times New Roman" w:hAnsi="Times New Roman" w:cs="Times New Roman"/>
          <w:sz w:val="24"/>
          <w:szCs w:val="24"/>
          <w:lang w:val="it-IT"/>
        </w:rPr>
        <w:t xml:space="preserve">in particolare </w:t>
      </w:r>
      <w:r w:rsidR="005C6912" w:rsidRPr="006F07C8">
        <w:rPr>
          <w:rFonts w:ascii="Times New Roman" w:hAnsi="Times New Roman" w:cs="Times New Roman"/>
          <w:sz w:val="24"/>
          <w:szCs w:val="24"/>
          <w:lang w:val="it-IT"/>
        </w:rPr>
        <w:t>per</w:t>
      </w:r>
      <w:r w:rsidR="00F920E5" w:rsidRPr="006F07C8">
        <w:rPr>
          <w:rFonts w:ascii="Times New Roman" w:hAnsi="Times New Roman" w:cs="Times New Roman"/>
          <w:sz w:val="24"/>
          <w:szCs w:val="24"/>
          <w:lang w:val="it-IT"/>
        </w:rPr>
        <w:t xml:space="preserve"> lo sviluppo degli indicatori valutativi</w:t>
      </w:r>
      <w:r w:rsidR="002B13C0" w:rsidRPr="006F07C8">
        <w:rPr>
          <w:rFonts w:ascii="Times New Roman" w:hAnsi="Times New Roman" w:cs="Times New Roman"/>
          <w:sz w:val="24"/>
          <w:szCs w:val="24"/>
          <w:lang w:val="it-IT"/>
        </w:rPr>
        <w:t>.</w:t>
      </w:r>
      <w:r w:rsidR="001859A3" w:rsidRPr="006F07C8">
        <w:rPr>
          <w:rStyle w:val="FootnoteReference"/>
          <w:rFonts w:ascii="Times New Roman" w:hAnsi="Times New Roman" w:cs="Times New Roman"/>
          <w:sz w:val="24"/>
          <w:szCs w:val="24"/>
          <w:lang w:val="it-IT"/>
        </w:rPr>
        <w:footnoteReference w:id="11"/>
      </w:r>
    </w:p>
    <w:p w:rsidR="004F018F" w:rsidRPr="006F07C8" w:rsidRDefault="00316987" w:rsidP="002F52A9">
      <w:pPr>
        <w:spacing w:line="240" w:lineRule="auto"/>
        <w:jc w:val="both"/>
        <w:rPr>
          <w:rFonts w:ascii="Times New Roman" w:hAnsi="Times New Roman" w:cs="Times New Roman"/>
          <w:sz w:val="24"/>
          <w:szCs w:val="24"/>
          <w:lang w:val="it-IT"/>
        </w:rPr>
      </w:pPr>
      <w:r w:rsidRPr="006F07C8">
        <w:rPr>
          <w:rFonts w:ascii="Times New Roman" w:hAnsi="Times New Roman" w:cs="Times New Roman"/>
          <w:sz w:val="24"/>
          <w:szCs w:val="24"/>
          <w:lang w:val="it-IT"/>
        </w:rPr>
        <w:t>Questo articolo si inserisce nella linea di ricerca denominata valutazione delle politiche linguisti</w:t>
      </w:r>
      <w:r w:rsidR="003124C6" w:rsidRPr="006F07C8">
        <w:rPr>
          <w:rFonts w:ascii="Times New Roman" w:hAnsi="Times New Roman" w:cs="Times New Roman"/>
          <w:sz w:val="24"/>
          <w:szCs w:val="24"/>
          <w:lang w:val="it-IT"/>
        </w:rPr>
        <w:t xml:space="preserve">che. Esso </w:t>
      </w:r>
      <w:r w:rsidRPr="006F07C8">
        <w:rPr>
          <w:rFonts w:ascii="Times New Roman" w:hAnsi="Times New Roman" w:cs="Times New Roman"/>
          <w:sz w:val="24"/>
          <w:szCs w:val="24"/>
          <w:lang w:val="it-IT"/>
        </w:rPr>
        <w:t xml:space="preserve">presenta </w:t>
      </w:r>
      <w:r w:rsidR="00B130A6" w:rsidRPr="006F07C8">
        <w:rPr>
          <w:rFonts w:ascii="Times New Roman" w:hAnsi="Times New Roman" w:cs="Times New Roman"/>
          <w:sz w:val="24"/>
          <w:szCs w:val="24"/>
          <w:lang w:val="it-IT"/>
        </w:rPr>
        <w:t xml:space="preserve">una valutazione dell’efficacia </w:t>
      </w:r>
      <w:r w:rsidRPr="006F07C8">
        <w:rPr>
          <w:rFonts w:ascii="Times New Roman" w:hAnsi="Times New Roman" w:cs="Times New Roman"/>
          <w:sz w:val="24"/>
          <w:szCs w:val="24"/>
          <w:lang w:val="it-IT"/>
        </w:rPr>
        <w:t xml:space="preserve">e dell’equità </w:t>
      </w:r>
      <w:r w:rsidR="00B130A6" w:rsidRPr="006F07C8">
        <w:rPr>
          <w:rFonts w:ascii="Times New Roman" w:hAnsi="Times New Roman" w:cs="Times New Roman"/>
          <w:sz w:val="24"/>
          <w:szCs w:val="24"/>
          <w:lang w:val="it-IT"/>
        </w:rPr>
        <w:t xml:space="preserve">dell’attuale politica linguistica </w:t>
      </w:r>
      <w:r w:rsidR="00D9583D" w:rsidRPr="006F07C8">
        <w:rPr>
          <w:rFonts w:ascii="Times New Roman" w:hAnsi="Times New Roman" w:cs="Times New Roman"/>
          <w:sz w:val="24"/>
          <w:szCs w:val="24"/>
          <w:lang w:val="it-IT"/>
        </w:rPr>
        <w:t xml:space="preserve">istituzionale </w:t>
      </w:r>
      <w:r w:rsidR="003124C6" w:rsidRPr="006F07C8">
        <w:rPr>
          <w:rFonts w:ascii="Times New Roman" w:hAnsi="Times New Roman" w:cs="Times New Roman"/>
          <w:sz w:val="24"/>
          <w:szCs w:val="24"/>
          <w:lang w:val="it-IT"/>
        </w:rPr>
        <w:t>(</w:t>
      </w:r>
      <w:r w:rsidR="00B130A6" w:rsidRPr="006F07C8">
        <w:rPr>
          <w:rFonts w:ascii="Times New Roman" w:hAnsi="Times New Roman" w:cs="Times New Roman"/>
          <w:sz w:val="24"/>
          <w:szCs w:val="24"/>
          <w:lang w:val="it-IT"/>
        </w:rPr>
        <w:t>o regime linguistico</w:t>
      </w:r>
      <w:r w:rsidR="003124C6" w:rsidRPr="006F07C8">
        <w:rPr>
          <w:rFonts w:ascii="Times New Roman" w:hAnsi="Times New Roman" w:cs="Times New Roman"/>
          <w:sz w:val="24"/>
          <w:szCs w:val="24"/>
          <w:lang w:val="it-IT"/>
        </w:rPr>
        <w:t>)</w:t>
      </w:r>
      <w:r w:rsidR="00B130A6" w:rsidRPr="006F07C8">
        <w:rPr>
          <w:rFonts w:ascii="Times New Roman" w:hAnsi="Times New Roman" w:cs="Times New Roman"/>
          <w:sz w:val="24"/>
          <w:szCs w:val="24"/>
          <w:lang w:val="it-IT"/>
        </w:rPr>
        <w:t xml:space="preserve"> dell’UE</w:t>
      </w:r>
      <w:r w:rsidR="00143DED" w:rsidRPr="006F07C8">
        <w:rPr>
          <w:rFonts w:ascii="Times New Roman" w:hAnsi="Times New Roman" w:cs="Times New Roman"/>
          <w:sz w:val="24"/>
          <w:szCs w:val="24"/>
          <w:lang w:val="it-IT"/>
        </w:rPr>
        <w:t xml:space="preserve"> </w:t>
      </w:r>
      <w:r w:rsidR="004F018F" w:rsidRPr="006F07C8">
        <w:rPr>
          <w:rFonts w:ascii="Times New Roman" w:hAnsi="Times New Roman" w:cs="Times New Roman"/>
          <w:sz w:val="24"/>
          <w:szCs w:val="24"/>
          <w:lang w:val="it-IT"/>
        </w:rPr>
        <w:t>in due ambiti</w:t>
      </w:r>
      <w:r w:rsidR="00143DED" w:rsidRPr="006F07C8">
        <w:rPr>
          <w:rFonts w:ascii="Times New Roman" w:hAnsi="Times New Roman" w:cs="Times New Roman"/>
          <w:sz w:val="24"/>
          <w:szCs w:val="24"/>
          <w:lang w:val="it-IT"/>
        </w:rPr>
        <w:t xml:space="preserve"> distinti</w:t>
      </w:r>
      <w:r w:rsidR="004F018F" w:rsidRPr="006F07C8">
        <w:rPr>
          <w:rFonts w:ascii="Times New Roman" w:hAnsi="Times New Roman" w:cs="Times New Roman"/>
          <w:sz w:val="24"/>
          <w:szCs w:val="24"/>
          <w:lang w:val="it-IT"/>
        </w:rPr>
        <w:t xml:space="preserve">. Il primo riguarda </w:t>
      </w:r>
      <w:r w:rsidR="007A6D90" w:rsidRPr="006F07C8">
        <w:rPr>
          <w:rFonts w:ascii="Times New Roman" w:hAnsi="Times New Roman" w:cs="Times New Roman"/>
          <w:sz w:val="24"/>
          <w:szCs w:val="24"/>
          <w:lang w:val="it-IT"/>
        </w:rPr>
        <w:t>l</w:t>
      </w:r>
      <w:r w:rsidRPr="006F07C8">
        <w:rPr>
          <w:rFonts w:ascii="Times New Roman" w:hAnsi="Times New Roman" w:cs="Times New Roman"/>
          <w:sz w:val="24"/>
          <w:szCs w:val="24"/>
          <w:lang w:val="it-IT"/>
        </w:rPr>
        <w:t>a partecipazione</w:t>
      </w:r>
      <w:r w:rsidR="004F018F" w:rsidRPr="006F07C8">
        <w:rPr>
          <w:rFonts w:ascii="Times New Roman" w:hAnsi="Times New Roman" w:cs="Times New Roman"/>
          <w:sz w:val="24"/>
          <w:szCs w:val="24"/>
          <w:lang w:val="it-IT"/>
        </w:rPr>
        <w:t xml:space="preserve"> democratica </w:t>
      </w:r>
      <w:r w:rsidR="003124C6" w:rsidRPr="006F07C8">
        <w:rPr>
          <w:rFonts w:ascii="Times New Roman" w:hAnsi="Times New Roman" w:cs="Times New Roman"/>
          <w:sz w:val="24"/>
          <w:szCs w:val="24"/>
          <w:lang w:val="it-IT"/>
        </w:rPr>
        <w:t xml:space="preserve">(almeno potenziale) </w:t>
      </w:r>
      <w:r w:rsidRPr="006F07C8">
        <w:rPr>
          <w:rFonts w:ascii="Times New Roman" w:hAnsi="Times New Roman" w:cs="Times New Roman"/>
          <w:sz w:val="24"/>
          <w:szCs w:val="24"/>
          <w:lang w:val="it-IT"/>
        </w:rPr>
        <w:t>de</w:t>
      </w:r>
      <w:r w:rsidR="003124C6" w:rsidRPr="006F07C8">
        <w:rPr>
          <w:rFonts w:ascii="Times New Roman" w:hAnsi="Times New Roman" w:cs="Times New Roman"/>
          <w:sz w:val="24"/>
          <w:szCs w:val="24"/>
          <w:lang w:val="it-IT"/>
        </w:rPr>
        <w:t xml:space="preserve">i residenti </w:t>
      </w:r>
      <w:r w:rsidR="004F018F" w:rsidRPr="006F07C8">
        <w:rPr>
          <w:rFonts w:ascii="Times New Roman" w:hAnsi="Times New Roman" w:cs="Times New Roman"/>
          <w:sz w:val="24"/>
          <w:szCs w:val="24"/>
          <w:lang w:val="it-IT"/>
        </w:rPr>
        <w:t xml:space="preserve">e cittadini </w:t>
      </w:r>
      <w:r w:rsidRPr="006F07C8">
        <w:rPr>
          <w:rFonts w:ascii="Times New Roman" w:hAnsi="Times New Roman" w:cs="Times New Roman"/>
          <w:sz w:val="24"/>
          <w:szCs w:val="24"/>
          <w:lang w:val="it-IT"/>
        </w:rPr>
        <w:t xml:space="preserve">europei </w:t>
      </w:r>
      <w:r w:rsidR="003124C6" w:rsidRPr="006F07C8">
        <w:rPr>
          <w:rFonts w:ascii="Times New Roman" w:hAnsi="Times New Roman" w:cs="Times New Roman"/>
          <w:sz w:val="24"/>
          <w:szCs w:val="24"/>
          <w:lang w:val="it-IT"/>
        </w:rPr>
        <w:t>alle attività dell’Unione</w:t>
      </w:r>
      <w:r w:rsidR="004F018F" w:rsidRPr="006F07C8">
        <w:rPr>
          <w:rFonts w:ascii="Times New Roman" w:hAnsi="Times New Roman" w:cs="Times New Roman"/>
          <w:sz w:val="24"/>
          <w:szCs w:val="24"/>
          <w:lang w:val="it-IT"/>
        </w:rPr>
        <w:t xml:space="preserve">, mentre il secondo concerne </w:t>
      </w:r>
      <w:r w:rsidR="005C6912" w:rsidRPr="006F07C8">
        <w:rPr>
          <w:rFonts w:ascii="Times New Roman" w:hAnsi="Times New Roman" w:cs="Times New Roman"/>
          <w:sz w:val="24"/>
          <w:szCs w:val="24"/>
          <w:lang w:val="it-IT"/>
        </w:rPr>
        <w:t xml:space="preserve">la </w:t>
      </w:r>
      <w:r w:rsidR="007A6D90" w:rsidRPr="006F07C8">
        <w:rPr>
          <w:rFonts w:ascii="Times New Roman" w:hAnsi="Times New Roman" w:cs="Times New Roman"/>
          <w:sz w:val="24"/>
          <w:szCs w:val="24"/>
          <w:lang w:val="it-IT"/>
        </w:rPr>
        <w:t xml:space="preserve">comunicazione </w:t>
      </w:r>
      <w:r w:rsidR="004F018F" w:rsidRPr="006F07C8">
        <w:rPr>
          <w:rFonts w:ascii="Times New Roman" w:hAnsi="Times New Roman" w:cs="Times New Roman"/>
          <w:sz w:val="24"/>
          <w:szCs w:val="24"/>
          <w:lang w:val="it-IT"/>
        </w:rPr>
        <w:t xml:space="preserve">dell’UE </w:t>
      </w:r>
      <w:r w:rsidR="007A6D90" w:rsidRPr="006F07C8">
        <w:rPr>
          <w:rFonts w:ascii="Times New Roman" w:hAnsi="Times New Roman" w:cs="Times New Roman"/>
          <w:sz w:val="24"/>
          <w:szCs w:val="24"/>
          <w:lang w:val="it-IT"/>
        </w:rPr>
        <w:t>rivolta al mondo professionale</w:t>
      </w:r>
      <w:r w:rsidR="00B130A6" w:rsidRPr="006F07C8">
        <w:rPr>
          <w:rFonts w:ascii="Times New Roman" w:hAnsi="Times New Roman" w:cs="Times New Roman"/>
          <w:sz w:val="24"/>
          <w:szCs w:val="24"/>
          <w:lang w:val="it-IT"/>
        </w:rPr>
        <w:t>.</w:t>
      </w:r>
      <w:r w:rsidR="000C1DFB" w:rsidRPr="006F07C8">
        <w:rPr>
          <w:rFonts w:ascii="Times New Roman" w:hAnsi="Times New Roman" w:cs="Times New Roman"/>
          <w:sz w:val="24"/>
          <w:szCs w:val="24"/>
          <w:lang w:val="it-IT"/>
        </w:rPr>
        <w:t xml:space="preserve"> </w:t>
      </w:r>
      <w:r w:rsidR="00143DED" w:rsidRPr="006F07C8">
        <w:rPr>
          <w:rFonts w:ascii="Times New Roman" w:hAnsi="Times New Roman" w:cs="Times New Roman"/>
          <w:sz w:val="24"/>
          <w:szCs w:val="24"/>
          <w:lang w:val="it-IT"/>
        </w:rPr>
        <w:t xml:space="preserve">Dall’analisi dei dati emerge che una politica multilingue è al tempo stesso più efficace ed equa del monolinguismo o dell’oligarchia linguistica, e </w:t>
      </w:r>
      <w:r w:rsidR="000C1DFB" w:rsidRPr="006F07C8">
        <w:rPr>
          <w:rFonts w:ascii="Times New Roman" w:hAnsi="Times New Roman" w:cs="Times New Roman"/>
          <w:sz w:val="24"/>
          <w:szCs w:val="24"/>
          <w:lang w:val="it-IT"/>
        </w:rPr>
        <w:t>che l</w:t>
      </w:r>
      <w:r w:rsidR="007A6D90" w:rsidRPr="006F07C8">
        <w:rPr>
          <w:rFonts w:ascii="Times New Roman" w:hAnsi="Times New Roman" w:cs="Times New Roman"/>
          <w:sz w:val="24"/>
          <w:szCs w:val="24"/>
          <w:lang w:val="it-IT"/>
        </w:rPr>
        <w:t>a traduzione e l’interpretazione</w:t>
      </w:r>
      <w:r w:rsidR="000C1DFB" w:rsidRPr="006F07C8">
        <w:rPr>
          <w:rFonts w:ascii="Times New Roman" w:hAnsi="Times New Roman" w:cs="Times New Roman"/>
          <w:sz w:val="24"/>
          <w:szCs w:val="24"/>
          <w:lang w:val="it-IT"/>
        </w:rPr>
        <w:t xml:space="preserve">, parte integrante della cosiddetta ”industria delle lingue” cui è dedicato questo volume, sono strumenti essenziali di </w:t>
      </w:r>
      <w:r w:rsidR="00143DED" w:rsidRPr="006F07C8">
        <w:rPr>
          <w:rFonts w:ascii="Times New Roman" w:hAnsi="Times New Roman" w:cs="Times New Roman"/>
          <w:sz w:val="24"/>
          <w:szCs w:val="24"/>
          <w:lang w:val="it-IT"/>
        </w:rPr>
        <w:t>pianificazione</w:t>
      </w:r>
      <w:r w:rsidR="000C1DFB" w:rsidRPr="006F07C8">
        <w:rPr>
          <w:rFonts w:ascii="Times New Roman" w:hAnsi="Times New Roman" w:cs="Times New Roman"/>
          <w:sz w:val="24"/>
          <w:szCs w:val="24"/>
          <w:lang w:val="it-IT"/>
        </w:rPr>
        <w:t xml:space="preserve"> linguistica </w:t>
      </w:r>
      <w:r w:rsidR="00855F1C" w:rsidRPr="006F07C8">
        <w:rPr>
          <w:rFonts w:ascii="Times New Roman" w:hAnsi="Times New Roman" w:cs="Times New Roman"/>
          <w:sz w:val="24"/>
          <w:szCs w:val="24"/>
          <w:lang w:val="it-IT"/>
        </w:rPr>
        <w:t>che contribu</w:t>
      </w:r>
      <w:r w:rsidR="005C6912" w:rsidRPr="006F07C8">
        <w:rPr>
          <w:rFonts w:ascii="Times New Roman" w:hAnsi="Times New Roman" w:cs="Times New Roman"/>
          <w:sz w:val="24"/>
          <w:szCs w:val="24"/>
          <w:lang w:val="it-IT"/>
        </w:rPr>
        <w:t>iscono</w:t>
      </w:r>
      <w:r w:rsidR="00855F1C" w:rsidRPr="006F07C8">
        <w:rPr>
          <w:rFonts w:ascii="Times New Roman" w:hAnsi="Times New Roman" w:cs="Times New Roman"/>
          <w:sz w:val="24"/>
          <w:szCs w:val="24"/>
          <w:lang w:val="it-IT"/>
        </w:rPr>
        <w:t xml:space="preserve"> a </w:t>
      </w:r>
      <w:r w:rsidR="004F018F" w:rsidRPr="006F07C8">
        <w:rPr>
          <w:rFonts w:ascii="Times New Roman" w:hAnsi="Times New Roman" w:cs="Times New Roman"/>
          <w:sz w:val="24"/>
          <w:szCs w:val="24"/>
          <w:lang w:val="it-IT"/>
        </w:rPr>
        <w:t xml:space="preserve">rendere la </w:t>
      </w:r>
      <w:r w:rsidR="00855F1C" w:rsidRPr="006F07C8">
        <w:rPr>
          <w:rFonts w:ascii="Times New Roman" w:hAnsi="Times New Roman" w:cs="Times New Roman"/>
          <w:sz w:val="24"/>
          <w:szCs w:val="24"/>
          <w:lang w:val="it-IT"/>
        </w:rPr>
        <w:t xml:space="preserve">comunicazione </w:t>
      </w:r>
      <w:r w:rsidR="004F018F" w:rsidRPr="006F07C8">
        <w:rPr>
          <w:rFonts w:ascii="Times New Roman" w:hAnsi="Times New Roman" w:cs="Times New Roman"/>
          <w:sz w:val="24"/>
          <w:szCs w:val="24"/>
          <w:lang w:val="it-IT"/>
        </w:rPr>
        <w:t xml:space="preserve">istituzionale </w:t>
      </w:r>
      <w:r w:rsidR="00855F1C" w:rsidRPr="006F07C8">
        <w:rPr>
          <w:rFonts w:ascii="Times New Roman" w:hAnsi="Times New Roman" w:cs="Times New Roman"/>
          <w:sz w:val="24"/>
          <w:szCs w:val="24"/>
          <w:lang w:val="it-IT"/>
        </w:rPr>
        <w:t xml:space="preserve">più efficace </w:t>
      </w:r>
      <w:r w:rsidR="004F018F" w:rsidRPr="006F07C8">
        <w:rPr>
          <w:rFonts w:ascii="Times New Roman" w:hAnsi="Times New Roman" w:cs="Times New Roman"/>
          <w:sz w:val="24"/>
          <w:szCs w:val="24"/>
          <w:lang w:val="it-IT"/>
        </w:rPr>
        <w:t>e a preservare l</w:t>
      </w:r>
      <w:r w:rsidR="00855F1C" w:rsidRPr="006F07C8">
        <w:rPr>
          <w:rFonts w:ascii="Times New Roman" w:hAnsi="Times New Roman" w:cs="Times New Roman"/>
          <w:sz w:val="24"/>
          <w:szCs w:val="24"/>
          <w:lang w:val="it-IT"/>
        </w:rPr>
        <w:t>a coesione sociale</w:t>
      </w:r>
      <w:r w:rsidR="004F018F" w:rsidRPr="006F07C8">
        <w:rPr>
          <w:rFonts w:ascii="Times New Roman" w:hAnsi="Times New Roman" w:cs="Times New Roman"/>
          <w:sz w:val="24"/>
          <w:szCs w:val="24"/>
          <w:lang w:val="it-IT"/>
        </w:rPr>
        <w:t xml:space="preserve"> in Europa</w:t>
      </w:r>
      <w:r w:rsidR="000C1DFB" w:rsidRPr="006F07C8">
        <w:rPr>
          <w:rFonts w:ascii="Times New Roman" w:hAnsi="Times New Roman" w:cs="Times New Roman"/>
          <w:sz w:val="24"/>
          <w:szCs w:val="24"/>
          <w:lang w:val="it-IT"/>
        </w:rPr>
        <w:t>.</w:t>
      </w:r>
    </w:p>
    <w:p w:rsidR="00921395" w:rsidRPr="006F07C8" w:rsidRDefault="00F14569" w:rsidP="002F52A9">
      <w:pPr>
        <w:spacing w:line="240" w:lineRule="auto"/>
        <w:jc w:val="both"/>
        <w:rPr>
          <w:rFonts w:ascii="Times New Roman" w:hAnsi="Times New Roman" w:cs="Times New Roman"/>
          <w:sz w:val="24"/>
          <w:szCs w:val="24"/>
          <w:lang w:val="it-IT"/>
        </w:rPr>
      </w:pPr>
      <w:r w:rsidRPr="006F07C8">
        <w:rPr>
          <w:rFonts w:ascii="Times New Roman" w:hAnsi="Times New Roman" w:cs="Times New Roman"/>
          <w:sz w:val="24"/>
          <w:szCs w:val="24"/>
          <w:lang w:val="it-IT"/>
        </w:rPr>
        <w:lastRenderedPageBreak/>
        <w:t>Il resto dell</w:t>
      </w:r>
      <w:r w:rsidR="00B130A6" w:rsidRPr="006F07C8">
        <w:rPr>
          <w:rFonts w:ascii="Times New Roman" w:hAnsi="Times New Roman" w:cs="Times New Roman"/>
          <w:sz w:val="24"/>
          <w:szCs w:val="24"/>
          <w:lang w:val="it-IT"/>
        </w:rPr>
        <w:t xml:space="preserve">’articolo è organizzato </w:t>
      </w:r>
      <w:r w:rsidRPr="006F07C8">
        <w:rPr>
          <w:rFonts w:ascii="Times New Roman" w:hAnsi="Times New Roman" w:cs="Times New Roman"/>
          <w:sz w:val="24"/>
          <w:szCs w:val="24"/>
          <w:lang w:val="it-IT"/>
        </w:rPr>
        <w:t xml:space="preserve">in cinque paragrafi. Il paragrafo </w:t>
      </w:r>
      <w:r w:rsidRPr="006F07C8">
        <w:rPr>
          <w:rFonts w:ascii="Times New Roman" w:hAnsi="Times New Roman" w:cs="Times New Roman"/>
          <w:sz w:val="24"/>
          <w:szCs w:val="24"/>
          <w:lang w:val="it-IT"/>
        </w:rPr>
        <w:fldChar w:fldCharType="begin"/>
      </w:r>
      <w:r w:rsidRPr="006F07C8">
        <w:rPr>
          <w:rFonts w:ascii="Times New Roman" w:hAnsi="Times New Roman" w:cs="Times New Roman"/>
          <w:sz w:val="24"/>
          <w:szCs w:val="24"/>
          <w:lang w:val="it-IT"/>
        </w:rPr>
        <w:instrText xml:space="preserve"> REF _Ref379749846 \r \h </w:instrText>
      </w:r>
      <w:r w:rsidR="00C46520" w:rsidRPr="006F07C8">
        <w:rPr>
          <w:rFonts w:ascii="Times New Roman" w:hAnsi="Times New Roman" w:cs="Times New Roman"/>
          <w:sz w:val="24"/>
          <w:szCs w:val="24"/>
          <w:lang w:val="it-IT"/>
        </w:rPr>
        <w:instrText xml:space="preserve"> \* MERGEFORMAT </w:instrText>
      </w:r>
      <w:r w:rsidRPr="006F07C8">
        <w:rPr>
          <w:rFonts w:ascii="Times New Roman" w:hAnsi="Times New Roman" w:cs="Times New Roman"/>
          <w:sz w:val="24"/>
          <w:szCs w:val="24"/>
          <w:lang w:val="it-IT"/>
        </w:rPr>
      </w:r>
      <w:r w:rsidRPr="006F07C8">
        <w:rPr>
          <w:rFonts w:ascii="Times New Roman" w:hAnsi="Times New Roman" w:cs="Times New Roman"/>
          <w:sz w:val="24"/>
          <w:szCs w:val="24"/>
          <w:lang w:val="it-IT"/>
        </w:rPr>
        <w:fldChar w:fldCharType="separate"/>
      </w:r>
      <w:r w:rsidR="00087B27" w:rsidRPr="006F07C8">
        <w:rPr>
          <w:rFonts w:ascii="Times New Roman" w:hAnsi="Times New Roman" w:cs="Times New Roman"/>
          <w:sz w:val="24"/>
          <w:szCs w:val="24"/>
          <w:lang w:val="it-IT"/>
        </w:rPr>
        <w:t>2</w:t>
      </w:r>
      <w:r w:rsidRPr="006F07C8">
        <w:rPr>
          <w:rFonts w:ascii="Times New Roman" w:hAnsi="Times New Roman" w:cs="Times New Roman"/>
          <w:sz w:val="24"/>
          <w:szCs w:val="24"/>
          <w:lang w:val="it-IT"/>
        </w:rPr>
        <w:fldChar w:fldCharType="end"/>
      </w:r>
      <w:r w:rsidRPr="006F07C8">
        <w:rPr>
          <w:rFonts w:ascii="Times New Roman" w:hAnsi="Times New Roman" w:cs="Times New Roman"/>
          <w:sz w:val="24"/>
          <w:szCs w:val="24"/>
          <w:lang w:val="it-IT"/>
        </w:rPr>
        <w:t xml:space="preserve"> descrive succintamente l’attuale </w:t>
      </w:r>
      <w:r w:rsidR="00B130A6" w:rsidRPr="006F07C8">
        <w:rPr>
          <w:rFonts w:ascii="Times New Roman" w:hAnsi="Times New Roman" w:cs="Times New Roman"/>
          <w:sz w:val="24"/>
          <w:szCs w:val="24"/>
          <w:lang w:val="it-IT"/>
        </w:rPr>
        <w:t xml:space="preserve">regime linguistico dell’Unione europea. Il paragrafo 3 chiarisce la metodologia e il </w:t>
      </w:r>
      <w:r w:rsidR="00B130A6" w:rsidRPr="006F07C8">
        <w:rPr>
          <w:rFonts w:ascii="Times New Roman" w:hAnsi="Times New Roman" w:cs="Times New Roman"/>
          <w:i/>
          <w:sz w:val="24"/>
          <w:szCs w:val="24"/>
          <w:lang w:val="it-IT"/>
        </w:rPr>
        <w:t xml:space="preserve">set </w:t>
      </w:r>
      <w:r w:rsidR="00855F1C" w:rsidRPr="006F07C8">
        <w:rPr>
          <w:rFonts w:ascii="Times New Roman" w:hAnsi="Times New Roman" w:cs="Times New Roman"/>
          <w:sz w:val="24"/>
          <w:szCs w:val="24"/>
          <w:lang w:val="it-IT"/>
        </w:rPr>
        <w:t xml:space="preserve">di dati usati </w:t>
      </w:r>
      <w:r w:rsidRPr="006F07C8">
        <w:rPr>
          <w:rFonts w:ascii="Times New Roman" w:hAnsi="Times New Roman" w:cs="Times New Roman"/>
          <w:sz w:val="24"/>
          <w:szCs w:val="24"/>
          <w:lang w:val="it-IT"/>
        </w:rPr>
        <w:t>per l’analisi</w:t>
      </w:r>
      <w:r w:rsidR="00E41CD1" w:rsidRPr="006F07C8">
        <w:rPr>
          <w:rFonts w:ascii="Times New Roman" w:hAnsi="Times New Roman" w:cs="Times New Roman"/>
          <w:sz w:val="24"/>
          <w:szCs w:val="24"/>
          <w:lang w:val="it-IT"/>
        </w:rPr>
        <w:t xml:space="preserve">. </w:t>
      </w:r>
      <w:r w:rsidR="001973F8" w:rsidRPr="006F07C8">
        <w:rPr>
          <w:rFonts w:ascii="Times New Roman" w:hAnsi="Times New Roman" w:cs="Times New Roman"/>
          <w:sz w:val="24"/>
          <w:szCs w:val="24"/>
          <w:lang w:val="it-IT"/>
        </w:rPr>
        <w:t>N</w:t>
      </w:r>
      <w:r w:rsidR="00B130A6" w:rsidRPr="006F07C8">
        <w:rPr>
          <w:rFonts w:ascii="Times New Roman" w:hAnsi="Times New Roman" w:cs="Times New Roman"/>
          <w:sz w:val="24"/>
          <w:szCs w:val="24"/>
          <w:lang w:val="it-IT"/>
        </w:rPr>
        <w:t xml:space="preserve">el </w:t>
      </w:r>
      <w:r w:rsidR="00855F1C" w:rsidRPr="006F07C8">
        <w:rPr>
          <w:rFonts w:ascii="Times New Roman" w:hAnsi="Times New Roman" w:cs="Times New Roman"/>
          <w:sz w:val="24"/>
          <w:szCs w:val="24"/>
          <w:lang w:val="it-IT"/>
        </w:rPr>
        <w:t>paragrafo 4</w:t>
      </w:r>
      <w:r w:rsidRPr="006F07C8">
        <w:rPr>
          <w:rFonts w:ascii="Times New Roman" w:hAnsi="Times New Roman" w:cs="Times New Roman"/>
          <w:sz w:val="24"/>
          <w:szCs w:val="24"/>
          <w:lang w:val="it-IT"/>
        </w:rPr>
        <w:t xml:space="preserve"> </w:t>
      </w:r>
      <w:r w:rsidR="001973F8" w:rsidRPr="006F07C8">
        <w:rPr>
          <w:rFonts w:ascii="Times New Roman" w:hAnsi="Times New Roman" w:cs="Times New Roman"/>
          <w:sz w:val="24"/>
          <w:szCs w:val="24"/>
          <w:lang w:val="it-IT"/>
        </w:rPr>
        <w:t xml:space="preserve">saranno presentati ed esaminati i risultati riguardanti l’efficacia del regime linguistico della UE </w:t>
      </w:r>
      <w:r w:rsidRPr="006F07C8">
        <w:rPr>
          <w:rFonts w:ascii="Times New Roman" w:hAnsi="Times New Roman" w:cs="Times New Roman"/>
          <w:sz w:val="24"/>
          <w:szCs w:val="24"/>
          <w:lang w:val="it-IT"/>
        </w:rPr>
        <w:t>per quanto concerne la partecipazione democratica</w:t>
      </w:r>
      <w:r w:rsidR="001973F8" w:rsidRPr="006F07C8">
        <w:rPr>
          <w:rFonts w:ascii="Times New Roman" w:hAnsi="Times New Roman" w:cs="Times New Roman"/>
          <w:sz w:val="24"/>
          <w:szCs w:val="24"/>
          <w:lang w:val="it-IT"/>
        </w:rPr>
        <w:t>, mentre nel paragrafo</w:t>
      </w:r>
      <w:r w:rsidRPr="006F07C8">
        <w:rPr>
          <w:rFonts w:ascii="Times New Roman" w:hAnsi="Times New Roman" w:cs="Times New Roman"/>
          <w:sz w:val="24"/>
          <w:szCs w:val="24"/>
          <w:lang w:val="it-IT"/>
        </w:rPr>
        <w:t xml:space="preserve"> </w:t>
      </w:r>
      <w:r w:rsidRPr="006F07C8">
        <w:rPr>
          <w:rFonts w:ascii="Times New Roman" w:hAnsi="Times New Roman" w:cs="Times New Roman"/>
          <w:sz w:val="24"/>
          <w:szCs w:val="24"/>
          <w:lang w:val="it-IT"/>
        </w:rPr>
        <w:fldChar w:fldCharType="begin"/>
      </w:r>
      <w:r w:rsidRPr="006F07C8">
        <w:rPr>
          <w:rFonts w:ascii="Times New Roman" w:hAnsi="Times New Roman" w:cs="Times New Roman"/>
          <w:sz w:val="24"/>
          <w:szCs w:val="24"/>
          <w:lang w:val="it-IT"/>
        </w:rPr>
        <w:instrText xml:space="preserve"> REF _Ref378018188 \r \h </w:instrText>
      </w:r>
      <w:r w:rsidR="00C46520" w:rsidRPr="006F07C8">
        <w:rPr>
          <w:rFonts w:ascii="Times New Roman" w:hAnsi="Times New Roman" w:cs="Times New Roman"/>
          <w:sz w:val="24"/>
          <w:szCs w:val="24"/>
          <w:lang w:val="it-IT"/>
        </w:rPr>
        <w:instrText xml:space="preserve"> \* MERGEFORMAT </w:instrText>
      </w:r>
      <w:r w:rsidRPr="006F07C8">
        <w:rPr>
          <w:rFonts w:ascii="Times New Roman" w:hAnsi="Times New Roman" w:cs="Times New Roman"/>
          <w:sz w:val="24"/>
          <w:szCs w:val="24"/>
          <w:lang w:val="it-IT"/>
        </w:rPr>
      </w:r>
      <w:r w:rsidRPr="006F07C8">
        <w:rPr>
          <w:rFonts w:ascii="Times New Roman" w:hAnsi="Times New Roman" w:cs="Times New Roman"/>
          <w:sz w:val="24"/>
          <w:szCs w:val="24"/>
          <w:lang w:val="it-IT"/>
        </w:rPr>
        <w:fldChar w:fldCharType="separate"/>
      </w:r>
      <w:r w:rsidR="00087B27" w:rsidRPr="006F07C8">
        <w:rPr>
          <w:rFonts w:ascii="Times New Roman" w:hAnsi="Times New Roman" w:cs="Times New Roman"/>
          <w:sz w:val="24"/>
          <w:szCs w:val="24"/>
          <w:lang w:val="it-IT"/>
        </w:rPr>
        <w:t>5</w:t>
      </w:r>
      <w:r w:rsidRPr="006F07C8">
        <w:rPr>
          <w:rFonts w:ascii="Times New Roman" w:hAnsi="Times New Roman" w:cs="Times New Roman"/>
          <w:sz w:val="24"/>
          <w:szCs w:val="24"/>
          <w:lang w:val="it-IT"/>
        </w:rPr>
        <w:fldChar w:fldCharType="end"/>
      </w:r>
      <w:r w:rsidRPr="006F07C8">
        <w:rPr>
          <w:rFonts w:ascii="Times New Roman" w:hAnsi="Times New Roman" w:cs="Times New Roman"/>
          <w:sz w:val="24"/>
          <w:szCs w:val="24"/>
          <w:lang w:val="it-IT"/>
        </w:rPr>
        <w:t xml:space="preserve"> </w:t>
      </w:r>
      <w:r w:rsidR="001973F8" w:rsidRPr="006F07C8">
        <w:rPr>
          <w:rFonts w:ascii="Times New Roman" w:hAnsi="Times New Roman" w:cs="Times New Roman"/>
          <w:sz w:val="24"/>
          <w:szCs w:val="24"/>
          <w:lang w:val="it-IT"/>
        </w:rPr>
        <w:t xml:space="preserve">si tratterà </w:t>
      </w:r>
      <w:r w:rsidR="00855F1C" w:rsidRPr="006F07C8">
        <w:rPr>
          <w:rFonts w:ascii="Times New Roman" w:hAnsi="Times New Roman" w:cs="Times New Roman"/>
          <w:sz w:val="24"/>
          <w:szCs w:val="24"/>
          <w:lang w:val="it-IT"/>
        </w:rPr>
        <w:t xml:space="preserve">l’efficacia della comunicazione </w:t>
      </w:r>
      <w:r w:rsidRPr="006F07C8">
        <w:rPr>
          <w:rFonts w:ascii="Times New Roman" w:hAnsi="Times New Roman" w:cs="Times New Roman"/>
          <w:sz w:val="24"/>
          <w:szCs w:val="24"/>
          <w:lang w:val="it-IT"/>
        </w:rPr>
        <w:t xml:space="preserve">nel </w:t>
      </w:r>
      <w:r w:rsidR="00855F1C" w:rsidRPr="006F07C8">
        <w:rPr>
          <w:rFonts w:ascii="Times New Roman" w:hAnsi="Times New Roman" w:cs="Times New Roman"/>
          <w:sz w:val="24"/>
          <w:szCs w:val="24"/>
          <w:lang w:val="it-IT"/>
        </w:rPr>
        <w:t>mondo delle professioni.</w:t>
      </w:r>
      <w:r w:rsidR="00B130A6" w:rsidRPr="006F07C8">
        <w:rPr>
          <w:rFonts w:ascii="Times New Roman" w:hAnsi="Times New Roman" w:cs="Times New Roman"/>
          <w:sz w:val="24"/>
          <w:szCs w:val="24"/>
          <w:lang w:val="it-IT"/>
        </w:rPr>
        <w:t xml:space="preserve"> La sesta </w:t>
      </w:r>
      <w:r w:rsidR="00855F1C" w:rsidRPr="006F07C8">
        <w:rPr>
          <w:rFonts w:ascii="Times New Roman" w:hAnsi="Times New Roman" w:cs="Times New Roman"/>
          <w:sz w:val="24"/>
          <w:szCs w:val="24"/>
          <w:lang w:val="it-IT"/>
        </w:rPr>
        <w:t xml:space="preserve">e ultima </w:t>
      </w:r>
      <w:r w:rsidR="00B130A6" w:rsidRPr="006F07C8">
        <w:rPr>
          <w:rFonts w:ascii="Times New Roman" w:hAnsi="Times New Roman" w:cs="Times New Roman"/>
          <w:sz w:val="24"/>
          <w:szCs w:val="24"/>
          <w:lang w:val="it-IT"/>
        </w:rPr>
        <w:t>parte riassume e conclude</w:t>
      </w:r>
      <w:r w:rsidR="00855F1C" w:rsidRPr="006F07C8">
        <w:rPr>
          <w:rFonts w:ascii="Times New Roman" w:hAnsi="Times New Roman" w:cs="Times New Roman"/>
          <w:sz w:val="24"/>
          <w:szCs w:val="24"/>
          <w:lang w:val="it-IT"/>
        </w:rPr>
        <w:t>.</w:t>
      </w:r>
    </w:p>
    <w:p w:rsidR="002347F7" w:rsidRPr="006F07C8" w:rsidRDefault="002347F7" w:rsidP="002F52A9">
      <w:pPr>
        <w:pStyle w:val="Heading2"/>
        <w:keepNext w:val="0"/>
        <w:keepLines w:val="0"/>
        <w:numPr>
          <w:ilvl w:val="0"/>
          <w:numId w:val="12"/>
        </w:numPr>
        <w:spacing w:line="240" w:lineRule="auto"/>
        <w:rPr>
          <w:rFonts w:ascii="Times New Roman" w:hAnsi="Times New Roman" w:cs="Times New Roman"/>
          <w:lang w:val="it-IT"/>
        </w:rPr>
      </w:pPr>
      <w:bookmarkStart w:id="3" w:name="_Ref379749846"/>
      <w:bookmarkStart w:id="4" w:name="_Toc384652921"/>
      <w:r w:rsidRPr="006F07C8">
        <w:rPr>
          <w:rFonts w:ascii="Times New Roman" w:hAnsi="Times New Roman" w:cs="Times New Roman"/>
          <w:lang w:val="it-IT"/>
        </w:rPr>
        <w:t>Tradurre come politica linguistica</w:t>
      </w:r>
      <w:r w:rsidR="00384C5F" w:rsidRPr="006F07C8">
        <w:rPr>
          <w:rFonts w:ascii="Times New Roman" w:hAnsi="Times New Roman" w:cs="Times New Roman"/>
          <w:lang w:val="it-IT"/>
        </w:rPr>
        <w:t>: il multilinguismo nella UE</w:t>
      </w:r>
      <w:bookmarkEnd w:id="3"/>
      <w:bookmarkEnd w:id="4"/>
    </w:p>
    <w:p w:rsidR="002F52A9" w:rsidRPr="006F07C8" w:rsidRDefault="002F52A9" w:rsidP="002F52A9">
      <w:pPr>
        <w:spacing w:line="240" w:lineRule="auto"/>
        <w:jc w:val="both"/>
        <w:rPr>
          <w:rFonts w:ascii="Times New Roman" w:hAnsi="Times New Roman" w:cs="Times New Roman"/>
          <w:sz w:val="24"/>
          <w:szCs w:val="24"/>
          <w:lang w:val="it-IT"/>
        </w:rPr>
      </w:pPr>
    </w:p>
    <w:p w:rsidR="00143DED" w:rsidRPr="006F07C8" w:rsidRDefault="004A0059" w:rsidP="002F52A9">
      <w:pPr>
        <w:spacing w:line="240" w:lineRule="auto"/>
        <w:jc w:val="both"/>
        <w:rPr>
          <w:rFonts w:ascii="Times New Roman" w:hAnsi="Times New Roman" w:cs="Times New Roman"/>
          <w:sz w:val="24"/>
          <w:szCs w:val="24"/>
          <w:lang w:val="it-IT"/>
        </w:rPr>
      </w:pPr>
      <w:r w:rsidRPr="006F07C8">
        <w:rPr>
          <w:rFonts w:ascii="Times New Roman" w:hAnsi="Times New Roman" w:cs="Times New Roman"/>
          <w:sz w:val="24"/>
          <w:szCs w:val="24"/>
          <w:lang w:val="it-IT"/>
        </w:rPr>
        <w:t xml:space="preserve">Per Pool un regime linguistico è “un insieme di lingue ufficiali e di regole che </w:t>
      </w:r>
      <w:r w:rsidR="001973F8" w:rsidRPr="006F07C8">
        <w:rPr>
          <w:rFonts w:ascii="Times New Roman" w:hAnsi="Times New Roman" w:cs="Times New Roman"/>
          <w:sz w:val="24"/>
          <w:szCs w:val="24"/>
          <w:lang w:val="it-IT"/>
        </w:rPr>
        <w:t>rendono possibile</w:t>
      </w:r>
      <w:r w:rsidRPr="006F07C8">
        <w:rPr>
          <w:rFonts w:ascii="Times New Roman" w:hAnsi="Times New Roman" w:cs="Times New Roman"/>
          <w:sz w:val="24"/>
          <w:szCs w:val="24"/>
          <w:lang w:val="it-IT"/>
        </w:rPr>
        <w:t xml:space="preserve"> la comprensione reciproca fra rappresentanti di gruppi linguistici diversi</w:t>
      </w:r>
      <w:r w:rsidR="003D4151" w:rsidRPr="006F07C8">
        <w:rPr>
          <w:rFonts w:ascii="Times New Roman" w:hAnsi="Times New Roman" w:cs="Times New Roman"/>
          <w:sz w:val="24"/>
          <w:szCs w:val="24"/>
          <w:lang w:val="it-IT"/>
        </w:rPr>
        <w:t xml:space="preserve"> coinvolti in un processo decisionale</w:t>
      </w:r>
      <w:r w:rsidRPr="006F07C8">
        <w:rPr>
          <w:rFonts w:ascii="Times New Roman" w:hAnsi="Times New Roman" w:cs="Times New Roman"/>
          <w:sz w:val="24"/>
          <w:szCs w:val="24"/>
          <w:lang w:val="it-IT"/>
        </w:rPr>
        <w:t xml:space="preserve">” (Pool </w:t>
      </w:r>
      <w:hyperlink w:anchor="_ENREF_65" w:tooltip="Pool, 1996 #64" w:history="1">
        <w:r w:rsidR="00101624" w:rsidRPr="006F07C8">
          <w:rPr>
            <w:rFonts w:ascii="Times New Roman" w:hAnsi="Times New Roman" w:cs="Times New Roman"/>
            <w:sz w:val="24"/>
            <w:szCs w:val="24"/>
            <w:lang w:val="it-IT"/>
          </w:rPr>
          <w:fldChar w:fldCharType="begin"/>
        </w:r>
        <w:r w:rsidR="00101624" w:rsidRPr="006F07C8">
          <w:rPr>
            <w:rFonts w:ascii="Times New Roman" w:hAnsi="Times New Roman" w:cs="Times New Roman"/>
            <w:sz w:val="24"/>
            <w:szCs w:val="24"/>
            <w:lang w:val="it-IT"/>
          </w:rPr>
          <w:instrText xml:space="preserve"> ADDIN EN.CITE &lt;EndNote&gt;&lt;Cite ExcludeAuth="1"&gt;&lt;Year&gt;1996&lt;/Year&gt;&lt;RecNum&gt;64&lt;/RecNum&gt;&lt;Pages&gt;164&lt;/Pages&gt;&lt;DisplayText&gt;1996: 164&lt;/DisplayText&gt;&lt;record&gt;&lt;rec-number&gt;64&lt;/rec-number&gt;&lt;foreign-keys&gt;&lt;key app="EN" db-id="wvvszzd93a0z5wesdfpvdv9z5wrra5p05axp"&gt;64&lt;/key&gt;&lt;/foreign-keys&gt;&lt;ref-type name="Journal Article"&gt;17&lt;/ref-type&gt;&lt;contributors&gt;&lt;authors&gt;&lt;author&gt;Pool, Jonathan&lt;/author&gt;&lt;/authors&gt;&lt;/contributors&gt;&lt;titles&gt;&lt;title&gt;Optimal language regimes for the European Union&lt;/title&gt;&lt;secondary-title&gt;International Journal of the Sociology of Language&lt;/secondary-title&gt;&lt;/titles&gt;&lt;periodical&gt;&lt;full-title&gt;International Journal of the Sociology of Language&lt;/full-title&gt;&lt;/periodical&gt;&lt;pages&gt;159 - 179&lt;/pages&gt;&lt;volume&gt;121&lt;/volume&gt;&lt;dates&gt;&lt;year&gt;1996&lt;/year&gt;&lt;/dates&gt;&lt;urls&gt;&lt;/urls&gt;&lt;/record&gt;&lt;/Cite&gt;&lt;/EndNote&gt;</w:instrText>
        </w:r>
        <w:r w:rsidR="00101624" w:rsidRPr="006F07C8">
          <w:rPr>
            <w:rFonts w:ascii="Times New Roman" w:hAnsi="Times New Roman" w:cs="Times New Roman"/>
            <w:sz w:val="24"/>
            <w:szCs w:val="24"/>
            <w:lang w:val="it-IT"/>
          </w:rPr>
          <w:fldChar w:fldCharType="separate"/>
        </w:r>
        <w:r w:rsidR="00101624" w:rsidRPr="006F07C8">
          <w:rPr>
            <w:rFonts w:ascii="Times New Roman" w:hAnsi="Times New Roman" w:cs="Times New Roman"/>
            <w:noProof/>
            <w:sz w:val="24"/>
            <w:szCs w:val="24"/>
            <w:lang w:val="it-IT"/>
          </w:rPr>
          <w:t>1996: 164</w:t>
        </w:r>
        <w:r w:rsidR="00101624" w:rsidRPr="006F07C8">
          <w:rPr>
            <w:rFonts w:ascii="Times New Roman" w:hAnsi="Times New Roman" w:cs="Times New Roman"/>
            <w:sz w:val="24"/>
            <w:szCs w:val="24"/>
            <w:lang w:val="it-IT"/>
          </w:rPr>
          <w:fldChar w:fldCharType="end"/>
        </w:r>
      </w:hyperlink>
      <w:r w:rsidRPr="006F07C8">
        <w:rPr>
          <w:rFonts w:ascii="Times New Roman" w:hAnsi="Times New Roman" w:cs="Times New Roman"/>
          <w:sz w:val="24"/>
          <w:szCs w:val="24"/>
          <w:lang w:val="it-IT"/>
        </w:rPr>
        <w:t xml:space="preserve">). </w:t>
      </w:r>
      <w:r w:rsidR="002A046E" w:rsidRPr="006F07C8">
        <w:rPr>
          <w:rFonts w:ascii="Times New Roman" w:hAnsi="Times New Roman" w:cs="Times New Roman"/>
          <w:sz w:val="24"/>
          <w:szCs w:val="24"/>
          <w:lang w:val="it-IT"/>
        </w:rPr>
        <w:t xml:space="preserve">Si tratta di una </w:t>
      </w:r>
      <w:r w:rsidR="00DF0F2C" w:rsidRPr="006F07C8">
        <w:rPr>
          <w:rFonts w:ascii="Times New Roman" w:hAnsi="Times New Roman" w:cs="Times New Roman"/>
          <w:sz w:val="24"/>
          <w:szCs w:val="24"/>
          <w:lang w:val="it-IT"/>
        </w:rPr>
        <w:t xml:space="preserve">definizione </w:t>
      </w:r>
      <w:r w:rsidR="002A046E" w:rsidRPr="006F07C8">
        <w:rPr>
          <w:rFonts w:ascii="Times New Roman" w:hAnsi="Times New Roman" w:cs="Times New Roman"/>
          <w:sz w:val="24"/>
          <w:szCs w:val="24"/>
          <w:lang w:val="it-IT"/>
        </w:rPr>
        <w:t xml:space="preserve">adatta a descrivere </w:t>
      </w:r>
      <w:r w:rsidR="00DF0F2C" w:rsidRPr="006F07C8">
        <w:rPr>
          <w:rFonts w:ascii="Times New Roman" w:hAnsi="Times New Roman" w:cs="Times New Roman"/>
          <w:sz w:val="24"/>
          <w:szCs w:val="24"/>
          <w:lang w:val="it-IT"/>
        </w:rPr>
        <w:t xml:space="preserve">la </w:t>
      </w:r>
      <w:r w:rsidR="00182F1D" w:rsidRPr="006F07C8">
        <w:rPr>
          <w:rFonts w:ascii="Times New Roman" w:hAnsi="Times New Roman" w:cs="Times New Roman"/>
          <w:sz w:val="24"/>
          <w:szCs w:val="24"/>
          <w:lang w:val="it-IT"/>
        </w:rPr>
        <w:t xml:space="preserve">regolamentazione della </w:t>
      </w:r>
      <w:r w:rsidR="00DF0F2C" w:rsidRPr="006F07C8">
        <w:rPr>
          <w:rFonts w:ascii="Times New Roman" w:hAnsi="Times New Roman" w:cs="Times New Roman"/>
          <w:sz w:val="24"/>
          <w:szCs w:val="24"/>
          <w:lang w:val="it-IT"/>
        </w:rPr>
        <w:t xml:space="preserve">comunicazione interna </w:t>
      </w:r>
      <w:r w:rsidR="00182F1D" w:rsidRPr="006F07C8">
        <w:rPr>
          <w:rFonts w:ascii="Times New Roman" w:hAnsi="Times New Roman" w:cs="Times New Roman"/>
          <w:sz w:val="24"/>
          <w:szCs w:val="24"/>
          <w:lang w:val="it-IT"/>
        </w:rPr>
        <w:t xml:space="preserve">a </w:t>
      </w:r>
      <w:r w:rsidR="00DF0F2C" w:rsidRPr="006F07C8">
        <w:rPr>
          <w:rFonts w:ascii="Times New Roman" w:hAnsi="Times New Roman" w:cs="Times New Roman"/>
          <w:sz w:val="24"/>
          <w:szCs w:val="24"/>
          <w:lang w:val="it-IT"/>
        </w:rPr>
        <w:t>una organizzazione</w:t>
      </w:r>
      <w:r w:rsidR="002A046E" w:rsidRPr="006F07C8">
        <w:rPr>
          <w:rFonts w:ascii="Times New Roman" w:hAnsi="Times New Roman" w:cs="Times New Roman"/>
          <w:sz w:val="24"/>
          <w:szCs w:val="24"/>
          <w:lang w:val="it-IT"/>
        </w:rPr>
        <w:t>, ma non quella esterna</w:t>
      </w:r>
      <w:r w:rsidR="00DF0F2C" w:rsidRPr="006F07C8">
        <w:rPr>
          <w:rFonts w:ascii="Times New Roman" w:hAnsi="Times New Roman" w:cs="Times New Roman"/>
          <w:sz w:val="24"/>
          <w:szCs w:val="24"/>
          <w:lang w:val="it-IT"/>
        </w:rPr>
        <w:t xml:space="preserve">. </w:t>
      </w:r>
      <w:r w:rsidR="002A046E" w:rsidRPr="006F07C8">
        <w:rPr>
          <w:rFonts w:ascii="Times New Roman" w:hAnsi="Times New Roman" w:cs="Times New Roman"/>
          <w:sz w:val="24"/>
          <w:szCs w:val="24"/>
          <w:lang w:val="it-IT"/>
        </w:rPr>
        <w:t xml:space="preserve">Definiamo allora </w:t>
      </w:r>
      <w:r w:rsidRPr="006F07C8">
        <w:rPr>
          <w:rFonts w:ascii="Times New Roman" w:hAnsi="Times New Roman" w:cs="Times New Roman"/>
          <w:sz w:val="24"/>
          <w:szCs w:val="24"/>
          <w:lang w:val="it-IT"/>
        </w:rPr>
        <w:t>u</w:t>
      </w:r>
      <w:r w:rsidR="0061486F" w:rsidRPr="006F07C8">
        <w:rPr>
          <w:rFonts w:ascii="Times New Roman" w:hAnsi="Times New Roman" w:cs="Times New Roman"/>
          <w:sz w:val="24"/>
          <w:szCs w:val="24"/>
          <w:lang w:val="it-IT"/>
        </w:rPr>
        <w:t xml:space="preserve">n regime linguistico </w:t>
      </w:r>
      <w:r w:rsidR="000665B0" w:rsidRPr="006F07C8">
        <w:rPr>
          <w:rFonts w:ascii="Times New Roman" w:hAnsi="Times New Roman" w:cs="Times New Roman"/>
          <w:sz w:val="24"/>
          <w:szCs w:val="24"/>
          <w:lang w:val="it-IT"/>
        </w:rPr>
        <w:t xml:space="preserve">come l’insieme delle norme che </w:t>
      </w:r>
      <w:r w:rsidR="00DF0F2C" w:rsidRPr="006F07C8">
        <w:rPr>
          <w:rFonts w:ascii="Times New Roman" w:hAnsi="Times New Roman" w:cs="Times New Roman"/>
          <w:sz w:val="24"/>
          <w:szCs w:val="24"/>
          <w:lang w:val="it-IT"/>
        </w:rPr>
        <w:t>determinano</w:t>
      </w:r>
      <w:r w:rsidR="000665B0" w:rsidRPr="006F07C8">
        <w:rPr>
          <w:rFonts w:ascii="Times New Roman" w:hAnsi="Times New Roman" w:cs="Times New Roman"/>
          <w:sz w:val="24"/>
          <w:szCs w:val="24"/>
          <w:lang w:val="it-IT"/>
        </w:rPr>
        <w:t xml:space="preserve"> lo status </w:t>
      </w:r>
      <w:r w:rsidR="008508E9" w:rsidRPr="006F07C8">
        <w:rPr>
          <w:rFonts w:ascii="Times New Roman" w:hAnsi="Times New Roman" w:cs="Times New Roman"/>
          <w:sz w:val="24"/>
          <w:szCs w:val="24"/>
          <w:lang w:val="it-IT"/>
        </w:rPr>
        <w:t xml:space="preserve">e l’ambito di utilizzo </w:t>
      </w:r>
      <w:r w:rsidR="000665B0" w:rsidRPr="006F07C8">
        <w:rPr>
          <w:rFonts w:ascii="Times New Roman" w:hAnsi="Times New Roman" w:cs="Times New Roman"/>
          <w:sz w:val="24"/>
          <w:szCs w:val="24"/>
          <w:lang w:val="it-IT"/>
        </w:rPr>
        <w:t xml:space="preserve">delle lingue </w:t>
      </w:r>
      <w:r w:rsidR="002A046E" w:rsidRPr="006F07C8">
        <w:rPr>
          <w:rFonts w:ascii="Times New Roman" w:hAnsi="Times New Roman" w:cs="Times New Roman"/>
          <w:sz w:val="24"/>
          <w:szCs w:val="24"/>
          <w:lang w:val="it-IT"/>
        </w:rPr>
        <w:t>scelte</w:t>
      </w:r>
      <w:r w:rsidR="000665B0" w:rsidRPr="006F07C8">
        <w:rPr>
          <w:rFonts w:ascii="Times New Roman" w:hAnsi="Times New Roman" w:cs="Times New Roman"/>
          <w:sz w:val="24"/>
          <w:szCs w:val="24"/>
          <w:lang w:val="it-IT"/>
        </w:rPr>
        <w:t xml:space="preserve"> da un’</w:t>
      </w:r>
      <w:r w:rsidR="008508E9" w:rsidRPr="006F07C8">
        <w:rPr>
          <w:rFonts w:ascii="Times New Roman" w:hAnsi="Times New Roman" w:cs="Times New Roman"/>
          <w:sz w:val="24"/>
          <w:szCs w:val="24"/>
          <w:lang w:val="it-IT"/>
        </w:rPr>
        <w:t xml:space="preserve">istituzione </w:t>
      </w:r>
      <w:r w:rsidR="0061486F" w:rsidRPr="006F07C8">
        <w:rPr>
          <w:rFonts w:ascii="Times New Roman" w:hAnsi="Times New Roman" w:cs="Times New Roman"/>
          <w:sz w:val="24"/>
          <w:szCs w:val="24"/>
          <w:lang w:val="it-IT"/>
        </w:rPr>
        <w:t xml:space="preserve">o </w:t>
      </w:r>
      <w:r w:rsidR="008508E9" w:rsidRPr="006F07C8">
        <w:rPr>
          <w:rFonts w:ascii="Times New Roman" w:hAnsi="Times New Roman" w:cs="Times New Roman"/>
          <w:sz w:val="24"/>
          <w:szCs w:val="24"/>
          <w:lang w:val="it-IT"/>
        </w:rPr>
        <w:t>da un’</w:t>
      </w:r>
      <w:r w:rsidR="000665B0" w:rsidRPr="006F07C8">
        <w:rPr>
          <w:rFonts w:ascii="Times New Roman" w:hAnsi="Times New Roman" w:cs="Times New Roman"/>
          <w:sz w:val="24"/>
          <w:szCs w:val="24"/>
          <w:lang w:val="it-IT"/>
        </w:rPr>
        <w:t>organizzazione</w:t>
      </w:r>
      <w:r w:rsidRPr="006F07C8">
        <w:rPr>
          <w:rFonts w:ascii="Times New Roman" w:hAnsi="Times New Roman" w:cs="Times New Roman"/>
          <w:sz w:val="24"/>
          <w:szCs w:val="24"/>
          <w:lang w:val="it-IT"/>
        </w:rPr>
        <w:t xml:space="preserve"> per la propria comunicazione interna ed esterna</w:t>
      </w:r>
      <w:r w:rsidR="008508E9" w:rsidRPr="006F07C8">
        <w:rPr>
          <w:rFonts w:ascii="Times New Roman" w:hAnsi="Times New Roman" w:cs="Times New Roman"/>
          <w:sz w:val="24"/>
          <w:szCs w:val="24"/>
          <w:lang w:val="it-IT"/>
        </w:rPr>
        <w:t>. Si tratta quindi di stabilire un insieme</w:t>
      </w:r>
      <w:r w:rsidR="00355250" w:rsidRPr="006F07C8">
        <w:rPr>
          <w:rFonts w:ascii="Times New Roman" w:hAnsi="Times New Roman" w:cs="Times New Roman"/>
          <w:sz w:val="24"/>
          <w:szCs w:val="24"/>
          <w:lang w:val="it-IT"/>
        </w:rPr>
        <w:t xml:space="preserve"> di lingue ufficiali</w:t>
      </w:r>
      <w:r w:rsidR="0061486F" w:rsidRPr="006F07C8">
        <w:rPr>
          <w:rFonts w:ascii="Times New Roman" w:hAnsi="Times New Roman" w:cs="Times New Roman"/>
          <w:sz w:val="24"/>
          <w:szCs w:val="24"/>
          <w:lang w:val="it-IT"/>
        </w:rPr>
        <w:t>,</w:t>
      </w:r>
      <w:r w:rsidR="00355250" w:rsidRPr="006F07C8">
        <w:rPr>
          <w:rFonts w:ascii="Times New Roman" w:hAnsi="Times New Roman" w:cs="Times New Roman"/>
          <w:sz w:val="24"/>
          <w:szCs w:val="24"/>
          <w:lang w:val="it-IT"/>
        </w:rPr>
        <w:t xml:space="preserve"> e</w:t>
      </w:r>
      <w:r w:rsidR="008508E9" w:rsidRPr="006F07C8">
        <w:rPr>
          <w:rFonts w:ascii="Times New Roman" w:hAnsi="Times New Roman" w:cs="Times New Roman"/>
          <w:sz w:val="24"/>
          <w:szCs w:val="24"/>
          <w:lang w:val="it-IT"/>
        </w:rPr>
        <w:t xml:space="preserve">ventualmente un </w:t>
      </w:r>
      <w:r w:rsidR="00355250" w:rsidRPr="006F07C8">
        <w:rPr>
          <w:rFonts w:ascii="Times New Roman" w:hAnsi="Times New Roman" w:cs="Times New Roman"/>
          <w:sz w:val="24"/>
          <w:szCs w:val="24"/>
          <w:lang w:val="it-IT"/>
        </w:rPr>
        <w:t>gruppo di lingue di lavoro per finalità interne</w:t>
      </w:r>
      <w:r w:rsidR="00CC50BA" w:rsidRPr="006F07C8">
        <w:rPr>
          <w:rFonts w:ascii="Times New Roman" w:hAnsi="Times New Roman" w:cs="Times New Roman"/>
          <w:sz w:val="24"/>
          <w:szCs w:val="24"/>
          <w:lang w:val="it-IT"/>
        </w:rPr>
        <w:t>,</w:t>
      </w:r>
      <w:r w:rsidR="00355250" w:rsidRPr="006F07C8">
        <w:rPr>
          <w:rFonts w:ascii="Times New Roman" w:hAnsi="Times New Roman" w:cs="Times New Roman"/>
          <w:sz w:val="24"/>
          <w:szCs w:val="24"/>
          <w:lang w:val="it-IT"/>
        </w:rPr>
        <w:t xml:space="preserve"> delle </w:t>
      </w:r>
      <w:r w:rsidR="008508E9" w:rsidRPr="006F07C8">
        <w:rPr>
          <w:rFonts w:ascii="Times New Roman" w:hAnsi="Times New Roman" w:cs="Times New Roman"/>
          <w:sz w:val="24"/>
          <w:szCs w:val="24"/>
          <w:lang w:val="it-IT"/>
        </w:rPr>
        <w:t xml:space="preserve">lingue semi-ufficiali </w:t>
      </w:r>
      <w:r w:rsidR="005C6912" w:rsidRPr="006F07C8">
        <w:rPr>
          <w:rFonts w:ascii="Times New Roman" w:hAnsi="Times New Roman" w:cs="Times New Roman"/>
          <w:sz w:val="24"/>
          <w:szCs w:val="24"/>
          <w:lang w:val="it-IT"/>
        </w:rPr>
        <w:t xml:space="preserve">(cioè accettabili </w:t>
      </w:r>
      <w:r w:rsidR="008508E9" w:rsidRPr="006F07C8">
        <w:rPr>
          <w:rFonts w:ascii="Times New Roman" w:hAnsi="Times New Roman" w:cs="Times New Roman"/>
          <w:sz w:val="24"/>
          <w:szCs w:val="24"/>
          <w:lang w:val="it-IT"/>
        </w:rPr>
        <w:t xml:space="preserve">per </w:t>
      </w:r>
      <w:r w:rsidR="00355250" w:rsidRPr="006F07C8">
        <w:rPr>
          <w:rFonts w:ascii="Times New Roman" w:hAnsi="Times New Roman" w:cs="Times New Roman"/>
          <w:sz w:val="24"/>
          <w:szCs w:val="24"/>
          <w:lang w:val="it-IT"/>
        </w:rPr>
        <w:t>scopi</w:t>
      </w:r>
      <w:r w:rsidR="00CC50BA" w:rsidRPr="006F07C8">
        <w:rPr>
          <w:rFonts w:ascii="Times New Roman" w:hAnsi="Times New Roman" w:cs="Times New Roman"/>
          <w:sz w:val="24"/>
          <w:szCs w:val="24"/>
          <w:lang w:val="it-IT"/>
        </w:rPr>
        <w:t xml:space="preserve"> </w:t>
      </w:r>
      <w:r w:rsidR="005C6912" w:rsidRPr="006F07C8">
        <w:rPr>
          <w:rFonts w:ascii="Times New Roman" w:hAnsi="Times New Roman" w:cs="Times New Roman"/>
          <w:sz w:val="24"/>
          <w:szCs w:val="24"/>
          <w:lang w:val="it-IT"/>
        </w:rPr>
        <w:t xml:space="preserve">delimitati) </w:t>
      </w:r>
      <w:r w:rsidR="00CC50BA" w:rsidRPr="006F07C8">
        <w:rPr>
          <w:rFonts w:ascii="Times New Roman" w:hAnsi="Times New Roman" w:cs="Times New Roman"/>
          <w:sz w:val="24"/>
          <w:szCs w:val="24"/>
          <w:lang w:val="it-IT"/>
        </w:rPr>
        <w:t xml:space="preserve">e </w:t>
      </w:r>
      <w:r w:rsidR="00DF0F2C" w:rsidRPr="006F07C8">
        <w:rPr>
          <w:rFonts w:ascii="Times New Roman" w:hAnsi="Times New Roman" w:cs="Times New Roman"/>
          <w:sz w:val="24"/>
          <w:szCs w:val="24"/>
          <w:lang w:val="it-IT"/>
        </w:rPr>
        <w:t xml:space="preserve">la percentuale di documenti da </w:t>
      </w:r>
      <w:r w:rsidR="00355250" w:rsidRPr="006F07C8">
        <w:rPr>
          <w:rFonts w:ascii="Times New Roman" w:hAnsi="Times New Roman" w:cs="Times New Roman"/>
          <w:sz w:val="24"/>
          <w:szCs w:val="24"/>
          <w:lang w:val="it-IT"/>
        </w:rPr>
        <w:t>tra</w:t>
      </w:r>
      <w:r w:rsidR="00DF0F2C" w:rsidRPr="006F07C8">
        <w:rPr>
          <w:rFonts w:ascii="Times New Roman" w:hAnsi="Times New Roman" w:cs="Times New Roman"/>
          <w:sz w:val="24"/>
          <w:szCs w:val="24"/>
          <w:lang w:val="it-IT"/>
        </w:rPr>
        <w:t>durre e di conferenze da interpretare</w:t>
      </w:r>
      <w:r w:rsidR="00355250" w:rsidRPr="006F07C8">
        <w:rPr>
          <w:rFonts w:ascii="Times New Roman" w:hAnsi="Times New Roman" w:cs="Times New Roman"/>
          <w:sz w:val="24"/>
          <w:szCs w:val="24"/>
          <w:lang w:val="it-IT"/>
        </w:rPr>
        <w:t xml:space="preserve">. Un regime linguistico è quindi una politica linguistica </w:t>
      </w:r>
      <w:r w:rsidR="00355250" w:rsidRPr="006F07C8">
        <w:rPr>
          <w:rFonts w:ascii="Times New Roman" w:hAnsi="Times New Roman" w:cs="Times New Roman"/>
          <w:i/>
          <w:sz w:val="24"/>
          <w:szCs w:val="24"/>
          <w:lang w:val="it-IT"/>
        </w:rPr>
        <w:t>istituzionale</w:t>
      </w:r>
      <w:r w:rsidR="00355250" w:rsidRPr="006F07C8">
        <w:rPr>
          <w:rFonts w:ascii="Times New Roman" w:hAnsi="Times New Roman" w:cs="Times New Roman"/>
          <w:sz w:val="24"/>
          <w:szCs w:val="24"/>
          <w:lang w:val="it-IT"/>
        </w:rPr>
        <w:t xml:space="preserve">, nel senso che si tratta di una politica linguistica che mira a gestire la comunicazione multilingue </w:t>
      </w:r>
      <w:r w:rsidR="003F4CD7" w:rsidRPr="006F07C8">
        <w:rPr>
          <w:rFonts w:ascii="Times New Roman" w:hAnsi="Times New Roman" w:cs="Times New Roman"/>
          <w:sz w:val="24"/>
          <w:szCs w:val="24"/>
          <w:lang w:val="it-IT"/>
        </w:rPr>
        <w:t xml:space="preserve">di una data </w:t>
      </w:r>
      <w:r w:rsidR="00F511C6" w:rsidRPr="006F07C8">
        <w:rPr>
          <w:rFonts w:ascii="Times New Roman" w:hAnsi="Times New Roman" w:cs="Times New Roman"/>
          <w:sz w:val="24"/>
          <w:szCs w:val="24"/>
          <w:lang w:val="it-IT"/>
        </w:rPr>
        <w:t>organizzazione</w:t>
      </w:r>
      <w:r w:rsidR="003F4CD7" w:rsidRPr="006F07C8">
        <w:rPr>
          <w:rFonts w:ascii="Times New Roman" w:hAnsi="Times New Roman" w:cs="Times New Roman"/>
          <w:sz w:val="24"/>
          <w:szCs w:val="24"/>
          <w:lang w:val="it-IT"/>
        </w:rPr>
        <w:t xml:space="preserve">. </w:t>
      </w:r>
      <w:r w:rsidR="00E04C84" w:rsidRPr="006F07C8">
        <w:rPr>
          <w:rFonts w:ascii="Times New Roman" w:hAnsi="Times New Roman" w:cs="Times New Roman"/>
          <w:sz w:val="24"/>
          <w:szCs w:val="24"/>
          <w:lang w:val="it-IT"/>
        </w:rPr>
        <w:t xml:space="preserve">La traduzione e l’interpretazione sono parte integrante di un regime linguistico e </w:t>
      </w:r>
      <w:r w:rsidR="00230FD8" w:rsidRPr="006F07C8">
        <w:rPr>
          <w:rFonts w:ascii="Times New Roman" w:hAnsi="Times New Roman" w:cs="Times New Roman"/>
          <w:sz w:val="24"/>
          <w:szCs w:val="24"/>
          <w:lang w:val="it-IT"/>
        </w:rPr>
        <w:t xml:space="preserve">quindi </w:t>
      </w:r>
      <w:r w:rsidR="00E04C84" w:rsidRPr="006F07C8">
        <w:rPr>
          <w:rFonts w:ascii="Times New Roman" w:hAnsi="Times New Roman" w:cs="Times New Roman"/>
          <w:sz w:val="24"/>
          <w:szCs w:val="24"/>
          <w:lang w:val="it-IT"/>
        </w:rPr>
        <w:t>strumento di politica lingui</w:t>
      </w:r>
      <w:r w:rsidR="00571324" w:rsidRPr="006F07C8">
        <w:rPr>
          <w:rFonts w:ascii="Times New Roman" w:hAnsi="Times New Roman" w:cs="Times New Roman"/>
          <w:sz w:val="24"/>
          <w:szCs w:val="24"/>
          <w:lang w:val="it-IT"/>
        </w:rPr>
        <w:t>stica.</w:t>
      </w:r>
    </w:p>
    <w:p w:rsidR="00F511C6" w:rsidRPr="006F07C8" w:rsidRDefault="00DF0F2C" w:rsidP="002F52A9">
      <w:pPr>
        <w:spacing w:line="240" w:lineRule="auto"/>
        <w:jc w:val="both"/>
        <w:rPr>
          <w:rFonts w:ascii="Times New Roman" w:hAnsi="Times New Roman" w:cs="Times New Roman"/>
          <w:sz w:val="24"/>
          <w:szCs w:val="24"/>
          <w:lang w:val="it-IT"/>
        </w:rPr>
      </w:pPr>
      <w:r w:rsidRPr="006F07C8">
        <w:rPr>
          <w:rFonts w:ascii="Times New Roman" w:hAnsi="Times New Roman" w:cs="Times New Roman"/>
          <w:sz w:val="24"/>
          <w:szCs w:val="24"/>
          <w:lang w:val="it-IT"/>
        </w:rPr>
        <w:t>Non è questa la sede per presentare del dettaglio il regime linguistico della UE.</w:t>
      </w:r>
      <w:r w:rsidRPr="006F07C8">
        <w:rPr>
          <w:rStyle w:val="FootnoteReference"/>
          <w:rFonts w:ascii="Times New Roman" w:hAnsi="Times New Roman" w:cs="Times New Roman"/>
          <w:sz w:val="24"/>
          <w:szCs w:val="24"/>
          <w:lang w:val="it-IT"/>
        </w:rPr>
        <w:footnoteReference w:id="12"/>
      </w:r>
      <w:r w:rsidRPr="006F07C8">
        <w:rPr>
          <w:rFonts w:ascii="Times New Roman" w:hAnsi="Times New Roman" w:cs="Times New Roman"/>
          <w:sz w:val="24"/>
          <w:szCs w:val="24"/>
          <w:lang w:val="it-IT"/>
        </w:rPr>
        <w:t xml:space="preserve"> Basti ricordare che </w:t>
      </w:r>
      <w:r w:rsidR="0036000A" w:rsidRPr="006F07C8">
        <w:rPr>
          <w:rFonts w:ascii="Times New Roman" w:hAnsi="Times New Roman" w:cs="Times New Roman"/>
          <w:sz w:val="24"/>
          <w:szCs w:val="24"/>
          <w:lang w:val="it-IT"/>
        </w:rPr>
        <w:t xml:space="preserve">esso </w:t>
      </w:r>
      <w:r w:rsidR="001F42EC" w:rsidRPr="006F07C8">
        <w:rPr>
          <w:rFonts w:ascii="Times New Roman" w:hAnsi="Times New Roman" w:cs="Times New Roman"/>
          <w:sz w:val="24"/>
          <w:szCs w:val="24"/>
          <w:lang w:val="it-IT"/>
        </w:rPr>
        <w:t xml:space="preserve">è definito </w:t>
      </w:r>
      <w:r w:rsidR="0036000A" w:rsidRPr="006F07C8">
        <w:rPr>
          <w:rFonts w:ascii="Times New Roman" w:hAnsi="Times New Roman" w:cs="Times New Roman"/>
          <w:sz w:val="24"/>
          <w:szCs w:val="24"/>
          <w:lang w:val="it-IT"/>
        </w:rPr>
        <w:t xml:space="preserve">formalmente </w:t>
      </w:r>
      <w:r w:rsidR="001F42EC" w:rsidRPr="006F07C8">
        <w:rPr>
          <w:rFonts w:ascii="Times New Roman" w:hAnsi="Times New Roman" w:cs="Times New Roman"/>
          <w:sz w:val="24"/>
          <w:szCs w:val="24"/>
          <w:lang w:val="it-IT"/>
        </w:rPr>
        <w:t xml:space="preserve">dal Regolamento n. 1/58 e più volte aggiornato. In senso lato, però, il regime linguistico europeo </w:t>
      </w:r>
      <w:r w:rsidR="005C6912" w:rsidRPr="006F07C8">
        <w:rPr>
          <w:rFonts w:ascii="Times New Roman" w:hAnsi="Times New Roman" w:cs="Times New Roman"/>
          <w:sz w:val="24"/>
          <w:szCs w:val="24"/>
          <w:lang w:val="it-IT"/>
        </w:rPr>
        <w:t xml:space="preserve">comprende anche </w:t>
      </w:r>
      <w:r w:rsidR="001F42EC" w:rsidRPr="006F07C8">
        <w:rPr>
          <w:rFonts w:ascii="Times New Roman" w:hAnsi="Times New Roman" w:cs="Times New Roman"/>
          <w:sz w:val="24"/>
          <w:szCs w:val="24"/>
          <w:lang w:val="it-IT"/>
        </w:rPr>
        <w:t xml:space="preserve">l’insieme delle disposizioni riguardanti le lingue contenute nei regolamenti interni alle varie istituzioni dell’UE e </w:t>
      </w:r>
      <w:r w:rsidR="005C6912" w:rsidRPr="006F07C8">
        <w:rPr>
          <w:rFonts w:ascii="Times New Roman" w:hAnsi="Times New Roman" w:cs="Times New Roman"/>
          <w:sz w:val="24"/>
          <w:szCs w:val="24"/>
          <w:lang w:val="it-IT"/>
        </w:rPr>
        <w:t xml:space="preserve">nei </w:t>
      </w:r>
      <w:r w:rsidR="001F42EC" w:rsidRPr="006F07C8">
        <w:rPr>
          <w:rFonts w:ascii="Times New Roman" w:hAnsi="Times New Roman" w:cs="Times New Roman"/>
          <w:sz w:val="24"/>
          <w:szCs w:val="24"/>
          <w:lang w:val="it-IT"/>
        </w:rPr>
        <w:t>trattati, per esempio, l’articolo 24 del Trattato sul funzionamento dell’Unione europea (TFUE)</w:t>
      </w:r>
      <w:r w:rsidR="001F42EC" w:rsidRPr="006F07C8">
        <w:rPr>
          <w:rStyle w:val="Emphasis"/>
          <w:rFonts w:ascii="Times New Roman" w:hAnsi="Times New Roman" w:cs="Times New Roman"/>
          <w:i w:val="0"/>
          <w:sz w:val="24"/>
          <w:szCs w:val="24"/>
          <w:lang w:val="it-IT"/>
        </w:rPr>
        <w:t>.</w:t>
      </w:r>
      <w:r w:rsidR="001F42EC" w:rsidRPr="006F07C8">
        <w:rPr>
          <w:rStyle w:val="FootnoteReference"/>
          <w:rFonts w:ascii="Times New Roman" w:hAnsi="Times New Roman" w:cs="Times New Roman"/>
          <w:iCs/>
          <w:sz w:val="24"/>
          <w:szCs w:val="24"/>
          <w:lang w:val="it-IT"/>
        </w:rPr>
        <w:footnoteReference w:id="13"/>
      </w:r>
      <w:r w:rsidR="001F42EC" w:rsidRPr="006F07C8">
        <w:rPr>
          <w:rStyle w:val="Emphasis"/>
          <w:rFonts w:ascii="Times New Roman" w:hAnsi="Times New Roman" w:cs="Times New Roman"/>
          <w:i w:val="0"/>
          <w:sz w:val="24"/>
          <w:szCs w:val="24"/>
          <w:lang w:val="it-IT"/>
        </w:rPr>
        <w:t xml:space="preserve"> </w:t>
      </w:r>
      <w:r w:rsidR="00F511C6" w:rsidRPr="006F07C8">
        <w:rPr>
          <w:rFonts w:ascii="Times New Roman" w:hAnsi="Times New Roman" w:cs="Times New Roman"/>
          <w:sz w:val="24"/>
          <w:szCs w:val="24"/>
          <w:lang w:val="it-IT"/>
        </w:rPr>
        <w:t>Il regime linguistico dell’UE è dunque solo uno degli ambiti della politica linguistica europea</w:t>
      </w:r>
      <w:r w:rsidR="00182F1D" w:rsidRPr="006F07C8">
        <w:rPr>
          <w:rFonts w:ascii="Times New Roman" w:hAnsi="Times New Roman" w:cs="Times New Roman"/>
          <w:sz w:val="24"/>
          <w:szCs w:val="24"/>
          <w:lang w:val="it-IT"/>
        </w:rPr>
        <w:t>,</w:t>
      </w:r>
      <w:r w:rsidR="00F511C6" w:rsidRPr="006F07C8">
        <w:rPr>
          <w:rFonts w:ascii="Times New Roman" w:hAnsi="Times New Roman" w:cs="Times New Roman"/>
          <w:sz w:val="24"/>
          <w:szCs w:val="24"/>
          <w:lang w:val="it-IT"/>
        </w:rPr>
        <w:t xml:space="preserve"> la quale include (o includeva) interventi di coordinamento e sostegno alle politiche di valorizzazione di alcune minoranze linguistiche in Europa</w:t>
      </w:r>
      <w:r w:rsidR="00F511C6" w:rsidRPr="006F07C8">
        <w:rPr>
          <w:rStyle w:val="FootnoteReference"/>
          <w:rFonts w:ascii="Times New Roman" w:hAnsi="Times New Roman" w:cs="Times New Roman"/>
          <w:sz w:val="24"/>
          <w:szCs w:val="24"/>
          <w:lang w:val="it-IT"/>
        </w:rPr>
        <w:footnoteReference w:id="14"/>
      </w:r>
      <w:r w:rsidR="00F511C6" w:rsidRPr="006F07C8">
        <w:rPr>
          <w:rFonts w:ascii="Times New Roman" w:hAnsi="Times New Roman" w:cs="Times New Roman"/>
          <w:sz w:val="24"/>
          <w:szCs w:val="24"/>
          <w:lang w:val="it-IT"/>
        </w:rPr>
        <w:t xml:space="preserve"> o di insegnamento delle lingue straniere nei sistemi nazionali di istruzione.</w:t>
      </w:r>
      <w:r w:rsidR="00F511C6" w:rsidRPr="006F07C8">
        <w:rPr>
          <w:rStyle w:val="FootnoteReference"/>
          <w:rFonts w:ascii="Times New Roman" w:hAnsi="Times New Roman" w:cs="Times New Roman"/>
          <w:sz w:val="24"/>
          <w:szCs w:val="24"/>
          <w:lang w:val="it-IT"/>
        </w:rPr>
        <w:footnoteReference w:id="15"/>
      </w:r>
    </w:p>
    <w:p w:rsidR="00FD7990" w:rsidRPr="006F07C8" w:rsidRDefault="005C6912" w:rsidP="002F52A9">
      <w:pPr>
        <w:spacing w:line="240" w:lineRule="auto"/>
        <w:jc w:val="both"/>
        <w:rPr>
          <w:rFonts w:ascii="Times New Roman" w:hAnsi="Times New Roman" w:cs="Times New Roman"/>
          <w:sz w:val="24"/>
          <w:szCs w:val="24"/>
          <w:lang w:val="it-IT"/>
        </w:rPr>
      </w:pPr>
      <w:r w:rsidRPr="006F07C8">
        <w:rPr>
          <w:rStyle w:val="Emphasis"/>
          <w:rFonts w:ascii="Times New Roman" w:hAnsi="Times New Roman" w:cs="Times New Roman"/>
          <w:i w:val="0"/>
          <w:sz w:val="24"/>
          <w:szCs w:val="24"/>
          <w:lang w:val="it-IT"/>
        </w:rPr>
        <w:t xml:space="preserve">Veniamo ora alle </w:t>
      </w:r>
      <w:r w:rsidR="00C8277B" w:rsidRPr="006F07C8">
        <w:rPr>
          <w:rStyle w:val="Emphasis"/>
          <w:rFonts w:ascii="Times New Roman" w:hAnsi="Times New Roman" w:cs="Times New Roman"/>
          <w:i w:val="0"/>
          <w:sz w:val="24"/>
          <w:szCs w:val="24"/>
          <w:lang w:val="it-IT"/>
        </w:rPr>
        <w:t xml:space="preserve">caratteristiche </w:t>
      </w:r>
      <w:r w:rsidRPr="006F07C8">
        <w:rPr>
          <w:rStyle w:val="Emphasis"/>
          <w:rFonts w:ascii="Times New Roman" w:hAnsi="Times New Roman" w:cs="Times New Roman"/>
          <w:i w:val="0"/>
          <w:sz w:val="24"/>
          <w:szCs w:val="24"/>
          <w:lang w:val="it-IT"/>
        </w:rPr>
        <w:t xml:space="preserve">essenziali </w:t>
      </w:r>
      <w:r w:rsidR="00C8277B" w:rsidRPr="006F07C8">
        <w:rPr>
          <w:rStyle w:val="Emphasis"/>
          <w:rFonts w:ascii="Times New Roman" w:hAnsi="Times New Roman" w:cs="Times New Roman"/>
          <w:i w:val="0"/>
          <w:sz w:val="24"/>
          <w:szCs w:val="24"/>
          <w:lang w:val="it-IT"/>
        </w:rPr>
        <w:t xml:space="preserve">del regime linguistico </w:t>
      </w:r>
      <w:r w:rsidR="0036000A" w:rsidRPr="006F07C8">
        <w:rPr>
          <w:rStyle w:val="Emphasis"/>
          <w:rFonts w:ascii="Times New Roman" w:hAnsi="Times New Roman" w:cs="Times New Roman"/>
          <w:i w:val="0"/>
          <w:sz w:val="24"/>
          <w:szCs w:val="24"/>
          <w:lang w:val="it-IT"/>
        </w:rPr>
        <w:t>della UE</w:t>
      </w:r>
      <w:r w:rsidR="00C8277B" w:rsidRPr="006F07C8">
        <w:rPr>
          <w:rStyle w:val="Emphasis"/>
          <w:rFonts w:ascii="Times New Roman" w:hAnsi="Times New Roman" w:cs="Times New Roman"/>
          <w:i w:val="0"/>
          <w:sz w:val="24"/>
          <w:szCs w:val="24"/>
          <w:lang w:val="it-IT"/>
        </w:rPr>
        <w:t>.</w:t>
      </w:r>
      <w:r w:rsidR="0036000A" w:rsidRPr="006F07C8">
        <w:rPr>
          <w:rStyle w:val="Emphasis"/>
          <w:rFonts w:ascii="Times New Roman" w:hAnsi="Times New Roman" w:cs="Times New Roman"/>
          <w:i w:val="0"/>
          <w:sz w:val="24"/>
          <w:szCs w:val="24"/>
          <w:lang w:val="it-IT"/>
        </w:rPr>
        <w:t xml:space="preserve"> L’Unione </w:t>
      </w:r>
      <w:r w:rsidR="00182F1D" w:rsidRPr="006F07C8">
        <w:rPr>
          <w:rStyle w:val="Emphasis"/>
          <w:rFonts w:ascii="Times New Roman" w:hAnsi="Times New Roman" w:cs="Times New Roman"/>
          <w:i w:val="0"/>
          <w:sz w:val="24"/>
          <w:szCs w:val="24"/>
          <w:lang w:val="it-IT"/>
        </w:rPr>
        <w:t xml:space="preserve">ha </w:t>
      </w:r>
      <w:r w:rsidR="00EA51D6" w:rsidRPr="006F07C8">
        <w:rPr>
          <w:rFonts w:ascii="Times New Roman" w:hAnsi="Times New Roman" w:cs="Times New Roman"/>
          <w:sz w:val="24"/>
          <w:szCs w:val="24"/>
          <w:lang w:val="it-IT"/>
        </w:rPr>
        <w:t>24 lingue ufficiali e di lavoro</w:t>
      </w:r>
      <w:r w:rsidR="00AA39A7" w:rsidRPr="006F07C8">
        <w:rPr>
          <w:rFonts w:ascii="Times New Roman" w:hAnsi="Times New Roman" w:cs="Times New Roman"/>
          <w:sz w:val="24"/>
          <w:szCs w:val="24"/>
          <w:lang w:val="it-IT"/>
        </w:rPr>
        <w:t xml:space="preserve">. Ciò </w:t>
      </w:r>
      <w:r w:rsidR="00EF1C5C" w:rsidRPr="006F07C8">
        <w:rPr>
          <w:rFonts w:ascii="Times New Roman" w:hAnsi="Times New Roman" w:cs="Times New Roman"/>
          <w:sz w:val="24"/>
          <w:szCs w:val="24"/>
          <w:lang w:val="it-IT"/>
        </w:rPr>
        <w:t xml:space="preserve">implica, fra le altre cose, </w:t>
      </w:r>
      <w:r w:rsidR="00AA39A7" w:rsidRPr="006F07C8">
        <w:rPr>
          <w:rFonts w:ascii="Times New Roman" w:hAnsi="Times New Roman" w:cs="Times New Roman"/>
          <w:sz w:val="24"/>
          <w:szCs w:val="24"/>
          <w:lang w:val="it-IT"/>
        </w:rPr>
        <w:t xml:space="preserve">che gli atti normativi come le direttive e i regolamenti devono essere redatti in tutte le lingue ufficiali. </w:t>
      </w:r>
      <w:r w:rsidR="0036000A" w:rsidRPr="006F07C8">
        <w:rPr>
          <w:rFonts w:ascii="Times New Roman" w:hAnsi="Times New Roman" w:cs="Times New Roman"/>
          <w:sz w:val="24"/>
          <w:szCs w:val="24"/>
          <w:lang w:val="it-IT"/>
        </w:rPr>
        <w:t>N</w:t>
      </w:r>
      <w:r w:rsidR="00AA39A7" w:rsidRPr="006F07C8">
        <w:rPr>
          <w:rFonts w:ascii="Times New Roman" w:hAnsi="Times New Roman" w:cs="Times New Roman"/>
          <w:sz w:val="24"/>
          <w:szCs w:val="24"/>
          <w:lang w:val="it-IT"/>
        </w:rPr>
        <w:t xml:space="preserve">ella prassi del lavoro delle istituzioni europee </w:t>
      </w:r>
      <w:r w:rsidR="00404DA1" w:rsidRPr="006F07C8">
        <w:rPr>
          <w:rFonts w:ascii="Times New Roman" w:hAnsi="Times New Roman" w:cs="Times New Roman"/>
          <w:sz w:val="24"/>
          <w:szCs w:val="24"/>
          <w:lang w:val="it-IT"/>
        </w:rPr>
        <w:t xml:space="preserve">sono utilizzate </w:t>
      </w:r>
      <w:r w:rsidR="00AA39A7" w:rsidRPr="006F07C8">
        <w:rPr>
          <w:rFonts w:ascii="Times New Roman" w:hAnsi="Times New Roman" w:cs="Times New Roman"/>
          <w:sz w:val="24"/>
          <w:szCs w:val="24"/>
          <w:lang w:val="it-IT"/>
        </w:rPr>
        <w:t>tutte le 24 li</w:t>
      </w:r>
      <w:r w:rsidR="00404DA1" w:rsidRPr="006F07C8">
        <w:rPr>
          <w:rFonts w:ascii="Times New Roman" w:hAnsi="Times New Roman" w:cs="Times New Roman"/>
          <w:sz w:val="24"/>
          <w:szCs w:val="24"/>
          <w:lang w:val="it-IT"/>
        </w:rPr>
        <w:t>ngue</w:t>
      </w:r>
      <w:r w:rsidR="0061486F" w:rsidRPr="006F07C8">
        <w:rPr>
          <w:rFonts w:ascii="Times New Roman" w:hAnsi="Times New Roman" w:cs="Times New Roman"/>
          <w:sz w:val="24"/>
          <w:szCs w:val="24"/>
          <w:lang w:val="it-IT"/>
        </w:rPr>
        <w:t xml:space="preserve"> di lavoro</w:t>
      </w:r>
      <w:r w:rsidR="00404DA1" w:rsidRPr="006F07C8">
        <w:rPr>
          <w:rFonts w:ascii="Times New Roman" w:hAnsi="Times New Roman" w:cs="Times New Roman"/>
          <w:sz w:val="24"/>
          <w:szCs w:val="24"/>
          <w:lang w:val="it-IT"/>
        </w:rPr>
        <w:t xml:space="preserve"> anche se a gradi di intensità diversi. Nelle istituzioni rappresentative come il Parlamento europeo o il Consiglio dell’Unione europea, per esempio, </w:t>
      </w:r>
      <w:r w:rsidR="00C8277B" w:rsidRPr="006F07C8">
        <w:rPr>
          <w:rFonts w:ascii="Times New Roman" w:hAnsi="Times New Roman" w:cs="Times New Roman"/>
          <w:sz w:val="24"/>
          <w:szCs w:val="24"/>
          <w:lang w:val="it-IT"/>
        </w:rPr>
        <w:t xml:space="preserve">i regolamenti interni </w:t>
      </w:r>
      <w:r w:rsidR="00404DA1" w:rsidRPr="006F07C8">
        <w:rPr>
          <w:rFonts w:ascii="Times New Roman" w:hAnsi="Times New Roman" w:cs="Times New Roman"/>
          <w:sz w:val="24"/>
          <w:szCs w:val="24"/>
          <w:lang w:val="it-IT"/>
        </w:rPr>
        <w:t>permett</w:t>
      </w:r>
      <w:r w:rsidR="00C8277B" w:rsidRPr="006F07C8">
        <w:rPr>
          <w:rFonts w:ascii="Times New Roman" w:hAnsi="Times New Roman" w:cs="Times New Roman"/>
          <w:sz w:val="24"/>
          <w:szCs w:val="24"/>
          <w:lang w:val="it-IT"/>
        </w:rPr>
        <w:t>ono</w:t>
      </w:r>
      <w:r w:rsidR="00404DA1" w:rsidRPr="006F07C8">
        <w:rPr>
          <w:rFonts w:ascii="Times New Roman" w:hAnsi="Times New Roman" w:cs="Times New Roman"/>
          <w:sz w:val="24"/>
          <w:szCs w:val="24"/>
          <w:lang w:val="it-IT"/>
        </w:rPr>
        <w:t xml:space="preserve"> a ogni deputato o ministro di esprimersi nella </w:t>
      </w:r>
      <w:r w:rsidR="003D4151" w:rsidRPr="006F07C8">
        <w:rPr>
          <w:rFonts w:ascii="Times New Roman" w:hAnsi="Times New Roman" w:cs="Times New Roman"/>
          <w:sz w:val="24"/>
          <w:szCs w:val="24"/>
          <w:lang w:val="it-IT"/>
        </w:rPr>
        <w:t xml:space="preserve">lingua </w:t>
      </w:r>
      <w:r w:rsidR="00404DA1" w:rsidRPr="006F07C8">
        <w:rPr>
          <w:rFonts w:ascii="Times New Roman" w:hAnsi="Times New Roman" w:cs="Times New Roman"/>
          <w:sz w:val="24"/>
          <w:szCs w:val="24"/>
          <w:lang w:val="it-IT"/>
        </w:rPr>
        <w:t>ufficiale di suo piacimento nel corso delle riunioni formali,</w:t>
      </w:r>
      <w:r w:rsidR="00464A96" w:rsidRPr="006F07C8">
        <w:rPr>
          <w:rStyle w:val="FootnoteReference"/>
          <w:rFonts w:ascii="Times New Roman" w:hAnsi="Times New Roman" w:cs="Times New Roman"/>
          <w:sz w:val="24"/>
          <w:szCs w:val="24"/>
          <w:lang w:val="it-IT"/>
        </w:rPr>
        <w:footnoteReference w:id="16"/>
      </w:r>
      <w:r w:rsidR="00404DA1" w:rsidRPr="006F07C8">
        <w:rPr>
          <w:rFonts w:ascii="Times New Roman" w:hAnsi="Times New Roman" w:cs="Times New Roman"/>
          <w:sz w:val="24"/>
          <w:szCs w:val="24"/>
          <w:lang w:val="it-IT"/>
        </w:rPr>
        <w:t xml:space="preserve"> mentre in organi più tecnici come la Commissione o la Corte dei conti, </w:t>
      </w:r>
      <w:r w:rsidR="0061486F" w:rsidRPr="006F07C8">
        <w:rPr>
          <w:rFonts w:ascii="Times New Roman" w:hAnsi="Times New Roman" w:cs="Times New Roman"/>
          <w:sz w:val="24"/>
          <w:szCs w:val="24"/>
          <w:lang w:val="it-IT"/>
        </w:rPr>
        <w:t xml:space="preserve">almeno per le attività interne, </w:t>
      </w:r>
      <w:r w:rsidR="00404DA1" w:rsidRPr="006F07C8">
        <w:rPr>
          <w:rFonts w:ascii="Times New Roman" w:hAnsi="Times New Roman" w:cs="Times New Roman"/>
          <w:sz w:val="24"/>
          <w:szCs w:val="24"/>
          <w:lang w:val="it-IT"/>
        </w:rPr>
        <w:t>si tende prevalentemente a convergere verso l’utilizzo di un numero ristretto di lingue, solitamente una o due (</w:t>
      </w:r>
      <w:r w:rsidRPr="006F07C8">
        <w:rPr>
          <w:rFonts w:ascii="Times New Roman" w:hAnsi="Times New Roman" w:cs="Times New Roman"/>
          <w:sz w:val="24"/>
          <w:szCs w:val="24"/>
          <w:lang w:val="it-IT"/>
        </w:rPr>
        <w:t xml:space="preserve">prevalentemente </w:t>
      </w:r>
      <w:r w:rsidR="00404DA1" w:rsidRPr="006F07C8">
        <w:rPr>
          <w:rFonts w:ascii="Times New Roman" w:hAnsi="Times New Roman" w:cs="Times New Roman"/>
          <w:sz w:val="24"/>
          <w:szCs w:val="24"/>
          <w:lang w:val="it-IT"/>
        </w:rPr>
        <w:t>francese e inglese</w:t>
      </w:r>
      <w:r w:rsidR="00182F1D" w:rsidRPr="006F07C8">
        <w:rPr>
          <w:rFonts w:ascii="Times New Roman" w:hAnsi="Times New Roman" w:cs="Times New Roman"/>
          <w:sz w:val="24"/>
          <w:szCs w:val="24"/>
          <w:lang w:val="it-IT"/>
        </w:rPr>
        <w:t>, talvolta tedesco</w:t>
      </w:r>
      <w:r w:rsidR="00404DA1" w:rsidRPr="006F07C8">
        <w:rPr>
          <w:rFonts w:ascii="Times New Roman" w:hAnsi="Times New Roman" w:cs="Times New Roman"/>
          <w:sz w:val="24"/>
          <w:szCs w:val="24"/>
          <w:lang w:val="it-IT"/>
        </w:rPr>
        <w:t>), senza per</w:t>
      </w:r>
      <w:r w:rsidR="0061486F" w:rsidRPr="006F07C8">
        <w:rPr>
          <w:rFonts w:ascii="Times New Roman" w:hAnsi="Times New Roman" w:cs="Times New Roman"/>
          <w:sz w:val="24"/>
          <w:szCs w:val="24"/>
          <w:lang w:val="it-IT"/>
        </w:rPr>
        <w:t>ò</w:t>
      </w:r>
      <w:r w:rsidR="00404DA1" w:rsidRPr="006F07C8">
        <w:rPr>
          <w:rFonts w:ascii="Times New Roman" w:hAnsi="Times New Roman" w:cs="Times New Roman"/>
          <w:sz w:val="24"/>
          <w:szCs w:val="24"/>
          <w:lang w:val="it-IT"/>
        </w:rPr>
        <w:t xml:space="preserve"> dare a que</w:t>
      </w:r>
      <w:r w:rsidR="00404DA1" w:rsidRPr="006F07C8">
        <w:rPr>
          <w:rFonts w:ascii="Times New Roman" w:hAnsi="Times New Roman" w:cs="Times New Roman"/>
          <w:sz w:val="24"/>
          <w:szCs w:val="24"/>
          <w:lang w:val="it-IT"/>
        </w:rPr>
        <w:lastRenderedPageBreak/>
        <w:t xml:space="preserve">ste lingue alcuno status distinto </w:t>
      </w:r>
      <w:r w:rsidR="0061486F" w:rsidRPr="006F07C8">
        <w:rPr>
          <w:rFonts w:ascii="Times New Roman" w:hAnsi="Times New Roman" w:cs="Times New Roman"/>
          <w:sz w:val="24"/>
          <w:szCs w:val="24"/>
          <w:lang w:val="it-IT"/>
        </w:rPr>
        <w:t>o</w:t>
      </w:r>
      <w:r w:rsidR="00404DA1" w:rsidRPr="006F07C8">
        <w:rPr>
          <w:rFonts w:ascii="Times New Roman" w:hAnsi="Times New Roman" w:cs="Times New Roman"/>
          <w:sz w:val="24"/>
          <w:szCs w:val="24"/>
          <w:lang w:val="it-IT"/>
        </w:rPr>
        <w:t xml:space="preserve"> proibire l’utilizzo delle altre. Dire che il francese, l’inglese e il tedesco sono le lingue di lavoro </w:t>
      </w:r>
      <w:r w:rsidR="00665015" w:rsidRPr="006F07C8">
        <w:rPr>
          <w:rFonts w:ascii="Times New Roman" w:hAnsi="Times New Roman" w:cs="Times New Roman"/>
          <w:sz w:val="24"/>
          <w:szCs w:val="24"/>
          <w:lang w:val="it-IT"/>
        </w:rPr>
        <w:t>“</w:t>
      </w:r>
      <w:r w:rsidR="00404DA1" w:rsidRPr="006F07C8">
        <w:rPr>
          <w:rFonts w:ascii="Times New Roman" w:hAnsi="Times New Roman" w:cs="Times New Roman"/>
          <w:sz w:val="24"/>
          <w:szCs w:val="24"/>
          <w:lang w:val="it-IT"/>
        </w:rPr>
        <w:t>ufficiali</w:t>
      </w:r>
      <w:r w:rsidR="00665015" w:rsidRPr="006F07C8">
        <w:rPr>
          <w:rFonts w:ascii="Times New Roman" w:hAnsi="Times New Roman" w:cs="Times New Roman"/>
          <w:sz w:val="24"/>
          <w:szCs w:val="24"/>
          <w:lang w:val="it-IT"/>
        </w:rPr>
        <w:t>”</w:t>
      </w:r>
      <w:r w:rsidR="00404DA1" w:rsidRPr="006F07C8">
        <w:rPr>
          <w:rFonts w:ascii="Times New Roman" w:hAnsi="Times New Roman" w:cs="Times New Roman"/>
          <w:sz w:val="24"/>
          <w:szCs w:val="24"/>
          <w:lang w:val="it-IT"/>
        </w:rPr>
        <w:t xml:space="preserve"> della Commissione europea è </w:t>
      </w:r>
      <w:r w:rsidR="00EF1C5C" w:rsidRPr="006F07C8">
        <w:rPr>
          <w:rFonts w:ascii="Times New Roman" w:hAnsi="Times New Roman" w:cs="Times New Roman"/>
          <w:sz w:val="24"/>
          <w:szCs w:val="24"/>
          <w:lang w:val="it-IT"/>
        </w:rPr>
        <w:t xml:space="preserve">dunque </w:t>
      </w:r>
      <w:r w:rsidR="00404DA1" w:rsidRPr="006F07C8">
        <w:rPr>
          <w:rFonts w:ascii="Times New Roman" w:hAnsi="Times New Roman" w:cs="Times New Roman"/>
          <w:sz w:val="24"/>
          <w:szCs w:val="24"/>
          <w:lang w:val="it-IT"/>
        </w:rPr>
        <w:t>errato.</w:t>
      </w:r>
    </w:p>
    <w:p w:rsidR="00B00587" w:rsidRPr="006F07C8" w:rsidRDefault="00C8277B" w:rsidP="002F52A9">
      <w:pPr>
        <w:spacing w:line="240" w:lineRule="auto"/>
        <w:jc w:val="both"/>
        <w:rPr>
          <w:rFonts w:ascii="Times New Roman" w:hAnsi="Times New Roman" w:cs="Times New Roman"/>
          <w:sz w:val="24"/>
          <w:szCs w:val="24"/>
          <w:lang w:val="it-IT"/>
        </w:rPr>
      </w:pPr>
      <w:r w:rsidRPr="006F07C8">
        <w:rPr>
          <w:rFonts w:ascii="Times New Roman" w:hAnsi="Times New Roman" w:cs="Times New Roman"/>
          <w:sz w:val="24"/>
          <w:szCs w:val="24"/>
          <w:lang w:val="it-IT"/>
        </w:rPr>
        <w:t>Stando al</w:t>
      </w:r>
      <w:r w:rsidR="00571324" w:rsidRPr="006F07C8">
        <w:rPr>
          <w:rFonts w:ascii="Times New Roman" w:hAnsi="Times New Roman" w:cs="Times New Roman"/>
          <w:sz w:val="24"/>
          <w:szCs w:val="24"/>
          <w:lang w:val="it-IT"/>
        </w:rPr>
        <w:t xml:space="preserve">le ultime stime ufficiali disponibili, le istituzioni della UE spendevano </w:t>
      </w:r>
      <w:r w:rsidR="0036000A" w:rsidRPr="006F07C8">
        <w:rPr>
          <w:rFonts w:ascii="Times New Roman" w:hAnsi="Times New Roman" w:cs="Times New Roman"/>
          <w:sz w:val="24"/>
          <w:szCs w:val="24"/>
          <w:lang w:val="it-IT"/>
        </w:rPr>
        <w:t xml:space="preserve">nel 2012 </w:t>
      </w:r>
      <w:r w:rsidR="00571324" w:rsidRPr="006F07C8">
        <w:rPr>
          <w:rFonts w:ascii="Times New Roman" w:hAnsi="Times New Roman" w:cs="Times New Roman"/>
          <w:sz w:val="24"/>
          <w:szCs w:val="24"/>
          <w:lang w:val="it-IT"/>
        </w:rPr>
        <w:t>circa €1,1 miliardi per i servizi linguistici</w:t>
      </w:r>
      <w:r w:rsidR="00E10CFD" w:rsidRPr="006F07C8">
        <w:rPr>
          <w:rFonts w:ascii="Times New Roman" w:hAnsi="Times New Roman" w:cs="Times New Roman"/>
          <w:sz w:val="24"/>
          <w:szCs w:val="24"/>
          <w:lang w:val="it-IT"/>
        </w:rPr>
        <w:t xml:space="preserve"> (</w:t>
      </w:r>
      <w:r w:rsidR="00E10CFD" w:rsidRPr="006F07C8">
        <w:rPr>
          <w:rFonts w:ascii="Times New Roman" w:hAnsi="Times New Roman" w:cs="Times New Roman"/>
          <w:noProof/>
          <w:sz w:val="24"/>
          <w:szCs w:val="24"/>
          <w:lang w:val="it-IT"/>
        </w:rPr>
        <w:t xml:space="preserve">Gazzola </w:t>
      </w:r>
      <w:r w:rsidR="00665015" w:rsidRPr="006F07C8">
        <w:rPr>
          <w:rFonts w:ascii="Times New Roman" w:hAnsi="Times New Roman" w:cs="Times New Roman"/>
          <w:noProof/>
          <w:sz w:val="24"/>
          <w:szCs w:val="24"/>
          <w:lang w:val="it-IT"/>
        </w:rPr>
        <w:t>e</w:t>
      </w:r>
      <w:r w:rsidR="00E10CFD" w:rsidRPr="006F07C8">
        <w:rPr>
          <w:rFonts w:ascii="Times New Roman" w:hAnsi="Times New Roman" w:cs="Times New Roman"/>
          <w:noProof/>
          <w:sz w:val="24"/>
          <w:szCs w:val="24"/>
          <w:lang w:val="it-IT"/>
        </w:rPr>
        <w:t xml:space="preserve"> Grin</w:t>
      </w:r>
      <w:r w:rsidR="00E10CFD" w:rsidRPr="006F07C8">
        <w:rPr>
          <w:rFonts w:ascii="Times New Roman" w:hAnsi="Times New Roman" w:cs="Times New Roman"/>
          <w:sz w:val="24"/>
          <w:szCs w:val="24"/>
          <w:lang w:val="it-IT"/>
        </w:rPr>
        <w:t xml:space="preserve"> </w:t>
      </w:r>
      <w:hyperlink w:anchor="_ENREF_31" w:tooltip="Gazzola, 2013 #880" w:history="1">
        <w:r w:rsidR="00101624" w:rsidRPr="006F07C8">
          <w:rPr>
            <w:rFonts w:ascii="Times New Roman" w:hAnsi="Times New Roman" w:cs="Times New Roman"/>
            <w:sz w:val="24"/>
            <w:szCs w:val="24"/>
            <w:lang w:val="it-IT"/>
          </w:rPr>
          <w:fldChar w:fldCharType="begin"/>
        </w:r>
        <w:r w:rsidR="00101624" w:rsidRPr="006F07C8">
          <w:rPr>
            <w:rFonts w:ascii="Times New Roman" w:hAnsi="Times New Roman" w:cs="Times New Roman"/>
            <w:sz w:val="24"/>
            <w:szCs w:val="24"/>
            <w:lang w:val="it-IT"/>
          </w:rPr>
          <w:instrText xml:space="preserve"> ADDIN EN.CITE &lt;EndNote&gt;&lt;Cite ExcludeAuth="1"&gt;&lt;Author&gt;Gazzola&lt;/Author&gt;&lt;Year&gt;2013&lt;/Year&gt;&lt;RecNum&gt;880&lt;/RecNum&gt;&lt;Pages&gt;100&lt;/Pages&gt;&lt;DisplayText&gt;2013: 100&lt;/DisplayText&gt;&lt;record&gt;&lt;rec-number&gt;880&lt;/rec-number&gt;&lt;foreign-keys&gt;&lt;key app="EN" db-id="wvvszzd93a0z5wesdfpvdv9z5wrra5p05axp"&gt;880&lt;/key&gt;&lt;/foreign-keys&gt;&lt;ref-type name="Journal Article"&gt;17&lt;/ref-type&gt;&lt;contributors&gt;&lt;authors&gt;&lt;author&gt;Gazzola, Michele&lt;/author&gt;&lt;author&gt;Grin, François&lt;/author&gt;&lt;/authors&gt;&lt;/contributors&gt;&lt;titles&gt;&lt;title&gt;Is ELF more effective and fair than translation? An evaluation of the EU’s multilingual regime&lt;/title&gt;&lt;secondary-title&gt;International Journal of Applied Linguistics&lt;/secondary-title&gt;&lt;/titles&gt;&lt;periodical&gt;&lt;full-title&gt;International Journal of Applied Linguistics&lt;/full-title&gt;&lt;/periodical&gt;&lt;pages&gt;93-107&lt;/pages&gt;&lt;volume&gt;23&lt;/volume&gt;&lt;number&gt;1&lt;/number&gt;&lt;dates&gt;&lt;year&gt;2013&lt;/year&gt;&lt;/dates&gt;&lt;urls&gt;&lt;/urls&gt;&lt;/record&gt;&lt;/Cite&gt;&lt;/EndNote&gt;</w:instrText>
        </w:r>
        <w:r w:rsidR="00101624" w:rsidRPr="006F07C8">
          <w:rPr>
            <w:rFonts w:ascii="Times New Roman" w:hAnsi="Times New Roman" w:cs="Times New Roman"/>
            <w:sz w:val="24"/>
            <w:szCs w:val="24"/>
            <w:lang w:val="it-IT"/>
          </w:rPr>
          <w:fldChar w:fldCharType="separate"/>
        </w:r>
        <w:r w:rsidR="00101624" w:rsidRPr="006F07C8">
          <w:rPr>
            <w:rFonts w:ascii="Times New Roman" w:hAnsi="Times New Roman" w:cs="Times New Roman"/>
            <w:noProof/>
            <w:sz w:val="24"/>
            <w:szCs w:val="24"/>
            <w:lang w:val="it-IT"/>
          </w:rPr>
          <w:t>2013: 100</w:t>
        </w:r>
        <w:r w:rsidR="00101624" w:rsidRPr="006F07C8">
          <w:rPr>
            <w:rFonts w:ascii="Times New Roman" w:hAnsi="Times New Roman" w:cs="Times New Roman"/>
            <w:sz w:val="24"/>
            <w:szCs w:val="24"/>
            <w:lang w:val="it-IT"/>
          </w:rPr>
          <w:fldChar w:fldCharType="end"/>
        </w:r>
      </w:hyperlink>
      <w:r w:rsidR="00E10CFD" w:rsidRPr="006F07C8">
        <w:rPr>
          <w:rFonts w:ascii="Times New Roman" w:hAnsi="Times New Roman" w:cs="Times New Roman"/>
          <w:sz w:val="24"/>
          <w:szCs w:val="24"/>
          <w:lang w:val="it-IT"/>
        </w:rPr>
        <w:t>)</w:t>
      </w:r>
      <w:r w:rsidR="00571324" w:rsidRPr="006F07C8">
        <w:rPr>
          <w:rFonts w:ascii="Times New Roman" w:hAnsi="Times New Roman" w:cs="Times New Roman"/>
          <w:sz w:val="24"/>
          <w:szCs w:val="24"/>
          <w:lang w:val="it-IT"/>
        </w:rPr>
        <w:t xml:space="preserve">, vale a dire </w:t>
      </w:r>
      <w:r w:rsidR="00665015" w:rsidRPr="006F07C8">
        <w:rPr>
          <w:rFonts w:ascii="Times New Roman" w:hAnsi="Times New Roman" w:cs="Times New Roman"/>
          <w:sz w:val="24"/>
          <w:szCs w:val="24"/>
          <w:lang w:val="it-IT"/>
        </w:rPr>
        <w:t>lo</w:t>
      </w:r>
      <w:r w:rsidR="00571324" w:rsidRPr="006F07C8">
        <w:rPr>
          <w:rFonts w:ascii="Times New Roman" w:hAnsi="Times New Roman" w:cs="Times New Roman"/>
          <w:sz w:val="24"/>
          <w:szCs w:val="24"/>
          <w:lang w:val="it-IT"/>
        </w:rPr>
        <w:t xml:space="preserve"> </w:t>
      </w:r>
      <w:r w:rsidR="00C551CC" w:rsidRPr="006F07C8">
        <w:rPr>
          <w:rFonts w:ascii="Times New Roman" w:hAnsi="Times New Roman" w:cs="Times New Roman"/>
          <w:sz w:val="24"/>
          <w:szCs w:val="24"/>
          <w:lang w:val="it-IT"/>
        </w:rPr>
        <w:t xml:space="preserve">0,0085% del Prodotto Interno Lordo </w:t>
      </w:r>
      <w:r w:rsidR="00B00587" w:rsidRPr="006F07C8">
        <w:rPr>
          <w:rFonts w:ascii="Times New Roman" w:hAnsi="Times New Roman" w:cs="Times New Roman"/>
          <w:sz w:val="24"/>
          <w:szCs w:val="24"/>
          <w:lang w:val="it-IT"/>
        </w:rPr>
        <w:t>(PIL)</w:t>
      </w:r>
      <w:r w:rsidR="00665015" w:rsidRPr="006F07C8">
        <w:rPr>
          <w:rFonts w:ascii="Times New Roman" w:hAnsi="Times New Roman" w:cs="Times New Roman"/>
          <w:sz w:val="24"/>
          <w:szCs w:val="24"/>
          <w:lang w:val="it-IT"/>
        </w:rPr>
        <w:t xml:space="preserve"> dell’</w:t>
      </w:r>
      <w:r w:rsidR="007C4AC9" w:rsidRPr="006F07C8">
        <w:rPr>
          <w:rFonts w:ascii="Times New Roman" w:hAnsi="Times New Roman" w:cs="Times New Roman"/>
          <w:sz w:val="24"/>
          <w:szCs w:val="24"/>
          <w:lang w:val="it-IT"/>
        </w:rPr>
        <w:t>insieme dei paesi membri dell’</w:t>
      </w:r>
      <w:r w:rsidR="00665015" w:rsidRPr="006F07C8">
        <w:rPr>
          <w:rFonts w:ascii="Times New Roman" w:hAnsi="Times New Roman" w:cs="Times New Roman"/>
          <w:sz w:val="24"/>
          <w:szCs w:val="24"/>
          <w:lang w:val="it-IT"/>
        </w:rPr>
        <w:t>Unione</w:t>
      </w:r>
      <w:r w:rsidR="00511343" w:rsidRPr="006F07C8">
        <w:rPr>
          <w:rFonts w:ascii="Times New Roman" w:hAnsi="Times New Roman" w:cs="Times New Roman"/>
          <w:sz w:val="24"/>
          <w:szCs w:val="24"/>
          <w:lang w:val="it-IT"/>
        </w:rPr>
        <w:t xml:space="preserve"> (€12'927 miliardi</w:t>
      </w:r>
      <w:r w:rsidR="00C551CC" w:rsidRPr="006F07C8">
        <w:rPr>
          <w:rFonts w:ascii="Times New Roman" w:hAnsi="Times New Roman" w:cs="Times New Roman"/>
          <w:sz w:val="24"/>
          <w:szCs w:val="24"/>
          <w:lang w:val="it-IT"/>
        </w:rPr>
        <w:t xml:space="preserve"> a prezzi correnti per 27 Stati Membri</w:t>
      </w:r>
      <w:r w:rsidR="00511343" w:rsidRPr="006F07C8">
        <w:rPr>
          <w:rFonts w:ascii="Times New Roman" w:hAnsi="Times New Roman" w:cs="Times New Roman"/>
          <w:sz w:val="24"/>
          <w:szCs w:val="24"/>
          <w:lang w:val="it-IT"/>
        </w:rPr>
        <w:t xml:space="preserve">, </w:t>
      </w:r>
      <w:r w:rsidR="00B00587" w:rsidRPr="006F07C8">
        <w:rPr>
          <w:rFonts w:ascii="Times New Roman" w:hAnsi="Times New Roman" w:cs="Times New Roman"/>
          <w:sz w:val="24"/>
          <w:szCs w:val="24"/>
          <w:lang w:val="it-IT"/>
        </w:rPr>
        <w:t>quindi prima dell’ingresso della Croazia nel 2013)</w:t>
      </w:r>
      <w:r w:rsidR="007C4AC9" w:rsidRPr="006F07C8">
        <w:rPr>
          <w:rFonts w:ascii="Times New Roman" w:hAnsi="Times New Roman" w:cs="Times New Roman"/>
          <w:sz w:val="24"/>
          <w:szCs w:val="24"/>
          <w:lang w:val="it-IT"/>
        </w:rPr>
        <w:t xml:space="preserve"> e meno dell’1% del bilancio dell’UE (€147,2 miliardi)</w:t>
      </w:r>
      <w:r w:rsidR="00C551CC" w:rsidRPr="006F07C8">
        <w:rPr>
          <w:rFonts w:ascii="Times New Roman" w:hAnsi="Times New Roman" w:cs="Times New Roman"/>
          <w:sz w:val="24"/>
          <w:szCs w:val="24"/>
          <w:lang w:val="it-IT"/>
        </w:rPr>
        <w:t>. Poiché a fine del 2012 la popolazione residente nei 27 Stati Membri era di 501</w:t>
      </w:r>
      <w:r w:rsidR="00E10CFD" w:rsidRPr="006F07C8">
        <w:rPr>
          <w:rFonts w:ascii="Times New Roman" w:hAnsi="Times New Roman" w:cs="Times New Roman"/>
          <w:sz w:val="24"/>
          <w:szCs w:val="24"/>
          <w:lang w:val="it-IT"/>
        </w:rPr>
        <w:t>,</w:t>
      </w:r>
      <w:r w:rsidR="00C551CC" w:rsidRPr="006F07C8">
        <w:rPr>
          <w:rFonts w:ascii="Times New Roman" w:hAnsi="Times New Roman" w:cs="Times New Roman"/>
          <w:sz w:val="24"/>
          <w:szCs w:val="24"/>
          <w:lang w:val="it-IT"/>
        </w:rPr>
        <w:t>4</w:t>
      </w:r>
      <w:r w:rsidR="00E10CFD" w:rsidRPr="006F07C8">
        <w:rPr>
          <w:rFonts w:ascii="Times New Roman" w:hAnsi="Times New Roman" w:cs="Times New Roman"/>
          <w:sz w:val="24"/>
          <w:szCs w:val="24"/>
          <w:lang w:val="it-IT"/>
        </w:rPr>
        <w:t xml:space="preserve"> milioni di individui, la spesa annuale dell’UE per il regime linguistico è ci circa €2,2 per residente. La spesa non eccede i €2,7 se si prendono in considerazione solo i residenti </w:t>
      </w:r>
      <w:r w:rsidR="00EF1C5C" w:rsidRPr="006F07C8">
        <w:rPr>
          <w:rFonts w:ascii="Times New Roman" w:hAnsi="Times New Roman" w:cs="Times New Roman"/>
          <w:sz w:val="24"/>
          <w:szCs w:val="24"/>
          <w:lang w:val="it-IT"/>
        </w:rPr>
        <w:t xml:space="preserve">con almeno 15 anni di età, cioè coloro </w:t>
      </w:r>
      <w:r w:rsidR="00E10CFD" w:rsidRPr="006F07C8">
        <w:rPr>
          <w:rFonts w:ascii="Times New Roman" w:hAnsi="Times New Roman" w:cs="Times New Roman"/>
          <w:sz w:val="24"/>
          <w:szCs w:val="24"/>
          <w:lang w:val="it-IT"/>
        </w:rPr>
        <w:t xml:space="preserve">che hanno </w:t>
      </w:r>
      <w:r w:rsidR="00261205" w:rsidRPr="006F07C8">
        <w:rPr>
          <w:rFonts w:ascii="Times New Roman" w:hAnsi="Times New Roman" w:cs="Times New Roman"/>
          <w:sz w:val="24"/>
          <w:szCs w:val="24"/>
          <w:lang w:val="it-IT"/>
        </w:rPr>
        <w:t>dovrebbero avere già</w:t>
      </w:r>
      <w:r w:rsidR="00E10CFD" w:rsidRPr="006F07C8">
        <w:rPr>
          <w:rFonts w:ascii="Times New Roman" w:hAnsi="Times New Roman" w:cs="Times New Roman"/>
          <w:sz w:val="24"/>
          <w:szCs w:val="24"/>
          <w:lang w:val="it-IT"/>
        </w:rPr>
        <w:t xml:space="preserve"> acquisito capacità complesse di lettura e scrittura</w:t>
      </w:r>
      <w:r w:rsidR="00EF1C5C" w:rsidRPr="006F07C8">
        <w:rPr>
          <w:rFonts w:ascii="Times New Roman" w:hAnsi="Times New Roman" w:cs="Times New Roman"/>
          <w:sz w:val="24"/>
          <w:szCs w:val="24"/>
          <w:lang w:val="it-IT"/>
        </w:rPr>
        <w:t xml:space="preserve"> </w:t>
      </w:r>
      <w:r w:rsidR="00CA2FCE" w:rsidRPr="006F07C8">
        <w:rPr>
          <w:rFonts w:ascii="Times New Roman" w:hAnsi="Times New Roman" w:cs="Times New Roman"/>
          <w:sz w:val="24"/>
          <w:szCs w:val="24"/>
          <w:lang w:val="it-IT"/>
        </w:rPr>
        <w:t>(</w:t>
      </w:r>
      <w:r w:rsidR="00CA2FCE" w:rsidRPr="006F07C8">
        <w:rPr>
          <w:rFonts w:ascii="Times New Roman" w:hAnsi="Times New Roman" w:cs="Times New Roman"/>
          <w:noProof/>
          <w:sz w:val="24"/>
          <w:szCs w:val="24"/>
          <w:lang w:val="it-IT"/>
        </w:rPr>
        <w:t xml:space="preserve">Gazzola </w:t>
      </w:r>
      <w:r w:rsidR="00665015" w:rsidRPr="006F07C8">
        <w:rPr>
          <w:rFonts w:ascii="Times New Roman" w:hAnsi="Times New Roman" w:cs="Times New Roman"/>
          <w:noProof/>
          <w:sz w:val="24"/>
          <w:szCs w:val="24"/>
          <w:lang w:val="it-IT"/>
        </w:rPr>
        <w:t>e</w:t>
      </w:r>
      <w:r w:rsidR="00CA2FCE" w:rsidRPr="006F07C8">
        <w:rPr>
          <w:rFonts w:ascii="Times New Roman" w:hAnsi="Times New Roman" w:cs="Times New Roman"/>
          <w:noProof/>
          <w:sz w:val="24"/>
          <w:szCs w:val="24"/>
          <w:lang w:val="it-IT"/>
        </w:rPr>
        <w:t xml:space="preserve"> Grin</w:t>
      </w:r>
      <w:r w:rsidR="00CA2FCE" w:rsidRPr="006F07C8">
        <w:rPr>
          <w:rFonts w:ascii="Times New Roman" w:hAnsi="Times New Roman" w:cs="Times New Roman"/>
          <w:sz w:val="24"/>
          <w:szCs w:val="24"/>
          <w:lang w:val="it-IT"/>
        </w:rPr>
        <w:t xml:space="preserve"> </w:t>
      </w:r>
      <w:hyperlink w:anchor="_ENREF_31" w:tooltip="Gazzola, 2013 #880" w:history="1">
        <w:r w:rsidR="00101624" w:rsidRPr="006F07C8">
          <w:rPr>
            <w:rFonts w:ascii="Times New Roman" w:hAnsi="Times New Roman" w:cs="Times New Roman"/>
            <w:sz w:val="24"/>
            <w:szCs w:val="24"/>
            <w:lang w:val="it-IT"/>
          </w:rPr>
          <w:fldChar w:fldCharType="begin"/>
        </w:r>
        <w:r w:rsidR="00101624" w:rsidRPr="006F07C8">
          <w:rPr>
            <w:rFonts w:ascii="Times New Roman" w:hAnsi="Times New Roman" w:cs="Times New Roman"/>
            <w:sz w:val="24"/>
            <w:szCs w:val="24"/>
            <w:lang w:val="it-IT"/>
          </w:rPr>
          <w:instrText xml:space="preserve"> ADDIN EN.CITE &lt;EndNote&gt;&lt;Cite ExcludeAuth="1"&gt;&lt;Author&gt;Gazzola&lt;/Author&gt;&lt;Year&gt;2013&lt;/Year&gt;&lt;RecNum&gt;880&lt;/RecNum&gt;&lt;Pages&gt;100&lt;/Pages&gt;&lt;DisplayText&gt;2013: 100&lt;/DisplayText&gt;&lt;record&gt;&lt;rec-number&gt;880&lt;/rec-number&gt;&lt;foreign-keys&gt;&lt;key app="EN" db-id="wvvszzd93a0z5wesdfpvdv9z5wrra5p05axp"&gt;880&lt;/key&gt;&lt;/foreign-keys&gt;&lt;ref-type name="Journal Article"&gt;17&lt;/ref-type&gt;&lt;contributors&gt;&lt;authors&gt;&lt;author&gt;Gazzola, Michele&lt;/author&gt;&lt;author&gt;Grin, François&lt;/author&gt;&lt;/authors&gt;&lt;/contributors&gt;&lt;titles&gt;&lt;title&gt;Is ELF more effective and fair than translation? An evaluation of the EU’s multilingual regime&lt;/title&gt;&lt;secondary-title&gt;International Journal of Applied Linguistics&lt;/secondary-title&gt;&lt;/titles&gt;&lt;periodical&gt;&lt;full-title&gt;International Journal of Applied Linguistics&lt;/full-title&gt;&lt;/periodical&gt;&lt;pages&gt;93-107&lt;/pages&gt;&lt;volume&gt;23&lt;/volume&gt;&lt;number&gt;1&lt;/number&gt;&lt;dates&gt;&lt;year&gt;2013&lt;/year&gt;&lt;/dates&gt;&lt;urls&gt;&lt;/urls&gt;&lt;/record&gt;&lt;/Cite&gt;&lt;/EndNote&gt;</w:instrText>
        </w:r>
        <w:r w:rsidR="00101624" w:rsidRPr="006F07C8">
          <w:rPr>
            <w:rFonts w:ascii="Times New Roman" w:hAnsi="Times New Roman" w:cs="Times New Roman"/>
            <w:sz w:val="24"/>
            <w:szCs w:val="24"/>
            <w:lang w:val="it-IT"/>
          </w:rPr>
          <w:fldChar w:fldCharType="separate"/>
        </w:r>
        <w:r w:rsidR="00101624" w:rsidRPr="006F07C8">
          <w:rPr>
            <w:rFonts w:ascii="Times New Roman" w:hAnsi="Times New Roman" w:cs="Times New Roman"/>
            <w:noProof/>
            <w:sz w:val="24"/>
            <w:szCs w:val="24"/>
            <w:lang w:val="it-IT"/>
          </w:rPr>
          <w:t>2013: 100</w:t>
        </w:r>
        <w:r w:rsidR="00101624" w:rsidRPr="006F07C8">
          <w:rPr>
            <w:rFonts w:ascii="Times New Roman" w:hAnsi="Times New Roman" w:cs="Times New Roman"/>
            <w:sz w:val="24"/>
            <w:szCs w:val="24"/>
            <w:lang w:val="it-IT"/>
          </w:rPr>
          <w:fldChar w:fldCharType="end"/>
        </w:r>
      </w:hyperlink>
      <w:r w:rsidR="00CA2FCE" w:rsidRPr="006F07C8">
        <w:rPr>
          <w:rFonts w:ascii="Times New Roman" w:hAnsi="Times New Roman" w:cs="Times New Roman"/>
          <w:sz w:val="24"/>
          <w:szCs w:val="24"/>
          <w:lang w:val="it-IT"/>
        </w:rPr>
        <w:t xml:space="preserve">). </w:t>
      </w:r>
    </w:p>
    <w:p w:rsidR="00C23746" w:rsidRPr="006F07C8" w:rsidRDefault="00CA2FCE" w:rsidP="002F52A9">
      <w:pPr>
        <w:spacing w:line="240" w:lineRule="auto"/>
        <w:jc w:val="both"/>
        <w:rPr>
          <w:rFonts w:ascii="Times New Roman" w:hAnsi="Times New Roman" w:cs="Times New Roman"/>
          <w:sz w:val="24"/>
          <w:szCs w:val="24"/>
          <w:lang w:val="it-IT"/>
        </w:rPr>
      </w:pPr>
      <w:r w:rsidRPr="006F07C8">
        <w:rPr>
          <w:rFonts w:ascii="Times New Roman" w:hAnsi="Times New Roman" w:cs="Times New Roman"/>
          <w:sz w:val="24"/>
          <w:szCs w:val="24"/>
          <w:lang w:val="it-IT"/>
        </w:rPr>
        <w:t xml:space="preserve">L’ingresso della Croazia (e quindi del croato) </w:t>
      </w:r>
      <w:r w:rsidR="0036000A" w:rsidRPr="006F07C8">
        <w:rPr>
          <w:rFonts w:ascii="Times New Roman" w:hAnsi="Times New Roman" w:cs="Times New Roman"/>
          <w:sz w:val="24"/>
          <w:szCs w:val="24"/>
          <w:lang w:val="it-IT"/>
        </w:rPr>
        <w:t xml:space="preserve">nel luglio del 2013 </w:t>
      </w:r>
      <w:r w:rsidRPr="006F07C8">
        <w:rPr>
          <w:rFonts w:ascii="Times New Roman" w:hAnsi="Times New Roman" w:cs="Times New Roman"/>
          <w:sz w:val="24"/>
          <w:szCs w:val="24"/>
          <w:lang w:val="it-IT"/>
        </w:rPr>
        <w:t xml:space="preserve">ha probabilmente </w:t>
      </w:r>
      <w:r w:rsidR="00230FD8" w:rsidRPr="006F07C8">
        <w:rPr>
          <w:rFonts w:ascii="Times New Roman" w:hAnsi="Times New Roman" w:cs="Times New Roman"/>
          <w:sz w:val="24"/>
          <w:szCs w:val="24"/>
          <w:lang w:val="it-IT"/>
        </w:rPr>
        <w:t>aumentato</w:t>
      </w:r>
      <w:r w:rsidRPr="006F07C8">
        <w:rPr>
          <w:rFonts w:ascii="Times New Roman" w:hAnsi="Times New Roman" w:cs="Times New Roman"/>
          <w:sz w:val="24"/>
          <w:szCs w:val="24"/>
          <w:lang w:val="it-IT"/>
        </w:rPr>
        <w:t xml:space="preserve"> i costi dei servizi linguistici, ma </w:t>
      </w:r>
      <w:r w:rsidR="005831F2" w:rsidRPr="006F07C8">
        <w:rPr>
          <w:rFonts w:ascii="Times New Roman" w:hAnsi="Times New Roman" w:cs="Times New Roman"/>
          <w:sz w:val="24"/>
          <w:szCs w:val="24"/>
          <w:lang w:val="it-IT"/>
        </w:rPr>
        <w:t>in modo marginale</w:t>
      </w:r>
      <w:r w:rsidRPr="006F07C8">
        <w:rPr>
          <w:rFonts w:ascii="Times New Roman" w:hAnsi="Times New Roman" w:cs="Times New Roman"/>
          <w:sz w:val="24"/>
          <w:szCs w:val="24"/>
          <w:lang w:val="it-IT"/>
        </w:rPr>
        <w:t xml:space="preserve">. Di conseguenza, </w:t>
      </w:r>
      <w:r w:rsidR="00EF1C5C" w:rsidRPr="006F07C8">
        <w:rPr>
          <w:rFonts w:ascii="Times New Roman" w:eastAsia="Batang" w:hAnsi="Times New Roman" w:cs="Times New Roman"/>
          <w:sz w:val="24"/>
          <w:szCs w:val="24"/>
          <w:lang w:val="it-IT"/>
        </w:rPr>
        <w:t xml:space="preserve">è privo di senso </w:t>
      </w:r>
      <w:r w:rsidRPr="006F07C8">
        <w:rPr>
          <w:rFonts w:ascii="Times New Roman" w:hAnsi="Times New Roman" w:cs="Times New Roman"/>
          <w:sz w:val="24"/>
          <w:szCs w:val="24"/>
          <w:lang w:val="it-IT"/>
        </w:rPr>
        <w:t xml:space="preserve">affermare che in seguito ai vari allargamenti avvenuti nell’ultimo decennio il </w:t>
      </w:r>
      <w:r w:rsidR="00EF1C5C" w:rsidRPr="006F07C8">
        <w:rPr>
          <w:rFonts w:ascii="Times New Roman" w:hAnsi="Times New Roman" w:cs="Times New Roman"/>
          <w:sz w:val="24"/>
          <w:szCs w:val="24"/>
          <w:lang w:val="it-IT"/>
        </w:rPr>
        <w:t>regime multilingue della UE è divenuto</w:t>
      </w:r>
      <w:r w:rsidRPr="006F07C8">
        <w:rPr>
          <w:rFonts w:ascii="Times New Roman" w:hAnsi="Times New Roman" w:cs="Times New Roman"/>
          <w:sz w:val="24"/>
          <w:szCs w:val="24"/>
          <w:lang w:val="it-IT"/>
        </w:rPr>
        <w:t xml:space="preserve"> “economicamente insostenibile” (</w:t>
      </w:r>
      <w:r w:rsidR="00A14C0B" w:rsidRPr="006F07C8">
        <w:rPr>
          <w:rFonts w:ascii="Times New Roman" w:eastAsia="Batang" w:hAnsi="Times New Roman" w:cs="Times New Roman"/>
          <w:noProof/>
          <w:sz w:val="24"/>
          <w:szCs w:val="24"/>
          <w:lang w:val="it-IT"/>
        </w:rPr>
        <w:t>Cogo e Jenkins</w:t>
      </w:r>
      <w:r w:rsidR="00A14C0B" w:rsidRPr="006F07C8">
        <w:rPr>
          <w:rFonts w:ascii="Times New Roman" w:hAnsi="Times New Roman" w:cs="Times New Roman"/>
          <w:sz w:val="24"/>
          <w:szCs w:val="24"/>
          <w:lang w:val="it-IT"/>
        </w:rPr>
        <w:t xml:space="preserve"> </w:t>
      </w:r>
      <w:hyperlink w:anchor="_ENREF_12" w:tooltip="Cogo, 2010 #804" w:history="1">
        <w:r w:rsidR="00101624" w:rsidRPr="006F07C8">
          <w:rPr>
            <w:rFonts w:ascii="Times New Roman" w:eastAsia="Batang" w:hAnsi="Times New Roman" w:cs="Times New Roman"/>
            <w:sz w:val="24"/>
            <w:szCs w:val="24"/>
            <w:lang w:val="it-IT"/>
          </w:rPr>
          <w:fldChar w:fldCharType="begin"/>
        </w:r>
        <w:r w:rsidR="00101624" w:rsidRPr="006F07C8">
          <w:rPr>
            <w:rFonts w:ascii="Times New Roman" w:eastAsia="Batang" w:hAnsi="Times New Roman" w:cs="Times New Roman"/>
            <w:sz w:val="24"/>
            <w:szCs w:val="24"/>
            <w:lang w:val="it-IT"/>
          </w:rPr>
          <w:instrText xml:space="preserve"> ADDIN EN.CITE &lt;EndNote&gt;&lt;Cite ExcludeAuth="1"&gt;&lt;Author&gt;Cogo&lt;/Author&gt;&lt;Year&gt;2010&lt;/Year&gt;&lt;RecNum&gt;804&lt;/RecNum&gt;&lt;Pages&gt;272&lt;/Pages&gt;&lt;DisplayText&gt;2010: 272&lt;/DisplayText&gt;&lt;record&gt;&lt;rec-number&gt;804&lt;/rec-number&gt;&lt;foreign-keys&gt;&lt;key app="EN" db-id="wvvszzd93a0z5wesdfpvdv9z5wrra5p05axp"&gt;804&lt;/key&gt;&lt;/foreign-keys&gt;&lt;ref-type name="Journal Article"&gt;17&lt;/ref-type&gt;&lt;contributors&gt;&lt;authors&gt;&lt;author&gt;Cogo, Alessia&lt;/author&gt;&lt;author&gt;Jenkins, Jennifer&lt;/author&gt;&lt;/authors&gt;&lt;/contributors&gt;&lt;titles&gt;&lt;title&gt;English as a lingua franca in Europe. A mismatch between policy and practice&lt;/title&gt;&lt;secondary-title&gt;European Journal of Language Policy&lt;/secondary-title&gt;&lt;/titles&gt;&lt;periodical&gt;&lt;full-title&gt;European Journal of Language Policy&lt;/full-title&gt;&lt;/periodical&gt;&lt;pages&gt;271–294&lt;/pages&gt;&lt;volume&gt;2&lt;/volume&gt;&lt;number&gt;2&lt;/number&gt;&lt;dates&gt;&lt;year&gt;2010&lt;/year&gt;&lt;/dates&gt;&lt;urls&gt;&lt;/urls&gt;&lt;/record&gt;&lt;/Cite&gt;&lt;/EndNote&gt;</w:instrText>
        </w:r>
        <w:r w:rsidR="00101624" w:rsidRPr="006F07C8">
          <w:rPr>
            <w:rFonts w:ascii="Times New Roman" w:eastAsia="Batang" w:hAnsi="Times New Roman" w:cs="Times New Roman"/>
            <w:sz w:val="24"/>
            <w:szCs w:val="24"/>
            <w:lang w:val="it-IT"/>
          </w:rPr>
          <w:fldChar w:fldCharType="separate"/>
        </w:r>
        <w:r w:rsidR="00101624" w:rsidRPr="006F07C8">
          <w:rPr>
            <w:rFonts w:ascii="Times New Roman" w:eastAsia="Batang" w:hAnsi="Times New Roman" w:cs="Times New Roman"/>
            <w:noProof/>
            <w:sz w:val="24"/>
            <w:szCs w:val="24"/>
            <w:lang w:val="it-IT"/>
          </w:rPr>
          <w:t>2010: 272</w:t>
        </w:r>
        <w:r w:rsidR="00101624" w:rsidRPr="006F07C8">
          <w:rPr>
            <w:rFonts w:ascii="Times New Roman" w:eastAsia="Batang" w:hAnsi="Times New Roman" w:cs="Times New Roman"/>
            <w:sz w:val="24"/>
            <w:szCs w:val="24"/>
            <w:lang w:val="it-IT"/>
          </w:rPr>
          <w:fldChar w:fldCharType="end"/>
        </w:r>
      </w:hyperlink>
      <w:r w:rsidRPr="006F07C8">
        <w:rPr>
          <w:rFonts w:ascii="Times New Roman" w:eastAsia="Batang" w:hAnsi="Times New Roman" w:cs="Times New Roman"/>
          <w:sz w:val="24"/>
          <w:szCs w:val="24"/>
          <w:lang w:val="it-IT"/>
        </w:rPr>
        <w:t xml:space="preserve">). Qualcosa che costa </w:t>
      </w:r>
      <w:r w:rsidR="00EF1C5C" w:rsidRPr="006F07C8">
        <w:rPr>
          <w:rFonts w:ascii="Times New Roman" w:eastAsia="Batang" w:hAnsi="Times New Roman" w:cs="Times New Roman"/>
          <w:sz w:val="24"/>
          <w:szCs w:val="24"/>
          <w:lang w:val="it-IT"/>
        </w:rPr>
        <w:t xml:space="preserve">lo </w:t>
      </w:r>
      <w:r w:rsidRPr="006F07C8">
        <w:rPr>
          <w:rFonts w:ascii="Times New Roman" w:eastAsia="Batang" w:hAnsi="Times New Roman" w:cs="Times New Roman"/>
          <w:sz w:val="24"/>
          <w:szCs w:val="24"/>
          <w:lang w:val="it-IT"/>
        </w:rPr>
        <w:t xml:space="preserve">0,0085% del PIL non può essere definito come </w:t>
      </w:r>
      <w:r w:rsidR="00A14C0B" w:rsidRPr="006F07C8">
        <w:rPr>
          <w:rFonts w:ascii="Times New Roman" w:eastAsia="Batang" w:hAnsi="Times New Roman" w:cs="Times New Roman"/>
          <w:sz w:val="24"/>
          <w:szCs w:val="24"/>
          <w:lang w:val="it-IT"/>
        </w:rPr>
        <w:t>“economicamente insostenibile”. La vera domanda è se €</w:t>
      </w:r>
      <w:r w:rsidR="00A14C0B" w:rsidRPr="006F07C8">
        <w:rPr>
          <w:rFonts w:ascii="Times New Roman" w:eastAsia="Batang" w:hAnsi="Times New Roman" w:cs="Times New Roman"/>
          <w:noProof/>
          <w:sz w:val="24"/>
          <w:szCs w:val="24"/>
          <w:lang w:val="it-IT"/>
        </w:rPr>
        <w:t>2,2</w:t>
      </w:r>
      <w:r w:rsidR="00A14C0B" w:rsidRPr="006F07C8">
        <w:rPr>
          <w:rFonts w:ascii="Times New Roman" w:eastAsia="Batang" w:hAnsi="Times New Roman" w:cs="Times New Roman"/>
          <w:sz w:val="24"/>
          <w:szCs w:val="24"/>
          <w:lang w:val="it-IT"/>
        </w:rPr>
        <w:t xml:space="preserve"> all’anno è un prezzo </w:t>
      </w:r>
      <w:r w:rsidR="00EF1C5C" w:rsidRPr="006F07C8">
        <w:rPr>
          <w:rFonts w:ascii="Times New Roman" w:eastAsia="Batang" w:hAnsi="Times New Roman" w:cs="Times New Roman"/>
          <w:sz w:val="24"/>
          <w:szCs w:val="24"/>
          <w:lang w:val="it-IT"/>
        </w:rPr>
        <w:t>che</w:t>
      </w:r>
      <w:r w:rsidR="00A14C0B" w:rsidRPr="006F07C8">
        <w:rPr>
          <w:rFonts w:ascii="Times New Roman" w:eastAsia="Batang" w:hAnsi="Times New Roman" w:cs="Times New Roman"/>
          <w:sz w:val="24"/>
          <w:szCs w:val="24"/>
          <w:lang w:val="it-IT"/>
        </w:rPr>
        <w:t xml:space="preserve"> i residenti europei</w:t>
      </w:r>
      <w:r w:rsidR="00EF1C5C" w:rsidRPr="006F07C8">
        <w:rPr>
          <w:rFonts w:ascii="Times New Roman" w:eastAsia="Batang" w:hAnsi="Times New Roman" w:cs="Times New Roman"/>
          <w:sz w:val="24"/>
          <w:szCs w:val="24"/>
          <w:lang w:val="it-IT"/>
        </w:rPr>
        <w:t xml:space="preserve"> sono disposti a pagare</w:t>
      </w:r>
      <w:r w:rsidR="00A14C0B" w:rsidRPr="006F07C8">
        <w:rPr>
          <w:rFonts w:ascii="Times New Roman" w:eastAsia="Batang" w:hAnsi="Times New Roman" w:cs="Times New Roman"/>
          <w:sz w:val="24"/>
          <w:szCs w:val="24"/>
          <w:lang w:val="it-IT"/>
        </w:rPr>
        <w:t xml:space="preserve"> tramite la tassazione generale per avere la possibilità di usare una delle lingue ufficiali a loro piacimento nella comunicazione da e verso l’UE.</w:t>
      </w:r>
      <w:r w:rsidR="00C23746" w:rsidRPr="006F07C8">
        <w:rPr>
          <w:rFonts w:ascii="Times New Roman" w:eastAsia="Batang" w:hAnsi="Times New Roman" w:cs="Times New Roman"/>
          <w:sz w:val="24"/>
          <w:szCs w:val="24"/>
          <w:lang w:val="it-IT"/>
        </w:rPr>
        <w:t xml:space="preserve"> </w:t>
      </w:r>
      <w:r w:rsidR="00230FD8" w:rsidRPr="006F07C8">
        <w:rPr>
          <w:rFonts w:ascii="Times New Roman" w:eastAsia="Batang" w:hAnsi="Times New Roman" w:cs="Times New Roman"/>
          <w:sz w:val="24"/>
          <w:szCs w:val="24"/>
          <w:lang w:val="it-IT"/>
        </w:rPr>
        <w:t>In mancanza di studi a riguardo non è possibile dare una risposta, ma €2,2 non sembra un prezzo proibitivo</w:t>
      </w:r>
      <w:r w:rsidR="00230FD8" w:rsidRPr="006F07C8">
        <w:rPr>
          <w:rFonts w:ascii="Times New Roman" w:hAnsi="Times New Roman" w:cs="Times New Roman"/>
          <w:sz w:val="24"/>
          <w:szCs w:val="24"/>
          <w:lang w:val="it-IT"/>
        </w:rPr>
        <w:t xml:space="preserve">. </w:t>
      </w:r>
      <w:r w:rsidR="00C23746" w:rsidRPr="006F07C8">
        <w:rPr>
          <w:rFonts w:ascii="Times New Roman" w:hAnsi="Times New Roman" w:cs="Times New Roman"/>
          <w:sz w:val="24"/>
          <w:szCs w:val="24"/>
          <w:lang w:val="it-IT"/>
        </w:rPr>
        <w:t>A titolo di confron</w:t>
      </w:r>
      <w:r w:rsidR="00230FD8" w:rsidRPr="006F07C8">
        <w:rPr>
          <w:rFonts w:ascii="Times New Roman" w:hAnsi="Times New Roman" w:cs="Times New Roman"/>
          <w:sz w:val="24"/>
          <w:szCs w:val="24"/>
          <w:lang w:val="it-IT"/>
        </w:rPr>
        <w:t xml:space="preserve">to </w:t>
      </w:r>
      <w:r w:rsidR="00C23746" w:rsidRPr="006F07C8">
        <w:rPr>
          <w:rFonts w:ascii="Times New Roman" w:hAnsi="Times New Roman" w:cs="Times New Roman"/>
          <w:sz w:val="24"/>
          <w:szCs w:val="24"/>
          <w:lang w:val="it-IT"/>
        </w:rPr>
        <w:t>basti ricordare che</w:t>
      </w:r>
      <w:r w:rsidR="000B7FBB" w:rsidRPr="006F07C8">
        <w:rPr>
          <w:rFonts w:ascii="Times New Roman" w:hAnsi="Times New Roman" w:cs="Times New Roman"/>
          <w:sz w:val="24"/>
          <w:szCs w:val="24"/>
          <w:lang w:val="it-IT"/>
        </w:rPr>
        <w:t xml:space="preserve"> i costi annuali sostenuti </w:t>
      </w:r>
      <w:r w:rsidR="00AF0372" w:rsidRPr="006F07C8">
        <w:rPr>
          <w:rFonts w:ascii="Times New Roman" w:hAnsi="Times New Roman" w:cs="Times New Roman"/>
          <w:sz w:val="24"/>
          <w:szCs w:val="24"/>
          <w:lang w:val="it-IT"/>
        </w:rPr>
        <w:t>nel</w:t>
      </w:r>
      <w:r w:rsidR="00981780" w:rsidRPr="006F07C8">
        <w:rPr>
          <w:rFonts w:ascii="Times New Roman" w:hAnsi="Times New Roman" w:cs="Times New Roman"/>
          <w:sz w:val="24"/>
          <w:szCs w:val="24"/>
          <w:lang w:val="it-IT"/>
        </w:rPr>
        <w:t xml:space="preserve"> periodo</w:t>
      </w:r>
      <w:r w:rsidR="00AF0372" w:rsidRPr="006F07C8">
        <w:rPr>
          <w:rFonts w:ascii="Times New Roman" w:hAnsi="Times New Roman" w:cs="Times New Roman"/>
          <w:sz w:val="24"/>
          <w:szCs w:val="24"/>
          <w:lang w:val="it-IT"/>
        </w:rPr>
        <w:t xml:space="preserve"> 2006</w:t>
      </w:r>
      <w:r w:rsidR="00981780" w:rsidRPr="006F07C8">
        <w:rPr>
          <w:rFonts w:ascii="Times New Roman" w:hAnsi="Times New Roman" w:cs="Times New Roman"/>
          <w:sz w:val="24"/>
          <w:szCs w:val="24"/>
          <w:lang w:val="it-IT"/>
        </w:rPr>
        <w:t>-2007</w:t>
      </w:r>
      <w:r w:rsidR="00AF0372" w:rsidRPr="006F07C8">
        <w:rPr>
          <w:rFonts w:ascii="Times New Roman" w:hAnsi="Times New Roman" w:cs="Times New Roman"/>
          <w:sz w:val="24"/>
          <w:szCs w:val="24"/>
          <w:lang w:val="it-IT"/>
        </w:rPr>
        <w:t xml:space="preserve"> </w:t>
      </w:r>
      <w:r w:rsidR="000B7FBB" w:rsidRPr="006F07C8">
        <w:rPr>
          <w:rFonts w:ascii="Times New Roman" w:hAnsi="Times New Roman" w:cs="Times New Roman"/>
          <w:sz w:val="24"/>
          <w:szCs w:val="24"/>
          <w:lang w:val="it-IT"/>
        </w:rPr>
        <w:t xml:space="preserve">dal Governo federale del Canada per garantire il bilinguismo dei servizi pubblici </w:t>
      </w:r>
      <w:r w:rsidR="00AF0372" w:rsidRPr="006F07C8">
        <w:rPr>
          <w:rFonts w:ascii="Times New Roman" w:hAnsi="Times New Roman" w:cs="Times New Roman"/>
          <w:sz w:val="24"/>
          <w:szCs w:val="24"/>
          <w:lang w:val="it-IT"/>
        </w:rPr>
        <w:t>federali</w:t>
      </w:r>
      <w:r w:rsidR="00981780" w:rsidRPr="006F07C8">
        <w:rPr>
          <w:rStyle w:val="FootnoteReference"/>
          <w:rFonts w:ascii="Times New Roman" w:hAnsi="Times New Roman" w:cs="Times New Roman"/>
          <w:sz w:val="24"/>
          <w:szCs w:val="24"/>
          <w:lang w:val="it-IT"/>
        </w:rPr>
        <w:footnoteReference w:id="17"/>
      </w:r>
      <w:r w:rsidR="00AF0372" w:rsidRPr="006F07C8">
        <w:rPr>
          <w:rFonts w:ascii="Times New Roman" w:hAnsi="Times New Roman" w:cs="Times New Roman"/>
          <w:sz w:val="24"/>
          <w:szCs w:val="24"/>
          <w:lang w:val="it-IT"/>
        </w:rPr>
        <w:t xml:space="preserve"> </w:t>
      </w:r>
      <w:r w:rsidR="000B7FBB" w:rsidRPr="006F07C8">
        <w:rPr>
          <w:rFonts w:ascii="Times New Roman" w:hAnsi="Times New Roman" w:cs="Times New Roman"/>
          <w:sz w:val="24"/>
          <w:szCs w:val="24"/>
          <w:lang w:val="it-IT"/>
        </w:rPr>
        <w:t>ammontavano a una cifra compresa fra i 1,6 e 1,8 miliardi di dollari canadesi</w:t>
      </w:r>
      <w:r w:rsidR="00AF0372" w:rsidRPr="006F07C8">
        <w:rPr>
          <w:rFonts w:ascii="Times New Roman" w:hAnsi="Times New Roman" w:cs="Times New Roman"/>
          <w:sz w:val="24"/>
          <w:szCs w:val="24"/>
          <w:lang w:val="it-IT"/>
        </w:rPr>
        <w:t xml:space="preserve"> (</w:t>
      </w:r>
      <w:r w:rsidR="00AF0372" w:rsidRPr="006F07C8">
        <w:rPr>
          <w:rFonts w:ascii="Times New Roman" w:hAnsi="Times New Roman" w:cs="Times New Roman"/>
          <w:noProof/>
          <w:sz w:val="24"/>
          <w:szCs w:val="24"/>
          <w:lang w:val="it-IT"/>
        </w:rPr>
        <w:t xml:space="preserve">Vaillancourt </w:t>
      </w:r>
      <w:r w:rsidR="00B008BA" w:rsidRPr="006F07C8">
        <w:rPr>
          <w:rFonts w:ascii="Times New Roman" w:hAnsi="Times New Roman" w:cs="Times New Roman"/>
          <w:noProof/>
          <w:sz w:val="24"/>
          <w:szCs w:val="24"/>
          <w:lang w:val="it-IT"/>
        </w:rPr>
        <w:t>e</w:t>
      </w:r>
      <w:r w:rsidR="00AF0372" w:rsidRPr="006F07C8">
        <w:rPr>
          <w:rFonts w:ascii="Times New Roman" w:hAnsi="Times New Roman" w:cs="Times New Roman"/>
          <w:noProof/>
          <w:sz w:val="24"/>
          <w:szCs w:val="24"/>
          <w:lang w:val="it-IT"/>
        </w:rPr>
        <w:t xml:space="preserve"> Coche</w:t>
      </w:r>
      <w:r w:rsidR="00AF0372" w:rsidRPr="006F07C8">
        <w:rPr>
          <w:rFonts w:ascii="Times New Roman" w:hAnsi="Times New Roman" w:cs="Times New Roman"/>
          <w:sz w:val="24"/>
          <w:szCs w:val="24"/>
          <w:lang w:val="it-IT"/>
        </w:rPr>
        <w:t xml:space="preserve"> </w:t>
      </w:r>
      <w:hyperlink w:anchor="_ENREF_76" w:tooltip="Vaillancourt, 2009 #574" w:history="1">
        <w:r w:rsidR="00101624" w:rsidRPr="006F07C8">
          <w:rPr>
            <w:rFonts w:ascii="Times New Roman" w:hAnsi="Times New Roman" w:cs="Times New Roman"/>
            <w:sz w:val="24"/>
            <w:szCs w:val="24"/>
            <w:lang w:val="it-IT"/>
          </w:rPr>
          <w:fldChar w:fldCharType="begin"/>
        </w:r>
        <w:r w:rsidR="00101624" w:rsidRPr="006F07C8">
          <w:rPr>
            <w:rFonts w:ascii="Times New Roman" w:hAnsi="Times New Roman" w:cs="Times New Roman"/>
            <w:sz w:val="24"/>
            <w:szCs w:val="24"/>
            <w:lang w:val="it-IT"/>
          </w:rPr>
          <w:instrText xml:space="preserve"> ADDIN EN.CITE &lt;EndNote&gt;&lt;Cite ExcludeAuth="1"&gt;&lt;Author&gt;Vaillancourt&lt;/Author&gt;&lt;Year&gt;2009&lt;/Year&gt;&lt;RecNum&gt;574&lt;/RecNum&gt;&lt;Pages&gt;32&lt;/Pages&gt;&lt;DisplayText&gt;2009: 32&lt;/DisplayText&gt;&lt;record&gt;&lt;rec-number&gt;574&lt;/rec-number&gt;&lt;foreign-keys&gt;&lt;key app="EN" db-id="wvvszzd93a0z5wesdfpvdv9z5wrra5p05axp"&gt;574&lt;/key&gt;&lt;/foreign-keys&gt;&lt;ref-type name="Report"&gt;27&lt;/ref-type&gt;&lt;contributors&gt;&lt;authors&gt;&lt;author&gt;Vaillancourt, François&lt;/author&gt;&lt;author&gt;Coche, Olivier&lt;/author&gt;&lt;/authors&gt;&lt;/contributors&gt;&lt;titles&gt;&lt;title&gt;Les politiques fédérales en matière de langues officielles au Canada : coûts et avantages en 2006&lt;/title&gt;&lt;secondary-title&gt;Études en politique linguistique&lt;/secondary-title&gt;&lt;/titles&gt;&lt;dates&gt;&lt;year&gt;2009&lt;/year&gt;&lt;/dates&gt;&lt;pub-location&gt;Vancouver&lt;/pub-location&gt;&lt;publisher&gt;Institut Fraser&lt;/publisher&gt;&lt;urls&gt;&lt;/urls&gt;&lt;/record&gt;&lt;/Cite&gt;&lt;/EndNote&gt;</w:instrText>
        </w:r>
        <w:r w:rsidR="00101624" w:rsidRPr="006F07C8">
          <w:rPr>
            <w:rFonts w:ascii="Times New Roman" w:hAnsi="Times New Roman" w:cs="Times New Roman"/>
            <w:sz w:val="24"/>
            <w:szCs w:val="24"/>
            <w:lang w:val="it-IT"/>
          </w:rPr>
          <w:fldChar w:fldCharType="separate"/>
        </w:r>
        <w:r w:rsidR="00101624" w:rsidRPr="006F07C8">
          <w:rPr>
            <w:rFonts w:ascii="Times New Roman" w:hAnsi="Times New Roman" w:cs="Times New Roman"/>
            <w:noProof/>
            <w:sz w:val="24"/>
            <w:szCs w:val="24"/>
            <w:lang w:val="it-IT"/>
          </w:rPr>
          <w:t>2009: 32</w:t>
        </w:r>
        <w:r w:rsidR="00101624" w:rsidRPr="006F07C8">
          <w:rPr>
            <w:rFonts w:ascii="Times New Roman" w:hAnsi="Times New Roman" w:cs="Times New Roman"/>
            <w:sz w:val="24"/>
            <w:szCs w:val="24"/>
            <w:lang w:val="it-IT"/>
          </w:rPr>
          <w:fldChar w:fldCharType="end"/>
        </w:r>
      </w:hyperlink>
      <w:r w:rsidR="00AF0372" w:rsidRPr="006F07C8">
        <w:rPr>
          <w:rFonts w:ascii="Times New Roman" w:hAnsi="Times New Roman" w:cs="Times New Roman"/>
          <w:sz w:val="24"/>
          <w:szCs w:val="24"/>
          <w:lang w:val="it-IT"/>
        </w:rPr>
        <w:t>)</w:t>
      </w:r>
      <w:r w:rsidR="00F216AE" w:rsidRPr="006F07C8">
        <w:rPr>
          <w:rFonts w:ascii="Times New Roman" w:hAnsi="Times New Roman" w:cs="Times New Roman"/>
          <w:sz w:val="24"/>
          <w:szCs w:val="24"/>
          <w:lang w:val="it-IT"/>
        </w:rPr>
        <w:t xml:space="preserve">, cioè </w:t>
      </w:r>
      <w:r w:rsidR="005831F2" w:rsidRPr="006F07C8">
        <w:rPr>
          <w:rFonts w:ascii="Times New Roman" w:hAnsi="Times New Roman" w:cs="Times New Roman"/>
          <w:sz w:val="24"/>
          <w:szCs w:val="24"/>
          <w:lang w:val="it-IT"/>
        </w:rPr>
        <w:t xml:space="preserve">in media </w:t>
      </w:r>
      <w:r w:rsidR="000B7FBB" w:rsidRPr="006F07C8">
        <w:rPr>
          <w:rFonts w:ascii="Times New Roman" w:hAnsi="Times New Roman" w:cs="Times New Roman"/>
          <w:sz w:val="24"/>
          <w:szCs w:val="24"/>
          <w:lang w:val="it-IT"/>
        </w:rPr>
        <w:t>circa €1,1 miliardi</w:t>
      </w:r>
      <w:r w:rsidR="00F216AE" w:rsidRPr="006F07C8">
        <w:rPr>
          <w:rFonts w:ascii="Times New Roman" w:hAnsi="Times New Roman" w:cs="Times New Roman"/>
          <w:sz w:val="24"/>
          <w:szCs w:val="24"/>
          <w:lang w:val="it-IT"/>
        </w:rPr>
        <w:t xml:space="preserve"> </w:t>
      </w:r>
      <w:r w:rsidR="00AF0372" w:rsidRPr="006F07C8">
        <w:rPr>
          <w:rFonts w:ascii="Times New Roman" w:hAnsi="Times New Roman" w:cs="Times New Roman"/>
          <w:sz w:val="24"/>
          <w:szCs w:val="24"/>
          <w:lang w:val="it-IT"/>
        </w:rPr>
        <w:t>(</w:t>
      </w:r>
      <w:r w:rsidR="000B7FBB" w:rsidRPr="006F07C8">
        <w:rPr>
          <w:rFonts w:ascii="Times New Roman" w:hAnsi="Times New Roman" w:cs="Times New Roman"/>
          <w:sz w:val="24"/>
          <w:szCs w:val="24"/>
          <w:lang w:val="it-IT"/>
        </w:rPr>
        <w:t xml:space="preserve">grosso modo a </w:t>
      </w:r>
      <w:r w:rsidR="00AF0372" w:rsidRPr="006F07C8">
        <w:rPr>
          <w:rFonts w:ascii="Times New Roman" w:hAnsi="Times New Roman" w:cs="Times New Roman"/>
          <w:sz w:val="24"/>
          <w:szCs w:val="24"/>
          <w:lang w:val="it-IT"/>
        </w:rPr>
        <w:t xml:space="preserve">quanto spendono </w:t>
      </w:r>
      <w:r w:rsidR="000B7FBB" w:rsidRPr="006F07C8">
        <w:rPr>
          <w:rFonts w:ascii="Times New Roman" w:hAnsi="Times New Roman" w:cs="Times New Roman"/>
          <w:sz w:val="24"/>
          <w:szCs w:val="24"/>
          <w:lang w:val="it-IT"/>
        </w:rPr>
        <w:t>le istituzioni europee</w:t>
      </w:r>
      <w:r w:rsidR="00AF0372" w:rsidRPr="006F07C8">
        <w:rPr>
          <w:rFonts w:ascii="Times New Roman" w:hAnsi="Times New Roman" w:cs="Times New Roman"/>
          <w:sz w:val="24"/>
          <w:szCs w:val="24"/>
          <w:lang w:val="it-IT"/>
        </w:rPr>
        <w:t xml:space="preserve"> per il multilinguismo a 24 lingue)</w:t>
      </w:r>
      <w:r w:rsidR="00F216AE" w:rsidRPr="006F07C8">
        <w:rPr>
          <w:rFonts w:ascii="Times New Roman" w:hAnsi="Times New Roman" w:cs="Times New Roman"/>
          <w:sz w:val="24"/>
          <w:szCs w:val="24"/>
          <w:lang w:val="it-IT"/>
        </w:rPr>
        <w:t xml:space="preserve">, per un paese che nel periodo di riferimento contava 33 milioni di abitanti circa. €1,1 miliardi equivalgono a poco più dello 0,1% del PIL del </w:t>
      </w:r>
      <w:r w:rsidR="00AF0372" w:rsidRPr="006F07C8">
        <w:rPr>
          <w:rFonts w:ascii="Times New Roman" w:hAnsi="Times New Roman" w:cs="Times New Roman"/>
          <w:sz w:val="24"/>
          <w:szCs w:val="24"/>
          <w:lang w:val="it-IT"/>
        </w:rPr>
        <w:t>Canada</w:t>
      </w:r>
      <w:r w:rsidR="00F216AE" w:rsidRPr="006F07C8">
        <w:rPr>
          <w:rFonts w:ascii="Times New Roman" w:hAnsi="Times New Roman" w:cs="Times New Roman"/>
          <w:sz w:val="24"/>
          <w:szCs w:val="24"/>
          <w:lang w:val="it-IT"/>
        </w:rPr>
        <w:t xml:space="preserve"> nel 2006 ovvero a €36 all’anno </w:t>
      </w:r>
      <w:r w:rsidR="00AF0372" w:rsidRPr="006F07C8">
        <w:rPr>
          <w:rFonts w:ascii="Times New Roman" w:hAnsi="Times New Roman" w:cs="Times New Roman"/>
          <w:sz w:val="24"/>
          <w:szCs w:val="24"/>
          <w:lang w:val="it-IT"/>
        </w:rPr>
        <w:t xml:space="preserve">per </w:t>
      </w:r>
      <w:r w:rsidR="00F216AE" w:rsidRPr="006F07C8">
        <w:rPr>
          <w:rFonts w:ascii="Times New Roman" w:hAnsi="Times New Roman" w:cs="Times New Roman"/>
          <w:sz w:val="24"/>
          <w:szCs w:val="24"/>
          <w:lang w:val="it-IT"/>
        </w:rPr>
        <w:t>cittadino.</w:t>
      </w:r>
    </w:p>
    <w:p w:rsidR="00F22C55" w:rsidRPr="006F07C8" w:rsidRDefault="00E960F4" w:rsidP="002F52A9">
      <w:pPr>
        <w:spacing w:line="240" w:lineRule="auto"/>
        <w:jc w:val="both"/>
        <w:rPr>
          <w:rFonts w:ascii="Times New Roman" w:hAnsi="Times New Roman" w:cs="Times New Roman"/>
          <w:sz w:val="24"/>
          <w:szCs w:val="24"/>
          <w:lang w:val="it-IT"/>
        </w:rPr>
      </w:pPr>
      <w:r w:rsidRPr="006F07C8">
        <w:rPr>
          <w:rFonts w:ascii="Times New Roman" w:hAnsi="Times New Roman" w:cs="Times New Roman"/>
          <w:sz w:val="24"/>
          <w:szCs w:val="24"/>
          <w:lang w:val="it-IT"/>
        </w:rPr>
        <w:t>Al di là della questione dei costi, che come abbiamo vist</w:t>
      </w:r>
      <w:r w:rsidR="00261205" w:rsidRPr="006F07C8">
        <w:rPr>
          <w:rFonts w:ascii="Times New Roman" w:hAnsi="Times New Roman" w:cs="Times New Roman"/>
          <w:sz w:val="24"/>
          <w:szCs w:val="24"/>
          <w:lang w:val="it-IT"/>
        </w:rPr>
        <w:t>o</w:t>
      </w:r>
      <w:r w:rsidRPr="006F07C8">
        <w:rPr>
          <w:rFonts w:ascii="Times New Roman" w:hAnsi="Times New Roman" w:cs="Times New Roman"/>
          <w:sz w:val="24"/>
          <w:szCs w:val="24"/>
          <w:lang w:val="it-IT"/>
        </w:rPr>
        <w:t xml:space="preserve"> va </w:t>
      </w:r>
      <w:r w:rsidR="005831F2" w:rsidRPr="006F07C8">
        <w:rPr>
          <w:rFonts w:ascii="Times New Roman" w:hAnsi="Times New Roman" w:cs="Times New Roman"/>
          <w:sz w:val="24"/>
          <w:szCs w:val="24"/>
          <w:lang w:val="it-IT"/>
        </w:rPr>
        <w:t>messa in prospettiva</w:t>
      </w:r>
      <w:r w:rsidRPr="006F07C8">
        <w:rPr>
          <w:rFonts w:ascii="Times New Roman" w:hAnsi="Times New Roman" w:cs="Times New Roman"/>
          <w:sz w:val="24"/>
          <w:szCs w:val="24"/>
          <w:lang w:val="it-IT"/>
        </w:rPr>
        <w:t xml:space="preserve">, alcuni osservatori fanno notare che </w:t>
      </w:r>
      <w:r w:rsidR="003A1587" w:rsidRPr="006F07C8">
        <w:rPr>
          <w:rFonts w:ascii="Times New Roman" w:hAnsi="Times New Roman" w:cs="Times New Roman"/>
          <w:sz w:val="24"/>
          <w:szCs w:val="24"/>
          <w:lang w:val="it-IT"/>
        </w:rPr>
        <w:t>l’Unione guadagnerebbe in efficacia istituzionale e politica se</w:t>
      </w:r>
      <w:r w:rsidR="00261205" w:rsidRPr="006F07C8">
        <w:rPr>
          <w:rFonts w:ascii="Times New Roman" w:hAnsi="Times New Roman" w:cs="Times New Roman"/>
          <w:sz w:val="24"/>
          <w:szCs w:val="24"/>
          <w:lang w:val="it-IT"/>
        </w:rPr>
        <w:t xml:space="preserve"> adottasse</w:t>
      </w:r>
      <w:r w:rsidR="003A1587" w:rsidRPr="006F07C8">
        <w:rPr>
          <w:rFonts w:ascii="Times New Roman" w:hAnsi="Times New Roman" w:cs="Times New Roman"/>
          <w:sz w:val="24"/>
          <w:szCs w:val="24"/>
          <w:lang w:val="it-IT"/>
        </w:rPr>
        <w:t xml:space="preserve"> solo un</w:t>
      </w:r>
      <w:r w:rsidR="00C8277B" w:rsidRPr="006F07C8">
        <w:rPr>
          <w:rFonts w:ascii="Times New Roman" w:hAnsi="Times New Roman" w:cs="Times New Roman"/>
          <w:sz w:val="24"/>
          <w:szCs w:val="24"/>
          <w:lang w:val="it-IT"/>
        </w:rPr>
        <w:t>a</w:t>
      </w:r>
      <w:r w:rsidR="007E2139" w:rsidRPr="006F07C8">
        <w:rPr>
          <w:rFonts w:ascii="Times New Roman" w:hAnsi="Times New Roman" w:cs="Times New Roman"/>
          <w:sz w:val="24"/>
          <w:szCs w:val="24"/>
          <w:lang w:val="it-IT"/>
        </w:rPr>
        <w:t xml:space="preserve"> lingu</w:t>
      </w:r>
      <w:r w:rsidR="00261205" w:rsidRPr="006F07C8">
        <w:rPr>
          <w:rFonts w:ascii="Times New Roman" w:hAnsi="Times New Roman" w:cs="Times New Roman"/>
          <w:sz w:val="24"/>
          <w:szCs w:val="24"/>
          <w:lang w:val="it-IT"/>
        </w:rPr>
        <w:t>a ufficiale</w:t>
      </w:r>
      <w:r w:rsidR="007E2139" w:rsidRPr="006F07C8">
        <w:rPr>
          <w:rFonts w:ascii="Times New Roman" w:hAnsi="Times New Roman" w:cs="Times New Roman"/>
          <w:sz w:val="24"/>
          <w:szCs w:val="24"/>
          <w:lang w:val="it-IT"/>
        </w:rPr>
        <w:t>. Per alcuni</w:t>
      </w:r>
      <w:r w:rsidR="003A1587" w:rsidRPr="006F07C8">
        <w:rPr>
          <w:rFonts w:ascii="Times New Roman" w:hAnsi="Times New Roman" w:cs="Times New Roman"/>
          <w:sz w:val="24"/>
          <w:szCs w:val="24"/>
          <w:lang w:val="it-IT"/>
        </w:rPr>
        <w:t xml:space="preserve"> </w:t>
      </w:r>
      <w:r w:rsidR="00F22C55" w:rsidRPr="006F07C8">
        <w:rPr>
          <w:rFonts w:ascii="Times New Roman" w:hAnsi="Times New Roman" w:cs="Times New Roman"/>
          <w:sz w:val="24"/>
          <w:szCs w:val="24"/>
          <w:lang w:val="it-IT"/>
        </w:rPr>
        <w:t xml:space="preserve">adottare </w:t>
      </w:r>
      <w:r w:rsidR="00261205" w:rsidRPr="006F07C8">
        <w:rPr>
          <w:rFonts w:ascii="Times New Roman" w:hAnsi="Times New Roman" w:cs="Times New Roman"/>
          <w:sz w:val="24"/>
          <w:szCs w:val="24"/>
          <w:lang w:val="it-IT"/>
        </w:rPr>
        <w:t>solo l’</w:t>
      </w:r>
      <w:r w:rsidR="003A1587" w:rsidRPr="006F07C8">
        <w:rPr>
          <w:rFonts w:ascii="Times New Roman" w:hAnsi="Times New Roman" w:cs="Times New Roman"/>
          <w:sz w:val="24"/>
          <w:szCs w:val="24"/>
          <w:lang w:val="it-IT"/>
        </w:rPr>
        <w:t xml:space="preserve">inglese </w:t>
      </w:r>
      <w:r w:rsidR="00F22C55" w:rsidRPr="006F07C8">
        <w:rPr>
          <w:rFonts w:ascii="Times New Roman" w:hAnsi="Times New Roman" w:cs="Times New Roman"/>
          <w:sz w:val="24"/>
          <w:szCs w:val="24"/>
          <w:lang w:val="it-IT"/>
        </w:rPr>
        <w:t xml:space="preserve">sarebbe la soluzione ottimale </w:t>
      </w:r>
      <w:r w:rsidR="003A1587" w:rsidRPr="006F07C8">
        <w:rPr>
          <w:rFonts w:ascii="Times New Roman" w:hAnsi="Times New Roman" w:cs="Times New Roman"/>
          <w:sz w:val="24"/>
          <w:szCs w:val="24"/>
          <w:lang w:val="it-IT"/>
        </w:rPr>
        <w:t>(</w:t>
      </w:r>
      <w:hyperlink w:anchor="_ENREF_77" w:tooltip="Van Parijs, 2011 #794" w:history="1">
        <w:r w:rsidR="00101624" w:rsidRPr="006F07C8">
          <w:rPr>
            <w:rFonts w:ascii="Times New Roman" w:hAnsi="Times New Roman" w:cs="Times New Roman"/>
            <w:sz w:val="24"/>
            <w:szCs w:val="24"/>
            <w:lang w:val="it-IT"/>
          </w:rPr>
          <w:fldChar w:fldCharType="begin"/>
        </w:r>
        <w:r w:rsidR="00101624" w:rsidRPr="006F07C8">
          <w:rPr>
            <w:rFonts w:ascii="Times New Roman" w:hAnsi="Times New Roman" w:cs="Times New Roman"/>
            <w:sz w:val="24"/>
            <w:szCs w:val="24"/>
            <w:lang w:val="it-IT"/>
          </w:rPr>
          <w:instrText xml:space="preserve"> ADDIN EN.CITE &lt;EndNote&gt;&lt;Cite&gt;&lt;Author&gt;Van Parijs&lt;/Author&gt;&lt;Year&gt;2011&lt;/Year&gt;&lt;RecNum&gt;794&lt;/RecNum&gt;&lt;DisplayText&gt;Van Parijs 2011&lt;/DisplayText&gt;&lt;record&gt;&lt;rec-number&gt;794&lt;/rec-number&gt;&lt;foreign-keys&gt;&lt;key app="EN" db-id="wvvszzd93a0z5wesdfpvdv9z5wrra5p05axp"&gt;794&lt;/key&gt;&lt;/foreign-keys&gt;&lt;ref-type name="Book"&gt;6&lt;/ref-type&gt;&lt;contributors&gt;&lt;authors&gt;&lt;author&gt;Van Parijs, Philippe&lt;/author&gt;&lt;/authors&gt;&lt;/contributors&gt;&lt;titles&gt;&lt;title&gt;Linguistic justice for Europe and for the World&lt;/title&gt;&lt;/titles&gt;&lt;dates&gt;&lt;year&gt;2011&lt;/year&gt;&lt;/dates&gt;&lt;pub-location&gt;Oxford&lt;/pub-location&gt;&lt;publisher&gt;Oxford University Press&lt;/publisher&gt;&lt;urls&gt;&lt;/urls&gt;&lt;/record&gt;&lt;/Cite&gt;&lt;/EndNote&gt;</w:instrText>
        </w:r>
        <w:r w:rsidR="00101624" w:rsidRPr="006F07C8">
          <w:rPr>
            <w:rFonts w:ascii="Times New Roman" w:hAnsi="Times New Roman" w:cs="Times New Roman"/>
            <w:sz w:val="24"/>
            <w:szCs w:val="24"/>
            <w:lang w:val="it-IT"/>
          </w:rPr>
          <w:fldChar w:fldCharType="separate"/>
        </w:r>
        <w:r w:rsidR="00101624" w:rsidRPr="006F07C8">
          <w:rPr>
            <w:rFonts w:ascii="Times New Roman" w:hAnsi="Times New Roman" w:cs="Times New Roman"/>
            <w:noProof/>
            <w:sz w:val="24"/>
            <w:szCs w:val="24"/>
            <w:lang w:val="it-IT"/>
          </w:rPr>
          <w:t>Van Parijs 2011</w:t>
        </w:r>
        <w:r w:rsidR="00101624" w:rsidRPr="006F07C8">
          <w:rPr>
            <w:rFonts w:ascii="Times New Roman" w:hAnsi="Times New Roman" w:cs="Times New Roman"/>
            <w:sz w:val="24"/>
            <w:szCs w:val="24"/>
            <w:lang w:val="it-IT"/>
          </w:rPr>
          <w:fldChar w:fldCharType="end"/>
        </w:r>
      </w:hyperlink>
      <w:r w:rsidR="003A1587" w:rsidRPr="006F07C8">
        <w:rPr>
          <w:rFonts w:ascii="Times New Roman" w:hAnsi="Times New Roman" w:cs="Times New Roman"/>
          <w:sz w:val="24"/>
          <w:szCs w:val="24"/>
          <w:lang w:val="it-IT"/>
        </w:rPr>
        <w:t>,</w:t>
      </w:r>
      <w:r w:rsidR="00F22C55" w:rsidRPr="006F07C8">
        <w:rPr>
          <w:rFonts w:ascii="Times New Roman" w:hAnsi="Times New Roman" w:cs="Times New Roman"/>
          <w:sz w:val="24"/>
          <w:szCs w:val="24"/>
          <w:lang w:val="it-IT"/>
        </w:rPr>
        <w:t xml:space="preserve"> </w:t>
      </w:r>
      <w:r w:rsidR="00F22C55" w:rsidRPr="006F07C8">
        <w:rPr>
          <w:rFonts w:ascii="Times New Roman" w:hAnsi="Times New Roman" w:cs="Times New Roman"/>
          <w:noProof/>
          <w:sz w:val="24"/>
          <w:szCs w:val="24"/>
          <w:lang w:val="it-IT"/>
        </w:rPr>
        <w:t>Cogo e Jenkins</w:t>
      </w:r>
      <w:r w:rsidR="00F22C55" w:rsidRPr="006F07C8">
        <w:rPr>
          <w:rFonts w:ascii="Times New Roman" w:hAnsi="Times New Roman" w:cs="Times New Roman"/>
          <w:sz w:val="24"/>
          <w:szCs w:val="24"/>
          <w:lang w:val="it-IT"/>
        </w:rPr>
        <w:t xml:space="preserve"> </w:t>
      </w:r>
      <w:hyperlink w:anchor="_ENREF_12" w:tooltip="Cogo, 2010 #804" w:history="1">
        <w:r w:rsidR="00101624" w:rsidRPr="006F07C8">
          <w:rPr>
            <w:rFonts w:ascii="Times New Roman" w:hAnsi="Times New Roman" w:cs="Times New Roman"/>
            <w:sz w:val="24"/>
            <w:szCs w:val="24"/>
            <w:lang w:val="it-IT"/>
          </w:rPr>
          <w:fldChar w:fldCharType="begin"/>
        </w:r>
        <w:r w:rsidR="00101624" w:rsidRPr="006F07C8">
          <w:rPr>
            <w:rFonts w:ascii="Times New Roman" w:hAnsi="Times New Roman" w:cs="Times New Roman"/>
            <w:sz w:val="24"/>
            <w:szCs w:val="24"/>
            <w:lang w:val="it-IT"/>
          </w:rPr>
          <w:instrText xml:space="preserve"> ADDIN EN.CITE &lt;EndNote&gt;&lt;Cite ExcludeAuth="1"&gt;&lt;Author&gt;Cogo&lt;/Author&gt;&lt;Year&gt;2010&lt;/Year&gt;&lt;RecNum&gt;804&lt;/RecNum&gt;&lt;DisplayText&gt;2010&lt;/DisplayText&gt;&lt;record&gt;&lt;rec-number&gt;804&lt;/rec-number&gt;&lt;foreign-keys&gt;&lt;key app="EN" db-id="wvvszzd93a0z5wesdfpvdv9z5wrra5p05axp"&gt;804&lt;/key&gt;&lt;/foreign-keys&gt;&lt;ref-type name="Journal Article"&gt;17&lt;/ref-type&gt;&lt;contributors&gt;&lt;authors&gt;&lt;author&gt;Cogo, Alessia&lt;/author&gt;&lt;author&gt;Jenkins, Jennifer&lt;/author&gt;&lt;/authors&gt;&lt;/contributors&gt;&lt;titles&gt;&lt;title&gt;English as a lingua franca in Europe. A mismatch between policy and practice&lt;/title&gt;&lt;secondary-title&gt;European Journal of Language Policy&lt;/secondary-title&gt;&lt;/titles&gt;&lt;periodical&gt;&lt;full-title&gt;European Journal of Language Policy&lt;/full-title&gt;&lt;/periodical&gt;&lt;pages&gt;271–294&lt;/pages&gt;&lt;volume&gt;2&lt;/volume&gt;&lt;number&gt;2&lt;/number&gt;&lt;dates&gt;&lt;year&gt;2010&lt;/year&gt;&lt;/dates&gt;&lt;urls&gt;&lt;/urls&gt;&lt;/record&gt;&lt;/Cite&gt;&lt;/EndNote&gt;</w:instrText>
        </w:r>
        <w:r w:rsidR="00101624" w:rsidRPr="006F07C8">
          <w:rPr>
            <w:rFonts w:ascii="Times New Roman" w:hAnsi="Times New Roman" w:cs="Times New Roman"/>
            <w:sz w:val="24"/>
            <w:szCs w:val="24"/>
            <w:lang w:val="it-IT"/>
          </w:rPr>
          <w:fldChar w:fldCharType="separate"/>
        </w:r>
        <w:r w:rsidR="00101624" w:rsidRPr="006F07C8">
          <w:rPr>
            <w:rFonts w:ascii="Times New Roman" w:hAnsi="Times New Roman" w:cs="Times New Roman"/>
            <w:noProof/>
            <w:sz w:val="24"/>
            <w:szCs w:val="24"/>
            <w:lang w:val="it-IT"/>
          </w:rPr>
          <w:t>2010</w:t>
        </w:r>
        <w:r w:rsidR="00101624" w:rsidRPr="006F07C8">
          <w:rPr>
            <w:rFonts w:ascii="Times New Roman" w:hAnsi="Times New Roman" w:cs="Times New Roman"/>
            <w:sz w:val="24"/>
            <w:szCs w:val="24"/>
            <w:lang w:val="it-IT"/>
          </w:rPr>
          <w:fldChar w:fldCharType="end"/>
        </w:r>
      </w:hyperlink>
      <w:r w:rsidR="00C462F4" w:rsidRPr="006F07C8">
        <w:rPr>
          <w:rFonts w:ascii="Times New Roman" w:hAnsi="Times New Roman" w:cs="Times New Roman"/>
          <w:sz w:val="24"/>
          <w:szCs w:val="24"/>
          <w:lang w:val="it-IT"/>
        </w:rPr>
        <w:t xml:space="preserve">, </w:t>
      </w:r>
      <w:hyperlink w:anchor="_ENREF_20" w:tooltip="De Swaan, 2001 #73" w:history="1">
        <w:r w:rsidR="00101624" w:rsidRPr="006F07C8">
          <w:rPr>
            <w:rFonts w:ascii="Times New Roman" w:hAnsi="Times New Roman" w:cs="Times New Roman"/>
            <w:sz w:val="24"/>
            <w:szCs w:val="24"/>
            <w:lang w:val="it-IT"/>
          </w:rPr>
          <w:fldChar w:fldCharType="begin"/>
        </w:r>
        <w:r w:rsidR="00101624" w:rsidRPr="006F07C8">
          <w:rPr>
            <w:rFonts w:ascii="Times New Roman" w:hAnsi="Times New Roman" w:cs="Times New Roman"/>
            <w:sz w:val="24"/>
            <w:szCs w:val="24"/>
            <w:lang w:val="it-IT"/>
          </w:rPr>
          <w:instrText xml:space="preserve"> ADDIN EN.CITE &lt;EndNote&gt;&lt;Cite&gt;&lt;Author&gt;De Swaan&lt;/Author&gt;&lt;Year&gt;2001&lt;/Year&gt;&lt;RecNum&gt;73&lt;/RecNum&gt;&lt;DisplayText&gt;De Swaan 2001&lt;/DisplayText&gt;&lt;record&gt;&lt;rec-number&gt;73&lt;/rec-number&gt;&lt;foreign-keys&gt;&lt;key app="EN" db-id="wvvszzd93a0z5wesdfpvdv9z5wrra5p05axp"&gt;73&lt;/key&gt;&lt;/foreign-keys&gt;&lt;ref-type name="Book"&gt;6&lt;/ref-type&gt;&lt;contributors&gt;&lt;authors&gt;&lt;author&gt;De Swaan, Abram&lt;/author&gt;&lt;/authors&gt;&lt;/contributors&gt;&lt;titles&gt;&lt;title&gt;Words of the world. The global language system&lt;/title&gt;&lt;/titles&gt;&lt;pages&gt;vii+253&lt;/pages&gt;&lt;dates&gt;&lt;year&gt;2001&lt;/year&gt;&lt;/dates&gt;&lt;pub-location&gt;Cambridge (UK)&lt;/pub-location&gt;&lt;publisher&gt;Polity Press&lt;/publisher&gt;&lt;urls&gt;&lt;/urls&gt;&lt;/record&gt;&lt;/Cite&gt;&lt;/EndNote&gt;</w:instrText>
        </w:r>
        <w:r w:rsidR="00101624" w:rsidRPr="006F07C8">
          <w:rPr>
            <w:rFonts w:ascii="Times New Roman" w:hAnsi="Times New Roman" w:cs="Times New Roman"/>
            <w:sz w:val="24"/>
            <w:szCs w:val="24"/>
            <w:lang w:val="it-IT"/>
          </w:rPr>
          <w:fldChar w:fldCharType="separate"/>
        </w:r>
        <w:r w:rsidR="00101624" w:rsidRPr="006F07C8">
          <w:rPr>
            <w:rFonts w:ascii="Times New Roman" w:hAnsi="Times New Roman" w:cs="Times New Roman"/>
            <w:noProof/>
            <w:sz w:val="24"/>
            <w:szCs w:val="24"/>
            <w:lang w:val="it-IT"/>
          </w:rPr>
          <w:t>De Swaan 2001</w:t>
        </w:r>
        <w:r w:rsidR="00101624" w:rsidRPr="006F07C8">
          <w:rPr>
            <w:rFonts w:ascii="Times New Roman" w:hAnsi="Times New Roman" w:cs="Times New Roman"/>
            <w:sz w:val="24"/>
            <w:szCs w:val="24"/>
            <w:lang w:val="it-IT"/>
          </w:rPr>
          <w:fldChar w:fldCharType="end"/>
        </w:r>
      </w:hyperlink>
      <w:r w:rsidR="003A1587" w:rsidRPr="006F07C8">
        <w:rPr>
          <w:rFonts w:ascii="Times New Roman" w:hAnsi="Times New Roman" w:cs="Times New Roman"/>
          <w:sz w:val="24"/>
          <w:szCs w:val="24"/>
          <w:lang w:val="it-IT"/>
        </w:rPr>
        <w:t>)</w:t>
      </w:r>
      <w:r w:rsidR="00F22C55" w:rsidRPr="006F07C8">
        <w:rPr>
          <w:rFonts w:ascii="Times New Roman" w:hAnsi="Times New Roman" w:cs="Times New Roman"/>
          <w:sz w:val="24"/>
          <w:szCs w:val="24"/>
          <w:lang w:val="it-IT"/>
        </w:rPr>
        <w:t xml:space="preserve">. A giustificazione si fa notare che l’inglese è </w:t>
      </w:r>
      <w:r w:rsidR="00261205" w:rsidRPr="006F07C8">
        <w:rPr>
          <w:rFonts w:ascii="Times New Roman" w:hAnsi="Times New Roman" w:cs="Times New Roman"/>
          <w:sz w:val="24"/>
          <w:szCs w:val="24"/>
          <w:lang w:val="it-IT"/>
        </w:rPr>
        <w:t xml:space="preserve">la </w:t>
      </w:r>
      <w:r w:rsidR="00F22C55" w:rsidRPr="006F07C8">
        <w:rPr>
          <w:rFonts w:ascii="Times New Roman" w:hAnsi="Times New Roman" w:cs="Times New Roman"/>
          <w:sz w:val="24"/>
          <w:szCs w:val="24"/>
          <w:lang w:val="it-IT"/>
        </w:rPr>
        <w:t>lingua straniera più comunemente insegnata nelle scuole nell’obbligo europee (</w:t>
      </w:r>
      <w:hyperlink w:anchor="_ENREF_25" w:tooltip="Eurydice, 2012 #921" w:history="1">
        <w:r w:rsidR="00101624" w:rsidRPr="006F07C8">
          <w:rPr>
            <w:rFonts w:ascii="Times New Roman" w:hAnsi="Times New Roman" w:cs="Times New Roman"/>
            <w:sz w:val="24"/>
            <w:szCs w:val="24"/>
            <w:lang w:val="it-IT"/>
          </w:rPr>
          <w:fldChar w:fldCharType="begin"/>
        </w:r>
        <w:r w:rsidR="00101624" w:rsidRPr="006F07C8">
          <w:rPr>
            <w:rFonts w:ascii="Times New Roman" w:hAnsi="Times New Roman" w:cs="Times New Roman"/>
            <w:sz w:val="24"/>
            <w:szCs w:val="24"/>
            <w:lang w:val="it-IT"/>
          </w:rPr>
          <w:instrText xml:space="preserve"> ADDIN EN.CITE &lt;EndNote&gt;&lt;Cite&gt;&lt;Author&gt;Eurydice&lt;/Author&gt;&lt;Year&gt;2012&lt;/Year&gt;&lt;RecNum&gt;921&lt;/RecNum&gt;&lt;DisplayText&gt;Eurydice 2012&lt;/DisplayText&gt;&lt;record&gt;&lt;rec-number&gt;921&lt;/rec-number&gt;&lt;foreign-keys&gt;&lt;key app="EN" db-id="wvvszzd93a0z5wesdfpvdv9z5wrra5p05axp"&gt;921&lt;/key&gt;&lt;/foreign-keys&gt;&lt;ref-type name="Report"&gt;27&lt;/ref-type&gt;&lt;contributors&gt;&lt;authors&gt;&lt;author&gt;Eurydice,&lt;/author&gt;&lt;/authors&gt;&lt;/contributors&gt;&lt;titles&gt;&lt;title&gt;Cifre chiave dell’insegnamento delle lingue a scuola in Europa 2012&lt;/title&gt;&lt;/titles&gt;&lt;dates&gt;&lt;year&gt;2012&lt;/year&gt;&lt;/dates&gt;&lt;pub-location&gt;Bruxelles&lt;/pub-location&gt;&lt;publisher&gt;Commissione europea&lt;/publisher&gt;&lt;urls&gt;&lt;/urls&gt;&lt;/record&gt;&lt;/Cite&gt;&lt;/EndNote&gt;</w:instrText>
        </w:r>
        <w:r w:rsidR="00101624" w:rsidRPr="006F07C8">
          <w:rPr>
            <w:rFonts w:ascii="Times New Roman" w:hAnsi="Times New Roman" w:cs="Times New Roman"/>
            <w:sz w:val="24"/>
            <w:szCs w:val="24"/>
            <w:lang w:val="it-IT"/>
          </w:rPr>
          <w:fldChar w:fldCharType="separate"/>
        </w:r>
        <w:r w:rsidR="00101624" w:rsidRPr="006F07C8">
          <w:rPr>
            <w:rFonts w:ascii="Times New Roman" w:hAnsi="Times New Roman" w:cs="Times New Roman"/>
            <w:noProof/>
            <w:sz w:val="24"/>
            <w:szCs w:val="24"/>
            <w:lang w:val="it-IT"/>
          </w:rPr>
          <w:t>Eurydice 2012</w:t>
        </w:r>
        <w:r w:rsidR="00101624" w:rsidRPr="006F07C8">
          <w:rPr>
            <w:rFonts w:ascii="Times New Roman" w:hAnsi="Times New Roman" w:cs="Times New Roman"/>
            <w:sz w:val="24"/>
            <w:szCs w:val="24"/>
            <w:lang w:val="it-IT"/>
          </w:rPr>
          <w:fldChar w:fldCharType="end"/>
        </w:r>
      </w:hyperlink>
      <w:r w:rsidR="00F22C55" w:rsidRPr="006F07C8">
        <w:rPr>
          <w:rFonts w:ascii="Times New Roman" w:hAnsi="Times New Roman" w:cs="Times New Roman"/>
          <w:sz w:val="24"/>
          <w:szCs w:val="24"/>
          <w:lang w:val="it-IT"/>
        </w:rPr>
        <w:t xml:space="preserve">) e che l’inglese è </w:t>
      </w:r>
      <w:r w:rsidR="0036000A" w:rsidRPr="006F07C8">
        <w:rPr>
          <w:rFonts w:ascii="Times New Roman" w:hAnsi="Times New Roman" w:cs="Times New Roman"/>
          <w:sz w:val="24"/>
          <w:szCs w:val="24"/>
          <w:lang w:val="it-IT"/>
        </w:rPr>
        <w:t>già</w:t>
      </w:r>
      <w:r w:rsidR="00F22C55" w:rsidRPr="006F07C8">
        <w:rPr>
          <w:rFonts w:ascii="Times New Roman" w:hAnsi="Times New Roman" w:cs="Times New Roman"/>
          <w:sz w:val="24"/>
          <w:szCs w:val="24"/>
          <w:lang w:val="it-IT"/>
        </w:rPr>
        <w:t xml:space="preserve"> usato come lingua predefinita per la redazione </w:t>
      </w:r>
      <w:r w:rsidR="00261205" w:rsidRPr="006F07C8">
        <w:rPr>
          <w:rFonts w:ascii="Times New Roman" w:hAnsi="Times New Roman" w:cs="Times New Roman"/>
          <w:sz w:val="24"/>
          <w:szCs w:val="24"/>
          <w:lang w:val="it-IT"/>
        </w:rPr>
        <w:t xml:space="preserve">delle bozze </w:t>
      </w:r>
      <w:r w:rsidR="00F22C55" w:rsidRPr="006F07C8">
        <w:rPr>
          <w:rFonts w:ascii="Times New Roman" w:hAnsi="Times New Roman" w:cs="Times New Roman"/>
          <w:sz w:val="24"/>
          <w:szCs w:val="24"/>
          <w:lang w:val="it-IT"/>
        </w:rPr>
        <w:t xml:space="preserve">di diversi documenti </w:t>
      </w:r>
      <w:r w:rsidR="00261205" w:rsidRPr="006F07C8">
        <w:rPr>
          <w:rFonts w:ascii="Times New Roman" w:hAnsi="Times New Roman" w:cs="Times New Roman"/>
          <w:sz w:val="24"/>
          <w:szCs w:val="24"/>
          <w:lang w:val="it-IT"/>
        </w:rPr>
        <w:t xml:space="preserve">successivamente tradotti e </w:t>
      </w:r>
      <w:r w:rsidR="00F22C55" w:rsidRPr="006F07C8">
        <w:rPr>
          <w:rFonts w:ascii="Times New Roman" w:hAnsi="Times New Roman" w:cs="Times New Roman"/>
          <w:sz w:val="24"/>
          <w:szCs w:val="24"/>
          <w:lang w:val="it-IT"/>
        </w:rPr>
        <w:t>pubblicati dalla Commis</w:t>
      </w:r>
      <w:r w:rsidR="0036000A" w:rsidRPr="006F07C8">
        <w:rPr>
          <w:rFonts w:ascii="Times New Roman" w:hAnsi="Times New Roman" w:cs="Times New Roman"/>
          <w:sz w:val="24"/>
          <w:szCs w:val="24"/>
          <w:lang w:val="it-IT"/>
        </w:rPr>
        <w:t>sione e da altri organi</w:t>
      </w:r>
      <w:r w:rsidR="00F22C55" w:rsidRPr="006F07C8">
        <w:rPr>
          <w:rFonts w:ascii="Times New Roman" w:hAnsi="Times New Roman" w:cs="Times New Roman"/>
          <w:sz w:val="24"/>
          <w:szCs w:val="24"/>
          <w:lang w:val="it-IT"/>
        </w:rPr>
        <w:t xml:space="preserve">. </w:t>
      </w:r>
      <w:r w:rsidR="00941280" w:rsidRPr="006F07C8">
        <w:rPr>
          <w:rFonts w:ascii="Times New Roman" w:hAnsi="Times New Roman" w:cs="Times New Roman"/>
          <w:sz w:val="24"/>
          <w:szCs w:val="24"/>
          <w:lang w:val="it-IT"/>
        </w:rPr>
        <w:t>Per altri autori, la soluzione ottimale è un regime linguistico che, seguendo Pool (</w:t>
      </w:r>
      <w:hyperlink w:anchor="_ENREF_64" w:tooltip="Pool, 1992 #551" w:history="1">
        <w:r w:rsidR="00101624" w:rsidRPr="006F07C8">
          <w:rPr>
            <w:rFonts w:ascii="Times New Roman" w:hAnsi="Times New Roman" w:cs="Times New Roman"/>
            <w:sz w:val="24"/>
            <w:szCs w:val="24"/>
            <w:lang w:val="it-IT"/>
          </w:rPr>
          <w:fldChar w:fldCharType="begin"/>
        </w:r>
        <w:r w:rsidR="00101624" w:rsidRPr="006F07C8">
          <w:rPr>
            <w:rFonts w:ascii="Times New Roman" w:hAnsi="Times New Roman" w:cs="Times New Roman"/>
            <w:sz w:val="24"/>
            <w:szCs w:val="24"/>
            <w:lang w:val="it-IT"/>
          </w:rPr>
          <w:instrText xml:space="preserve"> ADDIN EN.CITE &lt;EndNote&gt;&lt;Cite ExcludeAuth="1"&gt;&lt;Author&gt;Pool&lt;/Author&gt;&lt;Year&gt;1992&lt;/Year&gt;&lt;RecNum&gt;551&lt;/RecNum&gt;&lt;DisplayText&gt;1992&lt;/DisplayText&gt;&lt;record&gt;&lt;rec-number&gt;551&lt;/rec-number&gt;&lt;foreign-keys&gt;&lt;key app="EN" db-id="wvvszzd93a0z5wesdfpvdv9z5wrra5p05axp"&gt;551&lt;/key&gt;&lt;/foreign-keys&gt;&lt;ref-type name="Unpublished Work"&gt;34&lt;/ref-type&gt;&lt;contributors&gt;&lt;authors&gt;&lt;author&gt;Pool, Jonathan&lt;/author&gt;&lt;/authors&gt;&lt;/contributors&gt;&lt;titles&gt;&lt;title&gt;Multilingualism versus language policy: Alternative models for the EC&lt;/title&gt;&lt;secondary-title&gt;Language and Society Papers&lt;/secondary-title&gt;&lt;/titles&gt;&lt;number&gt;(LD20)&lt;/number&gt;&lt;dates&gt;&lt;year&gt;1992&lt;/year&gt;&lt;/dates&gt;&lt;pub-location&gt;Seattle&lt;/pub-location&gt;&lt;publisher&gt;University of Washington - Interdisciplinary Commitee on Language and Society&lt;/publisher&gt;&lt;urls&gt;&lt;related-urls&gt;&lt;url&gt;panlex.org/pubs/etc/ecmodels.pdf‎&lt;/url&gt;&lt;/related-urls&gt;&lt;/urls&gt;&lt;/record&gt;&lt;/Cite&gt;&lt;/EndNote&gt;</w:instrText>
        </w:r>
        <w:r w:rsidR="00101624" w:rsidRPr="006F07C8">
          <w:rPr>
            <w:rFonts w:ascii="Times New Roman" w:hAnsi="Times New Roman" w:cs="Times New Roman"/>
            <w:sz w:val="24"/>
            <w:szCs w:val="24"/>
            <w:lang w:val="it-IT"/>
          </w:rPr>
          <w:fldChar w:fldCharType="separate"/>
        </w:r>
        <w:r w:rsidR="00101624" w:rsidRPr="006F07C8">
          <w:rPr>
            <w:rFonts w:ascii="Times New Roman" w:hAnsi="Times New Roman" w:cs="Times New Roman"/>
            <w:noProof/>
            <w:sz w:val="24"/>
            <w:szCs w:val="24"/>
            <w:lang w:val="it-IT"/>
          </w:rPr>
          <w:t>1992</w:t>
        </w:r>
        <w:r w:rsidR="00101624" w:rsidRPr="006F07C8">
          <w:rPr>
            <w:rFonts w:ascii="Times New Roman" w:hAnsi="Times New Roman" w:cs="Times New Roman"/>
            <w:sz w:val="24"/>
            <w:szCs w:val="24"/>
            <w:lang w:val="it-IT"/>
          </w:rPr>
          <w:fldChar w:fldCharType="end"/>
        </w:r>
      </w:hyperlink>
      <w:r w:rsidR="00941280" w:rsidRPr="006F07C8">
        <w:rPr>
          <w:rFonts w:ascii="Times New Roman" w:hAnsi="Times New Roman" w:cs="Times New Roman"/>
          <w:sz w:val="24"/>
          <w:szCs w:val="24"/>
          <w:lang w:val="it-IT"/>
        </w:rPr>
        <w:t xml:space="preserve">), possiamo definire “oligarchico”, cioè un regime fondato su un ristretto numero di lingue. </w:t>
      </w:r>
      <w:r w:rsidR="00F22C55" w:rsidRPr="006F07C8">
        <w:rPr>
          <w:rFonts w:ascii="Times New Roman" w:hAnsi="Times New Roman" w:cs="Times New Roman"/>
          <w:sz w:val="24"/>
          <w:szCs w:val="24"/>
          <w:lang w:val="it-IT"/>
        </w:rPr>
        <w:t>Ginsburgh e Weber (</w:t>
      </w:r>
      <w:hyperlink w:anchor="_ENREF_34" w:tooltip="Ginsburgh, 2011 #793" w:history="1">
        <w:r w:rsidR="00101624" w:rsidRPr="006F07C8">
          <w:rPr>
            <w:rFonts w:ascii="Times New Roman" w:hAnsi="Times New Roman" w:cs="Times New Roman"/>
            <w:sz w:val="24"/>
            <w:szCs w:val="24"/>
            <w:lang w:val="it-IT"/>
          </w:rPr>
          <w:fldChar w:fldCharType="begin"/>
        </w:r>
        <w:r w:rsidR="00101624" w:rsidRPr="006F07C8">
          <w:rPr>
            <w:rFonts w:ascii="Times New Roman" w:hAnsi="Times New Roman" w:cs="Times New Roman"/>
            <w:sz w:val="24"/>
            <w:szCs w:val="24"/>
            <w:lang w:val="it-IT"/>
          </w:rPr>
          <w:instrText xml:space="preserve"> ADDIN EN.CITE &lt;EndNote&gt;&lt;Cite ExcludeAuth="1"&gt;&lt;Author&gt;Ginsburgh&lt;/Author&gt;&lt;Year&gt;2011&lt;/Year&gt;&lt;RecNum&gt;793&lt;/RecNum&gt;&lt;DisplayText&gt;2011&lt;/DisplayText&gt;&lt;record&gt;&lt;rec-number&gt;793&lt;/rec-number&gt;&lt;foreign-keys&gt;&lt;key app="EN" db-id="wvvszzd93a0z5wesdfpvdv9z5wrra5p05axp"&gt;793&lt;/key&gt;&lt;/foreign-keys&gt;&lt;ref-type name="Book"&gt;6&lt;/ref-type&gt;&lt;contributors&gt;&lt;authors&gt;&lt;author&gt;Ginsburgh, Victor&lt;/author&gt;&lt;author&gt;Weber, Shlomo&lt;/author&gt;&lt;/authors&gt;&lt;/contributors&gt;&lt;titles&gt;&lt;title&gt;How many languages do we need? The economics of linguistic diversity&lt;/title&gt;&lt;/titles&gt;&lt;dates&gt;&lt;year&gt;2011&lt;/year&gt;&lt;/dates&gt;&lt;pub-location&gt;Princeton&lt;/pub-location&gt;&lt;publisher&gt;Princeton University Press&lt;/publisher&gt;&lt;urls&gt;&lt;/urls&gt;&lt;/record&gt;&lt;/Cite&gt;&lt;/EndNote&gt;</w:instrText>
        </w:r>
        <w:r w:rsidR="00101624" w:rsidRPr="006F07C8">
          <w:rPr>
            <w:rFonts w:ascii="Times New Roman" w:hAnsi="Times New Roman" w:cs="Times New Roman"/>
            <w:sz w:val="24"/>
            <w:szCs w:val="24"/>
            <w:lang w:val="it-IT"/>
          </w:rPr>
          <w:fldChar w:fldCharType="separate"/>
        </w:r>
        <w:r w:rsidR="00101624" w:rsidRPr="006F07C8">
          <w:rPr>
            <w:rFonts w:ascii="Times New Roman" w:hAnsi="Times New Roman" w:cs="Times New Roman"/>
            <w:noProof/>
            <w:sz w:val="24"/>
            <w:szCs w:val="24"/>
            <w:lang w:val="it-IT"/>
          </w:rPr>
          <w:t>2011</w:t>
        </w:r>
        <w:r w:rsidR="00101624" w:rsidRPr="006F07C8">
          <w:rPr>
            <w:rFonts w:ascii="Times New Roman" w:hAnsi="Times New Roman" w:cs="Times New Roman"/>
            <w:sz w:val="24"/>
            <w:szCs w:val="24"/>
            <w:lang w:val="it-IT"/>
          </w:rPr>
          <w:fldChar w:fldCharType="end"/>
        </w:r>
      </w:hyperlink>
      <w:r w:rsidR="00F22C55" w:rsidRPr="006F07C8">
        <w:rPr>
          <w:rFonts w:ascii="Times New Roman" w:hAnsi="Times New Roman" w:cs="Times New Roman"/>
          <w:sz w:val="24"/>
          <w:szCs w:val="24"/>
          <w:lang w:val="it-IT"/>
        </w:rPr>
        <w:t>), per esempio, propongono di convergere verso un regime a sei lingue (francese, inglese, italiano, polacco, spagnolo e tedesco), mentre</w:t>
      </w:r>
      <w:r w:rsidR="005616BE" w:rsidRPr="006F07C8">
        <w:rPr>
          <w:rFonts w:ascii="Times New Roman" w:hAnsi="Times New Roman" w:cs="Times New Roman"/>
          <w:sz w:val="24"/>
          <w:szCs w:val="24"/>
          <w:lang w:val="it-IT"/>
        </w:rPr>
        <w:t>,</w:t>
      </w:r>
      <w:r w:rsidR="00F22C55" w:rsidRPr="006F07C8">
        <w:rPr>
          <w:rFonts w:ascii="Times New Roman" w:hAnsi="Times New Roman" w:cs="Times New Roman"/>
          <w:sz w:val="24"/>
          <w:szCs w:val="24"/>
          <w:lang w:val="it-IT"/>
        </w:rPr>
        <w:t xml:space="preserve"> </w:t>
      </w:r>
      <w:r w:rsidR="005831F2" w:rsidRPr="006F07C8">
        <w:rPr>
          <w:rFonts w:ascii="Times New Roman" w:hAnsi="Times New Roman" w:cs="Times New Roman"/>
          <w:sz w:val="24"/>
          <w:szCs w:val="24"/>
          <w:lang w:val="it-IT"/>
        </w:rPr>
        <w:t>come si è visto</w:t>
      </w:r>
      <w:r w:rsidR="005616BE" w:rsidRPr="006F07C8">
        <w:rPr>
          <w:rFonts w:ascii="Times New Roman" w:hAnsi="Times New Roman" w:cs="Times New Roman"/>
          <w:sz w:val="24"/>
          <w:szCs w:val="24"/>
          <w:lang w:val="it-IT"/>
        </w:rPr>
        <w:t>,</w:t>
      </w:r>
      <w:r w:rsidR="005831F2" w:rsidRPr="006F07C8">
        <w:rPr>
          <w:rFonts w:ascii="Times New Roman" w:hAnsi="Times New Roman" w:cs="Times New Roman"/>
          <w:sz w:val="24"/>
          <w:szCs w:val="24"/>
          <w:lang w:val="it-IT"/>
        </w:rPr>
        <w:t xml:space="preserve"> </w:t>
      </w:r>
      <w:r w:rsidR="00F22C55" w:rsidRPr="006F07C8">
        <w:rPr>
          <w:rFonts w:ascii="Times New Roman" w:hAnsi="Times New Roman" w:cs="Times New Roman"/>
          <w:sz w:val="24"/>
          <w:szCs w:val="24"/>
          <w:lang w:val="it-IT"/>
        </w:rPr>
        <w:t xml:space="preserve">nella prassi della vita istituzionale europea in molti casi si è </w:t>
      </w:r>
      <w:r w:rsidR="00941280" w:rsidRPr="006F07C8">
        <w:rPr>
          <w:rFonts w:ascii="Times New Roman" w:hAnsi="Times New Roman" w:cs="Times New Roman"/>
          <w:sz w:val="24"/>
          <w:szCs w:val="24"/>
          <w:lang w:val="it-IT"/>
        </w:rPr>
        <w:t xml:space="preserve">già </w:t>
      </w:r>
      <w:r w:rsidR="00F22C55" w:rsidRPr="006F07C8">
        <w:rPr>
          <w:rFonts w:ascii="Times New Roman" w:hAnsi="Times New Roman" w:cs="Times New Roman"/>
          <w:sz w:val="24"/>
          <w:szCs w:val="24"/>
          <w:lang w:val="it-IT"/>
        </w:rPr>
        <w:t xml:space="preserve">optato </w:t>
      </w:r>
      <w:r w:rsidR="00F22C55" w:rsidRPr="006F07C8">
        <w:rPr>
          <w:rFonts w:ascii="Times New Roman" w:hAnsi="Times New Roman" w:cs="Times New Roman"/>
          <w:i/>
          <w:sz w:val="24"/>
          <w:szCs w:val="24"/>
          <w:lang w:val="it-IT"/>
        </w:rPr>
        <w:t>de facto</w:t>
      </w:r>
      <w:r w:rsidR="00F22C55" w:rsidRPr="006F07C8">
        <w:rPr>
          <w:rFonts w:ascii="Times New Roman" w:hAnsi="Times New Roman" w:cs="Times New Roman"/>
          <w:sz w:val="24"/>
          <w:szCs w:val="24"/>
          <w:lang w:val="it-IT"/>
        </w:rPr>
        <w:t xml:space="preserve"> per un regime linguistico oligarchico fondato su </w:t>
      </w:r>
      <w:r w:rsidR="00941280" w:rsidRPr="006F07C8">
        <w:rPr>
          <w:rFonts w:ascii="Times New Roman" w:hAnsi="Times New Roman" w:cs="Times New Roman"/>
          <w:sz w:val="24"/>
          <w:szCs w:val="24"/>
          <w:lang w:val="it-IT"/>
        </w:rPr>
        <w:t>tre lingue: francese, inglese e tedesco.</w:t>
      </w:r>
    </w:p>
    <w:p w:rsidR="004D15DD" w:rsidRPr="006F07C8" w:rsidRDefault="00DF142A" w:rsidP="002F52A9">
      <w:pPr>
        <w:spacing w:line="240" w:lineRule="auto"/>
        <w:jc w:val="both"/>
        <w:rPr>
          <w:rFonts w:ascii="Times New Roman" w:hAnsi="Times New Roman" w:cs="Times New Roman"/>
          <w:sz w:val="24"/>
          <w:szCs w:val="24"/>
          <w:lang w:val="it-IT"/>
        </w:rPr>
      </w:pPr>
      <w:r w:rsidRPr="006F07C8">
        <w:rPr>
          <w:rFonts w:ascii="Times New Roman" w:hAnsi="Times New Roman" w:cs="Times New Roman"/>
          <w:sz w:val="24"/>
          <w:szCs w:val="24"/>
          <w:lang w:val="it-IT"/>
        </w:rPr>
        <w:t>Come già mostrato altrove (</w:t>
      </w:r>
      <w:hyperlink w:anchor="_ENREF_65" w:tooltip="Pool, 1996 #64" w:history="1">
        <w:r w:rsidR="00101624" w:rsidRPr="006F07C8">
          <w:rPr>
            <w:rFonts w:ascii="Times New Roman" w:hAnsi="Times New Roman" w:cs="Times New Roman"/>
            <w:sz w:val="24"/>
            <w:szCs w:val="24"/>
            <w:lang w:val="it-IT"/>
          </w:rPr>
          <w:fldChar w:fldCharType="begin"/>
        </w:r>
        <w:r w:rsidR="00101624" w:rsidRPr="006F07C8">
          <w:rPr>
            <w:rFonts w:ascii="Times New Roman" w:hAnsi="Times New Roman" w:cs="Times New Roman"/>
            <w:sz w:val="24"/>
            <w:szCs w:val="24"/>
            <w:lang w:val="it-IT"/>
          </w:rPr>
          <w:instrText xml:space="preserve"> ADDIN EN.CITE &lt;EndNote&gt;&lt;Cite&gt;&lt;Author&gt;Pool&lt;/Author&gt;&lt;Year&gt;1996&lt;/Year&gt;&lt;RecNum&gt;64&lt;/RecNum&gt;&lt;DisplayText&gt;Pool 1996&lt;/DisplayText&gt;&lt;record&gt;&lt;rec-number&gt;64&lt;/rec-number&gt;&lt;foreign-keys&gt;&lt;key app="EN" db-id="wvvszzd93a0z5wesdfpvdv9z5wrra5p05axp"&gt;64&lt;/key&gt;&lt;/foreign-keys&gt;&lt;ref-type name="Journal Article"&gt;17&lt;/ref-type&gt;&lt;contributors&gt;&lt;authors&gt;&lt;author&gt;Pool, Jonathan&lt;/author&gt;&lt;/authors&gt;&lt;/contributors&gt;&lt;titles&gt;&lt;title&gt;Optimal language regimes for the European Union&lt;/title&gt;&lt;secondary-title&gt;International Journal of the Sociology of Language&lt;/secondary-title&gt;&lt;/titles&gt;&lt;periodical&gt;&lt;full-title&gt;International Journal of the Sociology of Language&lt;/full-title&gt;&lt;/periodical&gt;&lt;pages&gt;159 - 179&lt;/pages&gt;&lt;volume&gt;121&lt;/volume&gt;&lt;dates&gt;&lt;year&gt;1996&lt;/year&gt;&lt;/dates&gt;&lt;urls&gt;&lt;/urls&gt;&lt;/record&gt;&lt;/Cite&gt;&lt;/EndNote&gt;</w:instrText>
        </w:r>
        <w:r w:rsidR="00101624" w:rsidRPr="006F07C8">
          <w:rPr>
            <w:rFonts w:ascii="Times New Roman" w:hAnsi="Times New Roman" w:cs="Times New Roman"/>
            <w:sz w:val="24"/>
            <w:szCs w:val="24"/>
            <w:lang w:val="it-IT"/>
          </w:rPr>
          <w:fldChar w:fldCharType="separate"/>
        </w:r>
        <w:r w:rsidR="00101624" w:rsidRPr="006F07C8">
          <w:rPr>
            <w:rFonts w:ascii="Times New Roman" w:hAnsi="Times New Roman" w:cs="Times New Roman"/>
            <w:noProof/>
            <w:sz w:val="24"/>
            <w:szCs w:val="24"/>
            <w:lang w:val="it-IT"/>
          </w:rPr>
          <w:t>Pool 1996</w:t>
        </w:r>
        <w:r w:rsidR="00101624" w:rsidRPr="006F07C8">
          <w:rPr>
            <w:rFonts w:ascii="Times New Roman" w:hAnsi="Times New Roman" w:cs="Times New Roman"/>
            <w:sz w:val="24"/>
            <w:szCs w:val="24"/>
            <w:lang w:val="it-IT"/>
          </w:rPr>
          <w:fldChar w:fldCharType="end"/>
        </w:r>
      </w:hyperlink>
      <w:r w:rsidR="00665015" w:rsidRPr="006F07C8">
        <w:rPr>
          <w:rFonts w:ascii="Times New Roman" w:hAnsi="Times New Roman" w:cs="Times New Roman"/>
          <w:sz w:val="24"/>
          <w:szCs w:val="24"/>
          <w:lang w:val="it-IT"/>
        </w:rPr>
        <w:t xml:space="preserve"> e</w:t>
      </w:r>
      <w:r w:rsidRPr="006F07C8">
        <w:rPr>
          <w:rFonts w:ascii="Times New Roman" w:hAnsi="Times New Roman" w:cs="Times New Roman"/>
          <w:sz w:val="24"/>
          <w:szCs w:val="24"/>
          <w:lang w:val="it-IT"/>
        </w:rPr>
        <w:t xml:space="preserve"> </w:t>
      </w:r>
      <w:hyperlink w:anchor="_ENREF_39" w:tooltip="Grin, 2004 #86" w:history="1">
        <w:r w:rsidR="00101624" w:rsidRPr="006F07C8">
          <w:rPr>
            <w:rFonts w:ascii="Times New Roman" w:hAnsi="Times New Roman" w:cs="Times New Roman"/>
            <w:sz w:val="24"/>
            <w:szCs w:val="24"/>
            <w:lang w:val="it-IT"/>
          </w:rPr>
          <w:fldChar w:fldCharType="begin"/>
        </w:r>
        <w:r w:rsidR="00101624" w:rsidRPr="006F07C8">
          <w:rPr>
            <w:rFonts w:ascii="Times New Roman" w:hAnsi="Times New Roman" w:cs="Times New Roman"/>
            <w:sz w:val="24"/>
            <w:szCs w:val="24"/>
            <w:lang w:val="it-IT"/>
          </w:rPr>
          <w:instrText xml:space="preserve"> ADDIN EN.CITE &lt;EndNote&gt;&lt;Cite&gt;&lt;Author&gt;Grin&lt;/Author&gt;&lt;Year&gt;2004&lt;/Year&gt;&lt;RecNum&gt;86&lt;/RecNum&gt;&lt;DisplayText&gt;Grin 2004b&lt;/DisplayText&gt;&lt;record&gt;&lt;rec-number&gt;86&lt;/rec-number&gt;&lt;foreign-keys&gt;&lt;key app="EN" db-id="wvvszzd93a0z5wesdfpvdv9z5wrra5p05axp"&gt;86&lt;/key&gt;&lt;/foreign-keys&gt;&lt;ref-type name="Journal Article"&gt;17&lt;/ref-type&gt;&lt;contributors&gt;&lt;authors&gt;&lt;author&gt;Grin, François&lt;/author&gt;&lt;/authors&gt;&lt;/contributors&gt;&lt;titles&gt;&lt;title&gt;L&amp;apos;élargissement de l&amp;apos;Union européenne: questions de coût et justice linguistique&lt;/title&gt;&lt;secondary-title&gt;Panoramiques&lt;/secondary-title&gt;&lt;/titles&gt;&lt;pages&gt;97-104&lt;/pages&gt;&lt;volume&gt;69&lt;/volume&gt;&lt;dates&gt;&lt;year&gt;2004&lt;/year&gt;&lt;/dates&gt;&lt;urls&gt;&lt;/urls&gt;&lt;/record&gt;&lt;/Cite&gt;&lt;/EndNote&gt;</w:instrText>
        </w:r>
        <w:r w:rsidR="00101624" w:rsidRPr="006F07C8">
          <w:rPr>
            <w:rFonts w:ascii="Times New Roman" w:hAnsi="Times New Roman" w:cs="Times New Roman"/>
            <w:sz w:val="24"/>
            <w:szCs w:val="24"/>
            <w:lang w:val="it-IT"/>
          </w:rPr>
          <w:fldChar w:fldCharType="separate"/>
        </w:r>
        <w:r w:rsidR="00101624" w:rsidRPr="006F07C8">
          <w:rPr>
            <w:rFonts w:ascii="Times New Roman" w:hAnsi="Times New Roman" w:cs="Times New Roman"/>
            <w:noProof/>
            <w:sz w:val="24"/>
            <w:szCs w:val="24"/>
            <w:lang w:val="it-IT"/>
          </w:rPr>
          <w:t>Grin 2004b</w:t>
        </w:r>
        <w:r w:rsidR="00101624" w:rsidRPr="006F07C8">
          <w:rPr>
            <w:rFonts w:ascii="Times New Roman" w:hAnsi="Times New Roman" w:cs="Times New Roman"/>
            <w:sz w:val="24"/>
            <w:szCs w:val="24"/>
            <w:lang w:val="it-IT"/>
          </w:rPr>
          <w:fldChar w:fldCharType="end"/>
        </w:r>
      </w:hyperlink>
      <w:r w:rsidRPr="006F07C8">
        <w:rPr>
          <w:rFonts w:ascii="Times New Roman" w:hAnsi="Times New Roman" w:cs="Times New Roman"/>
          <w:sz w:val="24"/>
          <w:szCs w:val="24"/>
          <w:lang w:val="it-IT"/>
        </w:rPr>
        <w:t xml:space="preserve">), non esistono soluzioni ideali od ovvie, perché </w:t>
      </w:r>
      <w:r w:rsidR="00340690" w:rsidRPr="006F07C8">
        <w:rPr>
          <w:rFonts w:ascii="Times New Roman" w:hAnsi="Times New Roman" w:cs="Times New Roman"/>
          <w:sz w:val="24"/>
          <w:szCs w:val="24"/>
          <w:lang w:val="it-IT"/>
        </w:rPr>
        <w:t xml:space="preserve">un regime linguistico non è mai ottimale </w:t>
      </w:r>
      <w:r w:rsidR="00B7260A" w:rsidRPr="006F07C8">
        <w:rPr>
          <w:rFonts w:ascii="Times New Roman" w:hAnsi="Times New Roman" w:cs="Times New Roman"/>
          <w:sz w:val="24"/>
          <w:szCs w:val="24"/>
          <w:lang w:val="it-IT"/>
        </w:rPr>
        <w:t xml:space="preserve">in </w:t>
      </w:r>
      <w:r w:rsidR="00340690" w:rsidRPr="006F07C8">
        <w:rPr>
          <w:rFonts w:ascii="Times New Roman" w:hAnsi="Times New Roman" w:cs="Times New Roman"/>
          <w:sz w:val="24"/>
          <w:szCs w:val="24"/>
          <w:lang w:val="it-IT"/>
        </w:rPr>
        <w:t xml:space="preserve">assoluto ma sempre in relazione a un determinato insieme di criteri e parametri. </w:t>
      </w:r>
      <w:r w:rsidR="00C93946" w:rsidRPr="006F07C8">
        <w:rPr>
          <w:rFonts w:ascii="Times New Roman" w:hAnsi="Times New Roman" w:cs="Times New Roman"/>
          <w:sz w:val="24"/>
          <w:szCs w:val="24"/>
          <w:lang w:val="it-IT"/>
        </w:rPr>
        <w:t xml:space="preserve">Nelle prossime sezioni </w:t>
      </w:r>
      <w:r w:rsidR="00463385" w:rsidRPr="006F07C8">
        <w:rPr>
          <w:rFonts w:ascii="Times New Roman" w:hAnsi="Times New Roman" w:cs="Times New Roman"/>
          <w:sz w:val="24"/>
          <w:szCs w:val="24"/>
          <w:lang w:val="it-IT"/>
        </w:rPr>
        <w:t xml:space="preserve">si </w:t>
      </w:r>
      <w:r w:rsidR="00511343" w:rsidRPr="006F07C8">
        <w:rPr>
          <w:rFonts w:ascii="Times New Roman" w:hAnsi="Times New Roman" w:cs="Times New Roman"/>
          <w:sz w:val="24"/>
          <w:szCs w:val="24"/>
          <w:lang w:val="it-IT"/>
        </w:rPr>
        <w:t>confron</w:t>
      </w:r>
      <w:r w:rsidR="00463385" w:rsidRPr="006F07C8">
        <w:rPr>
          <w:rFonts w:ascii="Times New Roman" w:hAnsi="Times New Roman" w:cs="Times New Roman"/>
          <w:sz w:val="24"/>
          <w:szCs w:val="24"/>
          <w:lang w:val="it-IT"/>
        </w:rPr>
        <w:t>t</w:t>
      </w:r>
      <w:r w:rsidR="00261205" w:rsidRPr="006F07C8">
        <w:rPr>
          <w:rFonts w:ascii="Times New Roman" w:hAnsi="Times New Roman" w:cs="Times New Roman"/>
          <w:sz w:val="24"/>
          <w:szCs w:val="24"/>
          <w:lang w:val="it-IT"/>
        </w:rPr>
        <w:t>eranno</w:t>
      </w:r>
      <w:r w:rsidR="00C93946" w:rsidRPr="006F07C8">
        <w:rPr>
          <w:rFonts w:ascii="Times New Roman" w:hAnsi="Times New Roman" w:cs="Times New Roman"/>
          <w:sz w:val="24"/>
          <w:szCs w:val="24"/>
          <w:lang w:val="it-IT"/>
        </w:rPr>
        <w:t xml:space="preserve"> diversi re</w:t>
      </w:r>
      <w:r w:rsidR="00C93946" w:rsidRPr="006F07C8">
        <w:rPr>
          <w:rFonts w:ascii="Times New Roman" w:hAnsi="Times New Roman" w:cs="Times New Roman"/>
          <w:sz w:val="24"/>
          <w:szCs w:val="24"/>
          <w:lang w:val="it-IT"/>
        </w:rPr>
        <w:lastRenderedPageBreak/>
        <w:t xml:space="preserve">gimi linguistici alla luce </w:t>
      </w:r>
      <w:r w:rsidR="000E2F81" w:rsidRPr="006F07C8">
        <w:rPr>
          <w:rFonts w:ascii="Times New Roman" w:hAnsi="Times New Roman" w:cs="Times New Roman"/>
          <w:sz w:val="24"/>
          <w:szCs w:val="24"/>
          <w:lang w:val="it-IT"/>
        </w:rPr>
        <w:t>d</w:t>
      </w:r>
      <w:r w:rsidR="00B57261" w:rsidRPr="006F07C8">
        <w:rPr>
          <w:rFonts w:ascii="Times New Roman" w:hAnsi="Times New Roman" w:cs="Times New Roman"/>
          <w:sz w:val="24"/>
          <w:szCs w:val="24"/>
          <w:lang w:val="it-IT"/>
        </w:rPr>
        <w:t xml:space="preserve">i due criteri standard nell’analisi delle politiche pubbliche, cioè </w:t>
      </w:r>
      <w:r w:rsidR="00C93946" w:rsidRPr="006F07C8">
        <w:rPr>
          <w:rFonts w:ascii="Times New Roman" w:hAnsi="Times New Roman" w:cs="Times New Roman"/>
          <w:sz w:val="24"/>
          <w:szCs w:val="24"/>
          <w:lang w:val="it-IT"/>
        </w:rPr>
        <w:t>l’efficacia</w:t>
      </w:r>
      <w:r w:rsidR="000E2F81" w:rsidRPr="006F07C8">
        <w:rPr>
          <w:rFonts w:ascii="Times New Roman" w:hAnsi="Times New Roman" w:cs="Times New Roman"/>
          <w:sz w:val="24"/>
          <w:szCs w:val="24"/>
          <w:lang w:val="it-IT"/>
        </w:rPr>
        <w:t xml:space="preserve"> e l’equità</w:t>
      </w:r>
      <w:r w:rsidR="00463385" w:rsidRPr="006F07C8">
        <w:rPr>
          <w:rFonts w:ascii="Times New Roman" w:hAnsi="Times New Roman" w:cs="Times New Roman"/>
          <w:sz w:val="24"/>
          <w:szCs w:val="24"/>
          <w:lang w:val="it-IT"/>
        </w:rPr>
        <w:t>. In un primo momento si stabiliscono degli indicatori per</w:t>
      </w:r>
      <w:r w:rsidR="003477A2" w:rsidRPr="006F07C8">
        <w:rPr>
          <w:rFonts w:ascii="Times New Roman" w:hAnsi="Times New Roman" w:cs="Times New Roman"/>
          <w:sz w:val="24"/>
          <w:szCs w:val="24"/>
          <w:lang w:val="it-IT"/>
        </w:rPr>
        <w:t xml:space="preserve"> caratterizzare e qualificare</w:t>
      </w:r>
      <w:r w:rsidR="00463385" w:rsidRPr="006F07C8">
        <w:rPr>
          <w:rFonts w:ascii="Times New Roman" w:hAnsi="Times New Roman" w:cs="Times New Roman"/>
          <w:sz w:val="24"/>
          <w:szCs w:val="24"/>
          <w:lang w:val="it-IT"/>
        </w:rPr>
        <w:t xml:space="preserve"> tali criteri</w:t>
      </w:r>
      <w:r w:rsidR="00182F1D" w:rsidRPr="006F07C8">
        <w:rPr>
          <w:rFonts w:ascii="Times New Roman" w:hAnsi="Times New Roman" w:cs="Times New Roman"/>
          <w:sz w:val="24"/>
          <w:szCs w:val="24"/>
          <w:lang w:val="it-IT"/>
        </w:rPr>
        <w:t xml:space="preserve">. Successivamente </w:t>
      </w:r>
      <w:r w:rsidR="003477A2" w:rsidRPr="006F07C8">
        <w:rPr>
          <w:rFonts w:ascii="Times New Roman" w:hAnsi="Times New Roman" w:cs="Times New Roman"/>
          <w:sz w:val="24"/>
          <w:szCs w:val="24"/>
          <w:lang w:val="it-IT"/>
        </w:rPr>
        <w:t xml:space="preserve">si procede </w:t>
      </w:r>
      <w:r w:rsidR="00463385" w:rsidRPr="006F07C8">
        <w:rPr>
          <w:rFonts w:ascii="Times New Roman" w:hAnsi="Times New Roman" w:cs="Times New Roman"/>
          <w:sz w:val="24"/>
          <w:szCs w:val="24"/>
          <w:lang w:val="it-IT"/>
        </w:rPr>
        <w:t xml:space="preserve">ad una analisi empirica </w:t>
      </w:r>
      <w:r w:rsidR="003477A2" w:rsidRPr="006F07C8">
        <w:rPr>
          <w:rFonts w:ascii="Times New Roman" w:hAnsi="Times New Roman" w:cs="Times New Roman"/>
          <w:sz w:val="24"/>
          <w:szCs w:val="24"/>
          <w:lang w:val="it-IT"/>
        </w:rPr>
        <w:t xml:space="preserve">dei dati necessari alla </w:t>
      </w:r>
      <w:r w:rsidR="0036000A" w:rsidRPr="006F07C8">
        <w:rPr>
          <w:rFonts w:ascii="Times New Roman" w:hAnsi="Times New Roman" w:cs="Times New Roman"/>
          <w:sz w:val="24"/>
          <w:szCs w:val="24"/>
          <w:lang w:val="it-IT"/>
        </w:rPr>
        <w:t xml:space="preserve">loro </w:t>
      </w:r>
      <w:r w:rsidR="003477A2" w:rsidRPr="006F07C8">
        <w:rPr>
          <w:rFonts w:ascii="Times New Roman" w:hAnsi="Times New Roman" w:cs="Times New Roman"/>
          <w:sz w:val="24"/>
          <w:szCs w:val="24"/>
          <w:lang w:val="it-IT"/>
        </w:rPr>
        <w:t xml:space="preserve">misurazione. A tal fine si </w:t>
      </w:r>
      <w:r w:rsidR="00C93946" w:rsidRPr="006F07C8">
        <w:rPr>
          <w:rFonts w:ascii="Times New Roman" w:hAnsi="Times New Roman" w:cs="Times New Roman"/>
          <w:sz w:val="24"/>
          <w:szCs w:val="24"/>
          <w:lang w:val="it-IT"/>
        </w:rPr>
        <w:t>utilizza una delle basi di dati più complete che siano oggi a disposizione</w:t>
      </w:r>
      <w:r w:rsidR="00463385" w:rsidRPr="006F07C8">
        <w:rPr>
          <w:rFonts w:ascii="Times New Roman" w:hAnsi="Times New Roman" w:cs="Times New Roman"/>
          <w:sz w:val="24"/>
          <w:szCs w:val="24"/>
          <w:lang w:val="it-IT"/>
        </w:rPr>
        <w:t>, vale a dire</w:t>
      </w:r>
      <w:r w:rsidR="00C93946" w:rsidRPr="006F07C8">
        <w:rPr>
          <w:rFonts w:ascii="Times New Roman" w:hAnsi="Times New Roman" w:cs="Times New Roman"/>
          <w:sz w:val="24"/>
          <w:szCs w:val="24"/>
          <w:lang w:val="it-IT"/>
        </w:rPr>
        <w:t xml:space="preserve"> l’In</w:t>
      </w:r>
      <w:r w:rsidR="00EE3DDA" w:rsidRPr="006F07C8">
        <w:rPr>
          <w:rFonts w:ascii="Times New Roman" w:hAnsi="Times New Roman" w:cs="Times New Roman"/>
          <w:sz w:val="24"/>
          <w:szCs w:val="24"/>
          <w:lang w:val="it-IT"/>
        </w:rPr>
        <w:t xml:space="preserve">dagine </w:t>
      </w:r>
      <w:r w:rsidR="00C93946" w:rsidRPr="006F07C8">
        <w:rPr>
          <w:rFonts w:ascii="Times New Roman" w:hAnsi="Times New Roman" w:cs="Times New Roman"/>
          <w:sz w:val="24"/>
          <w:szCs w:val="24"/>
          <w:lang w:val="it-IT"/>
        </w:rPr>
        <w:t>sull’</w:t>
      </w:r>
      <w:r w:rsidR="00B57261" w:rsidRPr="006F07C8">
        <w:rPr>
          <w:rFonts w:ascii="Times New Roman" w:hAnsi="Times New Roman" w:cs="Times New Roman"/>
          <w:sz w:val="24"/>
          <w:szCs w:val="24"/>
          <w:lang w:val="it-IT"/>
        </w:rPr>
        <w:t>e</w:t>
      </w:r>
      <w:r w:rsidR="00C93946" w:rsidRPr="006F07C8">
        <w:rPr>
          <w:rFonts w:ascii="Times New Roman" w:hAnsi="Times New Roman" w:cs="Times New Roman"/>
          <w:sz w:val="24"/>
          <w:szCs w:val="24"/>
          <w:lang w:val="it-IT"/>
        </w:rPr>
        <w:t xml:space="preserve">ducazione degli </w:t>
      </w:r>
      <w:r w:rsidR="00B57261" w:rsidRPr="006F07C8">
        <w:rPr>
          <w:rFonts w:ascii="Times New Roman" w:hAnsi="Times New Roman" w:cs="Times New Roman"/>
          <w:sz w:val="24"/>
          <w:szCs w:val="24"/>
          <w:lang w:val="it-IT"/>
        </w:rPr>
        <w:t>a</w:t>
      </w:r>
      <w:r w:rsidR="00C93946" w:rsidRPr="006F07C8">
        <w:rPr>
          <w:rFonts w:ascii="Times New Roman" w:hAnsi="Times New Roman" w:cs="Times New Roman"/>
          <w:sz w:val="24"/>
          <w:szCs w:val="24"/>
          <w:lang w:val="it-IT"/>
        </w:rPr>
        <w:t>dulti (</w:t>
      </w:r>
      <w:r w:rsidR="00136937" w:rsidRPr="006F07C8">
        <w:rPr>
          <w:rFonts w:ascii="Times New Roman" w:hAnsi="Times New Roman" w:cs="Times New Roman"/>
          <w:sz w:val="24"/>
          <w:szCs w:val="24"/>
          <w:lang w:val="it-IT"/>
        </w:rPr>
        <w:t>IEA</w:t>
      </w:r>
      <w:r w:rsidR="00C93946" w:rsidRPr="006F07C8">
        <w:rPr>
          <w:rFonts w:ascii="Times New Roman" w:hAnsi="Times New Roman" w:cs="Times New Roman"/>
          <w:sz w:val="24"/>
          <w:szCs w:val="24"/>
          <w:lang w:val="it-IT"/>
        </w:rPr>
        <w:t>)</w:t>
      </w:r>
      <w:r w:rsidR="00511343" w:rsidRPr="006F07C8">
        <w:rPr>
          <w:rFonts w:ascii="Times New Roman" w:hAnsi="Times New Roman" w:cs="Times New Roman"/>
          <w:sz w:val="24"/>
          <w:szCs w:val="24"/>
          <w:lang w:val="it-IT"/>
        </w:rPr>
        <w:t>.</w:t>
      </w:r>
      <w:r w:rsidR="00463385" w:rsidRPr="006F07C8">
        <w:rPr>
          <w:rFonts w:ascii="Times New Roman" w:hAnsi="Times New Roman" w:cs="Times New Roman"/>
          <w:sz w:val="24"/>
          <w:szCs w:val="24"/>
          <w:lang w:val="it-IT"/>
        </w:rPr>
        <w:t xml:space="preserve"> </w:t>
      </w:r>
      <w:r w:rsidR="003477A2" w:rsidRPr="006F07C8">
        <w:rPr>
          <w:rFonts w:ascii="Times New Roman" w:hAnsi="Times New Roman" w:cs="Times New Roman"/>
          <w:sz w:val="24"/>
          <w:szCs w:val="24"/>
          <w:lang w:val="it-IT"/>
        </w:rPr>
        <w:t>L’esito di</w:t>
      </w:r>
      <w:r w:rsidR="00463385" w:rsidRPr="006F07C8">
        <w:rPr>
          <w:rFonts w:ascii="Times New Roman" w:hAnsi="Times New Roman" w:cs="Times New Roman"/>
          <w:sz w:val="24"/>
          <w:szCs w:val="24"/>
          <w:lang w:val="it-IT"/>
        </w:rPr>
        <w:t xml:space="preserve"> un’analisi così strutturata è un giudizio </w:t>
      </w:r>
      <w:r w:rsidR="003477A2" w:rsidRPr="006F07C8">
        <w:rPr>
          <w:rFonts w:ascii="Times New Roman" w:hAnsi="Times New Roman" w:cs="Times New Roman"/>
          <w:sz w:val="24"/>
          <w:szCs w:val="24"/>
          <w:lang w:val="it-IT"/>
        </w:rPr>
        <w:t xml:space="preserve">ponderato </w:t>
      </w:r>
      <w:r w:rsidR="00463385" w:rsidRPr="006F07C8">
        <w:rPr>
          <w:rFonts w:ascii="Times New Roman" w:hAnsi="Times New Roman" w:cs="Times New Roman"/>
          <w:sz w:val="24"/>
          <w:szCs w:val="24"/>
          <w:lang w:val="it-IT"/>
        </w:rPr>
        <w:t>sull’attuale regime linguistico della UE.</w:t>
      </w:r>
    </w:p>
    <w:p w:rsidR="00852534" w:rsidRPr="006F07C8" w:rsidRDefault="00EE3DDA" w:rsidP="002F52A9">
      <w:pPr>
        <w:pStyle w:val="Heading2"/>
        <w:numPr>
          <w:ilvl w:val="0"/>
          <w:numId w:val="12"/>
        </w:numPr>
        <w:spacing w:line="240" w:lineRule="auto"/>
        <w:rPr>
          <w:rFonts w:ascii="Times New Roman" w:hAnsi="Times New Roman" w:cs="Times New Roman"/>
          <w:lang w:val="it-IT"/>
        </w:rPr>
      </w:pPr>
      <w:bookmarkStart w:id="5" w:name="_Toc384652922"/>
      <w:r w:rsidRPr="006F07C8">
        <w:rPr>
          <w:rFonts w:ascii="Times New Roman" w:hAnsi="Times New Roman" w:cs="Times New Roman"/>
          <w:lang w:val="it-IT"/>
        </w:rPr>
        <w:t>Dati e m</w:t>
      </w:r>
      <w:r w:rsidR="000B1775" w:rsidRPr="006F07C8">
        <w:rPr>
          <w:rFonts w:ascii="Times New Roman" w:hAnsi="Times New Roman" w:cs="Times New Roman"/>
          <w:lang w:val="it-IT"/>
        </w:rPr>
        <w:t>etodologia</w:t>
      </w:r>
      <w:r w:rsidR="00384C5F" w:rsidRPr="006F07C8">
        <w:rPr>
          <w:rFonts w:ascii="Times New Roman" w:hAnsi="Times New Roman" w:cs="Times New Roman"/>
          <w:lang w:val="it-IT"/>
        </w:rPr>
        <w:t xml:space="preserve"> di analisi</w:t>
      </w:r>
      <w:bookmarkEnd w:id="5"/>
    </w:p>
    <w:p w:rsidR="00EE3DDA" w:rsidRPr="006F07C8" w:rsidRDefault="00182F1D" w:rsidP="002F52A9">
      <w:pPr>
        <w:pStyle w:val="Heading3"/>
        <w:spacing w:after="120" w:line="240" w:lineRule="auto"/>
        <w:ind w:firstLine="360"/>
        <w:rPr>
          <w:rFonts w:ascii="Times New Roman" w:hAnsi="Times New Roman" w:cs="Times New Roman"/>
          <w:i/>
          <w:sz w:val="24"/>
          <w:lang w:val="it-IT"/>
        </w:rPr>
      </w:pPr>
      <w:bookmarkStart w:id="6" w:name="_Toc384652923"/>
      <w:r w:rsidRPr="006F07C8">
        <w:rPr>
          <w:rFonts w:ascii="Times New Roman" w:hAnsi="Times New Roman" w:cs="Times New Roman"/>
          <w:i/>
          <w:sz w:val="24"/>
          <w:lang w:val="it-IT"/>
        </w:rPr>
        <w:t>3.1 I dati</w:t>
      </w:r>
      <w:bookmarkEnd w:id="6"/>
    </w:p>
    <w:p w:rsidR="00364A94" w:rsidRPr="006F07C8" w:rsidRDefault="00024E7E" w:rsidP="002F52A9">
      <w:pPr>
        <w:spacing w:after="120" w:line="240" w:lineRule="auto"/>
        <w:jc w:val="both"/>
        <w:rPr>
          <w:rFonts w:ascii="Times New Roman" w:hAnsi="Times New Roman" w:cs="Times New Roman"/>
          <w:sz w:val="24"/>
          <w:szCs w:val="24"/>
          <w:lang w:val="it-IT"/>
        </w:rPr>
      </w:pPr>
      <w:r w:rsidRPr="006F07C8">
        <w:rPr>
          <w:rFonts w:ascii="Times New Roman" w:hAnsi="Times New Roman" w:cs="Times New Roman"/>
          <w:sz w:val="24"/>
          <w:szCs w:val="24"/>
          <w:lang w:val="it-IT"/>
        </w:rPr>
        <w:t>L’I</w:t>
      </w:r>
      <w:r w:rsidR="003477A2" w:rsidRPr="006F07C8">
        <w:rPr>
          <w:rFonts w:ascii="Times New Roman" w:hAnsi="Times New Roman" w:cs="Times New Roman"/>
          <w:sz w:val="24"/>
          <w:szCs w:val="24"/>
          <w:lang w:val="it-IT"/>
        </w:rPr>
        <w:t>EA</w:t>
      </w:r>
      <w:r w:rsidR="00136937" w:rsidRPr="006F07C8">
        <w:rPr>
          <w:rFonts w:ascii="Times New Roman" w:hAnsi="Times New Roman" w:cs="Times New Roman"/>
          <w:sz w:val="24"/>
          <w:szCs w:val="24"/>
          <w:lang w:val="it-IT"/>
        </w:rPr>
        <w:t xml:space="preserve"> </w:t>
      </w:r>
      <w:r w:rsidRPr="006F07C8">
        <w:rPr>
          <w:rFonts w:ascii="Times New Roman" w:hAnsi="Times New Roman" w:cs="Times New Roman"/>
          <w:sz w:val="24"/>
          <w:szCs w:val="24"/>
          <w:lang w:val="it-IT"/>
        </w:rPr>
        <w:t>è un’</w:t>
      </w:r>
      <w:r w:rsidR="003477A2" w:rsidRPr="006F07C8">
        <w:rPr>
          <w:rFonts w:ascii="Times New Roman" w:hAnsi="Times New Roman" w:cs="Times New Roman"/>
          <w:sz w:val="24"/>
          <w:szCs w:val="24"/>
          <w:lang w:val="it-IT"/>
        </w:rPr>
        <w:t>indagine</w:t>
      </w:r>
      <w:r w:rsidRPr="006F07C8">
        <w:rPr>
          <w:rFonts w:ascii="Times New Roman" w:hAnsi="Times New Roman" w:cs="Times New Roman"/>
          <w:sz w:val="24"/>
          <w:szCs w:val="24"/>
          <w:lang w:val="it-IT"/>
        </w:rPr>
        <w:t xml:space="preserve"> pilota </w:t>
      </w:r>
      <w:r w:rsidR="009E0CAE" w:rsidRPr="006F07C8">
        <w:rPr>
          <w:rFonts w:ascii="Times New Roman" w:hAnsi="Times New Roman" w:cs="Times New Roman"/>
          <w:sz w:val="24"/>
          <w:szCs w:val="24"/>
          <w:lang w:val="it-IT"/>
        </w:rPr>
        <w:t xml:space="preserve">pubblicata </w:t>
      </w:r>
      <w:r w:rsidRPr="006F07C8">
        <w:rPr>
          <w:rFonts w:ascii="Times New Roman" w:hAnsi="Times New Roman" w:cs="Times New Roman"/>
          <w:sz w:val="24"/>
          <w:szCs w:val="24"/>
          <w:lang w:val="it-IT"/>
        </w:rPr>
        <w:t xml:space="preserve">da </w:t>
      </w:r>
      <w:r w:rsidRPr="006F07C8">
        <w:rPr>
          <w:rFonts w:ascii="Times New Roman" w:hAnsi="Times New Roman" w:cs="Times New Roman"/>
          <w:i/>
          <w:sz w:val="24"/>
          <w:szCs w:val="24"/>
          <w:lang w:val="it-IT"/>
        </w:rPr>
        <w:t>Eurostat</w:t>
      </w:r>
      <w:r w:rsidR="00796478" w:rsidRPr="006F07C8">
        <w:rPr>
          <w:rFonts w:ascii="Times New Roman" w:hAnsi="Times New Roman" w:cs="Times New Roman"/>
          <w:sz w:val="24"/>
          <w:szCs w:val="24"/>
          <w:lang w:val="it-IT"/>
        </w:rPr>
        <w:t xml:space="preserve"> </w:t>
      </w:r>
      <w:r w:rsidRPr="006F07C8">
        <w:rPr>
          <w:rFonts w:ascii="Times New Roman" w:hAnsi="Times New Roman" w:cs="Times New Roman"/>
          <w:sz w:val="24"/>
          <w:szCs w:val="24"/>
          <w:lang w:val="it-IT"/>
        </w:rPr>
        <w:t xml:space="preserve">nel 2011. </w:t>
      </w:r>
      <w:r w:rsidR="00122E8D" w:rsidRPr="006F07C8">
        <w:rPr>
          <w:rFonts w:ascii="Times New Roman" w:hAnsi="Times New Roman" w:cs="Times New Roman"/>
          <w:sz w:val="24"/>
          <w:szCs w:val="24"/>
          <w:lang w:val="it-IT"/>
        </w:rPr>
        <w:t>I dati sono stati raccolti per 29 p</w:t>
      </w:r>
      <w:r w:rsidR="0037100B" w:rsidRPr="006F07C8">
        <w:rPr>
          <w:rFonts w:ascii="Times New Roman" w:hAnsi="Times New Roman" w:cs="Times New Roman"/>
          <w:sz w:val="24"/>
          <w:szCs w:val="24"/>
          <w:lang w:val="it-IT"/>
        </w:rPr>
        <w:t>aes</w:t>
      </w:r>
      <w:r w:rsidR="00122E8D" w:rsidRPr="006F07C8">
        <w:rPr>
          <w:rFonts w:ascii="Times New Roman" w:hAnsi="Times New Roman" w:cs="Times New Roman"/>
          <w:sz w:val="24"/>
          <w:szCs w:val="24"/>
          <w:lang w:val="it-IT"/>
        </w:rPr>
        <w:t>i, compresi i 28 p</w:t>
      </w:r>
      <w:r w:rsidR="0037100B" w:rsidRPr="006F07C8">
        <w:rPr>
          <w:rFonts w:ascii="Times New Roman" w:hAnsi="Times New Roman" w:cs="Times New Roman"/>
          <w:sz w:val="24"/>
          <w:szCs w:val="24"/>
          <w:lang w:val="it-IT"/>
        </w:rPr>
        <w:t>aesi</w:t>
      </w:r>
      <w:r w:rsidR="00122E8D" w:rsidRPr="006F07C8">
        <w:rPr>
          <w:rFonts w:ascii="Times New Roman" w:hAnsi="Times New Roman" w:cs="Times New Roman"/>
          <w:sz w:val="24"/>
          <w:szCs w:val="24"/>
          <w:lang w:val="it-IT"/>
        </w:rPr>
        <w:t xml:space="preserve"> membri della UE ― ad eccezione di Irlanda</w:t>
      </w:r>
      <w:r w:rsidR="00B141D4" w:rsidRPr="006F07C8">
        <w:rPr>
          <w:rFonts w:ascii="Times New Roman" w:hAnsi="Times New Roman" w:cs="Times New Roman"/>
          <w:sz w:val="24"/>
          <w:szCs w:val="24"/>
          <w:lang w:val="it-IT"/>
        </w:rPr>
        <w:t xml:space="preserve"> e</w:t>
      </w:r>
      <w:r w:rsidR="00122E8D" w:rsidRPr="006F07C8">
        <w:rPr>
          <w:rFonts w:ascii="Times New Roman" w:hAnsi="Times New Roman" w:cs="Times New Roman"/>
          <w:sz w:val="24"/>
          <w:szCs w:val="24"/>
          <w:lang w:val="it-IT"/>
        </w:rPr>
        <w:t xml:space="preserve"> Lussemburgo ―</w:t>
      </w:r>
      <w:r w:rsidR="005F6638" w:rsidRPr="006F07C8">
        <w:rPr>
          <w:rFonts w:ascii="Times New Roman" w:hAnsi="Times New Roman" w:cs="Times New Roman"/>
          <w:sz w:val="24"/>
          <w:szCs w:val="24"/>
          <w:lang w:val="it-IT"/>
        </w:rPr>
        <w:t>,</w:t>
      </w:r>
      <w:r w:rsidR="00122E8D" w:rsidRPr="006F07C8">
        <w:rPr>
          <w:rFonts w:ascii="Times New Roman" w:hAnsi="Times New Roman" w:cs="Times New Roman"/>
          <w:sz w:val="24"/>
          <w:szCs w:val="24"/>
          <w:lang w:val="it-IT"/>
        </w:rPr>
        <w:t xml:space="preserve"> alcuni </w:t>
      </w:r>
      <w:r w:rsidR="004D20B1" w:rsidRPr="006F07C8">
        <w:rPr>
          <w:rFonts w:ascii="Times New Roman" w:hAnsi="Times New Roman" w:cs="Times New Roman"/>
          <w:sz w:val="24"/>
          <w:szCs w:val="24"/>
          <w:lang w:val="it-IT"/>
        </w:rPr>
        <w:t xml:space="preserve">dei </w:t>
      </w:r>
      <w:r w:rsidR="00122E8D" w:rsidRPr="006F07C8">
        <w:rPr>
          <w:rFonts w:ascii="Times New Roman" w:hAnsi="Times New Roman" w:cs="Times New Roman"/>
          <w:sz w:val="24"/>
          <w:szCs w:val="24"/>
          <w:lang w:val="it-IT"/>
        </w:rPr>
        <w:t>p</w:t>
      </w:r>
      <w:r w:rsidR="0037100B" w:rsidRPr="006F07C8">
        <w:rPr>
          <w:rFonts w:ascii="Times New Roman" w:hAnsi="Times New Roman" w:cs="Times New Roman"/>
          <w:sz w:val="24"/>
          <w:szCs w:val="24"/>
          <w:lang w:val="it-IT"/>
        </w:rPr>
        <w:t>aes</w:t>
      </w:r>
      <w:r w:rsidR="00122E8D" w:rsidRPr="006F07C8">
        <w:rPr>
          <w:rFonts w:ascii="Times New Roman" w:hAnsi="Times New Roman" w:cs="Times New Roman"/>
          <w:sz w:val="24"/>
          <w:szCs w:val="24"/>
          <w:lang w:val="it-IT"/>
        </w:rPr>
        <w:t xml:space="preserve">i candidati </w:t>
      </w:r>
      <w:r w:rsidR="004D20B1" w:rsidRPr="006F07C8">
        <w:rPr>
          <w:rFonts w:ascii="Times New Roman" w:hAnsi="Times New Roman" w:cs="Times New Roman"/>
          <w:sz w:val="24"/>
          <w:szCs w:val="24"/>
          <w:lang w:val="it-IT"/>
        </w:rPr>
        <w:t xml:space="preserve">alla UE </w:t>
      </w:r>
      <w:r w:rsidR="00122E8D" w:rsidRPr="006F07C8">
        <w:rPr>
          <w:rFonts w:ascii="Times New Roman" w:hAnsi="Times New Roman" w:cs="Times New Roman"/>
          <w:sz w:val="24"/>
          <w:szCs w:val="24"/>
          <w:lang w:val="it-IT"/>
        </w:rPr>
        <w:t xml:space="preserve">e </w:t>
      </w:r>
      <w:r w:rsidR="004D20B1" w:rsidRPr="006F07C8">
        <w:rPr>
          <w:rFonts w:ascii="Times New Roman" w:hAnsi="Times New Roman" w:cs="Times New Roman"/>
          <w:sz w:val="24"/>
          <w:szCs w:val="24"/>
          <w:lang w:val="it-IT"/>
        </w:rPr>
        <w:t xml:space="preserve">alcuni </w:t>
      </w:r>
      <w:r w:rsidR="00B57261" w:rsidRPr="006F07C8">
        <w:rPr>
          <w:rFonts w:ascii="Times New Roman" w:hAnsi="Times New Roman" w:cs="Times New Roman"/>
          <w:sz w:val="24"/>
          <w:szCs w:val="24"/>
          <w:lang w:val="it-IT"/>
        </w:rPr>
        <w:t xml:space="preserve">Stati facenti parte </w:t>
      </w:r>
      <w:r w:rsidR="00122E8D" w:rsidRPr="006F07C8">
        <w:rPr>
          <w:rFonts w:ascii="Times New Roman" w:hAnsi="Times New Roman" w:cs="Times New Roman"/>
          <w:sz w:val="24"/>
          <w:szCs w:val="24"/>
          <w:lang w:val="it-IT"/>
        </w:rPr>
        <w:t>dell’Associazione europea per il libero scambio.</w:t>
      </w:r>
      <w:r w:rsidR="00B141D4" w:rsidRPr="006F07C8">
        <w:rPr>
          <w:rFonts w:ascii="Times New Roman" w:hAnsi="Times New Roman" w:cs="Times New Roman"/>
          <w:sz w:val="24"/>
          <w:szCs w:val="24"/>
          <w:lang w:val="it-IT"/>
        </w:rPr>
        <w:t xml:space="preserve"> </w:t>
      </w:r>
      <w:r w:rsidR="0037100B" w:rsidRPr="006F07C8">
        <w:rPr>
          <w:rFonts w:ascii="Times New Roman" w:hAnsi="Times New Roman" w:cs="Times New Roman"/>
          <w:sz w:val="24"/>
          <w:szCs w:val="24"/>
          <w:lang w:val="it-IT"/>
        </w:rPr>
        <w:t>In questo articolo</w:t>
      </w:r>
      <w:r w:rsidR="00FB626C" w:rsidRPr="006F07C8">
        <w:rPr>
          <w:rFonts w:ascii="Times New Roman" w:hAnsi="Times New Roman" w:cs="Times New Roman"/>
          <w:sz w:val="24"/>
          <w:szCs w:val="24"/>
          <w:lang w:val="it-IT"/>
        </w:rPr>
        <w:t xml:space="preserve"> il</w:t>
      </w:r>
      <w:r w:rsidR="0037100B" w:rsidRPr="006F07C8">
        <w:rPr>
          <w:rFonts w:ascii="Times New Roman" w:hAnsi="Times New Roman" w:cs="Times New Roman"/>
          <w:sz w:val="24"/>
          <w:szCs w:val="24"/>
          <w:lang w:val="it-IT"/>
        </w:rPr>
        <w:t xml:space="preserve"> campione statistico </w:t>
      </w:r>
      <w:r w:rsidR="004D20B1" w:rsidRPr="006F07C8">
        <w:rPr>
          <w:rFonts w:ascii="Times New Roman" w:hAnsi="Times New Roman" w:cs="Times New Roman"/>
          <w:sz w:val="24"/>
          <w:szCs w:val="24"/>
          <w:lang w:val="it-IT"/>
        </w:rPr>
        <w:t xml:space="preserve">è costituito da </w:t>
      </w:r>
      <w:r w:rsidR="0037100B" w:rsidRPr="006F07C8">
        <w:rPr>
          <w:rFonts w:ascii="Times New Roman" w:hAnsi="Times New Roman" w:cs="Times New Roman"/>
          <w:sz w:val="24"/>
          <w:szCs w:val="24"/>
          <w:lang w:val="it-IT"/>
        </w:rPr>
        <w:t xml:space="preserve">24 </w:t>
      </w:r>
      <w:r w:rsidR="003A1003" w:rsidRPr="006F07C8">
        <w:rPr>
          <w:rFonts w:ascii="Times New Roman" w:hAnsi="Times New Roman" w:cs="Times New Roman"/>
          <w:sz w:val="24"/>
          <w:szCs w:val="24"/>
          <w:lang w:val="it-IT"/>
        </w:rPr>
        <w:t>paesi</w:t>
      </w:r>
      <w:r w:rsidR="0037100B" w:rsidRPr="006F07C8">
        <w:rPr>
          <w:rFonts w:ascii="Times New Roman" w:hAnsi="Times New Roman" w:cs="Times New Roman"/>
          <w:sz w:val="24"/>
          <w:szCs w:val="24"/>
          <w:lang w:val="it-IT"/>
        </w:rPr>
        <w:t xml:space="preserve">, cioè i 28 </w:t>
      </w:r>
      <w:r w:rsidR="003A1003" w:rsidRPr="006F07C8">
        <w:rPr>
          <w:rFonts w:ascii="Times New Roman" w:hAnsi="Times New Roman" w:cs="Times New Roman"/>
          <w:sz w:val="24"/>
          <w:szCs w:val="24"/>
          <w:lang w:val="it-IT"/>
        </w:rPr>
        <w:t>Stati</w:t>
      </w:r>
      <w:r w:rsidR="0037100B" w:rsidRPr="006F07C8">
        <w:rPr>
          <w:rFonts w:ascii="Times New Roman" w:hAnsi="Times New Roman" w:cs="Times New Roman"/>
          <w:sz w:val="24"/>
          <w:szCs w:val="24"/>
          <w:lang w:val="it-IT"/>
        </w:rPr>
        <w:t xml:space="preserve"> </w:t>
      </w:r>
      <w:r w:rsidR="003A1003" w:rsidRPr="006F07C8">
        <w:rPr>
          <w:rFonts w:ascii="Times New Roman" w:hAnsi="Times New Roman" w:cs="Times New Roman"/>
          <w:sz w:val="24"/>
          <w:szCs w:val="24"/>
          <w:lang w:val="it-IT"/>
        </w:rPr>
        <w:t>M</w:t>
      </w:r>
      <w:r w:rsidR="0037100B" w:rsidRPr="006F07C8">
        <w:rPr>
          <w:rFonts w:ascii="Times New Roman" w:hAnsi="Times New Roman" w:cs="Times New Roman"/>
          <w:sz w:val="24"/>
          <w:szCs w:val="24"/>
          <w:lang w:val="it-IT"/>
        </w:rPr>
        <w:t>embri della UE meno Irlanda e Lussemburgo</w:t>
      </w:r>
      <w:r w:rsidR="005A1E18" w:rsidRPr="006F07C8">
        <w:rPr>
          <w:rFonts w:ascii="Times New Roman" w:hAnsi="Times New Roman" w:cs="Times New Roman"/>
          <w:sz w:val="24"/>
          <w:szCs w:val="24"/>
          <w:lang w:val="it-IT"/>
        </w:rPr>
        <w:t>,</w:t>
      </w:r>
      <w:r w:rsidR="0037100B" w:rsidRPr="006F07C8">
        <w:rPr>
          <w:rFonts w:ascii="Times New Roman" w:hAnsi="Times New Roman" w:cs="Times New Roman"/>
          <w:sz w:val="24"/>
          <w:szCs w:val="24"/>
          <w:lang w:val="it-IT"/>
        </w:rPr>
        <w:t xml:space="preserve"> per i</w:t>
      </w:r>
      <w:r w:rsidR="00C462F4" w:rsidRPr="006F07C8">
        <w:rPr>
          <w:rFonts w:ascii="Times New Roman" w:hAnsi="Times New Roman" w:cs="Times New Roman"/>
          <w:sz w:val="24"/>
          <w:szCs w:val="24"/>
          <w:lang w:val="it-IT"/>
        </w:rPr>
        <w:t>l motivo indicato</w:t>
      </w:r>
      <w:r w:rsidR="0037100B" w:rsidRPr="006F07C8">
        <w:rPr>
          <w:rFonts w:ascii="Times New Roman" w:hAnsi="Times New Roman" w:cs="Times New Roman"/>
          <w:sz w:val="24"/>
          <w:szCs w:val="24"/>
          <w:lang w:val="it-IT"/>
        </w:rPr>
        <w:t xml:space="preserve"> sopra, Malta e i Paesi Bassi.</w:t>
      </w:r>
      <w:r w:rsidR="00A968F5" w:rsidRPr="006F07C8">
        <w:rPr>
          <w:rStyle w:val="FootnoteReference"/>
          <w:rFonts w:ascii="Times New Roman" w:hAnsi="Times New Roman" w:cs="Times New Roman"/>
          <w:sz w:val="24"/>
          <w:szCs w:val="24"/>
          <w:lang w:val="it-IT"/>
        </w:rPr>
        <w:footnoteReference w:id="18"/>
      </w:r>
      <w:r w:rsidR="0037100B" w:rsidRPr="006F07C8">
        <w:rPr>
          <w:rFonts w:ascii="Times New Roman" w:hAnsi="Times New Roman" w:cs="Times New Roman"/>
          <w:sz w:val="24"/>
          <w:szCs w:val="24"/>
          <w:lang w:val="it-IT"/>
        </w:rPr>
        <w:t xml:space="preserve"> </w:t>
      </w:r>
      <w:r w:rsidR="004D20B1" w:rsidRPr="006F07C8">
        <w:rPr>
          <w:rFonts w:ascii="Times New Roman" w:hAnsi="Times New Roman" w:cs="Times New Roman"/>
          <w:sz w:val="24"/>
          <w:szCs w:val="24"/>
          <w:lang w:val="it-IT"/>
        </w:rPr>
        <w:t>Poiché</w:t>
      </w:r>
      <w:r w:rsidR="005F6638" w:rsidRPr="006F07C8">
        <w:rPr>
          <w:rFonts w:ascii="Times New Roman" w:hAnsi="Times New Roman" w:cs="Times New Roman"/>
          <w:sz w:val="24"/>
          <w:szCs w:val="24"/>
          <w:lang w:val="it-IT"/>
        </w:rPr>
        <w:t xml:space="preserve"> i</w:t>
      </w:r>
      <w:r w:rsidR="000E2CF2" w:rsidRPr="006F07C8">
        <w:rPr>
          <w:rFonts w:ascii="Times New Roman" w:hAnsi="Times New Roman" w:cs="Times New Roman"/>
          <w:sz w:val="24"/>
          <w:szCs w:val="24"/>
          <w:lang w:val="it-IT"/>
        </w:rPr>
        <w:t xml:space="preserve">n </w:t>
      </w:r>
      <w:r w:rsidR="0037100B" w:rsidRPr="006F07C8">
        <w:rPr>
          <w:rFonts w:ascii="Times New Roman" w:hAnsi="Times New Roman" w:cs="Times New Roman"/>
          <w:sz w:val="24"/>
          <w:szCs w:val="24"/>
          <w:lang w:val="it-IT"/>
        </w:rPr>
        <w:t xml:space="preserve">Irlanda </w:t>
      </w:r>
      <w:r w:rsidR="000E2CF2" w:rsidRPr="006F07C8">
        <w:rPr>
          <w:rFonts w:ascii="Times New Roman" w:hAnsi="Times New Roman" w:cs="Times New Roman"/>
          <w:sz w:val="24"/>
          <w:szCs w:val="24"/>
          <w:lang w:val="it-IT"/>
        </w:rPr>
        <w:t xml:space="preserve">e a Malta l’inglese </w:t>
      </w:r>
      <w:r w:rsidR="0037100B" w:rsidRPr="006F07C8">
        <w:rPr>
          <w:rFonts w:ascii="Times New Roman" w:hAnsi="Times New Roman" w:cs="Times New Roman"/>
          <w:sz w:val="24"/>
          <w:szCs w:val="24"/>
          <w:lang w:val="it-IT"/>
        </w:rPr>
        <w:t>è un</w:t>
      </w:r>
      <w:r w:rsidR="009E0CAE" w:rsidRPr="006F07C8">
        <w:rPr>
          <w:rFonts w:ascii="Times New Roman" w:hAnsi="Times New Roman" w:cs="Times New Roman"/>
          <w:sz w:val="24"/>
          <w:szCs w:val="24"/>
          <w:lang w:val="it-IT"/>
        </w:rPr>
        <w:t>a lingua ufficiale,</w:t>
      </w:r>
      <w:r w:rsidR="000E2CF2" w:rsidRPr="006F07C8">
        <w:rPr>
          <w:rFonts w:ascii="Times New Roman" w:hAnsi="Times New Roman" w:cs="Times New Roman"/>
          <w:sz w:val="24"/>
          <w:szCs w:val="24"/>
          <w:lang w:val="it-IT"/>
        </w:rPr>
        <w:t xml:space="preserve"> </w:t>
      </w:r>
      <w:r w:rsidR="005F6638" w:rsidRPr="006F07C8">
        <w:rPr>
          <w:rFonts w:ascii="Times New Roman" w:hAnsi="Times New Roman" w:cs="Times New Roman"/>
          <w:sz w:val="24"/>
          <w:szCs w:val="24"/>
          <w:lang w:val="it-IT"/>
        </w:rPr>
        <w:t xml:space="preserve">e </w:t>
      </w:r>
      <w:r w:rsidR="00A968F5" w:rsidRPr="006F07C8">
        <w:rPr>
          <w:rFonts w:ascii="Times New Roman" w:hAnsi="Times New Roman" w:cs="Times New Roman"/>
          <w:sz w:val="24"/>
          <w:szCs w:val="24"/>
          <w:lang w:val="it-IT"/>
        </w:rPr>
        <w:t>dato che</w:t>
      </w:r>
      <w:r w:rsidR="009E0CAE" w:rsidRPr="006F07C8">
        <w:rPr>
          <w:rFonts w:ascii="Times New Roman" w:hAnsi="Times New Roman" w:cs="Times New Roman"/>
          <w:sz w:val="24"/>
          <w:szCs w:val="24"/>
          <w:lang w:val="it-IT"/>
        </w:rPr>
        <w:t xml:space="preserve"> </w:t>
      </w:r>
      <w:r w:rsidR="005F6638" w:rsidRPr="006F07C8">
        <w:rPr>
          <w:rFonts w:ascii="Times New Roman" w:hAnsi="Times New Roman" w:cs="Times New Roman"/>
          <w:sz w:val="24"/>
          <w:szCs w:val="24"/>
          <w:lang w:val="it-IT"/>
        </w:rPr>
        <w:t xml:space="preserve">una buona </w:t>
      </w:r>
      <w:r w:rsidR="0037100B" w:rsidRPr="006F07C8">
        <w:rPr>
          <w:rFonts w:ascii="Times New Roman" w:hAnsi="Times New Roman" w:cs="Times New Roman"/>
          <w:sz w:val="24"/>
          <w:szCs w:val="24"/>
          <w:lang w:val="it-IT"/>
        </w:rPr>
        <w:t xml:space="preserve">conoscenza dell’inglese è </w:t>
      </w:r>
      <w:r w:rsidR="005F6638" w:rsidRPr="006F07C8">
        <w:rPr>
          <w:rFonts w:ascii="Times New Roman" w:hAnsi="Times New Roman" w:cs="Times New Roman"/>
          <w:sz w:val="24"/>
          <w:szCs w:val="24"/>
          <w:lang w:val="it-IT"/>
        </w:rPr>
        <w:t xml:space="preserve">piuttosto </w:t>
      </w:r>
      <w:r w:rsidR="00A968F5" w:rsidRPr="006F07C8">
        <w:rPr>
          <w:rFonts w:ascii="Times New Roman" w:hAnsi="Times New Roman" w:cs="Times New Roman"/>
          <w:sz w:val="24"/>
          <w:szCs w:val="24"/>
          <w:lang w:val="it-IT"/>
        </w:rPr>
        <w:t>comune</w:t>
      </w:r>
      <w:r w:rsidR="0037100B" w:rsidRPr="006F07C8">
        <w:rPr>
          <w:rFonts w:ascii="Times New Roman" w:hAnsi="Times New Roman" w:cs="Times New Roman"/>
          <w:sz w:val="24"/>
          <w:szCs w:val="24"/>
          <w:lang w:val="it-IT"/>
        </w:rPr>
        <w:t xml:space="preserve"> </w:t>
      </w:r>
      <w:r w:rsidR="005A1E18" w:rsidRPr="006F07C8">
        <w:rPr>
          <w:rFonts w:ascii="Times New Roman" w:hAnsi="Times New Roman" w:cs="Times New Roman"/>
          <w:sz w:val="24"/>
          <w:szCs w:val="24"/>
          <w:lang w:val="it-IT"/>
        </w:rPr>
        <w:t>nei Paesi Bassi</w:t>
      </w:r>
      <w:r w:rsidR="005F6638" w:rsidRPr="006F07C8">
        <w:rPr>
          <w:rFonts w:ascii="Times New Roman" w:hAnsi="Times New Roman" w:cs="Times New Roman"/>
          <w:sz w:val="24"/>
          <w:szCs w:val="24"/>
          <w:lang w:val="it-IT"/>
        </w:rPr>
        <w:t xml:space="preserve"> (</w:t>
      </w:r>
      <w:hyperlink w:anchor="_ENREF_15" w:tooltip="Commissione europea, 2012 #920" w:history="1">
        <w:r w:rsidR="00101624" w:rsidRPr="006F07C8">
          <w:rPr>
            <w:rFonts w:ascii="Times New Roman" w:hAnsi="Times New Roman" w:cs="Times New Roman"/>
            <w:sz w:val="24"/>
            <w:szCs w:val="24"/>
            <w:lang w:val="it-IT"/>
          </w:rPr>
          <w:fldChar w:fldCharType="begin"/>
        </w:r>
        <w:r w:rsidR="00101624" w:rsidRPr="006F07C8">
          <w:rPr>
            <w:rFonts w:ascii="Times New Roman" w:hAnsi="Times New Roman" w:cs="Times New Roman"/>
            <w:sz w:val="24"/>
            <w:szCs w:val="24"/>
            <w:lang w:val="it-IT"/>
          </w:rPr>
          <w:instrText xml:space="preserve"> ADDIN EN.CITE &lt;EndNote&gt;&lt;Cite&gt;&lt;Author&gt;Commissione europea&lt;/Author&gt;&lt;Year&gt;2012&lt;/Year&gt;&lt;RecNum&gt;920&lt;/RecNum&gt;&lt;DisplayText&gt;Commissione europea 2012a&lt;/DisplayText&gt;&lt;record&gt;&lt;rec-number&gt;920&lt;/rec-number&gt;&lt;foreign-keys&gt;&lt;key app="EN" db-id="wvvszzd93a0z5wesdfpvdv9z5wrra5p05axp"&gt;920&lt;/key&gt;&lt;/foreign-keys&gt;&lt;ref-type name="Report"&gt;27&lt;/ref-type&gt;&lt;contributors&gt;&lt;authors&gt;&lt;author&gt;Commissione europea,&lt;/author&gt;&lt;/authors&gt;&lt;/contributors&gt;&lt;titles&gt;&lt;title&gt;Europeans and their languages&lt;/title&gt;&lt;secondary-title&gt;Speciale Eurobarometero 386&lt;/secondary-title&gt;&lt;/titles&gt;&lt;keywords&gt;&lt;keyword&gt;changement structurel politique ©*conomique Union europ©*enne&lt;/keyword&gt;&lt;/keywords&gt;&lt;dates&gt;&lt;year&gt;2012&lt;/year&gt;&lt;/dates&gt;&lt;pub-location&gt;Bruxelles&lt;/pub-location&gt;&lt;publisher&gt;Commissione europea&lt;/publisher&gt;&lt;accession-num&gt;vtls002563308&lt;/accession-num&gt;&lt;urls&gt;&lt;/urls&gt;&lt;/record&gt;&lt;/Cite&gt;&lt;/EndNote&gt;</w:instrText>
        </w:r>
        <w:r w:rsidR="00101624" w:rsidRPr="006F07C8">
          <w:rPr>
            <w:rFonts w:ascii="Times New Roman" w:hAnsi="Times New Roman" w:cs="Times New Roman"/>
            <w:sz w:val="24"/>
            <w:szCs w:val="24"/>
            <w:lang w:val="it-IT"/>
          </w:rPr>
          <w:fldChar w:fldCharType="separate"/>
        </w:r>
        <w:r w:rsidR="00101624" w:rsidRPr="006F07C8">
          <w:rPr>
            <w:rFonts w:ascii="Times New Roman" w:hAnsi="Times New Roman" w:cs="Times New Roman"/>
            <w:noProof/>
            <w:sz w:val="24"/>
            <w:szCs w:val="24"/>
            <w:lang w:val="it-IT"/>
          </w:rPr>
          <w:t>Commissione europea 2012a</w:t>
        </w:r>
        <w:r w:rsidR="00101624" w:rsidRPr="006F07C8">
          <w:rPr>
            <w:rFonts w:ascii="Times New Roman" w:hAnsi="Times New Roman" w:cs="Times New Roman"/>
            <w:sz w:val="24"/>
            <w:szCs w:val="24"/>
            <w:lang w:val="it-IT"/>
          </w:rPr>
          <w:fldChar w:fldCharType="end"/>
        </w:r>
      </w:hyperlink>
      <w:r w:rsidR="005F6638" w:rsidRPr="006F07C8">
        <w:rPr>
          <w:rFonts w:ascii="Times New Roman" w:hAnsi="Times New Roman" w:cs="Times New Roman"/>
          <w:sz w:val="24"/>
          <w:szCs w:val="24"/>
          <w:lang w:val="it-IT"/>
        </w:rPr>
        <w:t>)</w:t>
      </w:r>
      <w:r w:rsidR="0037100B" w:rsidRPr="006F07C8">
        <w:rPr>
          <w:rFonts w:ascii="Times New Roman" w:hAnsi="Times New Roman" w:cs="Times New Roman"/>
          <w:sz w:val="24"/>
          <w:szCs w:val="24"/>
          <w:lang w:val="it-IT"/>
        </w:rPr>
        <w:t xml:space="preserve">, il campione </w:t>
      </w:r>
      <w:r w:rsidR="005F6638" w:rsidRPr="006F07C8">
        <w:rPr>
          <w:rFonts w:ascii="Times New Roman" w:hAnsi="Times New Roman" w:cs="Times New Roman"/>
          <w:sz w:val="24"/>
          <w:szCs w:val="24"/>
          <w:lang w:val="it-IT"/>
        </w:rPr>
        <w:t xml:space="preserve">qui utilizzato </w:t>
      </w:r>
      <w:r w:rsidR="0037100B" w:rsidRPr="006F07C8">
        <w:rPr>
          <w:rFonts w:ascii="Times New Roman" w:hAnsi="Times New Roman" w:cs="Times New Roman"/>
          <w:sz w:val="24"/>
          <w:szCs w:val="24"/>
          <w:lang w:val="it-IT"/>
        </w:rPr>
        <w:t>sottostima leggermente i</w:t>
      </w:r>
      <w:r w:rsidR="005F6638" w:rsidRPr="006F07C8">
        <w:rPr>
          <w:rFonts w:ascii="Times New Roman" w:hAnsi="Times New Roman" w:cs="Times New Roman"/>
          <w:sz w:val="24"/>
          <w:szCs w:val="24"/>
          <w:lang w:val="it-IT"/>
        </w:rPr>
        <w:t xml:space="preserve">l peso di </w:t>
      </w:r>
      <w:r w:rsidR="000E2CF2" w:rsidRPr="006F07C8">
        <w:rPr>
          <w:rFonts w:ascii="Times New Roman" w:hAnsi="Times New Roman" w:cs="Times New Roman"/>
          <w:sz w:val="24"/>
          <w:szCs w:val="24"/>
          <w:lang w:val="it-IT"/>
        </w:rPr>
        <w:t>questa lingua</w:t>
      </w:r>
      <w:r w:rsidR="0037100B" w:rsidRPr="006F07C8">
        <w:rPr>
          <w:rFonts w:ascii="Times New Roman" w:hAnsi="Times New Roman" w:cs="Times New Roman"/>
          <w:sz w:val="24"/>
          <w:szCs w:val="24"/>
          <w:lang w:val="it-IT"/>
        </w:rPr>
        <w:t xml:space="preserve">. Tuttavia </w:t>
      </w:r>
      <w:r w:rsidR="00364A94" w:rsidRPr="006F07C8">
        <w:rPr>
          <w:rFonts w:ascii="Times New Roman" w:hAnsi="Times New Roman" w:cs="Times New Roman"/>
          <w:sz w:val="24"/>
          <w:szCs w:val="24"/>
          <w:lang w:val="it-IT"/>
        </w:rPr>
        <w:t xml:space="preserve">i paesi </w:t>
      </w:r>
      <w:r w:rsidR="00A968F5" w:rsidRPr="006F07C8">
        <w:rPr>
          <w:rFonts w:ascii="Times New Roman" w:hAnsi="Times New Roman" w:cs="Times New Roman"/>
          <w:sz w:val="24"/>
          <w:szCs w:val="24"/>
          <w:lang w:val="it-IT"/>
        </w:rPr>
        <w:t>omessi</w:t>
      </w:r>
      <w:r w:rsidR="00364A94" w:rsidRPr="006F07C8">
        <w:rPr>
          <w:rFonts w:ascii="Times New Roman" w:hAnsi="Times New Roman" w:cs="Times New Roman"/>
          <w:sz w:val="24"/>
          <w:szCs w:val="24"/>
          <w:lang w:val="it-IT"/>
        </w:rPr>
        <w:t xml:space="preserve"> </w:t>
      </w:r>
      <w:r w:rsidR="005A1E18" w:rsidRPr="006F07C8">
        <w:rPr>
          <w:rFonts w:ascii="Times New Roman" w:hAnsi="Times New Roman" w:cs="Times New Roman"/>
          <w:sz w:val="24"/>
          <w:szCs w:val="24"/>
          <w:lang w:val="it-IT"/>
        </w:rPr>
        <w:t xml:space="preserve">non </w:t>
      </w:r>
      <w:r w:rsidR="00364A94" w:rsidRPr="006F07C8">
        <w:rPr>
          <w:rFonts w:ascii="Times New Roman" w:hAnsi="Times New Roman" w:cs="Times New Roman"/>
          <w:sz w:val="24"/>
          <w:szCs w:val="24"/>
          <w:lang w:val="it-IT"/>
        </w:rPr>
        <w:t xml:space="preserve">rappresentano </w:t>
      </w:r>
      <w:r w:rsidR="005A1E18" w:rsidRPr="006F07C8">
        <w:rPr>
          <w:rFonts w:ascii="Times New Roman" w:hAnsi="Times New Roman" w:cs="Times New Roman"/>
          <w:sz w:val="24"/>
          <w:szCs w:val="24"/>
          <w:lang w:val="it-IT"/>
        </w:rPr>
        <w:t xml:space="preserve">più del </w:t>
      </w:r>
      <w:r w:rsidR="00364A94" w:rsidRPr="006F07C8">
        <w:rPr>
          <w:rFonts w:ascii="Times New Roman" w:hAnsi="Times New Roman" w:cs="Times New Roman"/>
          <w:sz w:val="24"/>
          <w:szCs w:val="24"/>
          <w:lang w:val="it-IT"/>
        </w:rPr>
        <w:t>4</w:t>
      </w:r>
      <w:r w:rsidR="005A1E18" w:rsidRPr="006F07C8">
        <w:rPr>
          <w:rFonts w:ascii="Times New Roman" w:hAnsi="Times New Roman" w:cs="Times New Roman"/>
          <w:sz w:val="24"/>
          <w:szCs w:val="24"/>
          <w:lang w:val="it-IT"/>
        </w:rPr>
        <w:t>,5</w:t>
      </w:r>
      <w:r w:rsidR="00364A94" w:rsidRPr="006F07C8">
        <w:rPr>
          <w:rFonts w:ascii="Times New Roman" w:hAnsi="Times New Roman" w:cs="Times New Roman"/>
          <w:sz w:val="24"/>
          <w:szCs w:val="24"/>
          <w:lang w:val="it-IT"/>
        </w:rPr>
        <w:t xml:space="preserve">% della popolazione europea e quindi la loro esclusione non interferisce </w:t>
      </w:r>
      <w:r w:rsidR="005F6638" w:rsidRPr="006F07C8">
        <w:rPr>
          <w:rFonts w:ascii="Times New Roman" w:hAnsi="Times New Roman" w:cs="Times New Roman"/>
          <w:sz w:val="24"/>
          <w:szCs w:val="24"/>
          <w:lang w:val="it-IT"/>
        </w:rPr>
        <w:t xml:space="preserve">sostanzialmente </w:t>
      </w:r>
      <w:r w:rsidR="00364A94" w:rsidRPr="006F07C8">
        <w:rPr>
          <w:rFonts w:ascii="Times New Roman" w:hAnsi="Times New Roman" w:cs="Times New Roman"/>
          <w:sz w:val="24"/>
          <w:szCs w:val="24"/>
          <w:lang w:val="it-IT"/>
        </w:rPr>
        <w:t xml:space="preserve">con i </w:t>
      </w:r>
      <w:r w:rsidR="005A1E18" w:rsidRPr="006F07C8">
        <w:rPr>
          <w:rFonts w:ascii="Times New Roman" w:hAnsi="Times New Roman" w:cs="Times New Roman"/>
          <w:sz w:val="24"/>
          <w:szCs w:val="24"/>
          <w:lang w:val="it-IT"/>
        </w:rPr>
        <w:t xml:space="preserve">nostri </w:t>
      </w:r>
      <w:r w:rsidR="00364A94" w:rsidRPr="006F07C8">
        <w:rPr>
          <w:rFonts w:ascii="Times New Roman" w:hAnsi="Times New Roman" w:cs="Times New Roman"/>
          <w:sz w:val="24"/>
          <w:szCs w:val="24"/>
          <w:lang w:val="it-IT"/>
        </w:rPr>
        <w:t xml:space="preserve">risultati generali. </w:t>
      </w:r>
      <w:r w:rsidR="005F6638" w:rsidRPr="006F07C8">
        <w:rPr>
          <w:rFonts w:ascii="Times New Roman" w:hAnsi="Times New Roman" w:cs="Times New Roman"/>
          <w:sz w:val="24"/>
          <w:szCs w:val="24"/>
          <w:lang w:val="it-IT"/>
        </w:rPr>
        <w:t>È ovviamente auspicabile che nel futuro si possa disporre di un cam</w:t>
      </w:r>
      <w:r w:rsidR="005A1E18" w:rsidRPr="006F07C8">
        <w:rPr>
          <w:rFonts w:ascii="Times New Roman" w:hAnsi="Times New Roman" w:cs="Times New Roman"/>
          <w:sz w:val="24"/>
          <w:szCs w:val="24"/>
          <w:lang w:val="it-IT"/>
        </w:rPr>
        <w:t>pione completo.</w:t>
      </w:r>
    </w:p>
    <w:p w:rsidR="00A00F55" w:rsidRPr="006F07C8" w:rsidRDefault="003A1003" w:rsidP="002F52A9">
      <w:pPr>
        <w:spacing w:line="240" w:lineRule="auto"/>
        <w:jc w:val="both"/>
        <w:rPr>
          <w:rFonts w:ascii="Times New Roman" w:hAnsi="Times New Roman" w:cs="Times New Roman"/>
          <w:sz w:val="24"/>
          <w:szCs w:val="24"/>
          <w:lang w:val="it-IT"/>
        </w:rPr>
      </w:pPr>
      <w:r w:rsidRPr="006F07C8">
        <w:rPr>
          <w:rFonts w:ascii="Times New Roman" w:hAnsi="Times New Roman" w:cs="Times New Roman"/>
          <w:sz w:val="24"/>
          <w:szCs w:val="24"/>
          <w:lang w:val="it-IT"/>
        </w:rPr>
        <w:t>I</w:t>
      </w:r>
      <w:r w:rsidR="00EE3DDA" w:rsidRPr="006F07C8">
        <w:rPr>
          <w:rFonts w:ascii="Times New Roman" w:hAnsi="Times New Roman" w:cs="Times New Roman"/>
          <w:sz w:val="24"/>
          <w:szCs w:val="24"/>
          <w:lang w:val="it-IT"/>
        </w:rPr>
        <w:t xml:space="preserve">l campione </w:t>
      </w:r>
      <w:r w:rsidR="00160CA0" w:rsidRPr="006F07C8">
        <w:rPr>
          <w:rFonts w:ascii="Times New Roman" w:hAnsi="Times New Roman" w:cs="Times New Roman"/>
          <w:sz w:val="24"/>
          <w:szCs w:val="24"/>
          <w:lang w:val="it-IT"/>
        </w:rPr>
        <w:t xml:space="preserve">statistico utilizzato per le nostre analisi </w:t>
      </w:r>
      <w:r w:rsidR="00EE3DDA" w:rsidRPr="006F07C8">
        <w:rPr>
          <w:rFonts w:ascii="Times New Roman" w:hAnsi="Times New Roman" w:cs="Times New Roman"/>
          <w:sz w:val="24"/>
          <w:szCs w:val="24"/>
          <w:lang w:val="it-IT"/>
        </w:rPr>
        <w:t xml:space="preserve">contiene </w:t>
      </w:r>
      <w:r w:rsidR="008445C6" w:rsidRPr="006F07C8">
        <w:rPr>
          <w:rFonts w:ascii="Times New Roman" w:hAnsi="Times New Roman" w:cs="Times New Roman"/>
          <w:sz w:val="24"/>
          <w:szCs w:val="24"/>
          <w:lang w:val="it-IT"/>
        </w:rPr>
        <w:t>194</w:t>
      </w:r>
      <w:r w:rsidR="004D20B1" w:rsidRPr="006F07C8">
        <w:rPr>
          <w:rFonts w:ascii="Times New Roman" w:hAnsi="Times New Roman" w:cs="Times New Roman"/>
          <w:sz w:val="24"/>
          <w:szCs w:val="24"/>
          <w:lang w:val="it-IT"/>
        </w:rPr>
        <w:t>’</w:t>
      </w:r>
      <w:r w:rsidR="008445C6" w:rsidRPr="006F07C8">
        <w:rPr>
          <w:rFonts w:ascii="Times New Roman" w:hAnsi="Times New Roman" w:cs="Times New Roman"/>
          <w:sz w:val="24"/>
          <w:szCs w:val="24"/>
          <w:lang w:val="it-IT"/>
        </w:rPr>
        <w:t>551</w:t>
      </w:r>
      <w:r w:rsidR="00EE3DDA" w:rsidRPr="006F07C8">
        <w:rPr>
          <w:rFonts w:ascii="Times New Roman" w:hAnsi="Times New Roman" w:cs="Times New Roman"/>
          <w:sz w:val="24"/>
          <w:szCs w:val="24"/>
          <w:lang w:val="it-IT"/>
        </w:rPr>
        <w:t xml:space="preserve"> osservazioni</w:t>
      </w:r>
      <w:r w:rsidR="004D20B1" w:rsidRPr="006F07C8">
        <w:rPr>
          <w:rFonts w:ascii="Times New Roman" w:hAnsi="Times New Roman" w:cs="Times New Roman"/>
          <w:sz w:val="24"/>
          <w:szCs w:val="24"/>
          <w:lang w:val="it-IT"/>
        </w:rPr>
        <w:t xml:space="preserve"> statistiche</w:t>
      </w:r>
      <w:r w:rsidR="00EE3DDA" w:rsidRPr="006F07C8">
        <w:rPr>
          <w:rFonts w:ascii="Times New Roman" w:hAnsi="Times New Roman" w:cs="Times New Roman"/>
          <w:sz w:val="24"/>
          <w:szCs w:val="24"/>
          <w:lang w:val="it-IT"/>
        </w:rPr>
        <w:t xml:space="preserve">, cosa che garantisce la rappresentatività della popolazione dei 24 paesi </w:t>
      </w:r>
      <w:r w:rsidR="005F6638" w:rsidRPr="006F07C8">
        <w:rPr>
          <w:rFonts w:ascii="Times New Roman" w:hAnsi="Times New Roman" w:cs="Times New Roman"/>
          <w:sz w:val="24"/>
          <w:szCs w:val="24"/>
          <w:lang w:val="it-IT"/>
        </w:rPr>
        <w:t xml:space="preserve">della UE </w:t>
      </w:r>
      <w:r w:rsidR="00EE3DDA" w:rsidRPr="006F07C8">
        <w:rPr>
          <w:rFonts w:ascii="Times New Roman" w:hAnsi="Times New Roman" w:cs="Times New Roman"/>
          <w:sz w:val="24"/>
          <w:szCs w:val="24"/>
          <w:lang w:val="it-IT"/>
        </w:rPr>
        <w:t>considerati</w:t>
      </w:r>
      <w:r w:rsidR="005F6638" w:rsidRPr="006F07C8">
        <w:rPr>
          <w:rFonts w:ascii="Times New Roman" w:hAnsi="Times New Roman" w:cs="Times New Roman"/>
          <w:sz w:val="24"/>
          <w:szCs w:val="24"/>
          <w:lang w:val="it-IT"/>
        </w:rPr>
        <w:t xml:space="preserve"> (o UE-24)</w:t>
      </w:r>
      <w:r w:rsidR="00EE3DDA" w:rsidRPr="006F07C8">
        <w:rPr>
          <w:rFonts w:ascii="Times New Roman" w:hAnsi="Times New Roman" w:cs="Times New Roman"/>
          <w:sz w:val="24"/>
          <w:szCs w:val="24"/>
          <w:lang w:val="it-IT"/>
        </w:rPr>
        <w:t>.</w:t>
      </w:r>
      <w:r w:rsidR="009E0CAE" w:rsidRPr="006F07C8">
        <w:rPr>
          <w:rFonts w:ascii="Times New Roman" w:hAnsi="Times New Roman" w:cs="Times New Roman"/>
          <w:sz w:val="24"/>
          <w:szCs w:val="24"/>
          <w:lang w:val="it-IT"/>
        </w:rPr>
        <w:t xml:space="preserve"> L’anno di riferimento </w:t>
      </w:r>
      <w:r w:rsidR="00364A94" w:rsidRPr="006F07C8">
        <w:rPr>
          <w:rFonts w:ascii="Times New Roman" w:hAnsi="Times New Roman" w:cs="Times New Roman"/>
          <w:sz w:val="24"/>
          <w:szCs w:val="24"/>
          <w:lang w:val="it-IT"/>
        </w:rPr>
        <w:t xml:space="preserve">nella raccolta dati </w:t>
      </w:r>
      <w:r w:rsidR="009E0CAE" w:rsidRPr="006F07C8">
        <w:rPr>
          <w:rFonts w:ascii="Times New Roman" w:hAnsi="Times New Roman" w:cs="Times New Roman"/>
          <w:sz w:val="24"/>
          <w:szCs w:val="24"/>
          <w:lang w:val="it-IT"/>
        </w:rPr>
        <w:t>è il 2007. Tutte l</w:t>
      </w:r>
      <w:r w:rsidR="004D20B1" w:rsidRPr="006F07C8">
        <w:rPr>
          <w:rFonts w:ascii="Times New Roman" w:hAnsi="Times New Roman" w:cs="Times New Roman"/>
          <w:sz w:val="24"/>
          <w:szCs w:val="24"/>
          <w:lang w:val="it-IT"/>
        </w:rPr>
        <w:t xml:space="preserve">e definizioni si applicano ai residenti europei </w:t>
      </w:r>
      <w:r w:rsidR="009E0CAE" w:rsidRPr="006F07C8">
        <w:rPr>
          <w:rFonts w:ascii="Times New Roman" w:hAnsi="Times New Roman" w:cs="Times New Roman"/>
          <w:sz w:val="24"/>
          <w:szCs w:val="24"/>
          <w:lang w:val="it-IT"/>
        </w:rPr>
        <w:t>la cui età è compresa fra 25 e 64 anni.</w:t>
      </w:r>
      <w:r w:rsidR="00364A94" w:rsidRPr="006F07C8">
        <w:rPr>
          <w:rFonts w:ascii="Times New Roman" w:hAnsi="Times New Roman" w:cs="Times New Roman"/>
          <w:sz w:val="24"/>
          <w:szCs w:val="24"/>
          <w:lang w:val="it-IT"/>
        </w:rPr>
        <w:t xml:space="preserve"> </w:t>
      </w:r>
      <w:r w:rsidR="004D20B1" w:rsidRPr="006F07C8">
        <w:rPr>
          <w:rFonts w:ascii="Times New Roman" w:hAnsi="Times New Roman" w:cs="Times New Roman"/>
          <w:sz w:val="24"/>
          <w:szCs w:val="24"/>
          <w:lang w:val="it-IT"/>
        </w:rPr>
        <w:t xml:space="preserve">Il campione </w:t>
      </w:r>
      <w:r w:rsidR="00A00F55" w:rsidRPr="006F07C8">
        <w:rPr>
          <w:rFonts w:ascii="Times New Roman" w:hAnsi="Times New Roman" w:cs="Times New Roman"/>
          <w:sz w:val="24"/>
          <w:szCs w:val="24"/>
          <w:lang w:val="it-IT"/>
        </w:rPr>
        <w:t>è composto per il 93,5% da cittadini europei residenti nel proprio paese, il 2% da cittadini europei residenti in un altro paese della UE</w:t>
      </w:r>
      <w:r w:rsidR="00CB3259" w:rsidRPr="006F07C8">
        <w:rPr>
          <w:rFonts w:ascii="Times New Roman" w:hAnsi="Times New Roman" w:cs="Times New Roman"/>
          <w:sz w:val="24"/>
          <w:szCs w:val="24"/>
          <w:lang w:val="it-IT"/>
        </w:rPr>
        <w:t xml:space="preserve"> e il 4,2% da immigrati non cittadini. Il restante 0,3</w:t>
      </w:r>
      <w:r w:rsidR="00F170AA" w:rsidRPr="006F07C8">
        <w:rPr>
          <w:rFonts w:ascii="Times New Roman" w:hAnsi="Times New Roman" w:cs="Times New Roman"/>
          <w:sz w:val="24"/>
          <w:szCs w:val="24"/>
          <w:lang w:val="it-IT"/>
        </w:rPr>
        <w:t>% degli intervistati</w:t>
      </w:r>
      <w:r w:rsidR="00CB3259" w:rsidRPr="006F07C8">
        <w:rPr>
          <w:rFonts w:ascii="Times New Roman" w:hAnsi="Times New Roman" w:cs="Times New Roman"/>
          <w:sz w:val="24"/>
          <w:szCs w:val="24"/>
          <w:lang w:val="it-IT"/>
        </w:rPr>
        <w:t xml:space="preserve"> sono p</w:t>
      </w:r>
      <w:r w:rsidR="00B7260A" w:rsidRPr="006F07C8">
        <w:rPr>
          <w:rFonts w:ascii="Times New Roman" w:hAnsi="Times New Roman" w:cs="Times New Roman"/>
          <w:sz w:val="24"/>
          <w:szCs w:val="24"/>
          <w:lang w:val="it-IT"/>
        </w:rPr>
        <w:t xml:space="preserve">ersone residenti in Estonia; questo paese </w:t>
      </w:r>
      <w:r w:rsidR="00F170AA" w:rsidRPr="006F07C8">
        <w:rPr>
          <w:rFonts w:ascii="Times New Roman" w:hAnsi="Times New Roman" w:cs="Times New Roman"/>
          <w:sz w:val="24"/>
          <w:szCs w:val="24"/>
          <w:lang w:val="it-IT"/>
        </w:rPr>
        <w:t xml:space="preserve">ha </w:t>
      </w:r>
      <w:r w:rsidR="00B7260A" w:rsidRPr="006F07C8">
        <w:rPr>
          <w:rFonts w:ascii="Times New Roman" w:hAnsi="Times New Roman" w:cs="Times New Roman"/>
          <w:sz w:val="24"/>
          <w:szCs w:val="24"/>
          <w:lang w:val="it-IT"/>
        </w:rPr>
        <w:t xml:space="preserve">infatti </w:t>
      </w:r>
      <w:r w:rsidR="00F170AA" w:rsidRPr="006F07C8">
        <w:rPr>
          <w:rFonts w:ascii="Times New Roman" w:hAnsi="Times New Roman" w:cs="Times New Roman"/>
          <w:sz w:val="24"/>
          <w:szCs w:val="24"/>
          <w:lang w:val="it-IT"/>
        </w:rPr>
        <w:t>deciso di escludere la distinzione fra cittadino e non cittadino nella raccolta dei dati</w:t>
      </w:r>
      <w:r w:rsidR="00B7260A" w:rsidRPr="006F07C8">
        <w:rPr>
          <w:rFonts w:ascii="Times New Roman" w:hAnsi="Times New Roman" w:cs="Times New Roman"/>
          <w:sz w:val="24"/>
          <w:szCs w:val="24"/>
          <w:lang w:val="it-IT"/>
        </w:rPr>
        <w:t xml:space="preserve">. La ragione va probabilmente cercata nella situazione politicamente problematica della minoranza di lingua russa cui lo </w:t>
      </w:r>
      <w:r w:rsidR="00B57261" w:rsidRPr="006F07C8">
        <w:rPr>
          <w:rFonts w:ascii="Times New Roman" w:hAnsi="Times New Roman" w:cs="Times New Roman"/>
          <w:sz w:val="24"/>
          <w:szCs w:val="24"/>
          <w:lang w:val="it-IT"/>
        </w:rPr>
        <w:t>S</w:t>
      </w:r>
      <w:r w:rsidR="00B7260A" w:rsidRPr="006F07C8">
        <w:rPr>
          <w:rFonts w:ascii="Times New Roman" w:hAnsi="Times New Roman" w:cs="Times New Roman"/>
          <w:sz w:val="24"/>
          <w:szCs w:val="24"/>
          <w:lang w:val="it-IT"/>
        </w:rPr>
        <w:t xml:space="preserve">tato accorda </w:t>
      </w:r>
      <w:r w:rsidR="00B57261" w:rsidRPr="006F07C8">
        <w:rPr>
          <w:rFonts w:ascii="Times New Roman" w:hAnsi="Times New Roman" w:cs="Times New Roman"/>
          <w:sz w:val="24"/>
          <w:szCs w:val="24"/>
          <w:lang w:val="it-IT"/>
        </w:rPr>
        <w:t xml:space="preserve">talvolta </w:t>
      </w:r>
      <w:r w:rsidR="00B7260A" w:rsidRPr="006F07C8">
        <w:rPr>
          <w:rFonts w:ascii="Times New Roman" w:hAnsi="Times New Roman" w:cs="Times New Roman"/>
          <w:sz w:val="24"/>
          <w:szCs w:val="24"/>
          <w:lang w:val="it-IT"/>
        </w:rPr>
        <w:t>malvolentieri la cittadinanza</w:t>
      </w:r>
      <w:r w:rsidR="00B57261" w:rsidRPr="006F07C8">
        <w:rPr>
          <w:rFonts w:ascii="Times New Roman" w:hAnsi="Times New Roman" w:cs="Times New Roman"/>
          <w:sz w:val="24"/>
          <w:szCs w:val="24"/>
          <w:lang w:val="it-IT"/>
        </w:rPr>
        <w:t xml:space="preserve"> estone</w:t>
      </w:r>
      <w:r w:rsidR="00CB3259" w:rsidRPr="006F07C8">
        <w:rPr>
          <w:rFonts w:ascii="Times New Roman" w:hAnsi="Times New Roman" w:cs="Times New Roman"/>
          <w:sz w:val="24"/>
          <w:szCs w:val="24"/>
          <w:lang w:val="it-IT"/>
        </w:rPr>
        <w:t xml:space="preserve">. Si è scelto </w:t>
      </w:r>
      <w:r w:rsidR="00F170AA" w:rsidRPr="006F07C8">
        <w:rPr>
          <w:rFonts w:ascii="Times New Roman" w:hAnsi="Times New Roman" w:cs="Times New Roman"/>
          <w:sz w:val="24"/>
          <w:szCs w:val="24"/>
          <w:lang w:val="it-IT"/>
        </w:rPr>
        <w:t xml:space="preserve">quindi </w:t>
      </w:r>
      <w:r w:rsidR="00CB3259" w:rsidRPr="006F07C8">
        <w:rPr>
          <w:rFonts w:ascii="Times New Roman" w:hAnsi="Times New Roman" w:cs="Times New Roman"/>
          <w:sz w:val="24"/>
          <w:szCs w:val="24"/>
          <w:lang w:val="it-IT"/>
        </w:rPr>
        <w:t xml:space="preserve">di lavorare con la categoria “residente” </w:t>
      </w:r>
      <w:r w:rsidR="00F170AA" w:rsidRPr="006F07C8">
        <w:rPr>
          <w:rFonts w:ascii="Times New Roman" w:hAnsi="Times New Roman" w:cs="Times New Roman"/>
          <w:sz w:val="24"/>
          <w:szCs w:val="24"/>
          <w:lang w:val="it-IT"/>
        </w:rPr>
        <w:t xml:space="preserve">non solo per </w:t>
      </w:r>
      <w:r w:rsidR="00CB3259" w:rsidRPr="006F07C8">
        <w:rPr>
          <w:rFonts w:ascii="Times New Roman" w:hAnsi="Times New Roman" w:cs="Times New Roman"/>
          <w:sz w:val="24"/>
          <w:szCs w:val="24"/>
          <w:lang w:val="it-IT"/>
        </w:rPr>
        <w:t xml:space="preserve">non escludere l’Estonia </w:t>
      </w:r>
      <w:r w:rsidR="00F170AA" w:rsidRPr="006F07C8">
        <w:rPr>
          <w:rFonts w:ascii="Times New Roman" w:hAnsi="Times New Roman" w:cs="Times New Roman"/>
          <w:sz w:val="24"/>
          <w:szCs w:val="24"/>
          <w:lang w:val="it-IT"/>
        </w:rPr>
        <w:t xml:space="preserve">ma anche </w:t>
      </w:r>
      <w:r w:rsidR="00CB3259" w:rsidRPr="006F07C8">
        <w:rPr>
          <w:rFonts w:ascii="Times New Roman" w:hAnsi="Times New Roman" w:cs="Times New Roman"/>
          <w:sz w:val="24"/>
          <w:szCs w:val="24"/>
          <w:lang w:val="it-IT"/>
        </w:rPr>
        <w:t>perché le disposizioni normative europee si applicano spesso a tutti i residenti e non solo ai cittadini.</w:t>
      </w:r>
    </w:p>
    <w:p w:rsidR="001D2C4F" w:rsidRPr="006F07C8" w:rsidRDefault="00B141D4" w:rsidP="002F52A9">
      <w:pPr>
        <w:spacing w:line="240" w:lineRule="auto"/>
        <w:jc w:val="both"/>
        <w:rPr>
          <w:rFonts w:ascii="Times New Roman" w:hAnsi="Times New Roman" w:cs="Times New Roman"/>
          <w:sz w:val="24"/>
          <w:szCs w:val="24"/>
          <w:lang w:val="it-IT"/>
        </w:rPr>
      </w:pPr>
      <w:r w:rsidRPr="006F07C8">
        <w:rPr>
          <w:rFonts w:ascii="Times New Roman" w:hAnsi="Times New Roman" w:cs="Times New Roman"/>
          <w:sz w:val="24"/>
          <w:szCs w:val="24"/>
          <w:lang w:val="it-IT"/>
        </w:rPr>
        <w:t xml:space="preserve">Il questionario </w:t>
      </w:r>
      <w:r w:rsidR="00EE3DDA" w:rsidRPr="006F07C8">
        <w:rPr>
          <w:rFonts w:ascii="Times New Roman" w:hAnsi="Times New Roman" w:cs="Times New Roman"/>
          <w:sz w:val="24"/>
          <w:szCs w:val="24"/>
          <w:lang w:val="it-IT"/>
        </w:rPr>
        <w:t xml:space="preserve">dell’indagine </w:t>
      </w:r>
      <w:r w:rsidRPr="006F07C8">
        <w:rPr>
          <w:rFonts w:ascii="Times New Roman" w:hAnsi="Times New Roman" w:cs="Times New Roman"/>
          <w:sz w:val="24"/>
          <w:szCs w:val="24"/>
          <w:lang w:val="it-IT"/>
        </w:rPr>
        <w:t xml:space="preserve">include </w:t>
      </w:r>
      <w:r w:rsidR="00160CA0" w:rsidRPr="006F07C8">
        <w:rPr>
          <w:rFonts w:ascii="Times New Roman" w:hAnsi="Times New Roman" w:cs="Times New Roman"/>
          <w:sz w:val="24"/>
          <w:szCs w:val="24"/>
          <w:lang w:val="it-IT"/>
        </w:rPr>
        <w:t>oltre 200</w:t>
      </w:r>
      <w:r w:rsidRPr="006F07C8">
        <w:rPr>
          <w:rFonts w:ascii="Times New Roman" w:hAnsi="Times New Roman" w:cs="Times New Roman"/>
          <w:sz w:val="24"/>
          <w:szCs w:val="24"/>
          <w:lang w:val="it-IT"/>
        </w:rPr>
        <w:t xml:space="preserve"> variabili</w:t>
      </w:r>
      <w:r w:rsidR="0067095F" w:rsidRPr="006F07C8">
        <w:rPr>
          <w:rFonts w:ascii="Times New Roman" w:hAnsi="Times New Roman" w:cs="Times New Roman"/>
          <w:sz w:val="24"/>
          <w:szCs w:val="24"/>
          <w:lang w:val="it-IT"/>
        </w:rPr>
        <w:t xml:space="preserve">. Si tratta </w:t>
      </w:r>
      <w:r w:rsidRPr="006F07C8">
        <w:rPr>
          <w:rFonts w:ascii="Times New Roman" w:hAnsi="Times New Roman" w:cs="Times New Roman"/>
          <w:sz w:val="24"/>
          <w:szCs w:val="24"/>
          <w:lang w:val="it-IT"/>
        </w:rPr>
        <w:t xml:space="preserve">principalmente </w:t>
      </w:r>
      <w:r w:rsidR="0067095F" w:rsidRPr="006F07C8">
        <w:rPr>
          <w:rFonts w:ascii="Times New Roman" w:hAnsi="Times New Roman" w:cs="Times New Roman"/>
          <w:sz w:val="24"/>
          <w:szCs w:val="24"/>
          <w:lang w:val="it-IT"/>
        </w:rPr>
        <w:t>di informazioni sull</w:t>
      </w:r>
      <w:r w:rsidRPr="006F07C8">
        <w:rPr>
          <w:rFonts w:ascii="Times New Roman" w:hAnsi="Times New Roman" w:cs="Times New Roman"/>
          <w:sz w:val="24"/>
          <w:szCs w:val="24"/>
          <w:lang w:val="it-IT"/>
        </w:rPr>
        <w:t xml:space="preserve">’istruzione e la formazione </w:t>
      </w:r>
      <w:r w:rsidR="0067095F" w:rsidRPr="006F07C8">
        <w:rPr>
          <w:rFonts w:ascii="Times New Roman" w:hAnsi="Times New Roman" w:cs="Times New Roman"/>
          <w:sz w:val="24"/>
          <w:szCs w:val="24"/>
          <w:lang w:val="it-IT"/>
        </w:rPr>
        <w:t xml:space="preserve">extra curricolare </w:t>
      </w:r>
      <w:r w:rsidR="000722B4" w:rsidRPr="006F07C8">
        <w:rPr>
          <w:rFonts w:ascii="Times New Roman" w:hAnsi="Times New Roman" w:cs="Times New Roman"/>
          <w:sz w:val="24"/>
          <w:szCs w:val="24"/>
          <w:lang w:val="it-IT"/>
        </w:rPr>
        <w:t>degli individui intervistati</w:t>
      </w:r>
      <w:r w:rsidRPr="006F07C8">
        <w:rPr>
          <w:rFonts w:ascii="Times New Roman" w:hAnsi="Times New Roman" w:cs="Times New Roman"/>
          <w:sz w:val="24"/>
          <w:szCs w:val="24"/>
          <w:lang w:val="it-IT"/>
        </w:rPr>
        <w:t xml:space="preserve">, ma </w:t>
      </w:r>
      <w:r w:rsidR="0067095F" w:rsidRPr="006F07C8">
        <w:rPr>
          <w:rFonts w:ascii="Times New Roman" w:hAnsi="Times New Roman" w:cs="Times New Roman"/>
          <w:sz w:val="24"/>
          <w:szCs w:val="24"/>
          <w:lang w:val="it-IT"/>
        </w:rPr>
        <w:t xml:space="preserve">molte variabili riguardano </w:t>
      </w:r>
      <w:r w:rsidR="000722B4" w:rsidRPr="006F07C8">
        <w:rPr>
          <w:rFonts w:ascii="Times New Roman" w:hAnsi="Times New Roman" w:cs="Times New Roman"/>
          <w:sz w:val="24"/>
          <w:szCs w:val="24"/>
          <w:lang w:val="it-IT"/>
        </w:rPr>
        <w:t xml:space="preserve">anche osservazioni sullo status socio-economico e professionale degli individui, il loro settore di attività economica e le loro competenze linguistiche. </w:t>
      </w:r>
      <w:r w:rsidR="001D2C4F" w:rsidRPr="006F07C8">
        <w:rPr>
          <w:rFonts w:ascii="Times New Roman" w:hAnsi="Times New Roman" w:cs="Times New Roman"/>
          <w:sz w:val="24"/>
          <w:szCs w:val="24"/>
          <w:lang w:val="it-IT"/>
        </w:rPr>
        <w:t xml:space="preserve">L’IEA permette di incrociare i dati sul profilo linguistico dei residenti in Europa con i dati sul loro status socio-economico, cosa che non è possibile fare con altre indagini sulla conoscenza delle lingue in Europa come </w:t>
      </w:r>
      <w:r w:rsidR="001D2C4F" w:rsidRPr="006F07C8">
        <w:rPr>
          <w:rFonts w:ascii="Times New Roman" w:hAnsi="Times New Roman" w:cs="Times New Roman"/>
          <w:i/>
          <w:sz w:val="24"/>
          <w:szCs w:val="24"/>
          <w:lang w:val="it-IT"/>
        </w:rPr>
        <w:t xml:space="preserve">Eurobarometro </w:t>
      </w:r>
      <w:r w:rsidR="001D2C4F" w:rsidRPr="006F07C8">
        <w:rPr>
          <w:rFonts w:ascii="Times New Roman" w:hAnsi="Times New Roman" w:cs="Times New Roman"/>
          <w:sz w:val="24"/>
          <w:szCs w:val="24"/>
          <w:lang w:val="it-IT"/>
        </w:rPr>
        <w:t>(</w:t>
      </w:r>
      <w:hyperlink w:anchor="_ENREF_15" w:tooltip="Commissione europea, 2012 #920" w:history="1">
        <w:r w:rsidR="00101624" w:rsidRPr="006F07C8">
          <w:rPr>
            <w:rFonts w:ascii="Times New Roman" w:hAnsi="Times New Roman" w:cs="Times New Roman"/>
            <w:sz w:val="24"/>
            <w:szCs w:val="24"/>
            <w:lang w:val="it-IT"/>
          </w:rPr>
          <w:fldChar w:fldCharType="begin"/>
        </w:r>
        <w:r w:rsidR="00101624" w:rsidRPr="006F07C8">
          <w:rPr>
            <w:rFonts w:ascii="Times New Roman" w:hAnsi="Times New Roman" w:cs="Times New Roman"/>
            <w:sz w:val="24"/>
            <w:szCs w:val="24"/>
            <w:lang w:val="it-IT"/>
          </w:rPr>
          <w:instrText xml:space="preserve"> ADDIN EN.CITE &lt;EndNote&gt;&lt;Cite&gt;&lt;Author&gt;Commissione europea&lt;/Author&gt;&lt;Year&gt;2012&lt;/Year&gt;&lt;RecNum&gt;920&lt;/RecNum&gt;&lt;DisplayText&gt;Commissione europea 2012a&lt;/DisplayText&gt;&lt;record&gt;&lt;rec-number&gt;920&lt;/rec-number&gt;&lt;foreign-keys&gt;&lt;key app="EN" db-id="wvvszzd93a0z5wesdfpvdv9z5wrra5p05axp"&gt;920&lt;/key&gt;&lt;/foreign-keys&gt;&lt;ref-type name="Report"&gt;27&lt;/ref-type&gt;&lt;contributors&gt;&lt;authors&gt;&lt;author&gt;Commissione europea,&lt;/author&gt;&lt;/authors&gt;&lt;/contributors&gt;&lt;titles&gt;&lt;title&gt;Europeans and their languages&lt;/title&gt;&lt;secondary-title&gt;Speciale Eurobarometero 386&lt;/secondary-title&gt;&lt;/titles&gt;&lt;keywords&gt;&lt;keyword&gt;changement structurel politique ©*conomique Union europ©*enne&lt;/keyword&gt;&lt;/keywords&gt;&lt;dates&gt;&lt;year&gt;2012&lt;/year&gt;&lt;/dates&gt;&lt;pub-location&gt;Bruxelles&lt;/pub-location&gt;&lt;publisher&gt;Commissione europea&lt;/publisher&gt;&lt;accession-num&gt;vtls002563308&lt;/accession-num&gt;&lt;urls&gt;&lt;/urls&gt;&lt;/record&gt;&lt;/Cite&gt;&lt;/EndNote&gt;</w:instrText>
        </w:r>
        <w:r w:rsidR="00101624" w:rsidRPr="006F07C8">
          <w:rPr>
            <w:rFonts w:ascii="Times New Roman" w:hAnsi="Times New Roman" w:cs="Times New Roman"/>
            <w:sz w:val="24"/>
            <w:szCs w:val="24"/>
            <w:lang w:val="it-IT"/>
          </w:rPr>
          <w:fldChar w:fldCharType="separate"/>
        </w:r>
        <w:r w:rsidR="00101624" w:rsidRPr="006F07C8">
          <w:rPr>
            <w:rFonts w:ascii="Times New Roman" w:hAnsi="Times New Roman" w:cs="Times New Roman"/>
            <w:noProof/>
            <w:sz w:val="24"/>
            <w:szCs w:val="24"/>
            <w:lang w:val="it-IT"/>
          </w:rPr>
          <w:t>Commissione europea 2012a</w:t>
        </w:r>
        <w:r w:rsidR="00101624" w:rsidRPr="006F07C8">
          <w:rPr>
            <w:rFonts w:ascii="Times New Roman" w:hAnsi="Times New Roman" w:cs="Times New Roman"/>
            <w:sz w:val="24"/>
            <w:szCs w:val="24"/>
            <w:lang w:val="it-IT"/>
          </w:rPr>
          <w:fldChar w:fldCharType="end"/>
        </w:r>
      </w:hyperlink>
      <w:r w:rsidR="001D2C4F" w:rsidRPr="006F07C8">
        <w:rPr>
          <w:rFonts w:ascii="Times New Roman" w:hAnsi="Times New Roman" w:cs="Times New Roman"/>
          <w:sz w:val="24"/>
          <w:szCs w:val="24"/>
          <w:lang w:val="it-IT"/>
        </w:rPr>
        <w:t>).</w:t>
      </w:r>
    </w:p>
    <w:p w:rsidR="000722B4" w:rsidRPr="006F07C8" w:rsidRDefault="000722B4" w:rsidP="002F52A9">
      <w:pPr>
        <w:spacing w:line="240" w:lineRule="auto"/>
        <w:jc w:val="both"/>
        <w:rPr>
          <w:rFonts w:ascii="Times New Roman" w:hAnsi="Times New Roman" w:cs="Times New Roman"/>
          <w:sz w:val="24"/>
          <w:szCs w:val="24"/>
          <w:lang w:val="it-IT"/>
        </w:rPr>
      </w:pPr>
      <w:r w:rsidRPr="006F07C8">
        <w:rPr>
          <w:rFonts w:ascii="Times New Roman" w:hAnsi="Times New Roman" w:cs="Times New Roman"/>
          <w:sz w:val="24"/>
          <w:szCs w:val="24"/>
          <w:lang w:val="it-IT"/>
        </w:rPr>
        <w:t xml:space="preserve">I dati raccolti nella </w:t>
      </w:r>
      <w:r w:rsidR="00136937" w:rsidRPr="006F07C8">
        <w:rPr>
          <w:rFonts w:ascii="Times New Roman" w:hAnsi="Times New Roman" w:cs="Times New Roman"/>
          <w:sz w:val="24"/>
          <w:szCs w:val="24"/>
          <w:lang w:val="it-IT"/>
        </w:rPr>
        <w:t>IEA</w:t>
      </w:r>
      <w:r w:rsidRPr="006F07C8">
        <w:rPr>
          <w:rFonts w:ascii="Times New Roman" w:hAnsi="Times New Roman" w:cs="Times New Roman"/>
          <w:sz w:val="24"/>
          <w:szCs w:val="24"/>
          <w:lang w:val="it-IT"/>
        </w:rPr>
        <w:t xml:space="preserve"> riguardano 38 lingue, incluse </w:t>
      </w:r>
      <w:r w:rsidR="005F6638" w:rsidRPr="006F07C8">
        <w:rPr>
          <w:rFonts w:ascii="Times New Roman" w:hAnsi="Times New Roman" w:cs="Times New Roman"/>
          <w:sz w:val="24"/>
          <w:szCs w:val="24"/>
          <w:lang w:val="it-IT"/>
        </w:rPr>
        <w:t>tutte</w:t>
      </w:r>
      <w:r w:rsidRPr="006F07C8">
        <w:rPr>
          <w:rFonts w:ascii="Times New Roman" w:hAnsi="Times New Roman" w:cs="Times New Roman"/>
          <w:sz w:val="24"/>
          <w:szCs w:val="24"/>
          <w:lang w:val="it-IT"/>
        </w:rPr>
        <w:t xml:space="preserve"> lingue ufficiali della UE, diverse lingue regionali e </w:t>
      </w:r>
      <w:r w:rsidR="005F6638" w:rsidRPr="006F07C8">
        <w:rPr>
          <w:rFonts w:ascii="Times New Roman" w:hAnsi="Times New Roman" w:cs="Times New Roman"/>
          <w:sz w:val="24"/>
          <w:szCs w:val="24"/>
          <w:lang w:val="it-IT"/>
        </w:rPr>
        <w:t xml:space="preserve">alcune lingue </w:t>
      </w:r>
      <w:r w:rsidRPr="006F07C8">
        <w:rPr>
          <w:rFonts w:ascii="Times New Roman" w:hAnsi="Times New Roman" w:cs="Times New Roman"/>
          <w:sz w:val="24"/>
          <w:szCs w:val="24"/>
          <w:lang w:val="it-IT"/>
        </w:rPr>
        <w:t>non-europee.</w:t>
      </w:r>
      <w:r w:rsidR="00C462F4" w:rsidRPr="006F07C8">
        <w:rPr>
          <w:rStyle w:val="FootnoteReference"/>
          <w:rFonts w:ascii="Times New Roman" w:hAnsi="Times New Roman" w:cs="Times New Roman"/>
          <w:sz w:val="24"/>
          <w:szCs w:val="24"/>
          <w:lang w:val="it-IT"/>
        </w:rPr>
        <w:footnoteReference w:id="19"/>
      </w:r>
      <w:r w:rsidRPr="006F07C8">
        <w:rPr>
          <w:rFonts w:ascii="Times New Roman" w:hAnsi="Times New Roman" w:cs="Times New Roman"/>
          <w:sz w:val="24"/>
          <w:szCs w:val="24"/>
          <w:lang w:val="it-IT"/>
        </w:rPr>
        <w:t xml:space="preserve"> </w:t>
      </w:r>
      <w:r w:rsidR="0067095F" w:rsidRPr="006F07C8">
        <w:rPr>
          <w:rFonts w:ascii="Times New Roman" w:hAnsi="Times New Roman" w:cs="Times New Roman"/>
          <w:sz w:val="24"/>
          <w:szCs w:val="24"/>
          <w:lang w:val="it-IT"/>
        </w:rPr>
        <w:t xml:space="preserve">Si dispone di </w:t>
      </w:r>
      <w:r w:rsidR="00F80C74" w:rsidRPr="006F07C8">
        <w:rPr>
          <w:rFonts w:ascii="Times New Roman" w:hAnsi="Times New Roman" w:cs="Times New Roman"/>
          <w:sz w:val="24"/>
          <w:szCs w:val="24"/>
          <w:lang w:val="it-IT"/>
        </w:rPr>
        <w:t>dati</w:t>
      </w:r>
      <w:r w:rsidR="0067095F" w:rsidRPr="006F07C8">
        <w:rPr>
          <w:rFonts w:ascii="Times New Roman" w:hAnsi="Times New Roman" w:cs="Times New Roman"/>
          <w:sz w:val="24"/>
          <w:szCs w:val="24"/>
          <w:lang w:val="it-IT"/>
        </w:rPr>
        <w:t xml:space="preserve"> su (i) </w:t>
      </w:r>
      <w:r w:rsidR="00071524" w:rsidRPr="006F07C8">
        <w:rPr>
          <w:rFonts w:ascii="Times New Roman" w:hAnsi="Times New Roman" w:cs="Times New Roman"/>
          <w:sz w:val="24"/>
          <w:szCs w:val="24"/>
          <w:lang w:val="it-IT"/>
        </w:rPr>
        <w:t>la prima e</w:t>
      </w:r>
      <w:r w:rsidR="00EE3DDA" w:rsidRPr="006F07C8">
        <w:rPr>
          <w:rFonts w:ascii="Times New Roman" w:hAnsi="Times New Roman" w:cs="Times New Roman"/>
          <w:sz w:val="24"/>
          <w:szCs w:val="24"/>
          <w:lang w:val="it-IT"/>
        </w:rPr>
        <w:t>d</w:t>
      </w:r>
      <w:r w:rsidR="00071524" w:rsidRPr="006F07C8">
        <w:rPr>
          <w:rFonts w:ascii="Times New Roman" w:hAnsi="Times New Roman" w:cs="Times New Roman"/>
          <w:sz w:val="24"/>
          <w:szCs w:val="24"/>
          <w:lang w:val="it-IT"/>
        </w:rPr>
        <w:t xml:space="preserve"> eventual</w:t>
      </w:r>
      <w:r w:rsidR="00071524" w:rsidRPr="006F07C8">
        <w:rPr>
          <w:rFonts w:ascii="Times New Roman" w:hAnsi="Times New Roman" w:cs="Times New Roman"/>
          <w:sz w:val="24"/>
          <w:szCs w:val="24"/>
          <w:lang w:val="it-IT"/>
        </w:rPr>
        <w:lastRenderedPageBreak/>
        <w:t>mente la seconda l</w:t>
      </w:r>
      <w:r w:rsidR="0067095F" w:rsidRPr="006F07C8">
        <w:rPr>
          <w:rFonts w:ascii="Times New Roman" w:hAnsi="Times New Roman" w:cs="Times New Roman"/>
          <w:sz w:val="24"/>
          <w:szCs w:val="24"/>
          <w:lang w:val="it-IT"/>
        </w:rPr>
        <w:t xml:space="preserve">ingua materna dell’intervistato; (ii) </w:t>
      </w:r>
      <w:r w:rsidR="00071524" w:rsidRPr="006F07C8">
        <w:rPr>
          <w:rFonts w:ascii="Times New Roman" w:hAnsi="Times New Roman" w:cs="Times New Roman"/>
          <w:sz w:val="24"/>
          <w:szCs w:val="24"/>
          <w:lang w:val="it-IT"/>
        </w:rPr>
        <w:t>le lingu</w:t>
      </w:r>
      <w:r w:rsidR="000329C3" w:rsidRPr="006F07C8">
        <w:rPr>
          <w:rFonts w:ascii="Times New Roman" w:hAnsi="Times New Roman" w:cs="Times New Roman"/>
          <w:sz w:val="24"/>
          <w:szCs w:val="24"/>
          <w:lang w:val="it-IT"/>
        </w:rPr>
        <w:t xml:space="preserve">e che egli dichiara di </w:t>
      </w:r>
      <w:r w:rsidR="00071524" w:rsidRPr="006F07C8">
        <w:rPr>
          <w:rFonts w:ascii="Times New Roman" w:hAnsi="Times New Roman" w:cs="Times New Roman"/>
          <w:sz w:val="24"/>
          <w:szCs w:val="24"/>
          <w:lang w:val="it-IT"/>
        </w:rPr>
        <w:t>conosc</w:t>
      </w:r>
      <w:r w:rsidR="000329C3" w:rsidRPr="006F07C8">
        <w:rPr>
          <w:rFonts w:ascii="Times New Roman" w:hAnsi="Times New Roman" w:cs="Times New Roman"/>
          <w:sz w:val="24"/>
          <w:szCs w:val="24"/>
          <w:lang w:val="it-IT"/>
        </w:rPr>
        <w:t>e</w:t>
      </w:r>
      <w:r w:rsidR="00F80C74" w:rsidRPr="006F07C8">
        <w:rPr>
          <w:rFonts w:ascii="Times New Roman" w:hAnsi="Times New Roman" w:cs="Times New Roman"/>
          <w:sz w:val="24"/>
          <w:szCs w:val="24"/>
          <w:lang w:val="it-IT"/>
        </w:rPr>
        <w:t>re</w:t>
      </w:r>
      <w:r w:rsidR="000329C3" w:rsidRPr="006F07C8">
        <w:rPr>
          <w:rFonts w:ascii="Times New Roman" w:hAnsi="Times New Roman" w:cs="Times New Roman"/>
          <w:sz w:val="24"/>
          <w:szCs w:val="24"/>
          <w:lang w:val="it-IT"/>
        </w:rPr>
        <w:t xml:space="preserve"> (a </w:t>
      </w:r>
      <w:r w:rsidR="00F80C74" w:rsidRPr="006F07C8">
        <w:rPr>
          <w:rFonts w:ascii="Times New Roman" w:hAnsi="Times New Roman" w:cs="Times New Roman"/>
          <w:sz w:val="24"/>
          <w:szCs w:val="24"/>
          <w:lang w:val="it-IT"/>
        </w:rPr>
        <w:t xml:space="preserve">prescindere dal </w:t>
      </w:r>
      <w:r w:rsidR="000329C3" w:rsidRPr="006F07C8">
        <w:rPr>
          <w:rFonts w:ascii="Times New Roman" w:hAnsi="Times New Roman" w:cs="Times New Roman"/>
          <w:sz w:val="24"/>
          <w:szCs w:val="24"/>
          <w:lang w:val="it-IT"/>
        </w:rPr>
        <w:t>livello</w:t>
      </w:r>
      <w:r w:rsidR="00364A94" w:rsidRPr="006F07C8">
        <w:rPr>
          <w:rFonts w:ascii="Times New Roman" w:hAnsi="Times New Roman" w:cs="Times New Roman"/>
          <w:sz w:val="24"/>
          <w:szCs w:val="24"/>
          <w:lang w:val="it-IT"/>
        </w:rPr>
        <w:t xml:space="preserve"> di competenza</w:t>
      </w:r>
      <w:r w:rsidR="000329C3" w:rsidRPr="006F07C8">
        <w:rPr>
          <w:rFonts w:ascii="Times New Roman" w:hAnsi="Times New Roman" w:cs="Times New Roman"/>
          <w:sz w:val="24"/>
          <w:szCs w:val="24"/>
          <w:lang w:val="it-IT"/>
        </w:rPr>
        <w:t>), inclusa la/le lingua/e materna/e</w:t>
      </w:r>
      <w:r w:rsidR="00364A94" w:rsidRPr="006F07C8">
        <w:rPr>
          <w:rFonts w:ascii="Times New Roman" w:hAnsi="Times New Roman" w:cs="Times New Roman"/>
          <w:sz w:val="24"/>
          <w:szCs w:val="24"/>
          <w:lang w:val="it-IT"/>
        </w:rPr>
        <w:t>,</w:t>
      </w:r>
      <w:r w:rsidR="000329C3" w:rsidRPr="006F07C8">
        <w:rPr>
          <w:rFonts w:ascii="Times New Roman" w:hAnsi="Times New Roman" w:cs="Times New Roman"/>
          <w:sz w:val="24"/>
          <w:szCs w:val="24"/>
          <w:lang w:val="it-IT"/>
        </w:rPr>
        <w:t xml:space="preserve"> </w:t>
      </w:r>
      <w:r w:rsidR="00071524" w:rsidRPr="006F07C8">
        <w:rPr>
          <w:rFonts w:ascii="Times New Roman" w:hAnsi="Times New Roman" w:cs="Times New Roman"/>
          <w:sz w:val="24"/>
          <w:szCs w:val="24"/>
          <w:lang w:val="it-IT"/>
        </w:rPr>
        <w:t xml:space="preserve">fino a </w:t>
      </w:r>
      <w:r w:rsidR="000329C3" w:rsidRPr="006F07C8">
        <w:rPr>
          <w:rFonts w:ascii="Times New Roman" w:hAnsi="Times New Roman" w:cs="Times New Roman"/>
          <w:sz w:val="24"/>
          <w:szCs w:val="24"/>
          <w:lang w:val="it-IT"/>
        </w:rPr>
        <w:t xml:space="preserve">un massimo di </w:t>
      </w:r>
      <w:r w:rsidR="00364A94" w:rsidRPr="006F07C8">
        <w:rPr>
          <w:rFonts w:ascii="Times New Roman" w:hAnsi="Times New Roman" w:cs="Times New Roman"/>
          <w:sz w:val="24"/>
          <w:szCs w:val="24"/>
          <w:lang w:val="it-IT"/>
        </w:rPr>
        <w:t>sette lingue;</w:t>
      </w:r>
      <w:r w:rsidR="0067095F" w:rsidRPr="006F07C8">
        <w:rPr>
          <w:rFonts w:ascii="Times New Roman" w:hAnsi="Times New Roman" w:cs="Times New Roman"/>
          <w:sz w:val="24"/>
          <w:szCs w:val="24"/>
          <w:lang w:val="it-IT"/>
        </w:rPr>
        <w:t xml:space="preserve"> </w:t>
      </w:r>
      <w:r w:rsidR="00071524" w:rsidRPr="006F07C8">
        <w:rPr>
          <w:rFonts w:ascii="Times New Roman" w:hAnsi="Times New Roman" w:cs="Times New Roman"/>
          <w:sz w:val="24"/>
          <w:szCs w:val="24"/>
          <w:lang w:val="it-IT"/>
        </w:rPr>
        <w:t>(iii) le due lingue straniere meglio conosciu</w:t>
      </w:r>
      <w:r w:rsidR="008F45EE" w:rsidRPr="006F07C8">
        <w:rPr>
          <w:rFonts w:ascii="Times New Roman" w:hAnsi="Times New Roman" w:cs="Times New Roman"/>
          <w:sz w:val="24"/>
          <w:szCs w:val="24"/>
          <w:lang w:val="it-IT"/>
        </w:rPr>
        <w:t>te.</w:t>
      </w:r>
      <w:r w:rsidR="00F80C74" w:rsidRPr="006F07C8">
        <w:rPr>
          <w:rFonts w:ascii="Times New Roman" w:hAnsi="Times New Roman" w:cs="Times New Roman"/>
          <w:sz w:val="24"/>
          <w:szCs w:val="24"/>
          <w:lang w:val="it-IT"/>
        </w:rPr>
        <w:t xml:space="preserve"> P</w:t>
      </w:r>
      <w:r w:rsidR="000329C3" w:rsidRPr="006F07C8">
        <w:rPr>
          <w:rFonts w:ascii="Times New Roman" w:hAnsi="Times New Roman" w:cs="Times New Roman"/>
          <w:sz w:val="24"/>
          <w:szCs w:val="24"/>
          <w:lang w:val="it-IT"/>
        </w:rPr>
        <w:t>er queste ultime</w:t>
      </w:r>
      <w:r w:rsidR="00071524" w:rsidRPr="006F07C8">
        <w:rPr>
          <w:rFonts w:ascii="Times New Roman" w:hAnsi="Times New Roman" w:cs="Times New Roman"/>
          <w:sz w:val="24"/>
          <w:szCs w:val="24"/>
          <w:lang w:val="it-IT"/>
        </w:rPr>
        <w:t xml:space="preserve"> l’</w:t>
      </w:r>
      <w:r w:rsidR="00136937" w:rsidRPr="006F07C8">
        <w:rPr>
          <w:rFonts w:ascii="Times New Roman" w:hAnsi="Times New Roman" w:cs="Times New Roman"/>
          <w:sz w:val="24"/>
          <w:szCs w:val="24"/>
          <w:lang w:val="it-IT"/>
        </w:rPr>
        <w:t>IEA</w:t>
      </w:r>
      <w:r w:rsidR="00071524" w:rsidRPr="006F07C8">
        <w:rPr>
          <w:rFonts w:ascii="Times New Roman" w:hAnsi="Times New Roman" w:cs="Times New Roman"/>
          <w:sz w:val="24"/>
          <w:szCs w:val="24"/>
          <w:lang w:val="it-IT"/>
        </w:rPr>
        <w:t xml:space="preserve"> fornisce anche informazioni sulla frequenza di utilizzo nel lavoro e nel tempo libero e, cosa ancora più interessante, sul livello di competenza acquisito. Agli intervistati è stato chiesto di autovalutare il proprio livello di competenza nelle due lingue straniere meglio conosciute su</w:t>
      </w:r>
      <w:r w:rsidR="00364A94" w:rsidRPr="006F07C8">
        <w:rPr>
          <w:rFonts w:ascii="Times New Roman" w:hAnsi="Times New Roman" w:cs="Times New Roman"/>
          <w:sz w:val="24"/>
          <w:szCs w:val="24"/>
          <w:lang w:val="it-IT"/>
        </w:rPr>
        <w:t xml:space="preserve"> </w:t>
      </w:r>
      <w:r w:rsidR="00071524" w:rsidRPr="006F07C8">
        <w:rPr>
          <w:rFonts w:ascii="Times New Roman" w:hAnsi="Times New Roman" w:cs="Times New Roman"/>
          <w:sz w:val="24"/>
          <w:szCs w:val="24"/>
          <w:lang w:val="it-IT"/>
        </w:rPr>
        <w:t>una scala articolata su quattro livelli</w:t>
      </w:r>
      <w:r w:rsidR="007E5519" w:rsidRPr="006F07C8">
        <w:rPr>
          <w:rFonts w:ascii="Times New Roman" w:hAnsi="Times New Roman" w:cs="Times New Roman"/>
          <w:sz w:val="24"/>
          <w:szCs w:val="24"/>
          <w:lang w:val="it-IT"/>
        </w:rPr>
        <w:t xml:space="preserve"> formalmente definiti</w:t>
      </w:r>
      <w:r w:rsidR="005A1E18" w:rsidRPr="006F07C8">
        <w:rPr>
          <w:rFonts w:ascii="Times New Roman" w:hAnsi="Times New Roman" w:cs="Times New Roman"/>
          <w:sz w:val="24"/>
          <w:szCs w:val="24"/>
          <w:lang w:val="it-IT"/>
        </w:rPr>
        <w:t xml:space="preserve"> come</w:t>
      </w:r>
      <w:r w:rsidR="007E5519" w:rsidRPr="006F07C8">
        <w:rPr>
          <w:rFonts w:ascii="Times New Roman" w:hAnsi="Times New Roman" w:cs="Times New Roman"/>
          <w:sz w:val="24"/>
          <w:szCs w:val="24"/>
          <w:lang w:val="it-IT"/>
        </w:rPr>
        <w:t xml:space="preserve">: </w:t>
      </w:r>
    </w:p>
    <w:p w:rsidR="007E5519" w:rsidRPr="006F07C8" w:rsidRDefault="007E5519" w:rsidP="002F52A9">
      <w:pPr>
        <w:pStyle w:val="ListParagraph"/>
        <w:numPr>
          <w:ilvl w:val="0"/>
          <w:numId w:val="2"/>
        </w:numPr>
        <w:spacing w:line="240" w:lineRule="auto"/>
        <w:jc w:val="both"/>
        <w:rPr>
          <w:rFonts w:ascii="Times New Roman" w:hAnsi="Times New Roman" w:cs="Times New Roman"/>
          <w:sz w:val="24"/>
          <w:szCs w:val="24"/>
          <w:lang w:val="it-IT"/>
        </w:rPr>
      </w:pPr>
      <w:r w:rsidRPr="006F07C8">
        <w:rPr>
          <w:rFonts w:ascii="Times New Roman" w:hAnsi="Times New Roman" w:cs="Times New Roman"/>
          <w:sz w:val="24"/>
          <w:szCs w:val="24"/>
          <w:lang w:val="it-IT"/>
        </w:rPr>
        <w:t>Base (“posso capire</w:t>
      </w:r>
      <w:r w:rsidR="005A1E18" w:rsidRPr="006F07C8">
        <w:rPr>
          <w:rFonts w:ascii="Times New Roman" w:hAnsi="Times New Roman" w:cs="Times New Roman"/>
          <w:sz w:val="24"/>
          <w:szCs w:val="24"/>
          <w:lang w:val="it-IT"/>
        </w:rPr>
        <w:t xml:space="preserve"> e usare poche parole o frasi”).</w:t>
      </w:r>
    </w:p>
    <w:p w:rsidR="007E5519" w:rsidRPr="006F07C8" w:rsidRDefault="007E5519" w:rsidP="002F52A9">
      <w:pPr>
        <w:pStyle w:val="ListParagraph"/>
        <w:numPr>
          <w:ilvl w:val="0"/>
          <w:numId w:val="2"/>
        </w:numPr>
        <w:spacing w:line="240" w:lineRule="auto"/>
        <w:jc w:val="both"/>
        <w:rPr>
          <w:rFonts w:ascii="Times New Roman" w:hAnsi="Times New Roman" w:cs="Times New Roman"/>
          <w:sz w:val="24"/>
          <w:szCs w:val="24"/>
          <w:lang w:val="it-IT"/>
        </w:rPr>
      </w:pPr>
      <w:r w:rsidRPr="006F07C8">
        <w:rPr>
          <w:rFonts w:ascii="Times New Roman" w:hAnsi="Times New Roman" w:cs="Times New Roman"/>
          <w:sz w:val="24"/>
          <w:szCs w:val="24"/>
          <w:lang w:val="it-IT"/>
        </w:rPr>
        <w:t xml:space="preserve">Discreto (“posso capire e usare le espressioni quotidiane più frequenti. Uso la lingua in relazione </w:t>
      </w:r>
      <w:r w:rsidR="005A1E18" w:rsidRPr="006F07C8">
        <w:rPr>
          <w:rFonts w:ascii="Times New Roman" w:hAnsi="Times New Roman" w:cs="Times New Roman"/>
          <w:sz w:val="24"/>
          <w:szCs w:val="24"/>
          <w:lang w:val="it-IT"/>
        </w:rPr>
        <w:t>a cose e situazioni familiari”).</w:t>
      </w:r>
    </w:p>
    <w:p w:rsidR="007E5519" w:rsidRPr="006F07C8" w:rsidRDefault="007E5519" w:rsidP="002F52A9">
      <w:pPr>
        <w:pStyle w:val="ListParagraph"/>
        <w:numPr>
          <w:ilvl w:val="0"/>
          <w:numId w:val="2"/>
        </w:numPr>
        <w:spacing w:line="240" w:lineRule="auto"/>
        <w:jc w:val="both"/>
        <w:rPr>
          <w:rFonts w:ascii="Times New Roman" w:hAnsi="Times New Roman" w:cs="Times New Roman"/>
          <w:sz w:val="24"/>
          <w:szCs w:val="24"/>
          <w:lang w:val="it-IT"/>
        </w:rPr>
      </w:pPr>
      <w:r w:rsidRPr="006F07C8">
        <w:rPr>
          <w:rFonts w:ascii="Times New Roman" w:hAnsi="Times New Roman" w:cs="Times New Roman"/>
          <w:sz w:val="24"/>
          <w:szCs w:val="24"/>
          <w:lang w:val="it-IT"/>
        </w:rPr>
        <w:t>Buono (“Posso capire l’es</w:t>
      </w:r>
      <w:r w:rsidR="0095788A" w:rsidRPr="006F07C8">
        <w:rPr>
          <w:rFonts w:ascii="Times New Roman" w:hAnsi="Times New Roman" w:cs="Times New Roman"/>
          <w:sz w:val="24"/>
          <w:szCs w:val="24"/>
          <w:lang w:val="it-IT"/>
        </w:rPr>
        <w:t>senziale di un linguaggio chiaro</w:t>
      </w:r>
      <w:r w:rsidRPr="006F07C8">
        <w:rPr>
          <w:rFonts w:ascii="Times New Roman" w:hAnsi="Times New Roman" w:cs="Times New Roman"/>
          <w:sz w:val="24"/>
          <w:szCs w:val="24"/>
          <w:lang w:val="it-IT"/>
        </w:rPr>
        <w:t xml:space="preserve"> e produrre testi semplici. Posso de</w:t>
      </w:r>
      <w:r w:rsidR="006B4D6C" w:rsidRPr="006F07C8">
        <w:rPr>
          <w:rFonts w:ascii="Times New Roman" w:hAnsi="Times New Roman" w:cs="Times New Roman"/>
          <w:sz w:val="24"/>
          <w:szCs w:val="24"/>
          <w:lang w:val="it-IT"/>
        </w:rPr>
        <w:t>scrivere esperienze e</w:t>
      </w:r>
      <w:r w:rsidRPr="006F07C8">
        <w:rPr>
          <w:rFonts w:ascii="Times New Roman" w:hAnsi="Times New Roman" w:cs="Times New Roman"/>
          <w:sz w:val="24"/>
          <w:szCs w:val="24"/>
          <w:lang w:val="it-IT"/>
        </w:rPr>
        <w:t xml:space="preserve"> fatti”)</w:t>
      </w:r>
      <w:r w:rsidR="005A1E18" w:rsidRPr="006F07C8">
        <w:rPr>
          <w:rFonts w:ascii="Times New Roman" w:hAnsi="Times New Roman" w:cs="Times New Roman"/>
          <w:sz w:val="24"/>
          <w:szCs w:val="24"/>
          <w:lang w:val="it-IT"/>
        </w:rPr>
        <w:t>.</w:t>
      </w:r>
    </w:p>
    <w:p w:rsidR="007E5519" w:rsidRPr="006F07C8" w:rsidRDefault="009B7F35" w:rsidP="002F52A9">
      <w:pPr>
        <w:pStyle w:val="ListParagraph"/>
        <w:numPr>
          <w:ilvl w:val="0"/>
          <w:numId w:val="2"/>
        </w:numPr>
        <w:spacing w:line="240" w:lineRule="auto"/>
        <w:jc w:val="both"/>
        <w:rPr>
          <w:rFonts w:ascii="Times New Roman" w:hAnsi="Times New Roman" w:cs="Times New Roman"/>
          <w:sz w:val="24"/>
          <w:szCs w:val="24"/>
          <w:lang w:val="it-IT"/>
        </w:rPr>
      </w:pPr>
      <w:r w:rsidRPr="006F07C8">
        <w:rPr>
          <w:rFonts w:ascii="Times New Roman" w:hAnsi="Times New Roman" w:cs="Times New Roman"/>
          <w:sz w:val="24"/>
          <w:szCs w:val="24"/>
          <w:lang w:val="it-IT"/>
        </w:rPr>
        <w:t>Eccellente</w:t>
      </w:r>
      <w:r w:rsidR="007E5519" w:rsidRPr="006F07C8">
        <w:rPr>
          <w:rFonts w:ascii="Times New Roman" w:hAnsi="Times New Roman" w:cs="Times New Roman"/>
          <w:sz w:val="24"/>
          <w:szCs w:val="24"/>
          <w:lang w:val="it-IT"/>
        </w:rPr>
        <w:t xml:space="preserve"> (“Posso capire un’ampia gamma di testi complessi e usare la lingua in modo flessibile. Padroneggio la lingua quasi totalmente”).</w:t>
      </w:r>
    </w:p>
    <w:p w:rsidR="00DB5A37" w:rsidRPr="006F07C8" w:rsidRDefault="00F80C74" w:rsidP="002F52A9">
      <w:pPr>
        <w:spacing w:line="240" w:lineRule="auto"/>
        <w:jc w:val="both"/>
        <w:rPr>
          <w:rFonts w:ascii="Times New Roman" w:hAnsi="Times New Roman" w:cs="Times New Roman"/>
          <w:sz w:val="24"/>
          <w:szCs w:val="24"/>
          <w:lang w:val="it-IT"/>
        </w:rPr>
      </w:pPr>
      <w:r w:rsidRPr="006F07C8">
        <w:rPr>
          <w:rFonts w:ascii="Times New Roman" w:hAnsi="Times New Roman" w:cs="Times New Roman"/>
          <w:sz w:val="24"/>
          <w:szCs w:val="24"/>
          <w:lang w:val="it-IT"/>
        </w:rPr>
        <w:t>I</w:t>
      </w:r>
      <w:r w:rsidR="00DB5A37" w:rsidRPr="006F07C8">
        <w:rPr>
          <w:rFonts w:ascii="Times New Roman" w:hAnsi="Times New Roman" w:cs="Times New Roman"/>
          <w:sz w:val="24"/>
          <w:szCs w:val="24"/>
          <w:lang w:val="it-IT"/>
        </w:rPr>
        <w:t xml:space="preserve"> dati sulle competenze linguistiche si fondano su dichiarazioni soggettive degli intervistati e non hanno quindi l’affidabilità di misurazioni oggettive e standardizzate. Tuttavia</w:t>
      </w:r>
      <w:r w:rsidR="005D1ED8" w:rsidRPr="006F07C8">
        <w:rPr>
          <w:rFonts w:ascii="Times New Roman" w:hAnsi="Times New Roman" w:cs="Times New Roman"/>
          <w:sz w:val="24"/>
          <w:szCs w:val="24"/>
          <w:lang w:val="it-IT"/>
        </w:rPr>
        <w:t>,</w:t>
      </w:r>
      <w:r w:rsidR="00DB5A37" w:rsidRPr="006F07C8">
        <w:rPr>
          <w:rFonts w:ascii="Times New Roman" w:hAnsi="Times New Roman" w:cs="Times New Roman"/>
          <w:sz w:val="24"/>
          <w:szCs w:val="24"/>
          <w:lang w:val="it-IT"/>
        </w:rPr>
        <w:t xml:space="preserve"> la presenza di una griglia formale di autovalutazione permette di nutrire una certa fiducia sulla loro affidabilità media.</w:t>
      </w:r>
      <w:r w:rsidR="005D1ED8" w:rsidRPr="006F07C8">
        <w:rPr>
          <w:rFonts w:ascii="Times New Roman" w:hAnsi="Times New Roman" w:cs="Times New Roman"/>
          <w:sz w:val="24"/>
          <w:szCs w:val="24"/>
          <w:lang w:val="it-IT"/>
        </w:rPr>
        <w:t xml:space="preserve"> </w:t>
      </w:r>
      <w:r w:rsidR="00C462F4" w:rsidRPr="006F07C8">
        <w:rPr>
          <w:rFonts w:ascii="Times New Roman" w:hAnsi="Times New Roman" w:cs="Times New Roman"/>
          <w:sz w:val="24"/>
          <w:szCs w:val="24"/>
          <w:lang w:val="it-IT"/>
        </w:rPr>
        <w:t>Un altro fattore rassicurante è</w:t>
      </w:r>
      <w:r w:rsidR="005D1ED8" w:rsidRPr="006F07C8">
        <w:rPr>
          <w:rFonts w:ascii="Times New Roman" w:hAnsi="Times New Roman" w:cs="Times New Roman"/>
          <w:sz w:val="24"/>
          <w:szCs w:val="24"/>
          <w:lang w:val="it-IT"/>
        </w:rPr>
        <w:t xml:space="preserve"> </w:t>
      </w:r>
      <w:r w:rsidR="00C462F4" w:rsidRPr="006F07C8">
        <w:rPr>
          <w:rFonts w:ascii="Times New Roman" w:hAnsi="Times New Roman" w:cs="Times New Roman"/>
          <w:sz w:val="24"/>
          <w:szCs w:val="24"/>
          <w:lang w:val="it-IT"/>
        </w:rPr>
        <w:t xml:space="preserve">l’alto numero di osservazioni statistiche a nostra disposizione; infatti, </w:t>
      </w:r>
      <w:r w:rsidR="005D1ED8" w:rsidRPr="006F07C8">
        <w:rPr>
          <w:rFonts w:ascii="Times New Roman" w:hAnsi="Times New Roman" w:cs="Times New Roman"/>
          <w:sz w:val="24"/>
          <w:szCs w:val="24"/>
          <w:lang w:val="it-IT"/>
        </w:rPr>
        <w:t>“i pericoli legati all'autovalutazione diminuiscono con l'aumentare del campione” (</w:t>
      </w:r>
      <w:r w:rsidR="005D1ED8" w:rsidRPr="006F07C8">
        <w:rPr>
          <w:rFonts w:ascii="Times New Roman" w:hAnsi="Times New Roman" w:cs="Times New Roman"/>
          <w:noProof/>
          <w:sz w:val="24"/>
          <w:szCs w:val="24"/>
          <w:lang w:val="it-IT"/>
        </w:rPr>
        <w:t>Dell'Aquila e Iannàccaro</w:t>
      </w:r>
      <w:r w:rsidR="005D1ED8" w:rsidRPr="006F07C8">
        <w:rPr>
          <w:rFonts w:ascii="Times New Roman" w:hAnsi="Times New Roman" w:cs="Times New Roman"/>
          <w:sz w:val="24"/>
          <w:szCs w:val="24"/>
          <w:lang w:val="it-IT"/>
        </w:rPr>
        <w:t xml:space="preserve"> </w:t>
      </w:r>
      <w:hyperlink w:anchor="_ENREF_23" w:tooltip="Dell'Aquila, 2006 #946" w:history="1">
        <w:r w:rsidR="00101624" w:rsidRPr="006F07C8">
          <w:rPr>
            <w:rFonts w:ascii="Times New Roman" w:hAnsi="Times New Roman" w:cs="Times New Roman"/>
            <w:sz w:val="24"/>
            <w:szCs w:val="24"/>
            <w:lang w:val="it-IT"/>
          </w:rPr>
          <w:fldChar w:fldCharType="begin"/>
        </w:r>
        <w:r w:rsidR="00101624" w:rsidRPr="006F07C8">
          <w:rPr>
            <w:rFonts w:ascii="Times New Roman" w:hAnsi="Times New Roman" w:cs="Times New Roman"/>
            <w:sz w:val="24"/>
            <w:szCs w:val="24"/>
            <w:lang w:val="it-IT"/>
          </w:rPr>
          <w:instrText xml:space="preserve"> ADDIN EN.CITE &lt;EndNote&gt;&lt;Cite ExcludeAuth="1"&gt;&lt;Author&gt;Dell&amp;apos;Aquila&lt;/Author&gt;&lt;Year&gt;2006&lt;/Year&gt;&lt;RecNum&gt;946&lt;/RecNum&gt;&lt;Pages&gt;19&lt;/Pages&gt;&lt;DisplayText&gt;2006: 19&lt;/DisplayText&gt;&lt;record&gt;&lt;rec-number&gt;946&lt;/rec-number&gt;&lt;foreign-keys&gt;&lt;key app="EN" db-id="wvvszzd93a0z5wesdfpvdv9z5wrra5p05axp"&gt;946&lt;/key&gt;&lt;/foreign-keys&gt;&lt;ref-type name="Book"&gt;6&lt;/ref-type&gt;&lt;contributors&gt;&lt;authors&gt;&lt;author&gt;Dell&amp;apos;Aquila, Vittorio&lt;/author&gt;&lt;author&gt;Iannàccaro, Gabriele&lt;/author&gt;&lt;/authors&gt;&lt;/contributors&gt;&lt;titles&gt;&lt;title&gt;Survey ladins. Usi linguistici nelle valli ladine&lt;/title&gt;&lt;/titles&gt;&lt;pages&gt;209&lt;/pages&gt;&lt;dates&gt;&lt;year&gt;2006&lt;/year&gt;&lt;/dates&gt;&lt;pub-location&gt;Trento&lt;/pub-location&gt;&lt;publisher&gt;Istitut Cultural Ladin «Majon di Fascegn», Provincia Autonoma di Trento, Centre d&amp;apos;Études Linguistiques pour l&amp;apos;Europe&lt;/publisher&gt;&lt;urls&gt;&lt;/urls&gt;&lt;/record&gt;&lt;/Cite&gt;&lt;/EndNote&gt;</w:instrText>
        </w:r>
        <w:r w:rsidR="00101624" w:rsidRPr="006F07C8">
          <w:rPr>
            <w:rFonts w:ascii="Times New Roman" w:hAnsi="Times New Roman" w:cs="Times New Roman"/>
            <w:sz w:val="24"/>
            <w:szCs w:val="24"/>
            <w:lang w:val="it-IT"/>
          </w:rPr>
          <w:fldChar w:fldCharType="separate"/>
        </w:r>
        <w:r w:rsidR="00101624" w:rsidRPr="006F07C8">
          <w:rPr>
            <w:rFonts w:ascii="Times New Roman" w:hAnsi="Times New Roman" w:cs="Times New Roman"/>
            <w:noProof/>
            <w:sz w:val="24"/>
            <w:szCs w:val="24"/>
            <w:lang w:val="it-IT"/>
          </w:rPr>
          <w:t>2006: 19</w:t>
        </w:r>
        <w:r w:rsidR="00101624" w:rsidRPr="006F07C8">
          <w:rPr>
            <w:rFonts w:ascii="Times New Roman" w:hAnsi="Times New Roman" w:cs="Times New Roman"/>
            <w:sz w:val="24"/>
            <w:szCs w:val="24"/>
            <w:lang w:val="it-IT"/>
          </w:rPr>
          <w:fldChar w:fldCharType="end"/>
        </w:r>
      </w:hyperlink>
      <w:r w:rsidR="005D1ED8" w:rsidRPr="006F07C8">
        <w:rPr>
          <w:rFonts w:ascii="Times New Roman" w:hAnsi="Times New Roman" w:cs="Times New Roman"/>
          <w:sz w:val="24"/>
          <w:szCs w:val="24"/>
          <w:lang w:val="it-IT"/>
        </w:rPr>
        <w:t>).</w:t>
      </w:r>
    </w:p>
    <w:p w:rsidR="00AA4DBE" w:rsidRPr="006F07C8" w:rsidRDefault="00AA4DBE" w:rsidP="002F52A9">
      <w:pPr>
        <w:pStyle w:val="Heading3"/>
        <w:spacing w:after="120" w:line="240" w:lineRule="auto"/>
        <w:ind w:firstLine="708"/>
        <w:rPr>
          <w:rFonts w:ascii="Times New Roman" w:hAnsi="Times New Roman" w:cs="Times New Roman"/>
          <w:i/>
          <w:sz w:val="24"/>
          <w:lang w:val="it-IT"/>
        </w:rPr>
      </w:pPr>
      <w:bookmarkStart w:id="7" w:name="_Toc384652924"/>
      <w:r w:rsidRPr="006F07C8">
        <w:rPr>
          <w:rFonts w:ascii="Times New Roman" w:hAnsi="Times New Roman" w:cs="Times New Roman"/>
          <w:i/>
          <w:sz w:val="24"/>
          <w:lang w:val="it-IT"/>
        </w:rPr>
        <w:t>3.2 Gli indicatori</w:t>
      </w:r>
      <w:bookmarkEnd w:id="7"/>
    </w:p>
    <w:p w:rsidR="00D35DC1" w:rsidRPr="006F07C8" w:rsidRDefault="00E81CAC" w:rsidP="002F52A9">
      <w:pPr>
        <w:spacing w:after="120" w:line="240" w:lineRule="auto"/>
        <w:jc w:val="both"/>
        <w:rPr>
          <w:rFonts w:ascii="Times New Roman" w:hAnsi="Times New Roman" w:cs="Times New Roman"/>
          <w:sz w:val="24"/>
          <w:szCs w:val="24"/>
          <w:lang w:val="it-IT"/>
        </w:rPr>
      </w:pPr>
      <w:r w:rsidRPr="006F07C8">
        <w:rPr>
          <w:rFonts w:ascii="Times New Roman" w:hAnsi="Times New Roman" w:cs="Times New Roman"/>
          <w:sz w:val="24"/>
          <w:szCs w:val="24"/>
          <w:lang w:val="it-IT"/>
        </w:rPr>
        <w:t xml:space="preserve">È necessario ora chiarire </w:t>
      </w:r>
      <w:r w:rsidR="00704C2E" w:rsidRPr="006F07C8">
        <w:rPr>
          <w:rFonts w:ascii="Times New Roman" w:hAnsi="Times New Roman" w:cs="Times New Roman"/>
          <w:sz w:val="24"/>
          <w:szCs w:val="24"/>
          <w:lang w:val="it-IT"/>
        </w:rPr>
        <w:t xml:space="preserve">cosa si intende per efficacia </w:t>
      </w:r>
      <w:r w:rsidR="00932C6B" w:rsidRPr="006F07C8">
        <w:rPr>
          <w:rFonts w:ascii="Times New Roman" w:hAnsi="Times New Roman" w:cs="Times New Roman"/>
          <w:sz w:val="24"/>
          <w:szCs w:val="24"/>
          <w:lang w:val="it-IT"/>
        </w:rPr>
        <w:t xml:space="preserve">ed equità </w:t>
      </w:r>
      <w:r w:rsidR="00704C2E" w:rsidRPr="006F07C8">
        <w:rPr>
          <w:rFonts w:ascii="Times New Roman" w:hAnsi="Times New Roman" w:cs="Times New Roman"/>
          <w:sz w:val="24"/>
          <w:szCs w:val="24"/>
          <w:lang w:val="it-IT"/>
        </w:rPr>
        <w:t>di un regime linguistico</w:t>
      </w:r>
      <w:r w:rsidR="004B3F72" w:rsidRPr="006F07C8">
        <w:rPr>
          <w:rFonts w:ascii="Times New Roman" w:hAnsi="Times New Roman" w:cs="Times New Roman"/>
          <w:sz w:val="24"/>
          <w:szCs w:val="24"/>
          <w:lang w:val="it-IT"/>
        </w:rPr>
        <w:t>.</w:t>
      </w:r>
      <w:r w:rsidR="004A2E6A" w:rsidRPr="006F07C8">
        <w:rPr>
          <w:rFonts w:ascii="Times New Roman" w:hAnsi="Times New Roman" w:cs="Times New Roman"/>
          <w:sz w:val="24"/>
          <w:szCs w:val="24"/>
          <w:lang w:val="it-IT"/>
        </w:rPr>
        <w:t xml:space="preserve"> I</w:t>
      </w:r>
      <w:r w:rsidR="000329C3" w:rsidRPr="006F07C8">
        <w:rPr>
          <w:rFonts w:ascii="Times New Roman" w:hAnsi="Times New Roman" w:cs="Times New Roman"/>
          <w:sz w:val="24"/>
          <w:szCs w:val="24"/>
          <w:lang w:val="it-IT"/>
        </w:rPr>
        <w:t>n generale, u</w:t>
      </w:r>
      <w:r w:rsidR="004B3F72" w:rsidRPr="006F07C8">
        <w:rPr>
          <w:rFonts w:ascii="Times New Roman" w:hAnsi="Times New Roman" w:cs="Times New Roman"/>
          <w:sz w:val="24"/>
          <w:szCs w:val="24"/>
          <w:lang w:val="it-IT"/>
        </w:rPr>
        <w:t xml:space="preserve">na politica è </w:t>
      </w:r>
      <w:r w:rsidR="000B25E0" w:rsidRPr="006F07C8">
        <w:rPr>
          <w:rFonts w:ascii="Times New Roman" w:hAnsi="Times New Roman" w:cs="Times New Roman"/>
          <w:sz w:val="24"/>
          <w:szCs w:val="24"/>
          <w:lang w:val="it-IT"/>
        </w:rPr>
        <w:t>efficac</w:t>
      </w:r>
      <w:r w:rsidR="004B3F72" w:rsidRPr="006F07C8">
        <w:rPr>
          <w:rFonts w:ascii="Times New Roman" w:hAnsi="Times New Roman" w:cs="Times New Roman"/>
          <w:sz w:val="24"/>
          <w:szCs w:val="24"/>
          <w:lang w:val="it-IT"/>
        </w:rPr>
        <w:t xml:space="preserve">e se ha </w:t>
      </w:r>
      <w:r w:rsidR="000B25E0" w:rsidRPr="006F07C8">
        <w:rPr>
          <w:rFonts w:ascii="Times New Roman" w:hAnsi="Times New Roman" w:cs="Times New Roman"/>
          <w:sz w:val="24"/>
          <w:szCs w:val="24"/>
          <w:lang w:val="it-IT"/>
        </w:rPr>
        <w:t xml:space="preserve">un effetto </w:t>
      </w:r>
      <w:r w:rsidR="004B3F72" w:rsidRPr="006F07C8">
        <w:rPr>
          <w:rFonts w:ascii="Times New Roman" w:hAnsi="Times New Roman" w:cs="Times New Roman"/>
          <w:sz w:val="24"/>
          <w:szCs w:val="24"/>
          <w:lang w:val="it-IT"/>
        </w:rPr>
        <w:t xml:space="preserve">sulla popolazione obiettivo, cioè se essa porta a dei </w:t>
      </w:r>
      <w:r w:rsidR="000B25E0" w:rsidRPr="006F07C8">
        <w:rPr>
          <w:rFonts w:ascii="Times New Roman" w:hAnsi="Times New Roman" w:cs="Times New Roman"/>
          <w:sz w:val="24"/>
          <w:szCs w:val="24"/>
          <w:lang w:val="it-IT"/>
        </w:rPr>
        <w:t>risultati</w:t>
      </w:r>
      <w:r w:rsidR="00704C2E" w:rsidRPr="006F07C8">
        <w:rPr>
          <w:rFonts w:ascii="Times New Roman" w:hAnsi="Times New Roman" w:cs="Times New Roman"/>
          <w:sz w:val="24"/>
          <w:szCs w:val="24"/>
          <w:lang w:val="it-IT"/>
        </w:rPr>
        <w:t xml:space="preserve"> coerenti con </w:t>
      </w:r>
      <w:r w:rsidR="00932C6B" w:rsidRPr="006F07C8">
        <w:rPr>
          <w:rFonts w:ascii="Times New Roman" w:hAnsi="Times New Roman" w:cs="Times New Roman"/>
          <w:sz w:val="24"/>
          <w:szCs w:val="24"/>
          <w:lang w:val="it-IT"/>
        </w:rPr>
        <w:t>le finalità perseguite</w:t>
      </w:r>
      <w:r w:rsidR="000B25E0" w:rsidRPr="006F07C8">
        <w:rPr>
          <w:rFonts w:ascii="Times New Roman" w:hAnsi="Times New Roman" w:cs="Times New Roman"/>
          <w:sz w:val="24"/>
          <w:szCs w:val="24"/>
          <w:lang w:val="it-IT"/>
        </w:rPr>
        <w:t xml:space="preserve">. </w:t>
      </w:r>
      <w:r w:rsidR="003111A5" w:rsidRPr="006F07C8">
        <w:rPr>
          <w:rFonts w:ascii="Times New Roman" w:hAnsi="Times New Roman" w:cs="Times New Roman"/>
          <w:sz w:val="24"/>
          <w:szCs w:val="24"/>
          <w:lang w:val="it-IT"/>
        </w:rPr>
        <w:t>U</w:t>
      </w:r>
      <w:r w:rsidR="000B25E0" w:rsidRPr="006F07C8">
        <w:rPr>
          <w:rFonts w:ascii="Times New Roman" w:hAnsi="Times New Roman" w:cs="Times New Roman"/>
          <w:sz w:val="24"/>
          <w:szCs w:val="24"/>
          <w:lang w:val="it-IT"/>
        </w:rPr>
        <w:t>n</w:t>
      </w:r>
      <w:r w:rsidR="00704C2E" w:rsidRPr="006F07C8">
        <w:rPr>
          <w:rFonts w:ascii="Times New Roman" w:hAnsi="Times New Roman" w:cs="Times New Roman"/>
          <w:sz w:val="24"/>
          <w:szCs w:val="24"/>
          <w:lang w:val="it-IT"/>
        </w:rPr>
        <w:t xml:space="preserve"> regime linguistico</w:t>
      </w:r>
      <w:r w:rsidR="000B25E0" w:rsidRPr="006F07C8">
        <w:rPr>
          <w:rFonts w:ascii="Times New Roman" w:hAnsi="Times New Roman" w:cs="Times New Roman"/>
          <w:sz w:val="24"/>
          <w:szCs w:val="24"/>
          <w:lang w:val="it-IT"/>
        </w:rPr>
        <w:t xml:space="preserve"> </w:t>
      </w:r>
      <w:r w:rsidR="003111A5" w:rsidRPr="006F07C8">
        <w:rPr>
          <w:rFonts w:ascii="Times New Roman" w:hAnsi="Times New Roman" w:cs="Times New Roman"/>
          <w:sz w:val="24"/>
          <w:szCs w:val="24"/>
          <w:lang w:val="it-IT"/>
        </w:rPr>
        <w:t xml:space="preserve">è </w:t>
      </w:r>
      <w:r w:rsidR="000B25E0" w:rsidRPr="006F07C8">
        <w:rPr>
          <w:rFonts w:ascii="Times New Roman" w:hAnsi="Times New Roman" w:cs="Times New Roman"/>
          <w:sz w:val="24"/>
          <w:szCs w:val="24"/>
          <w:lang w:val="it-IT"/>
        </w:rPr>
        <w:t xml:space="preserve">efficace se </w:t>
      </w:r>
      <w:r w:rsidR="000329C3" w:rsidRPr="006F07C8">
        <w:rPr>
          <w:rFonts w:ascii="Times New Roman" w:hAnsi="Times New Roman" w:cs="Times New Roman"/>
          <w:sz w:val="24"/>
          <w:szCs w:val="24"/>
          <w:lang w:val="it-IT"/>
        </w:rPr>
        <w:t xml:space="preserve">esso </w:t>
      </w:r>
      <w:r w:rsidR="00C45DFB" w:rsidRPr="006F07C8">
        <w:rPr>
          <w:rFonts w:ascii="Times New Roman" w:hAnsi="Times New Roman" w:cs="Times New Roman"/>
          <w:sz w:val="24"/>
          <w:szCs w:val="24"/>
          <w:lang w:val="it-IT"/>
        </w:rPr>
        <w:t>contribuisce all’ottenimento degli obiettivi</w:t>
      </w:r>
      <w:r w:rsidR="000B25E0" w:rsidRPr="006F07C8">
        <w:rPr>
          <w:rFonts w:ascii="Times New Roman" w:hAnsi="Times New Roman" w:cs="Times New Roman"/>
          <w:sz w:val="24"/>
          <w:szCs w:val="24"/>
          <w:lang w:val="it-IT"/>
        </w:rPr>
        <w:t xml:space="preserve"> perseguiti da una data istituzione od organizzazione.</w:t>
      </w:r>
      <w:r w:rsidR="003111A5" w:rsidRPr="006F07C8">
        <w:rPr>
          <w:rStyle w:val="FootnoteReference"/>
          <w:rFonts w:ascii="Times New Roman" w:hAnsi="Times New Roman" w:cs="Times New Roman"/>
          <w:sz w:val="24"/>
          <w:szCs w:val="24"/>
          <w:lang w:val="it-IT"/>
        </w:rPr>
        <w:footnoteReference w:id="20"/>
      </w:r>
      <w:r w:rsidR="000B25E0" w:rsidRPr="006F07C8">
        <w:rPr>
          <w:rFonts w:ascii="Times New Roman" w:hAnsi="Times New Roman" w:cs="Times New Roman"/>
          <w:sz w:val="24"/>
          <w:szCs w:val="24"/>
          <w:lang w:val="it-IT"/>
        </w:rPr>
        <w:t xml:space="preserve"> </w:t>
      </w:r>
      <w:r w:rsidR="00704C2E" w:rsidRPr="006F07C8">
        <w:rPr>
          <w:rFonts w:ascii="Times New Roman" w:hAnsi="Times New Roman" w:cs="Times New Roman"/>
          <w:sz w:val="24"/>
          <w:szCs w:val="24"/>
          <w:lang w:val="it-IT"/>
        </w:rPr>
        <w:t>Per esempio, l’efficacia del regime linguistico di un ufficio dei brevetti</w:t>
      </w:r>
      <w:r w:rsidR="00585DA7" w:rsidRPr="006F07C8">
        <w:rPr>
          <w:rFonts w:ascii="Times New Roman" w:hAnsi="Times New Roman" w:cs="Times New Roman"/>
          <w:sz w:val="24"/>
          <w:szCs w:val="24"/>
          <w:lang w:val="it-IT"/>
        </w:rPr>
        <w:t>, almeno per quanto concerne la comunicazione rivolta all’esterno,</w:t>
      </w:r>
      <w:r w:rsidR="00704C2E" w:rsidRPr="006F07C8">
        <w:rPr>
          <w:rFonts w:ascii="Times New Roman" w:hAnsi="Times New Roman" w:cs="Times New Roman"/>
          <w:sz w:val="24"/>
          <w:szCs w:val="24"/>
          <w:lang w:val="it-IT"/>
        </w:rPr>
        <w:t xml:space="preserve"> </w:t>
      </w:r>
      <w:r w:rsidR="00E31418" w:rsidRPr="006F07C8">
        <w:rPr>
          <w:rFonts w:ascii="Times New Roman" w:hAnsi="Times New Roman" w:cs="Times New Roman"/>
          <w:sz w:val="24"/>
          <w:szCs w:val="24"/>
          <w:lang w:val="it-IT"/>
        </w:rPr>
        <w:t xml:space="preserve">può essere </w:t>
      </w:r>
      <w:r w:rsidR="00704C2E" w:rsidRPr="006F07C8">
        <w:rPr>
          <w:rFonts w:ascii="Times New Roman" w:hAnsi="Times New Roman" w:cs="Times New Roman"/>
          <w:sz w:val="24"/>
          <w:szCs w:val="24"/>
          <w:lang w:val="it-IT"/>
        </w:rPr>
        <w:t>valuta</w:t>
      </w:r>
      <w:r w:rsidR="00E31418" w:rsidRPr="006F07C8">
        <w:rPr>
          <w:rFonts w:ascii="Times New Roman" w:hAnsi="Times New Roman" w:cs="Times New Roman"/>
          <w:sz w:val="24"/>
          <w:szCs w:val="24"/>
          <w:lang w:val="it-IT"/>
        </w:rPr>
        <w:t>ta</w:t>
      </w:r>
      <w:r w:rsidR="00704C2E" w:rsidRPr="006F07C8">
        <w:rPr>
          <w:rFonts w:ascii="Times New Roman" w:hAnsi="Times New Roman" w:cs="Times New Roman"/>
          <w:sz w:val="24"/>
          <w:szCs w:val="24"/>
          <w:lang w:val="it-IT"/>
        </w:rPr>
        <w:t xml:space="preserve"> </w:t>
      </w:r>
      <w:r w:rsidR="00E31418" w:rsidRPr="006F07C8">
        <w:rPr>
          <w:rFonts w:ascii="Times New Roman" w:hAnsi="Times New Roman" w:cs="Times New Roman"/>
          <w:sz w:val="24"/>
          <w:szCs w:val="24"/>
          <w:lang w:val="it-IT"/>
        </w:rPr>
        <w:t>in funzione del</w:t>
      </w:r>
      <w:r w:rsidR="00704C2E" w:rsidRPr="006F07C8">
        <w:rPr>
          <w:rFonts w:ascii="Times New Roman" w:hAnsi="Times New Roman" w:cs="Times New Roman"/>
          <w:sz w:val="24"/>
          <w:szCs w:val="24"/>
          <w:lang w:val="it-IT"/>
        </w:rPr>
        <w:t xml:space="preserve"> </w:t>
      </w:r>
      <w:r w:rsidR="00E31418" w:rsidRPr="006F07C8">
        <w:rPr>
          <w:rFonts w:ascii="Times New Roman" w:hAnsi="Times New Roman" w:cs="Times New Roman"/>
          <w:sz w:val="24"/>
          <w:szCs w:val="24"/>
          <w:lang w:val="it-IT"/>
        </w:rPr>
        <w:t xml:space="preserve">suo </w:t>
      </w:r>
      <w:r w:rsidR="00704C2E" w:rsidRPr="006F07C8">
        <w:rPr>
          <w:rFonts w:ascii="Times New Roman" w:hAnsi="Times New Roman" w:cs="Times New Roman"/>
          <w:sz w:val="24"/>
          <w:szCs w:val="24"/>
          <w:lang w:val="it-IT"/>
        </w:rPr>
        <w:t xml:space="preserve">contributo alla promozione </w:t>
      </w:r>
      <w:r w:rsidR="00751C98" w:rsidRPr="006F07C8">
        <w:rPr>
          <w:rFonts w:ascii="Times New Roman" w:hAnsi="Times New Roman" w:cs="Times New Roman"/>
          <w:sz w:val="24"/>
          <w:szCs w:val="24"/>
          <w:lang w:val="it-IT"/>
        </w:rPr>
        <w:t xml:space="preserve">e diffusione </w:t>
      </w:r>
      <w:r w:rsidR="00704C2E" w:rsidRPr="006F07C8">
        <w:rPr>
          <w:rFonts w:ascii="Times New Roman" w:hAnsi="Times New Roman" w:cs="Times New Roman"/>
          <w:sz w:val="24"/>
          <w:szCs w:val="24"/>
          <w:lang w:val="it-IT"/>
        </w:rPr>
        <w:t xml:space="preserve">dell’innovazione tecnologica in un dato </w:t>
      </w:r>
      <w:r w:rsidR="00751C98" w:rsidRPr="006F07C8">
        <w:rPr>
          <w:rFonts w:ascii="Times New Roman" w:hAnsi="Times New Roman" w:cs="Times New Roman"/>
          <w:sz w:val="24"/>
          <w:szCs w:val="24"/>
          <w:lang w:val="it-IT"/>
        </w:rPr>
        <w:t>territorio</w:t>
      </w:r>
      <w:r w:rsidR="00E31418" w:rsidRPr="006F07C8">
        <w:rPr>
          <w:rFonts w:ascii="Times New Roman" w:hAnsi="Times New Roman" w:cs="Times New Roman"/>
          <w:sz w:val="24"/>
          <w:szCs w:val="24"/>
          <w:lang w:val="it-IT"/>
        </w:rPr>
        <w:t xml:space="preserve"> (</w:t>
      </w:r>
      <w:r w:rsidR="00E31418" w:rsidRPr="006F07C8">
        <w:rPr>
          <w:rFonts w:ascii="Times New Roman" w:hAnsi="Times New Roman" w:cs="Times New Roman"/>
          <w:noProof/>
          <w:sz w:val="24"/>
          <w:szCs w:val="24"/>
          <w:lang w:val="it-IT"/>
        </w:rPr>
        <w:t>Gazzola e Volpe</w:t>
      </w:r>
      <w:r w:rsidR="00E31418" w:rsidRPr="006F07C8">
        <w:rPr>
          <w:rFonts w:ascii="Times New Roman" w:hAnsi="Times New Roman" w:cs="Times New Roman"/>
          <w:sz w:val="24"/>
          <w:szCs w:val="24"/>
          <w:lang w:val="it-IT"/>
        </w:rPr>
        <w:t xml:space="preserve"> </w:t>
      </w:r>
      <w:hyperlink w:anchor="_ENREF_32" w:tooltip="Gazzola, 2013 #882" w:history="1">
        <w:r w:rsidR="00101624" w:rsidRPr="006F07C8">
          <w:rPr>
            <w:rFonts w:ascii="Times New Roman" w:hAnsi="Times New Roman" w:cs="Times New Roman"/>
            <w:sz w:val="24"/>
            <w:szCs w:val="24"/>
            <w:lang w:val="it-IT"/>
          </w:rPr>
          <w:fldChar w:fldCharType="begin"/>
        </w:r>
        <w:r w:rsidR="00101624" w:rsidRPr="006F07C8">
          <w:rPr>
            <w:rFonts w:ascii="Times New Roman" w:hAnsi="Times New Roman" w:cs="Times New Roman"/>
            <w:sz w:val="24"/>
            <w:szCs w:val="24"/>
            <w:lang w:val="it-IT"/>
          </w:rPr>
          <w:instrText xml:space="preserve"> ADDIN EN.CITE &lt;EndNote&gt;&lt;Cite ExcludeAuth="1"&gt;&lt;Author&gt;Gazzola&lt;/Author&gt;&lt;Year&gt;2013&lt;/Year&gt;&lt;RecNum&gt;882&lt;/RecNum&gt;&lt;DisplayText&gt;2013&lt;/DisplayText&gt;&lt;record&gt;&lt;rec-number&gt;882&lt;/rec-number&gt;&lt;foreign-keys&gt;&lt;key app="EN" db-id="wvvszzd93a0z5wesdfpvdv9z5wrra5p05axp"&gt;882&lt;/key&gt;&lt;/foreign-keys&gt;&lt;ref-type name="Journal Article"&gt;17&lt;/ref-type&gt;&lt;contributors&gt;&lt;authors&gt;&lt;author&gt;Gazzola, Michele&lt;/author&gt;&lt;author&gt;Volpe, Alessia&lt;/author&gt;&lt;/authors&gt;&lt;/contributors&gt;&lt;titles&gt;&lt;title&gt;Linguistic justice in IP policies: Evaluating the language regime of the European Patent Office&lt;/title&gt;&lt;secondary-title&gt;European Journal of Law and Economics&lt;/secondary-title&gt;&lt;/titles&gt;&lt;periodical&gt;&lt;full-title&gt;European Journal of Law and Economics&lt;/full-title&gt;&lt;/periodical&gt;&lt;volume&gt;(in press, DOI: 10.1007/s10657-013-9394-z)&lt;/volume&gt;&lt;dates&gt;&lt;year&gt;2013&lt;/year&gt;&lt;/dates&gt;&lt;urls&gt;&lt;/urls&gt;&lt;electronic-resource-num&gt;10.1007/s10657-013-9394-z&lt;/electronic-resource-num&gt;&lt;/record&gt;&lt;/Cite&gt;&lt;/EndNote&gt;</w:instrText>
        </w:r>
        <w:r w:rsidR="00101624" w:rsidRPr="006F07C8">
          <w:rPr>
            <w:rFonts w:ascii="Times New Roman" w:hAnsi="Times New Roman" w:cs="Times New Roman"/>
            <w:sz w:val="24"/>
            <w:szCs w:val="24"/>
            <w:lang w:val="it-IT"/>
          </w:rPr>
          <w:fldChar w:fldCharType="separate"/>
        </w:r>
        <w:r w:rsidR="00101624" w:rsidRPr="006F07C8">
          <w:rPr>
            <w:rFonts w:ascii="Times New Roman" w:hAnsi="Times New Roman" w:cs="Times New Roman"/>
            <w:noProof/>
            <w:sz w:val="24"/>
            <w:szCs w:val="24"/>
            <w:lang w:val="it-IT"/>
          </w:rPr>
          <w:t>2013</w:t>
        </w:r>
        <w:r w:rsidR="00101624" w:rsidRPr="006F07C8">
          <w:rPr>
            <w:rFonts w:ascii="Times New Roman" w:hAnsi="Times New Roman" w:cs="Times New Roman"/>
            <w:sz w:val="24"/>
            <w:szCs w:val="24"/>
            <w:lang w:val="it-IT"/>
          </w:rPr>
          <w:fldChar w:fldCharType="end"/>
        </w:r>
      </w:hyperlink>
      <w:r w:rsidR="00AA4DBE" w:rsidRPr="006F07C8">
        <w:rPr>
          <w:rFonts w:ascii="Times New Roman" w:hAnsi="Times New Roman" w:cs="Times New Roman"/>
          <w:sz w:val="24"/>
          <w:szCs w:val="24"/>
          <w:lang w:val="it-IT"/>
        </w:rPr>
        <w:t xml:space="preserve">, </w:t>
      </w:r>
      <w:hyperlink w:anchor="_ENREF_30" w:tooltip="Gazzola, 2014 #887" w:history="1">
        <w:r w:rsidR="00101624" w:rsidRPr="006F07C8">
          <w:rPr>
            <w:rFonts w:ascii="Times New Roman" w:hAnsi="Times New Roman" w:cs="Times New Roman"/>
            <w:sz w:val="24"/>
            <w:szCs w:val="24"/>
            <w:lang w:val="it-IT"/>
          </w:rPr>
          <w:fldChar w:fldCharType="begin"/>
        </w:r>
        <w:r w:rsidR="00101624" w:rsidRPr="006F07C8">
          <w:rPr>
            <w:rFonts w:ascii="Times New Roman" w:hAnsi="Times New Roman" w:cs="Times New Roman"/>
            <w:sz w:val="24"/>
            <w:szCs w:val="24"/>
            <w:lang w:val="it-IT"/>
          </w:rPr>
          <w:instrText xml:space="preserve"> ADDIN EN.CITE &lt;EndNote&gt;&lt;Cite&gt;&lt;Author&gt;Gazzola&lt;/Author&gt;&lt;Year&gt;2014&lt;/Year&gt;&lt;RecNum&gt;887&lt;/RecNum&gt;&lt;DisplayText&gt;Gazzola 2014&lt;/DisplayText&gt;&lt;record&gt;&lt;rec-number&gt;887&lt;/rec-number&gt;&lt;foreign-keys&gt;&lt;key app="EN" db-id="wvvszzd93a0z5wesdfpvdv9z5wrra5p05axp"&gt;887&lt;/key&gt;&lt;/foreign-keys&gt;&lt;ref-type name="Book"&gt;6&lt;/ref-type&gt;&lt;contributors&gt;&lt;authors&gt;&lt;author&gt;Gazzola, Michele&lt;/author&gt;&lt;/authors&gt;&lt;/contributors&gt;&lt;titles&gt;&lt;title&gt;The evaluation of language regimes. Theory and application to multilingual patent organisations&lt;/title&gt;&lt;/titles&gt;&lt;dates&gt;&lt;year&gt;2014&lt;/year&gt;&lt;/dates&gt;&lt;pub-location&gt;Amsterdam&lt;/pub-location&gt;&lt;publisher&gt;John Benjamins&lt;/publisher&gt;&lt;urls&gt;&lt;/urls&gt;&lt;/record&gt;&lt;/Cite&gt;&lt;/EndNote&gt;</w:instrText>
        </w:r>
        <w:r w:rsidR="00101624" w:rsidRPr="006F07C8">
          <w:rPr>
            <w:rFonts w:ascii="Times New Roman" w:hAnsi="Times New Roman" w:cs="Times New Roman"/>
            <w:sz w:val="24"/>
            <w:szCs w:val="24"/>
            <w:lang w:val="it-IT"/>
          </w:rPr>
          <w:fldChar w:fldCharType="separate"/>
        </w:r>
        <w:r w:rsidR="00101624" w:rsidRPr="006F07C8">
          <w:rPr>
            <w:rFonts w:ascii="Times New Roman" w:hAnsi="Times New Roman" w:cs="Times New Roman"/>
            <w:noProof/>
            <w:sz w:val="24"/>
            <w:szCs w:val="24"/>
            <w:lang w:val="it-IT"/>
          </w:rPr>
          <w:t>Gazzola 2014</w:t>
        </w:r>
        <w:r w:rsidR="00101624" w:rsidRPr="006F07C8">
          <w:rPr>
            <w:rFonts w:ascii="Times New Roman" w:hAnsi="Times New Roman" w:cs="Times New Roman"/>
            <w:sz w:val="24"/>
            <w:szCs w:val="24"/>
            <w:lang w:val="it-IT"/>
          </w:rPr>
          <w:fldChar w:fldCharType="end"/>
        </w:r>
      </w:hyperlink>
      <w:r w:rsidR="00E31418" w:rsidRPr="006F07C8">
        <w:rPr>
          <w:rFonts w:ascii="Times New Roman" w:hAnsi="Times New Roman" w:cs="Times New Roman"/>
          <w:sz w:val="24"/>
          <w:szCs w:val="24"/>
          <w:lang w:val="it-IT"/>
        </w:rPr>
        <w:t>)</w:t>
      </w:r>
      <w:r w:rsidR="00704C2E" w:rsidRPr="006F07C8">
        <w:rPr>
          <w:rFonts w:ascii="Times New Roman" w:hAnsi="Times New Roman" w:cs="Times New Roman"/>
          <w:sz w:val="24"/>
          <w:szCs w:val="24"/>
          <w:lang w:val="it-IT"/>
        </w:rPr>
        <w:t xml:space="preserve">. </w:t>
      </w:r>
      <w:r w:rsidR="00E31418" w:rsidRPr="006F07C8">
        <w:rPr>
          <w:rFonts w:ascii="Times New Roman" w:hAnsi="Times New Roman" w:cs="Times New Roman"/>
          <w:sz w:val="24"/>
          <w:szCs w:val="24"/>
          <w:lang w:val="it-IT"/>
        </w:rPr>
        <w:t>G</w:t>
      </w:r>
      <w:r w:rsidR="00704C2E" w:rsidRPr="006F07C8">
        <w:rPr>
          <w:rFonts w:ascii="Times New Roman" w:hAnsi="Times New Roman" w:cs="Times New Roman"/>
          <w:sz w:val="24"/>
          <w:szCs w:val="24"/>
          <w:lang w:val="it-IT"/>
        </w:rPr>
        <w:t xml:space="preserve">li obiettivi </w:t>
      </w:r>
      <w:r w:rsidR="00E31418" w:rsidRPr="006F07C8">
        <w:rPr>
          <w:rFonts w:ascii="Times New Roman" w:hAnsi="Times New Roman" w:cs="Times New Roman"/>
          <w:sz w:val="24"/>
          <w:szCs w:val="24"/>
          <w:lang w:val="it-IT"/>
        </w:rPr>
        <w:t>generali del sistema universitario,</w:t>
      </w:r>
      <w:r w:rsidR="00751C98" w:rsidRPr="006F07C8">
        <w:rPr>
          <w:rFonts w:ascii="Times New Roman" w:hAnsi="Times New Roman" w:cs="Times New Roman"/>
          <w:sz w:val="24"/>
          <w:szCs w:val="24"/>
          <w:lang w:val="it-IT"/>
        </w:rPr>
        <w:t xml:space="preserve"> </w:t>
      </w:r>
      <w:r w:rsidR="00E31418" w:rsidRPr="006F07C8">
        <w:rPr>
          <w:rFonts w:ascii="Times New Roman" w:hAnsi="Times New Roman" w:cs="Times New Roman"/>
          <w:sz w:val="24"/>
          <w:szCs w:val="24"/>
          <w:lang w:val="it-IT"/>
        </w:rPr>
        <w:t xml:space="preserve">cioè </w:t>
      </w:r>
      <w:r w:rsidR="00751C98" w:rsidRPr="006F07C8">
        <w:rPr>
          <w:rFonts w:ascii="Times New Roman" w:hAnsi="Times New Roman" w:cs="Times New Roman"/>
          <w:sz w:val="24"/>
          <w:szCs w:val="24"/>
          <w:lang w:val="it-IT"/>
        </w:rPr>
        <w:t xml:space="preserve">produrre e </w:t>
      </w:r>
      <w:r w:rsidR="00E31418" w:rsidRPr="006F07C8">
        <w:rPr>
          <w:rFonts w:ascii="Times New Roman" w:hAnsi="Times New Roman" w:cs="Times New Roman"/>
          <w:sz w:val="24"/>
          <w:szCs w:val="24"/>
          <w:lang w:val="it-IT"/>
        </w:rPr>
        <w:t xml:space="preserve">diffondere sapere, definiscono l’orizzonte entro il quale </w:t>
      </w:r>
      <w:r w:rsidR="00C45DFB" w:rsidRPr="006F07C8">
        <w:rPr>
          <w:rFonts w:ascii="Times New Roman" w:hAnsi="Times New Roman" w:cs="Times New Roman"/>
          <w:sz w:val="24"/>
          <w:szCs w:val="24"/>
          <w:lang w:val="it-IT"/>
        </w:rPr>
        <w:t>si può</w:t>
      </w:r>
      <w:r w:rsidR="00E31418" w:rsidRPr="006F07C8">
        <w:rPr>
          <w:rFonts w:ascii="Times New Roman" w:hAnsi="Times New Roman" w:cs="Times New Roman"/>
          <w:sz w:val="24"/>
          <w:szCs w:val="24"/>
          <w:lang w:val="it-IT"/>
        </w:rPr>
        <w:t xml:space="preserve"> valuta</w:t>
      </w:r>
      <w:r w:rsidR="00C45DFB" w:rsidRPr="006F07C8">
        <w:rPr>
          <w:rFonts w:ascii="Times New Roman" w:hAnsi="Times New Roman" w:cs="Times New Roman"/>
          <w:sz w:val="24"/>
          <w:szCs w:val="24"/>
          <w:lang w:val="it-IT"/>
        </w:rPr>
        <w:t>re</w:t>
      </w:r>
      <w:r w:rsidR="00E31418" w:rsidRPr="006F07C8">
        <w:rPr>
          <w:rFonts w:ascii="Times New Roman" w:hAnsi="Times New Roman" w:cs="Times New Roman"/>
          <w:sz w:val="24"/>
          <w:szCs w:val="24"/>
          <w:lang w:val="it-IT"/>
        </w:rPr>
        <w:t xml:space="preserve"> l’efficacia delle politiche linguistiche in </w:t>
      </w:r>
      <w:r w:rsidR="0020378C" w:rsidRPr="006F07C8">
        <w:rPr>
          <w:rFonts w:ascii="Times New Roman" w:hAnsi="Times New Roman" w:cs="Times New Roman"/>
          <w:sz w:val="24"/>
          <w:szCs w:val="24"/>
          <w:lang w:val="it-IT"/>
        </w:rPr>
        <w:t>questo ambito</w:t>
      </w:r>
      <w:r w:rsidR="004A2E6A" w:rsidRPr="006F07C8">
        <w:rPr>
          <w:rFonts w:ascii="Times New Roman" w:hAnsi="Times New Roman" w:cs="Times New Roman"/>
          <w:sz w:val="24"/>
          <w:szCs w:val="24"/>
          <w:lang w:val="it-IT"/>
        </w:rPr>
        <w:t xml:space="preserve"> (</w:t>
      </w:r>
      <w:r w:rsidR="004A2E6A" w:rsidRPr="006F07C8">
        <w:rPr>
          <w:rFonts w:ascii="Times New Roman" w:hAnsi="Times New Roman" w:cs="Times New Roman"/>
          <w:noProof/>
          <w:sz w:val="24"/>
          <w:szCs w:val="24"/>
          <w:lang w:val="it-IT"/>
        </w:rPr>
        <w:t xml:space="preserve">Grin e Gazzola </w:t>
      </w:r>
      <w:hyperlink w:anchor="_ENREF_43" w:tooltip="Grin, 2013 #801" w:history="1">
        <w:r w:rsidR="00101624" w:rsidRPr="006F07C8">
          <w:rPr>
            <w:rFonts w:ascii="Times New Roman" w:hAnsi="Times New Roman" w:cs="Times New Roman"/>
            <w:sz w:val="24"/>
            <w:szCs w:val="24"/>
            <w:lang w:val="it-IT"/>
          </w:rPr>
          <w:fldChar w:fldCharType="begin"/>
        </w:r>
        <w:r w:rsidR="00101624" w:rsidRPr="006F07C8">
          <w:rPr>
            <w:rFonts w:ascii="Times New Roman" w:hAnsi="Times New Roman" w:cs="Times New Roman"/>
            <w:sz w:val="24"/>
            <w:szCs w:val="24"/>
            <w:lang w:val="it-IT"/>
          </w:rPr>
          <w:instrText xml:space="preserve"> ADDIN EN.CITE &lt;EndNote&gt;&lt;Cite ExcludeAuth="1"&gt;&lt;Author&gt;Grin&lt;/Author&gt;&lt;Year&gt;2013&lt;/Year&gt;&lt;RecNum&gt;801&lt;/RecNum&gt;&lt;DisplayText&gt;2013&lt;/DisplayText&gt;&lt;record&gt;&lt;rec-number&gt;801&lt;/rec-number&gt;&lt;foreign-keys&gt;&lt;key app="EN" db-id="wvvszzd93a0z5wesdfpvdv9z5wrra5p05axp"&gt;801&lt;/key&gt;&lt;/foreign-keys&gt;&lt;ref-type name="Book Section"&gt;5&lt;/ref-type&gt;&lt;contributors&gt;&lt;authors&gt;&lt;author&gt;Grin, François&lt;/author&gt;&lt;author&gt;Gazzola, Michele&lt;/author&gt;&lt;/authors&gt;&lt;secondary-authors&gt;&lt;author&gt;Berthoud, Anne-Claude&lt;/author&gt;&lt;author&gt;Grin, François&lt;/author&gt;&lt;author&gt;Lüdi, Georges&lt;/author&gt;&lt;/secondary-authors&gt;&lt;/contributors&gt;&lt;titles&gt;&lt;title&gt;Assessing efficiency and fairness in multilingual communication: theory and application through indicators&lt;/title&gt;&lt;secondary-title&gt;Exploring the dynamics of multilingualism&lt;/secondary-title&gt;&lt;/titles&gt;&lt;pages&gt;365–386&lt;/pages&gt;&lt;dates&gt;&lt;year&gt;2013&lt;/year&gt;&lt;/dates&gt;&lt;pub-location&gt;Amsterdam&lt;/pub-location&gt;&lt;publisher&gt;John Benjamins&lt;/publisher&gt;&lt;urls&gt;&lt;/urls&gt;&lt;/record&gt;&lt;/Cite&gt;&lt;/EndNote&gt;</w:instrText>
        </w:r>
        <w:r w:rsidR="00101624" w:rsidRPr="006F07C8">
          <w:rPr>
            <w:rFonts w:ascii="Times New Roman" w:hAnsi="Times New Roman" w:cs="Times New Roman"/>
            <w:sz w:val="24"/>
            <w:szCs w:val="24"/>
            <w:lang w:val="it-IT"/>
          </w:rPr>
          <w:fldChar w:fldCharType="separate"/>
        </w:r>
        <w:r w:rsidR="00101624" w:rsidRPr="006F07C8">
          <w:rPr>
            <w:rFonts w:ascii="Times New Roman" w:hAnsi="Times New Roman" w:cs="Times New Roman"/>
            <w:noProof/>
            <w:sz w:val="24"/>
            <w:szCs w:val="24"/>
            <w:lang w:val="it-IT"/>
          </w:rPr>
          <w:t>2013</w:t>
        </w:r>
        <w:r w:rsidR="00101624" w:rsidRPr="006F07C8">
          <w:rPr>
            <w:rFonts w:ascii="Times New Roman" w:hAnsi="Times New Roman" w:cs="Times New Roman"/>
            <w:sz w:val="24"/>
            <w:szCs w:val="24"/>
            <w:lang w:val="it-IT"/>
          </w:rPr>
          <w:fldChar w:fldCharType="end"/>
        </w:r>
      </w:hyperlink>
      <w:r w:rsidR="00AA4DBE" w:rsidRPr="006F07C8">
        <w:rPr>
          <w:rFonts w:ascii="Times New Roman" w:hAnsi="Times New Roman" w:cs="Times New Roman"/>
          <w:noProof/>
          <w:sz w:val="24"/>
          <w:szCs w:val="24"/>
          <w:lang w:val="it-IT"/>
        </w:rPr>
        <w:t xml:space="preserve">, </w:t>
      </w:r>
      <w:hyperlink w:anchor="_ENREF_29" w:tooltip="Gazzola, 2012 #770" w:history="1">
        <w:r w:rsidR="00101624" w:rsidRPr="006F07C8">
          <w:rPr>
            <w:rFonts w:ascii="Times New Roman" w:hAnsi="Times New Roman" w:cs="Times New Roman"/>
            <w:noProof/>
            <w:sz w:val="24"/>
            <w:szCs w:val="24"/>
            <w:lang w:val="it-IT"/>
          </w:rPr>
          <w:fldChar w:fldCharType="begin"/>
        </w:r>
        <w:r w:rsidR="00101624" w:rsidRPr="006F07C8">
          <w:rPr>
            <w:rFonts w:ascii="Times New Roman" w:hAnsi="Times New Roman" w:cs="Times New Roman"/>
            <w:noProof/>
            <w:sz w:val="24"/>
            <w:szCs w:val="24"/>
            <w:lang w:val="it-IT"/>
          </w:rPr>
          <w:instrText xml:space="preserve"> ADDIN EN.CITE &lt;EndNote&gt;&lt;Cite&gt;&lt;Author&gt;Gazzola&lt;/Author&gt;&lt;Year&gt;2012&lt;/Year&gt;&lt;RecNum&gt;770&lt;/RecNum&gt;&lt;DisplayText&gt;Gazzola 2012&lt;/DisplayText&gt;&lt;record&gt;&lt;rec-number&gt;770&lt;/rec-number&gt;&lt;foreign-keys&gt;&lt;key app="EN" db-id="wvvszzd93a0z5wesdfpvdv9z5wrra5p05axp"&gt;770&lt;/key&gt;&lt;/foreign-keys&gt;&lt;ref-type name="Journal Article"&gt;17&lt;/ref-type&gt;&lt;contributors&gt;&lt;authors&gt;&lt;author&gt;Gazzola, Michele&lt;/author&gt;&lt;/authors&gt;&lt;/contributors&gt;&lt;titles&gt;&lt;title&gt;The linguistic implications of academic performance indicators: general trends and case study&lt;/title&gt;&lt;secondary-title&gt;International Journal of the Sociology of Language&lt;/secondary-title&gt;&lt;/titles&gt;&lt;periodical&gt;&lt;full-title&gt;International Journal of the Sociology of Language&lt;/full-title&gt;&lt;/periodical&gt;&lt;pages&gt;131-156&lt;/pages&gt;&lt;volume&gt;216&lt;/volume&gt;&lt;dates&gt;&lt;year&gt;2012&lt;/year&gt;&lt;/dates&gt;&lt;urls&gt;&lt;/urls&gt;&lt;/record&gt;&lt;/Cite&gt;&lt;/EndNote&gt;</w:instrText>
        </w:r>
        <w:r w:rsidR="00101624" w:rsidRPr="006F07C8">
          <w:rPr>
            <w:rFonts w:ascii="Times New Roman" w:hAnsi="Times New Roman" w:cs="Times New Roman"/>
            <w:noProof/>
            <w:sz w:val="24"/>
            <w:szCs w:val="24"/>
            <w:lang w:val="it-IT"/>
          </w:rPr>
          <w:fldChar w:fldCharType="separate"/>
        </w:r>
        <w:r w:rsidR="00101624" w:rsidRPr="006F07C8">
          <w:rPr>
            <w:rFonts w:ascii="Times New Roman" w:hAnsi="Times New Roman" w:cs="Times New Roman"/>
            <w:noProof/>
            <w:sz w:val="24"/>
            <w:szCs w:val="24"/>
            <w:lang w:val="it-IT"/>
          </w:rPr>
          <w:t>Gazzola 2012</w:t>
        </w:r>
        <w:r w:rsidR="00101624" w:rsidRPr="006F07C8">
          <w:rPr>
            <w:rFonts w:ascii="Times New Roman" w:hAnsi="Times New Roman" w:cs="Times New Roman"/>
            <w:noProof/>
            <w:sz w:val="24"/>
            <w:szCs w:val="24"/>
            <w:lang w:val="it-IT"/>
          </w:rPr>
          <w:fldChar w:fldCharType="end"/>
        </w:r>
      </w:hyperlink>
      <w:r w:rsidR="004A2E6A" w:rsidRPr="006F07C8">
        <w:rPr>
          <w:rFonts w:ascii="Times New Roman" w:hAnsi="Times New Roman" w:cs="Times New Roman"/>
          <w:sz w:val="24"/>
          <w:szCs w:val="24"/>
          <w:lang w:val="it-IT"/>
        </w:rPr>
        <w:t>)</w:t>
      </w:r>
      <w:r w:rsidR="00E31418" w:rsidRPr="006F07C8">
        <w:rPr>
          <w:rFonts w:ascii="Times New Roman" w:hAnsi="Times New Roman" w:cs="Times New Roman"/>
          <w:sz w:val="24"/>
          <w:szCs w:val="24"/>
          <w:lang w:val="it-IT"/>
        </w:rPr>
        <w:t>.</w:t>
      </w:r>
    </w:p>
    <w:p w:rsidR="000D6478" w:rsidRPr="006F07C8" w:rsidRDefault="00751C98" w:rsidP="002F52A9">
      <w:pPr>
        <w:spacing w:line="240" w:lineRule="auto"/>
        <w:jc w:val="both"/>
        <w:rPr>
          <w:rFonts w:ascii="Times New Roman" w:hAnsi="Times New Roman" w:cs="Times New Roman"/>
          <w:sz w:val="24"/>
          <w:szCs w:val="24"/>
          <w:lang w:val="it-IT"/>
        </w:rPr>
      </w:pPr>
      <w:r w:rsidRPr="006F07C8">
        <w:rPr>
          <w:rFonts w:ascii="Times New Roman" w:hAnsi="Times New Roman" w:cs="Times New Roman"/>
          <w:sz w:val="24"/>
          <w:szCs w:val="24"/>
          <w:lang w:val="it-IT"/>
        </w:rPr>
        <w:t>L</w:t>
      </w:r>
      <w:r w:rsidR="000B25E0" w:rsidRPr="006F07C8">
        <w:rPr>
          <w:rFonts w:ascii="Times New Roman" w:hAnsi="Times New Roman" w:cs="Times New Roman"/>
          <w:sz w:val="24"/>
          <w:szCs w:val="24"/>
          <w:lang w:val="it-IT"/>
        </w:rPr>
        <w:t xml:space="preserve">’efficacia </w:t>
      </w:r>
      <w:r w:rsidRPr="006F07C8">
        <w:rPr>
          <w:rFonts w:ascii="Times New Roman" w:hAnsi="Times New Roman" w:cs="Times New Roman"/>
          <w:sz w:val="24"/>
          <w:szCs w:val="24"/>
          <w:lang w:val="it-IT"/>
        </w:rPr>
        <w:t>deve essere</w:t>
      </w:r>
      <w:r w:rsidR="000B25E0" w:rsidRPr="006F07C8">
        <w:rPr>
          <w:rFonts w:ascii="Times New Roman" w:hAnsi="Times New Roman" w:cs="Times New Roman"/>
          <w:sz w:val="24"/>
          <w:szCs w:val="24"/>
          <w:lang w:val="it-IT"/>
        </w:rPr>
        <w:t xml:space="preserve"> misurata attraverso degli indicatori </w:t>
      </w:r>
      <w:r w:rsidRPr="006F07C8">
        <w:rPr>
          <w:rFonts w:ascii="Times New Roman" w:hAnsi="Times New Roman" w:cs="Times New Roman"/>
          <w:sz w:val="24"/>
          <w:szCs w:val="24"/>
          <w:lang w:val="it-IT"/>
        </w:rPr>
        <w:t xml:space="preserve">di risultato </w:t>
      </w:r>
      <w:r w:rsidR="000B25E0" w:rsidRPr="006F07C8">
        <w:rPr>
          <w:rFonts w:ascii="Times New Roman" w:hAnsi="Times New Roman" w:cs="Times New Roman"/>
          <w:sz w:val="24"/>
          <w:szCs w:val="24"/>
          <w:lang w:val="it-IT"/>
        </w:rPr>
        <w:t>appropriati</w:t>
      </w:r>
      <w:r w:rsidRPr="006F07C8">
        <w:rPr>
          <w:rFonts w:ascii="Times New Roman" w:hAnsi="Times New Roman" w:cs="Times New Roman"/>
          <w:sz w:val="24"/>
          <w:szCs w:val="24"/>
          <w:lang w:val="it-IT"/>
        </w:rPr>
        <w:t xml:space="preserve">. </w:t>
      </w:r>
      <w:r w:rsidR="004879F7" w:rsidRPr="006F07C8">
        <w:rPr>
          <w:rFonts w:ascii="Times New Roman" w:hAnsi="Times New Roman" w:cs="Times New Roman"/>
          <w:sz w:val="24"/>
          <w:szCs w:val="24"/>
          <w:lang w:val="it-IT"/>
        </w:rPr>
        <w:t>G</w:t>
      </w:r>
      <w:r w:rsidR="00E77456" w:rsidRPr="006F07C8">
        <w:rPr>
          <w:rFonts w:ascii="Times New Roman" w:hAnsi="Times New Roman" w:cs="Times New Roman"/>
          <w:sz w:val="24"/>
          <w:szCs w:val="24"/>
          <w:lang w:val="it-IT"/>
        </w:rPr>
        <w:t xml:space="preserve">li indicatori </w:t>
      </w:r>
      <w:r w:rsidR="004A2E6A" w:rsidRPr="006F07C8">
        <w:rPr>
          <w:rFonts w:ascii="Times New Roman" w:hAnsi="Times New Roman" w:cs="Times New Roman"/>
          <w:sz w:val="24"/>
          <w:szCs w:val="24"/>
          <w:lang w:val="it-IT"/>
        </w:rPr>
        <w:t>potenzialmente utilizzabili</w:t>
      </w:r>
      <w:r w:rsidR="00E77456" w:rsidRPr="006F07C8">
        <w:rPr>
          <w:rFonts w:ascii="Times New Roman" w:hAnsi="Times New Roman" w:cs="Times New Roman"/>
          <w:sz w:val="24"/>
          <w:szCs w:val="24"/>
          <w:lang w:val="it-IT"/>
        </w:rPr>
        <w:t xml:space="preserve"> sono </w:t>
      </w:r>
      <w:r w:rsidR="004879F7" w:rsidRPr="006F07C8">
        <w:rPr>
          <w:rFonts w:ascii="Times New Roman" w:hAnsi="Times New Roman" w:cs="Times New Roman"/>
          <w:sz w:val="24"/>
          <w:szCs w:val="24"/>
          <w:lang w:val="it-IT"/>
        </w:rPr>
        <w:t>molto numerosi</w:t>
      </w:r>
      <w:r w:rsidR="000D6478" w:rsidRPr="006F07C8">
        <w:rPr>
          <w:rFonts w:ascii="Times New Roman" w:hAnsi="Times New Roman" w:cs="Times New Roman"/>
          <w:sz w:val="24"/>
          <w:szCs w:val="24"/>
          <w:lang w:val="it-IT"/>
        </w:rPr>
        <w:t xml:space="preserve"> e spetta all’analista scegliere quelli che </w:t>
      </w:r>
      <w:r w:rsidR="006C2813" w:rsidRPr="006F07C8">
        <w:rPr>
          <w:rFonts w:ascii="Times New Roman" w:hAnsi="Times New Roman" w:cs="Times New Roman"/>
          <w:sz w:val="24"/>
          <w:szCs w:val="24"/>
          <w:lang w:val="it-IT"/>
        </w:rPr>
        <w:t xml:space="preserve">sono </w:t>
      </w:r>
      <w:r w:rsidR="000D6478" w:rsidRPr="006F07C8">
        <w:rPr>
          <w:rFonts w:ascii="Times New Roman" w:hAnsi="Times New Roman" w:cs="Times New Roman"/>
          <w:sz w:val="24"/>
          <w:szCs w:val="24"/>
          <w:lang w:val="it-IT"/>
        </w:rPr>
        <w:t>al tempo stesso più adatti a rispondere alle domande valutative e più facilmente stimabili con i dati a disposizione</w:t>
      </w:r>
      <w:r w:rsidR="00DA7201" w:rsidRPr="006F07C8">
        <w:rPr>
          <w:rFonts w:ascii="Times New Roman" w:hAnsi="Times New Roman" w:cs="Times New Roman"/>
          <w:sz w:val="24"/>
          <w:szCs w:val="24"/>
          <w:lang w:val="it-IT"/>
        </w:rPr>
        <w:t>.</w:t>
      </w:r>
      <w:r w:rsidR="00E77456" w:rsidRPr="006F07C8">
        <w:rPr>
          <w:rFonts w:ascii="Times New Roman" w:hAnsi="Times New Roman" w:cs="Times New Roman"/>
          <w:sz w:val="24"/>
          <w:szCs w:val="24"/>
          <w:lang w:val="it-IT"/>
        </w:rPr>
        <w:t xml:space="preserve"> </w:t>
      </w:r>
      <w:r w:rsidR="00DA7201" w:rsidRPr="006F07C8">
        <w:rPr>
          <w:rFonts w:ascii="Times New Roman" w:hAnsi="Times New Roman" w:cs="Times New Roman"/>
          <w:sz w:val="24"/>
          <w:szCs w:val="24"/>
          <w:lang w:val="it-IT"/>
        </w:rPr>
        <w:t>I</w:t>
      </w:r>
      <w:r w:rsidR="00E77456" w:rsidRPr="006F07C8">
        <w:rPr>
          <w:rFonts w:ascii="Times New Roman" w:hAnsi="Times New Roman" w:cs="Times New Roman"/>
          <w:sz w:val="24"/>
          <w:szCs w:val="24"/>
          <w:lang w:val="it-IT"/>
        </w:rPr>
        <w:t xml:space="preserve">n questo articolo </w:t>
      </w:r>
      <w:r w:rsidR="00DA7201" w:rsidRPr="006F07C8">
        <w:rPr>
          <w:rFonts w:ascii="Times New Roman" w:hAnsi="Times New Roman" w:cs="Times New Roman"/>
          <w:sz w:val="24"/>
          <w:szCs w:val="24"/>
          <w:lang w:val="it-IT"/>
        </w:rPr>
        <w:t xml:space="preserve">si </w:t>
      </w:r>
      <w:r w:rsidR="004879F7" w:rsidRPr="006F07C8">
        <w:rPr>
          <w:rFonts w:ascii="Times New Roman" w:hAnsi="Times New Roman" w:cs="Times New Roman"/>
          <w:sz w:val="24"/>
          <w:szCs w:val="24"/>
          <w:lang w:val="it-IT"/>
        </w:rPr>
        <w:t xml:space="preserve">ricorrerà a un numero limitato di </w:t>
      </w:r>
      <w:r w:rsidR="00DA7201" w:rsidRPr="006F07C8">
        <w:rPr>
          <w:rFonts w:ascii="Times New Roman" w:hAnsi="Times New Roman" w:cs="Times New Roman"/>
          <w:sz w:val="24"/>
          <w:szCs w:val="24"/>
          <w:lang w:val="it-IT"/>
        </w:rPr>
        <w:t xml:space="preserve">indicatori </w:t>
      </w:r>
      <w:r w:rsidR="001D2C4F" w:rsidRPr="006F07C8">
        <w:rPr>
          <w:rFonts w:ascii="Times New Roman" w:hAnsi="Times New Roman" w:cs="Times New Roman"/>
          <w:sz w:val="24"/>
          <w:szCs w:val="24"/>
          <w:lang w:val="it-IT"/>
        </w:rPr>
        <w:t>derivanti</w:t>
      </w:r>
      <w:r w:rsidR="00DA7201" w:rsidRPr="006F07C8">
        <w:rPr>
          <w:rFonts w:ascii="Times New Roman" w:hAnsi="Times New Roman" w:cs="Times New Roman"/>
          <w:sz w:val="24"/>
          <w:szCs w:val="24"/>
          <w:lang w:val="it-IT"/>
        </w:rPr>
        <w:t xml:space="preserve"> da un </w:t>
      </w:r>
      <w:r w:rsidR="000329C3" w:rsidRPr="006F07C8">
        <w:rPr>
          <w:rFonts w:ascii="Times New Roman" w:hAnsi="Times New Roman" w:cs="Times New Roman"/>
          <w:sz w:val="24"/>
          <w:szCs w:val="24"/>
          <w:lang w:val="it-IT"/>
        </w:rPr>
        <w:t xml:space="preserve">unico </w:t>
      </w:r>
      <w:r w:rsidR="00DA7201" w:rsidRPr="006F07C8">
        <w:rPr>
          <w:rFonts w:ascii="Times New Roman" w:hAnsi="Times New Roman" w:cs="Times New Roman"/>
          <w:sz w:val="24"/>
          <w:szCs w:val="24"/>
          <w:lang w:val="it-IT"/>
        </w:rPr>
        <w:t>indicatore fondamen</w:t>
      </w:r>
      <w:r w:rsidR="00AA4DBE" w:rsidRPr="006F07C8">
        <w:rPr>
          <w:rFonts w:ascii="Times New Roman" w:hAnsi="Times New Roman" w:cs="Times New Roman"/>
          <w:sz w:val="24"/>
          <w:szCs w:val="24"/>
          <w:lang w:val="it-IT"/>
        </w:rPr>
        <w:t>tale che chiameremo</w:t>
      </w:r>
      <w:r w:rsidR="00DA7201" w:rsidRPr="006F07C8">
        <w:rPr>
          <w:rFonts w:ascii="Times New Roman" w:hAnsi="Times New Roman" w:cs="Times New Roman"/>
          <w:sz w:val="24"/>
          <w:szCs w:val="24"/>
          <w:lang w:val="it-IT"/>
        </w:rPr>
        <w:t xml:space="preserve"> </w:t>
      </w:r>
      <w:r w:rsidR="00585DA7" w:rsidRPr="006F07C8">
        <w:rPr>
          <w:rFonts w:ascii="Times New Roman" w:hAnsi="Times New Roman" w:cs="Times New Roman"/>
          <w:sz w:val="24"/>
          <w:szCs w:val="24"/>
          <w:lang w:val="it-IT"/>
        </w:rPr>
        <w:t xml:space="preserve">“tasso di </w:t>
      </w:r>
      <w:r w:rsidR="00D35DC1" w:rsidRPr="006F07C8">
        <w:rPr>
          <w:rFonts w:ascii="Times New Roman" w:hAnsi="Times New Roman" w:cs="Times New Roman"/>
          <w:sz w:val="24"/>
          <w:szCs w:val="24"/>
          <w:lang w:val="it-IT"/>
        </w:rPr>
        <w:t>esclusione</w:t>
      </w:r>
      <w:r w:rsidR="00585DA7" w:rsidRPr="006F07C8">
        <w:rPr>
          <w:rFonts w:ascii="Times New Roman" w:hAnsi="Times New Roman" w:cs="Times New Roman"/>
          <w:sz w:val="24"/>
          <w:szCs w:val="24"/>
          <w:lang w:val="it-IT"/>
        </w:rPr>
        <w:t xml:space="preserve"> linguistica” </w:t>
      </w:r>
      <w:r w:rsidR="001A4260" w:rsidRPr="006F07C8">
        <w:rPr>
          <w:rFonts w:ascii="Times New Roman" w:hAnsi="Times New Roman" w:cs="Times New Roman"/>
          <w:sz w:val="24"/>
          <w:szCs w:val="24"/>
          <w:lang w:val="it-IT"/>
        </w:rPr>
        <w:t xml:space="preserve">o tasso di esclusione </w:t>
      </w:r>
      <w:r w:rsidR="00585DA7" w:rsidRPr="006F07C8">
        <w:rPr>
          <w:rFonts w:ascii="Times New Roman" w:hAnsi="Times New Roman" w:cs="Times New Roman"/>
          <w:sz w:val="24"/>
          <w:szCs w:val="24"/>
          <w:lang w:val="it-IT"/>
        </w:rPr>
        <w:t>(</w:t>
      </w:r>
      <w:r w:rsidR="00585DA7" w:rsidRPr="006F07C8">
        <w:rPr>
          <w:rFonts w:ascii="Times New Roman" w:hAnsi="Times New Roman" w:cs="Times New Roman"/>
          <w:i/>
          <w:sz w:val="24"/>
          <w:szCs w:val="24"/>
          <w:lang w:val="it-IT"/>
        </w:rPr>
        <w:t>E</w:t>
      </w:r>
      <w:r w:rsidR="00585DA7" w:rsidRPr="006F07C8">
        <w:rPr>
          <w:rFonts w:ascii="Times New Roman" w:hAnsi="Times New Roman" w:cs="Times New Roman"/>
          <w:sz w:val="24"/>
          <w:szCs w:val="24"/>
          <w:lang w:val="it-IT"/>
        </w:rPr>
        <w:t>)</w:t>
      </w:r>
      <w:r w:rsidR="00AA4DBE" w:rsidRPr="006F07C8">
        <w:rPr>
          <w:rFonts w:ascii="Times New Roman" w:hAnsi="Times New Roman" w:cs="Times New Roman"/>
          <w:sz w:val="24"/>
          <w:szCs w:val="24"/>
          <w:lang w:val="it-IT"/>
        </w:rPr>
        <w:t xml:space="preserve">, adattando il termine inglese </w:t>
      </w:r>
      <w:r w:rsidR="00AA4DBE" w:rsidRPr="006F07C8">
        <w:rPr>
          <w:rFonts w:ascii="Times New Roman" w:hAnsi="Times New Roman" w:cs="Times New Roman"/>
          <w:i/>
          <w:sz w:val="24"/>
          <w:szCs w:val="24"/>
          <w:lang w:val="it-IT"/>
        </w:rPr>
        <w:t>disenfranchisement rate</w:t>
      </w:r>
      <w:r w:rsidR="00AA4DBE" w:rsidRPr="006F07C8">
        <w:rPr>
          <w:rFonts w:ascii="Times New Roman" w:hAnsi="Times New Roman" w:cs="Times New Roman"/>
          <w:sz w:val="24"/>
          <w:szCs w:val="24"/>
          <w:lang w:val="it-IT"/>
        </w:rPr>
        <w:t xml:space="preserve"> già usato </w:t>
      </w:r>
      <w:r w:rsidR="003E6BA6" w:rsidRPr="006F07C8">
        <w:rPr>
          <w:rFonts w:ascii="Times New Roman" w:hAnsi="Times New Roman" w:cs="Times New Roman"/>
          <w:sz w:val="24"/>
          <w:szCs w:val="24"/>
          <w:lang w:val="it-IT"/>
        </w:rPr>
        <w:t xml:space="preserve">per definire indicatori valutativi </w:t>
      </w:r>
      <w:r w:rsidR="00C45DFB" w:rsidRPr="006F07C8">
        <w:rPr>
          <w:rFonts w:ascii="Times New Roman" w:hAnsi="Times New Roman" w:cs="Times New Roman"/>
          <w:sz w:val="24"/>
          <w:szCs w:val="24"/>
          <w:lang w:val="it-IT"/>
        </w:rPr>
        <w:t xml:space="preserve">simili </w:t>
      </w:r>
      <w:r w:rsidR="000D6478" w:rsidRPr="006F07C8">
        <w:rPr>
          <w:rFonts w:ascii="Times New Roman" w:hAnsi="Times New Roman" w:cs="Times New Roman"/>
          <w:sz w:val="24"/>
          <w:szCs w:val="24"/>
          <w:lang w:val="it-IT"/>
        </w:rPr>
        <w:t>in altri studi</w:t>
      </w:r>
      <w:r w:rsidR="00AA4DBE" w:rsidRPr="006F07C8">
        <w:rPr>
          <w:rFonts w:ascii="Times New Roman" w:hAnsi="Times New Roman" w:cs="Times New Roman"/>
          <w:sz w:val="24"/>
          <w:szCs w:val="24"/>
          <w:lang w:val="it-IT"/>
        </w:rPr>
        <w:t xml:space="preserve"> (</w:t>
      </w:r>
      <w:r w:rsidR="000D6478" w:rsidRPr="006F07C8">
        <w:rPr>
          <w:rFonts w:ascii="Times New Roman" w:hAnsi="Times New Roman" w:cs="Times New Roman"/>
          <w:sz w:val="24"/>
          <w:szCs w:val="24"/>
          <w:lang w:val="it-IT"/>
        </w:rPr>
        <w:t xml:space="preserve">Ginsburgh e Weber </w:t>
      </w:r>
      <w:hyperlink w:anchor="_ENREF_33" w:tooltip="Ginsburgh, 2005 #75" w:history="1">
        <w:r w:rsidR="00101624" w:rsidRPr="006F07C8">
          <w:rPr>
            <w:rFonts w:ascii="Times New Roman" w:hAnsi="Times New Roman" w:cs="Times New Roman"/>
            <w:sz w:val="24"/>
            <w:szCs w:val="24"/>
            <w:lang w:val="it-IT"/>
          </w:rPr>
          <w:fldChar w:fldCharType="begin"/>
        </w:r>
        <w:r w:rsidR="00101624" w:rsidRPr="006F07C8">
          <w:rPr>
            <w:rFonts w:ascii="Times New Roman" w:hAnsi="Times New Roman" w:cs="Times New Roman"/>
            <w:sz w:val="24"/>
            <w:szCs w:val="24"/>
            <w:lang w:val="it-IT"/>
          </w:rPr>
          <w:instrText xml:space="preserve"> ADDIN EN.CITE &lt;EndNote&gt;&lt;Cite ExcludeAuth="1"&gt;&lt;Author&gt;Ginsburgh&lt;/Author&gt;&lt;Year&gt;2005&lt;/Year&gt;&lt;RecNum&gt;75&lt;/RecNum&gt;&lt;DisplayText&gt;2005&lt;/DisplayText&gt;&lt;record&gt;&lt;rec-number&gt;75&lt;/rec-number&gt;&lt;foreign-keys&gt;&lt;key app="EN" db-id="wvvszzd93a0z5wesdfpvdv9z5wrra5p05axp"&gt;75&lt;/key&gt;&lt;/foreign-keys&gt;&lt;ref-type name="Journal Article"&gt;17&lt;/ref-type&gt;&lt;contributors&gt;&lt;authors&gt;&lt;author&gt;Ginsburgh, Victor&lt;/author&gt;&lt;author&gt;Weber, Shlomo&lt;/author&gt;&lt;/authors&gt;&lt;/contributors&gt;&lt;titles&gt;&lt;title&gt;Language disenfranchisement in the European Union&lt;/title&gt;&lt;secondary-title&gt;Journal of Common Market Studies&lt;/secondary-title&gt;&lt;/titles&gt;&lt;periodical&gt;&lt;full-title&gt;Journal of Common Market Studies&lt;/full-title&gt;&lt;/periodical&gt;&lt;pages&gt;273-286&lt;/pages&gt;&lt;volume&gt;43&lt;/volume&gt;&lt;number&gt;2&lt;/number&gt;&lt;dates&gt;&lt;year&gt;2005&lt;/year&gt;&lt;/dates&gt;&lt;urls&gt;&lt;/urls&gt;&lt;/record&gt;&lt;/Cite&gt;&lt;/EndNote&gt;</w:instrText>
        </w:r>
        <w:r w:rsidR="00101624" w:rsidRPr="006F07C8">
          <w:rPr>
            <w:rFonts w:ascii="Times New Roman" w:hAnsi="Times New Roman" w:cs="Times New Roman"/>
            <w:sz w:val="24"/>
            <w:szCs w:val="24"/>
            <w:lang w:val="it-IT"/>
          </w:rPr>
          <w:fldChar w:fldCharType="separate"/>
        </w:r>
        <w:r w:rsidR="00101624" w:rsidRPr="006F07C8">
          <w:rPr>
            <w:rFonts w:ascii="Times New Roman" w:hAnsi="Times New Roman" w:cs="Times New Roman"/>
            <w:sz w:val="24"/>
            <w:szCs w:val="24"/>
            <w:lang w:val="it-IT"/>
          </w:rPr>
          <w:t>2005</w:t>
        </w:r>
        <w:r w:rsidR="00101624" w:rsidRPr="006F07C8">
          <w:rPr>
            <w:rFonts w:ascii="Times New Roman" w:hAnsi="Times New Roman" w:cs="Times New Roman"/>
            <w:sz w:val="24"/>
            <w:szCs w:val="24"/>
            <w:lang w:val="it-IT"/>
          </w:rPr>
          <w:fldChar w:fldCharType="end"/>
        </w:r>
      </w:hyperlink>
      <w:r w:rsidR="00AA4DBE" w:rsidRPr="006F07C8">
        <w:rPr>
          <w:rFonts w:ascii="Times New Roman" w:hAnsi="Times New Roman" w:cs="Times New Roman"/>
          <w:sz w:val="24"/>
          <w:szCs w:val="24"/>
          <w:lang w:val="it-IT"/>
        </w:rPr>
        <w:t xml:space="preserve">, Gazzola e Grin </w:t>
      </w:r>
      <w:hyperlink w:anchor="_ENREF_31" w:tooltip="Gazzola, 2013 #880" w:history="1">
        <w:r w:rsidR="00101624" w:rsidRPr="006F07C8">
          <w:rPr>
            <w:rFonts w:ascii="Times New Roman" w:hAnsi="Times New Roman" w:cs="Times New Roman"/>
            <w:sz w:val="24"/>
            <w:szCs w:val="24"/>
            <w:lang w:val="it-IT"/>
          </w:rPr>
          <w:fldChar w:fldCharType="begin"/>
        </w:r>
        <w:r w:rsidR="00101624" w:rsidRPr="006F07C8">
          <w:rPr>
            <w:rFonts w:ascii="Times New Roman" w:hAnsi="Times New Roman" w:cs="Times New Roman"/>
            <w:sz w:val="24"/>
            <w:szCs w:val="24"/>
            <w:lang w:val="it-IT"/>
          </w:rPr>
          <w:instrText xml:space="preserve"> ADDIN EN.CITE &lt;EndNote&gt;&lt;Cite ExcludeAuth="1"&gt;&lt;Author&gt;Gazzola&lt;/Author&gt;&lt;Year&gt;2013&lt;/Year&gt;&lt;RecNum&gt;880&lt;/RecNum&gt;&lt;DisplayText&gt;2013&lt;/DisplayText&gt;&lt;record&gt;&lt;rec-number&gt;880&lt;/rec-number&gt;&lt;foreign-keys&gt;&lt;key app="EN" db-id="wvvszzd93a0z5wesdfpvdv9z5wrra5p05axp"&gt;880&lt;/key&gt;&lt;/foreign-keys&gt;&lt;ref-type name="Journal Article"&gt;17&lt;/ref-type&gt;&lt;contributors&gt;&lt;authors&gt;&lt;author&gt;Gazzola, Michele&lt;/author&gt;&lt;author&gt;Grin, François&lt;/author&gt;&lt;/authors&gt;&lt;/contributors&gt;&lt;titles&gt;&lt;title&gt;Is ELF more effective and fair than translation? An evaluation of the EU’s multilingual regime&lt;/title&gt;&lt;secondary-title&gt;International Journal of Applied Linguistics&lt;/secondary-title&gt;&lt;/titles&gt;&lt;periodical&gt;&lt;full-title&gt;International Journal of Applied Linguistics&lt;/full-title&gt;&lt;/periodical&gt;&lt;pages&gt;93-107&lt;/pages&gt;&lt;volume&gt;23&lt;/volume&gt;&lt;number&gt;1&lt;/number&gt;&lt;dates&gt;&lt;year&gt;2013&lt;/year&gt;&lt;/dates&gt;&lt;urls&gt;&lt;/urls&gt;&lt;/record&gt;&lt;/Cite&gt;&lt;/EndNote&gt;</w:instrText>
        </w:r>
        <w:r w:rsidR="00101624" w:rsidRPr="006F07C8">
          <w:rPr>
            <w:rFonts w:ascii="Times New Roman" w:hAnsi="Times New Roman" w:cs="Times New Roman"/>
            <w:sz w:val="24"/>
            <w:szCs w:val="24"/>
            <w:lang w:val="it-IT"/>
          </w:rPr>
          <w:fldChar w:fldCharType="separate"/>
        </w:r>
        <w:r w:rsidR="00101624" w:rsidRPr="006F07C8">
          <w:rPr>
            <w:rFonts w:ascii="Times New Roman" w:hAnsi="Times New Roman" w:cs="Times New Roman"/>
            <w:sz w:val="24"/>
            <w:szCs w:val="24"/>
            <w:lang w:val="it-IT"/>
          </w:rPr>
          <w:t>2013</w:t>
        </w:r>
        <w:r w:rsidR="00101624" w:rsidRPr="006F07C8">
          <w:rPr>
            <w:rFonts w:ascii="Times New Roman" w:hAnsi="Times New Roman" w:cs="Times New Roman"/>
            <w:sz w:val="24"/>
            <w:szCs w:val="24"/>
            <w:lang w:val="it-IT"/>
          </w:rPr>
          <w:fldChar w:fldCharType="end"/>
        </w:r>
      </w:hyperlink>
      <w:r w:rsidR="00AA4DBE" w:rsidRPr="006F07C8">
        <w:rPr>
          <w:rFonts w:ascii="Times New Roman" w:hAnsi="Times New Roman" w:cs="Times New Roman"/>
          <w:sz w:val="24"/>
          <w:szCs w:val="24"/>
          <w:lang w:val="it-IT"/>
        </w:rPr>
        <w:t>)</w:t>
      </w:r>
      <w:r w:rsidR="000D6478" w:rsidRPr="006F07C8">
        <w:rPr>
          <w:rFonts w:ascii="Times New Roman" w:hAnsi="Times New Roman" w:cs="Times New Roman"/>
          <w:sz w:val="24"/>
          <w:szCs w:val="24"/>
          <w:lang w:val="it-IT"/>
        </w:rPr>
        <w:t>.</w:t>
      </w:r>
    </w:p>
    <w:p w:rsidR="009E2715" w:rsidRPr="006F07C8" w:rsidRDefault="008C2EED" w:rsidP="002F52A9">
      <w:pPr>
        <w:spacing w:line="240" w:lineRule="auto"/>
        <w:jc w:val="both"/>
        <w:rPr>
          <w:rFonts w:ascii="Times New Roman" w:hAnsi="Times New Roman" w:cs="Times New Roman"/>
          <w:sz w:val="24"/>
          <w:szCs w:val="24"/>
          <w:lang w:val="it-IT"/>
        </w:rPr>
      </w:pPr>
      <w:r w:rsidRPr="006F07C8">
        <w:rPr>
          <w:rFonts w:ascii="Times New Roman" w:hAnsi="Times New Roman" w:cs="Times New Roman"/>
          <w:sz w:val="24"/>
          <w:szCs w:val="24"/>
          <w:lang w:val="it-IT"/>
        </w:rPr>
        <w:t>Il tass</w:t>
      </w:r>
      <w:r w:rsidR="008F51D4" w:rsidRPr="006F07C8">
        <w:rPr>
          <w:rFonts w:ascii="Times New Roman" w:hAnsi="Times New Roman" w:cs="Times New Roman"/>
          <w:sz w:val="24"/>
          <w:szCs w:val="24"/>
          <w:lang w:val="it-IT"/>
        </w:rPr>
        <w:t>o</w:t>
      </w:r>
      <w:r w:rsidRPr="006F07C8">
        <w:rPr>
          <w:rFonts w:ascii="Times New Roman" w:hAnsi="Times New Roman" w:cs="Times New Roman"/>
          <w:sz w:val="24"/>
          <w:szCs w:val="24"/>
          <w:lang w:val="it-IT"/>
        </w:rPr>
        <w:t xml:space="preserve"> </w:t>
      </w:r>
      <w:r w:rsidRPr="006F07C8">
        <w:rPr>
          <w:rFonts w:ascii="Times New Roman" w:hAnsi="Times New Roman" w:cs="Times New Roman"/>
          <w:i/>
          <w:sz w:val="24"/>
          <w:szCs w:val="24"/>
          <w:lang w:val="it-IT"/>
        </w:rPr>
        <w:t xml:space="preserve">E </w:t>
      </w:r>
      <w:r w:rsidRPr="006F07C8">
        <w:rPr>
          <w:rFonts w:ascii="Times New Roman" w:hAnsi="Times New Roman" w:cs="Times New Roman"/>
          <w:sz w:val="24"/>
          <w:szCs w:val="24"/>
          <w:lang w:val="it-IT"/>
        </w:rPr>
        <w:t xml:space="preserve">è definito come </w:t>
      </w:r>
      <w:r w:rsidR="00751C98" w:rsidRPr="006F07C8">
        <w:rPr>
          <w:rFonts w:ascii="Times New Roman" w:hAnsi="Times New Roman" w:cs="Times New Roman"/>
          <w:sz w:val="24"/>
          <w:szCs w:val="24"/>
          <w:lang w:val="it-IT"/>
        </w:rPr>
        <w:t xml:space="preserve">la percentuale di residenti </w:t>
      </w:r>
      <w:r w:rsidR="000B25E0" w:rsidRPr="006F07C8">
        <w:rPr>
          <w:rFonts w:ascii="Times New Roman" w:hAnsi="Times New Roman" w:cs="Times New Roman"/>
          <w:sz w:val="24"/>
          <w:szCs w:val="24"/>
          <w:lang w:val="it-IT"/>
        </w:rPr>
        <w:t xml:space="preserve">europei che </w:t>
      </w:r>
      <w:r w:rsidR="00452562" w:rsidRPr="006F07C8">
        <w:rPr>
          <w:rFonts w:ascii="Times New Roman" w:hAnsi="Times New Roman" w:cs="Times New Roman"/>
          <w:sz w:val="24"/>
          <w:szCs w:val="24"/>
          <w:lang w:val="it-IT"/>
        </w:rPr>
        <w:t xml:space="preserve">non </w:t>
      </w:r>
      <w:r w:rsidR="000B25E0" w:rsidRPr="006F07C8">
        <w:rPr>
          <w:rFonts w:ascii="Times New Roman" w:hAnsi="Times New Roman" w:cs="Times New Roman"/>
          <w:sz w:val="24"/>
          <w:szCs w:val="24"/>
          <w:lang w:val="it-IT"/>
        </w:rPr>
        <w:t>posso</w:t>
      </w:r>
      <w:r w:rsidR="00DA7201" w:rsidRPr="006F07C8">
        <w:rPr>
          <w:rFonts w:ascii="Times New Roman" w:hAnsi="Times New Roman" w:cs="Times New Roman"/>
          <w:sz w:val="24"/>
          <w:szCs w:val="24"/>
          <w:lang w:val="it-IT"/>
        </w:rPr>
        <w:t>no avere accesso alla comunicazione esterna d</w:t>
      </w:r>
      <w:r w:rsidR="0068447F" w:rsidRPr="006F07C8">
        <w:rPr>
          <w:rFonts w:ascii="Times New Roman" w:hAnsi="Times New Roman" w:cs="Times New Roman"/>
          <w:sz w:val="24"/>
          <w:szCs w:val="24"/>
          <w:lang w:val="it-IT"/>
        </w:rPr>
        <w:t>e</w:t>
      </w:r>
      <w:r w:rsidR="00DA7201" w:rsidRPr="006F07C8">
        <w:rPr>
          <w:rFonts w:ascii="Times New Roman" w:hAnsi="Times New Roman" w:cs="Times New Roman"/>
          <w:sz w:val="24"/>
          <w:szCs w:val="24"/>
          <w:lang w:val="it-IT"/>
        </w:rPr>
        <w:t xml:space="preserve">lla UE </w:t>
      </w:r>
      <w:r w:rsidR="0068447F" w:rsidRPr="006F07C8">
        <w:rPr>
          <w:rFonts w:ascii="Times New Roman" w:hAnsi="Times New Roman" w:cs="Times New Roman"/>
          <w:sz w:val="24"/>
          <w:szCs w:val="24"/>
          <w:lang w:val="it-IT"/>
        </w:rPr>
        <w:t>quando</w:t>
      </w:r>
      <w:r w:rsidR="00DA7201" w:rsidRPr="006F07C8">
        <w:rPr>
          <w:rFonts w:ascii="Times New Roman" w:hAnsi="Times New Roman" w:cs="Times New Roman"/>
          <w:sz w:val="24"/>
          <w:szCs w:val="24"/>
          <w:lang w:val="it-IT"/>
        </w:rPr>
        <w:t xml:space="preserve"> essa è </w:t>
      </w:r>
      <w:r w:rsidR="0068447F" w:rsidRPr="006F07C8">
        <w:rPr>
          <w:rFonts w:ascii="Times New Roman" w:hAnsi="Times New Roman" w:cs="Times New Roman"/>
          <w:sz w:val="24"/>
          <w:szCs w:val="24"/>
          <w:lang w:val="it-IT"/>
        </w:rPr>
        <w:t xml:space="preserve">prodotta </w:t>
      </w:r>
      <w:r w:rsidR="00452562" w:rsidRPr="006F07C8">
        <w:rPr>
          <w:rFonts w:ascii="Times New Roman" w:hAnsi="Times New Roman" w:cs="Times New Roman"/>
          <w:sz w:val="24"/>
          <w:szCs w:val="24"/>
          <w:lang w:val="it-IT"/>
        </w:rPr>
        <w:t xml:space="preserve">in un certo insieme di </w:t>
      </w:r>
      <w:r w:rsidR="00DA7201" w:rsidRPr="006F07C8">
        <w:rPr>
          <w:rFonts w:ascii="Times New Roman" w:hAnsi="Times New Roman" w:cs="Times New Roman"/>
          <w:sz w:val="24"/>
          <w:szCs w:val="24"/>
          <w:lang w:val="it-IT"/>
        </w:rPr>
        <w:t xml:space="preserve">lingue </w:t>
      </w:r>
      <w:r w:rsidR="008F51D4" w:rsidRPr="006F07C8">
        <w:rPr>
          <w:rFonts w:ascii="Times New Roman" w:hAnsi="Times New Roman" w:cs="Times New Roman"/>
          <w:sz w:val="24"/>
          <w:szCs w:val="24"/>
          <w:lang w:val="it-IT"/>
        </w:rPr>
        <w:t xml:space="preserve">ufficiali </w:t>
      </w:r>
      <w:r w:rsidR="009716BA" w:rsidRPr="006F07C8">
        <w:rPr>
          <w:rFonts w:ascii="Times New Roman" w:hAnsi="Times New Roman" w:cs="Times New Roman"/>
          <w:sz w:val="24"/>
          <w:szCs w:val="24"/>
          <w:lang w:val="it-IT"/>
        </w:rPr>
        <w:t>stabili</w:t>
      </w:r>
      <w:r w:rsidR="00452562" w:rsidRPr="006F07C8">
        <w:rPr>
          <w:rFonts w:ascii="Times New Roman" w:hAnsi="Times New Roman" w:cs="Times New Roman"/>
          <w:sz w:val="24"/>
          <w:szCs w:val="24"/>
          <w:lang w:val="it-IT"/>
        </w:rPr>
        <w:t>to</w:t>
      </w:r>
      <w:r w:rsidR="00DA7201" w:rsidRPr="006F07C8">
        <w:rPr>
          <w:rFonts w:ascii="Times New Roman" w:hAnsi="Times New Roman" w:cs="Times New Roman"/>
          <w:sz w:val="24"/>
          <w:szCs w:val="24"/>
          <w:lang w:val="it-IT"/>
        </w:rPr>
        <w:t xml:space="preserve"> </w:t>
      </w:r>
      <w:r w:rsidR="00452562" w:rsidRPr="006F07C8">
        <w:rPr>
          <w:rFonts w:ascii="Times New Roman" w:hAnsi="Times New Roman" w:cs="Times New Roman"/>
          <w:sz w:val="24"/>
          <w:szCs w:val="24"/>
          <w:lang w:val="it-IT"/>
        </w:rPr>
        <w:t xml:space="preserve">in </w:t>
      </w:r>
      <w:r w:rsidR="0068447F" w:rsidRPr="006F07C8">
        <w:rPr>
          <w:rFonts w:ascii="Times New Roman" w:hAnsi="Times New Roman" w:cs="Times New Roman"/>
          <w:sz w:val="24"/>
          <w:szCs w:val="24"/>
          <w:lang w:val="it-IT"/>
        </w:rPr>
        <w:t xml:space="preserve">un </w:t>
      </w:r>
      <w:r w:rsidR="00DA7201" w:rsidRPr="006F07C8">
        <w:rPr>
          <w:rFonts w:ascii="Times New Roman" w:hAnsi="Times New Roman" w:cs="Times New Roman"/>
          <w:sz w:val="24"/>
          <w:szCs w:val="24"/>
          <w:lang w:val="it-IT"/>
        </w:rPr>
        <w:t>regime linguistico</w:t>
      </w:r>
      <w:r w:rsidR="00452562" w:rsidRPr="006F07C8">
        <w:rPr>
          <w:rFonts w:ascii="Times New Roman" w:hAnsi="Times New Roman" w:cs="Times New Roman"/>
          <w:sz w:val="24"/>
          <w:szCs w:val="24"/>
          <w:lang w:val="it-IT"/>
        </w:rPr>
        <w:t xml:space="preserve"> dato</w:t>
      </w:r>
      <w:r w:rsidR="00751C98" w:rsidRPr="006F07C8">
        <w:rPr>
          <w:rFonts w:ascii="Times New Roman" w:hAnsi="Times New Roman" w:cs="Times New Roman"/>
          <w:sz w:val="24"/>
          <w:szCs w:val="24"/>
          <w:lang w:val="it-IT"/>
        </w:rPr>
        <w:t xml:space="preserve">. </w:t>
      </w:r>
      <w:r w:rsidR="00585DA7" w:rsidRPr="006F07C8">
        <w:rPr>
          <w:rFonts w:ascii="Times New Roman" w:hAnsi="Times New Roman" w:cs="Times New Roman"/>
          <w:sz w:val="24"/>
          <w:szCs w:val="24"/>
          <w:lang w:val="it-IT"/>
        </w:rPr>
        <w:t xml:space="preserve">Per </w:t>
      </w:r>
      <w:r w:rsidR="009E2715" w:rsidRPr="006F07C8">
        <w:rPr>
          <w:rFonts w:ascii="Times New Roman" w:hAnsi="Times New Roman" w:cs="Times New Roman"/>
          <w:sz w:val="24"/>
          <w:szCs w:val="24"/>
          <w:lang w:val="it-IT"/>
        </w:rPr>
        <w:t>“</w:t>
      </w:r>
      <w:r w:rsidR="00585DA7" w:rsidRPr="006F07C8">
        <w:rPr>
          <w:rFonts w:ascii="Times New Roman" w:hAnsi="Times New Roman" w:cs="Times New Roman"/>
          <w:sz w:val="24"/>
          <w:szCs w:val="24"/>
          <w:lang w:val="it-IT"/>
        </w:rPr>
        <w:t xml:space="preserve">comunicazione </w:t>
      </w:r>
      <w:r w:rsidR="0068447F" w:rsidRPr="006F07C8">
        <w:rPr>
          <w:rFonts w:ascii="Times New Roman" w:hAnsi="Times New Roman" w:cs="Times New Roman"/>
          <w:sz w:val="24"/>
          <w:szCs w:val="24"/>
          <w:lang w:val="it-IT"/>
        </w:rPr>
        <w:t xml:space="preserve">esterna </w:t>
      </w:r>
      <w:r w:rsidR="00585DA7" w:rsidRPr="006F07C8">
        <w:rPr>
          <w:rFonts w:ascii="Times New Roman" w:hAnsi="Times New Roman" w:cs="Times New Roman"/>
          <w:sz w:val="24"/>
          <w:szCs w:val="24"/>
          <w:lang w:val="it-IT"/>
        </w:rPr>
        <w:t>prodotta dalla UE</w:t>
      </w:r>
      <w:r w:rsidR="009E2715" w:rsidRPr="006F07C8">
        <w:rPr>
          <w:rFonts w:ascii="Times New Roman" w:hAnsi="Times New Roman" w:cs="Times New Roman"/>
          <w:sz w:val="24"/>
          <w:szCs w:val="24"/>
          <w:lang w:val="it-IT"/>
        </w:rPr>
        <w:t>”</w:t>
      </w:r>
      <w:r w:rsidR="00585DA7" w:rsidRPr="006F07C8">
        <w:rPr>
          <w:rFonts w:ascii="Times New Roman" w:hAnsi="Times New Roman" w:cs="Times New Roman"/>
          <w:sz w:val="24"/>
          <w:szCs w:val="24"/>
          <w:lang w:val="it-IT"/>
        </w:rPr>
        <w:t xml:space="preserve"> intendiamo ogni tipo di documento scritto o</w:t>
      </w:r>
      <w:r w:rsidR="00C45DFB" w:rsidRPr="006F07C8">
        <w:rPr>
          <w:rFonts w:ascii="Times New Roman" w:hAnsi="Times New Roman" w:cs="Times New Roman"/>
          <w:sz w:val="24"/>
          <w:szCs w:val="24"/>
          <w:lang w:val="it-IT"/>
        </w:rPr>
        <w:t>d</w:t>
      </w:r>
      <w:r w:rsidR="00585DA7" w:rsidRPr="006F07C8">
        <w:rPr>
          <w:rFonts w:ascii="Times New Roman" w:hAnsi="Times New Roman" w:cs="Times New Roman"/>
          <w:sz w:val="24"/>
          <w:szCs w:val="24"/>
          <w:lang w:val="it-IT"/>
        </w:rPr>
        <w:t xml:space="preserve"> orale prodotto dalle istituzioni della UE e rivolto al mondo ester</w:t>
      </w:r>
      <w:r w:rsidR="00452562" w:rsidRPr="006F07C8">
        <w:rPr>
          <w:rFonts w:ascii="Times New Roman" w:hAnsi="Times New Roman" w:cs="Times New Roman"/>
          <w:sz w:val="24"/>
          <w:szCs w:val="24"/>
          <w:lang w:val="it-IT"/>
        </w:rPr>
        <w:t>no</w:t>
      </w:r>
      <w:r w:rsidR="000D6478" w:rsidRPr="006F07C8">
        <w:rPr>
          <w:rFonts w:ascii="Times New Roman" w:hAnsi="Times New Roman" w:cs="Times New Roman"/>
          <w:sz w:val="24"/>
          <w:szCs w:val="24"/>
          <w:lang w:val="it-IT"/>
        </w:rPr>
        <w:t xml:space="preserve">, per esempio </w:t>
      </w:r>
      <w:r w:rsidR="00452562" w:rsidRPr="006F07C8">
        <w:rPr>
          <w:rFonts w:ascii="Times New Roman" w:hAnsi="Times New Roman" w:cs="Times New Roman"/>
          <w:sz w:val="24"/>
          <w:szCs w:val="24"/>
          <w:lang w:val="it-IT"/>
        </w:rPr>
        <w:t>i</w:t>
      </w:r>
      <w:r w:rsidR="00585DA7" w:rsidRPr="006F07C8">
        <w:rPr>
          <w:rFonts w:ascii="Times New Roman" w:hAnsi="Times New Roman" w:cs="Times New Roman"/>
          <w:sz w:val="24"/>
          <w:szCs w:val="24"/>
          <w:lang w:val="it-IT"/>
        </w:rPr>
        <w:t xml:space="preserve"> documenti ufficiali, </w:t>
      </w:r>
      <w:r w:rsidR="00452562" w:rsidRPr="006F07C8">
        <w:rPr>
          <w:rFonts w:ascii="Times New Roman" w:hAnsi="Times New Roman" w:cs="Times New Roman"/>
          <w:sz w:val="24"/>
          <w:szCs w:val="24"/>
          <w:lang w:val="it-IT"/>
        </w:rPr>
        <w:t xml:space="preserve">gli </w:t>
      </w:r>
      <w:r w:rsidR="00D35DC1" w:rsidRPr="006F07C8">
        <w:rPr>
          <w:rFonts w:ascii="Times New Roman" w:hAnsi="Times New Roman" w:cs="Times New Roman"/>
          <w:sz w:val="24"/>
          <w:szCs w:val="24"/>
          <w:lang w:val="it-IT"/>
        </w:rPr>
        <w:t xml:space="preserve">atti normativi, </w:t>
      </w:r>
      <w:r w:rsidR="00452562" w:rsidRPr="006F07C8">
        <w:rPr>
          <w:rFonts w:ascii="Times New Roman" w:hAnsi="Times New Roman" w:cs="Times New Roman"/>
          <w:sz w:val="24"/>
          <w:szCs w:val="24"/>
          <w:lang w:val="it-IT"/>
        </w:rPr>
        <w:t xml:space="preserve">le </w:t>
      </w:r>
      <w:r w:rsidR="00585DA7" w:rsidRPr="006F07C8">
        <w:rPr>
          <w:rFonts w:ascii="Times New Roman" w:hAnsi="Times New Roman" w:cs="Times New Roman"/>
          <w:sz w:val="24"/>
          <w:szCs w:val="24"/>
          <w:lang w:val="it-IT"/>
        </w:rPr>
        <w:t xml:space="preserve">pagine informative </w:t>
      </w:r>
      <w:r w:rsidR="00585DA7" w:rsidRPr="006F07C8">
        <w:rPr>
          <w:rFonts w:ascii="Times New Roman" w:hAnsi="Times New Roman" w:cs="Times New Roman"/>
          <w:sz w:val="24"/>
          <w:szCs w:val="24"/>
          <w:lang w:val="it-IT"/>
        </w:rPr>
        <w:lastRenderedPageBreak/>
        <w:t xml:space="preserve">sul sito Internet della Commissione europea, </w:t>
      </w:r>
      <w:r w:rsidR="00452562" w:rsidRPr="006F07C8">
        <w:rPr>
          <w:rFonts w:ascii="Times New Roman" w:hAnsi="Times New Roman" w:cs="Times New Roman"/>
          <w:sz w:val="24"/>
          <w:szCs w:val="24"/>
          <w:lang w:val="it-IT"/>
        </w:rPr>
        <w:t xml:space="preserve">le </w:t>
      </w:r>
      <w:r w:rsidR="00585DA7" w:rsidRPr="006F07C8">
        <w:rPr>
          <w:rFonts w:ascii="Times New Roman" w:hAnsi="Times New Roman" w:cs="Times New Roman"/>
          <w:sz w:val="24"/>
          <w:szCs w:val="24"/>
          <w:lang w:val="it-IT"/>
        </w:rPr>
        <w:t xml:space="preserve">sedute del Parlamento europeo trasmesse </w:t>
      </w:r>
      <w:r w:rsidR="00D35DC1" w:rsidRPr="006F07C8">
        <w:rPr>
          <w:rFonts w:ascii="Times New Roman" w:hAnsi="Times New Roman" w:cs="Times New Roman"/>
          <w:sz w:val="24"/>
          <w:szCs w:val="24"/>
          <w:lang w:val="it-IT"/>
        </w:rPr>
        <w:t>in diretta o in differita via Internet</w:t>
      </w:r>
      <w:r w:rsidR="00585DA7" w:rsidRPr="006F07C8">
        <w:rPr>
          <w:rFonts w:ascii="Times New Roman" w:hAnsi="Times New Roman" w:cs="Times New Roman"/>
          <w:sz w:val="24"/>
          <w:szCs w:val="24"/>
          <w:lang w:val="it-IT"/>
        </w:rPr>
        <w:t>.</w:t>
      </w:r>
      <w:r w:rsidR="00D35DC1" w:rsidRPr="006F07C8">
        <w:rPr>
          <w:rFonts w:ascii="Times New Roman" w:hAnsi="Times New Roman" w:cs="Times New Roman"/>
          <w:sz w:val="24"/>
          <w:szCs w:val="24"/>
          <w:lang w:val="it-IT"/>
        </w:rPr>
        <w:t xml:space="preserve"> </w:t>
      </w:r>
      <w:r w:rsidR="0020378C" w:rsidRPr="006F07C8">
        <w:rPr>
          <w:rFonts w:ascii="Times New Roman" w:hAnsi="Times New Roman" w:cs="Times New Roman"/>
          <w:sz w:val="24"/>
          <w:szCs w:val="24"/>
          <w:lang w:val="it-IT"/>
        </w:rPr>
        <w:t>La</w:t>
      </w:r>
      <w:r w:rsidR="009E2715" w:rsidRPr="006F07C8">
        <w:rPr>
          <w:rFonts w:ascii="Times New Roman" w:hAnsi="Times New Roman" w:cs="Times New Roman"/>
          <w:sz w:val="24"/>
          <w:szCs w:val="24"/>
          <w:lang w:val="it-IT"/>
        </w:rPr>
        <w:t xml:space="preserve"> comunicazione </w:t>
      </w:r>
      <w:r w:rsidR="0020378C" w:rsidRPr="006F07C8">
        <w:rPr>
          <w:rFonts w:ascii="Times New Roman" w:hAnsi="Times New Roman" w:cs="Times New Roman"/>
          <w:sz w:val="24"/>
          <w:szCs w:val="24"/>
          <w:lang w:val="it-IT"/>
        </w:rPr>
        <w:t xml:space="preserve">istituzionale, </w:t>
      </w:r>
      <w:r w:rsidR="008F51D4" w:rsidRPr="006F07C8">
        <w:rPr>
          <w:rFonts w:ascii="Times New Roman" w:hAnsi="Times New Roman" w:cs="Times New Roman"/>
          <w:sz w:val="24"/>
          <w:szCs w:val="24"/>
          <w:lang w:val="it-IT"/>
        </w:rPr>
        <w:t>come</w:t>
      </w:r>
      <w:r w:rsidR="0020378C" w:rsidRPr="006F07C8">
        <w:rPr>
          <w:rFonts w:ascii="Times New Roman" w:hAnsi="Times New Roman" w:cs="Times New Roman"/>
          <w:sz w:val="24"/>
          <w:szCs w:val="24"/>
          <w:lang w:val="it-IT"/>
        </w:rPr>
        <w:t xml:space="preserve"> si ricordava nell’introduzione, </w:t>
      </w:r>
      <w:r w:rsidR="009E2715" w:rsidRPr="006F07C8">
        <w:rPr>
          <w:rFonts w:ascii="Times New Roman" w:hAnsi="Times New Roman" w:cs="Times New Roman"/>
          <w:sz w:val="24"/>
          <w:szCs w:val="24"/>
          <w:lang w:val="it-IT"/>
        </w:rPr>
        <w:t>deve essere prodotta in almeno una lingua</w:t>
      </w:r>
      <w:r w:rsidR="00BC25AB" w:rsidRPr="006F07C8">
        <w:rPr>
          <w:rFonts w:ascii="Times New Roman" w:hAnsi="Times New Roman" w:cs="Times New Roman"/>
          <w:sz w:val="24"/>
          <w:szCs w:val="24"/>
          <w:lang w:val="it-IT"/>
        </w:rPr>
        <w:t xml:space="preserve">, ed è quindi inevitabile </w:t>
      </w:r>
      <w:r w:rsidR="009E2715" w:rsidRPr="006F07C8">
        <w:rPr>
          <w:rFonts w:ascii="Times New Roman" w:hAnsi="Times New Roman" w:cs="Times New Roman"/>
          <w:sz w:val="24"/>
          <w:szCs w:val="24"/>
          <w:lang w:val="it-IT"/>
        </w:rPr>
        <w:t>fare delle scelte di politica linguistica.</w:t>
      </w:r>
    </w:p>
    <w:p w:rsidR="0068447F" w:rsidRPr="006F07C8" w:rsidRDefault="00DA7201" w:rsidP="002F52A9">
      <w:pPr>
        <w:spacing w:line="240" w:lineRule="auto"/>
        <w:jc w:val="both"/>
        <w:rPr>
          <w:rFonts w:ascii="Times New Roman" w:hAnsi="Times New Roman" w:cs="Times New Roman"/>
          <w:sz w:val="24"/>
          <w:szCs w:val="24"/>
          <w:lang w:val="it-IT"/>
        </w:rPr>
      </w:pPr>
      <w:r w:rsidRPr="006F07C8">
        <w:rPr>
          <w:rFonts w:ascii="Times New Roman" w:hAnsi="Times New Roman" w:cs="Times New Roman"/>
          <w:sz w:val="24"/>
          <w:szCs w:val="24"/>
          <w:lang w:val="it-IT"/>
        </w:rPr>
        <w:t xml:space="preserve">L’indicatore </w:t>
      </w:r>
      <w:r w:rsidR="00230840" w:rsidRPr="006F07C8">
        <w:rPr>
          <w:rFonts w:ascii="Times New Roman" w:hAnsi="Times New Roman" w:cs="Times New Roman"/>
          <w:i/>
          <w:sz w:val="24"/>
          <w:szCs w:val="24"/>
          <w:lang w:val="it-IT"/>
        </w:rPr>
        <w:t xml:space="preserve">E </w:t>
      </w:r>
      <w:r w:rsidR="00BC25AB" w:rsidRPr="006F07C8">
        <w:rPr>
          <w:rFonts w:ascii="Times New Roman" w:hAnsi="Times New Roman" w:cs="Times New Roman"/>
          <w:sz w:val="24"/>
          <w:szCs w:val="24"/>
          <w:lang w:val="it-IT"/>
        </w:rPr>
        <w:t>è stato scelto perché</w:t>
      </w:r>
      <w:r w:rsidR="009E2715" w:rsidRPr="006F07C8">
        <w:rPr>
          <w:rFonts w:ascii="Times New Roman" w:hAnsi="Times New Roman" w:cs="Times New Roman"/>
          <w:sz w:val="24"/>
          <w:szCs w:val="24"/>
          <w:lang w:val="it-IT"/>
        </w:rPr>
        <w:t xml:space="preserve"> </w:t>
      </w:r>
      <w:r w:rsidRPr="006F07C8">
        <w:rPr>
          <w:rFonts w:ascii="Times New Roman" w:hAnsi="Times New Roman" w:cs="Times New Roman"/>
          <w:sz w:val="24"/>
          <w:szCs w:val="24"/>
          <w:lang w:val="it-IT"/>
        </w:rPr>
        <w:t xml:space="preserve">riflette uno degli obiettivi </w:t>
      </w:r>
      <w:r w:rsidR="0020378C" w:rsidRPr="006F07C8">
        <w:rPr>
          <w:rFonts w:ascii="Times New Roman" w:hAnsi="Times New Roman" w:cs="Times New Roman"/>
          <w:sz w:val="24"/>
          <w:szCs w:val="24"/>
          <w:lang w:val="it-IT"/>
        </w:rPr>
        <w:t xml:space="preserve">generali </w:t>
      </w:r>
      <w:r w:rsidRPr="006F07C8">
        <w:rPr>
          <w:rFonts w:ascii="Times New Roman" w:hAnsi="Times New Roman" w:cs="Times New Roman"/>
          <w:sz w:val="24"/>
          <w:szCs w:val="24"/>
          <w:lang w:val="it-IT"/>
        </w:rPr>
        <w:t xml:space="preserve">della UE, cioè permettere ai </w:t>
      </w:r>
      <w:r w:rsidR="004879F7" w:rsidRPr="006F07C8">
        <w:rPr>
          <w:rFonts w:ascii="Times New Roman" w:hAnsi="Times New Roman" w:cs="Times New Roman"/>
          <w:sz w:val="24"/>
          <w:szCs w:val="24"/>
          <w:lang w:val="it-IT"/>
        </w:rPr>
        <w:t>cittadini</w:t>
      </w:r>
      <w:r w:rsidRPr="006F07C8">
        <w:rPr>
          <w:rFonts w:ascii="Times New Roman" w:hAnsi="Times New Roman" w:cs="Times New Roman"/>
          <w:sz w:val="24"/>
          <w:szCs w:val="24"/>
          <w:lang w:val="it-IT"/>
        </w:rPr>
        <w:t xml:space="preserve"> di partecipare</w:t>
      </w:r>
      <w:r w:rsidR="00230840" w:rsidRPr="006F07C8">
        <w:rPr>
          <w:rFonts w:ascii="Times New Roman" w:hAnsi="Times New Roman" w:cs="Times New Roman"/>
          <w:sz w:val="24"/>
          <w:szCs w:val="24"/>
          <w:lang w:val="it-IT"/>
        </w:rPr>
        <w:t xml:space="preserve"> a un</w:t>
      </w:r>
      <w:r w:rsidR="002B7298" w:rsidRPr="006F07C8">
        <w:rPr>
          <w:rFonts w:ascii="Times New Roman" w:hAnsi="Times New Roman" w:cs="Times New Roman"/>
          <w:sz w:val="24"/>
          <w:szCs w:val="24"/>
          <w:lang w:val="it-IT"/>
        </w:rPr>
        <w:t xml:space="preserve"> processo </w:t>
      </w:r>
      <w:r w:rsidR="00230840" w:rsidRPr="006F07C8">
        <w:rPr>
          <w:rFonts w:ascii="Times New Roman" w:hAnsi="Times New Roman" w:cs="Times New Roman"/>
          <w:sz w:val="24"/>
          <w:szCs w:val="24"/>
          <w:lang w:val="it-IT"/>
        </w:rPr>
        <w:t xml:space="preserve">decisionale sovranazionale </w:t>
      </w:r>
      <w:r w:rsidR="004879F7" w:rsidRPr="006F07C8">
        <w:rPr>
          <w:rFonts w:ascii="Times New Roman" w:hAnsi="Times New Roman" w:cs="Times New Roman"/>
          <w:sz w:val="24"/>
          <w:szCs w:val="24"/>
          <w:lang w:val="it-IT"/>
        </w:rPr>
        <w:t>e a</w:t>
      </w:r>
      <w:r w:rsidR="00230840" w:rsidRPr="006F07C8">
        <w:rPr>
          <w:rFonts w:ascii="Times New Roman" w:hAnsi="Times New Roman" w:cs="Times New Roman"/>
          <w:sz w:val="24"/>
          <w:szCs w:val="24"/>
          <w:lang w:val="it-IT"/>
        </w:rPr>
        <w:t xml:space="preserve"> tutti i </w:t>
      </w:r>
      <w:r w:rsidR="004879F7" w:rsidRPr="006F07C8">
        <w:rPr>
          <w:rFonts w:ascii="Times New Roman" w:hAnsi="Times New Roman" w:cs="Times New Roman"/>
          <w:sz w:val="24"/>
          <w:szCs w:val="24"/>
          <w:lang w:val="it-IT"/>
        </w:rPr>
        <w:t>residenti di</w:t>
      </w:r>
      <w:r w:rsidRPr="006F07C8">
        <w:rPr>
          <w:rFonts w:ascii="Times New Roman" w:hAnsi="Times New Roman" w:cs="Times New Roman"/>
          <w:sz w:val="24"/>
          <w:szCs w:val="24"/>
          <w:lang w:val="it-IT"/>
        </w:rPr>
        <w:t xml:space="preserve"> informarsi </w:t>
      </w:r>
      <w:r w:rsidR="002B7298" w:rsidRPr="006F07C8">
        <w:rPr>
          <w:rFonts w:ascii="Times New Roman" w:hAnsi="Times New Roman" w:cs="Times New Roman"/>
          <w:sz w:val="24"/>
          <w:szCs w:val="24"/>
          <w:lang w:val="it-IT"/>
        </w:rPr>
        <w:t xml:space="preserve">sulle politiche </w:t>
      </w:r>
      <w:r w:rsidR="000D6478" w:rsidRPr="006F07C8">
        <w:rPr>
          <w:rFonts w:ascii="Times New Roman" w:hAnsi="Times New Roman" w:cs="Times New Roman"/>
          <w:sz w:val="24"/>
          <w:szCs w:val="24"/>
          <w:lang w:val="it-IT"/>
        </w:rPr>
        <w:t xml:space="preserve">e le iniziative </w:t>
      </w:r>
      <w:r w:rsidR="002B7298" w:rsidRPr="006F07C8">
        <w:rPr>
          <w:rFonts w:ascii="Times New Roman" w:hAnsi="Times New Roman" w:cs="Times New Roman"/>
          <w:sz w:val="24"/>
          <w:szCs w:val="24"/>
          <w:lang w:val="it-IT"/>
        </w:rPr>
        <w:t>della UE</w:t>
      </w:r>
      <w:r w:rsidR="00230840" w:rsidRPr="006F07C8">
        <w:rPr>
          <w:rFonts w:ascii="Times New Roman" w:hAnsi="Times New Roman" w:cs="Times New Roman"/>
          <w:sz w:val="24"/>
          <w:szCs w:val="24"/>
          <w:lang w:val="it-IT"/>
        </w:rPr>
        <w:t>, controllando in tal modo</w:t>
      </w:r>
      <w:r w:rsidRPr="006F07C8">
        <w:rPr>
          <w:rFonts w:ascii="Times New Roman" w:hAnsi="Times New Roman" w:cs="Times New Roman"/>
          <w:sz w:val="24"/>
          <w:szCs w:val="24"/>
          <w:lang w:val="it-IT"/>
        </w:rPr>
        <w:t xml:space="preserve"> le attività delle istituzioni comunitarie. Più </w:t>
      </w:r>
      <w:r w:rsidR="009E2715" w:rsidRPr="006F07C8">
        <w:rPr>
          <w:rFonts w:ascii="Times New Roman" w:hAnsi="Times New Roman" w:cs="Times New Roman"/>
          <w:sz w:val="24"/>
          <w:szCs w:val="24"/>
          <w:lang w:val="it-IT"/>
        </w:rPr>
        <w:t>basso</w:t>
      </w:r>
      <w:r w:rsidRPr="006F07C8">
        <w:rPr>
          <w:rFonts w:ascii="Times New Roman" w:hAnsi="Times New Roman" w:cs="Times New Roman"/>
          <w:sz w:val="24"/>
          <w:szCs w:val="24"/>
          <w:lang w:val="it-IT"/>
        </w:rPr>
        <w:t xml:space="preserve"> è </w:t>
      </w:r>
      <w:r w:rsidR="0020378C" w:rsidRPr="006F07C8">
        <w:rPr>
          <w:rFonts w:ascii="Times New Roman" w:hAnsi="Times New Roman" w:cs="Times New Roman"/>
          <w:sz w:val="24"/>
          <w:szCs w:val="24"/>
          <w:lang w:val="it-IT"/>
        </w:rPr>
        <w:t xml:space="preserve">il valore di </w:t>
      </w:r>
      <w:r w:rsidRPr="006F07C8">
        <w:rPr>
          <w:rFonts w:ascii="Times New Roman" w:hAnsi="Times New Roman" w:cs="Times New Roman"/>
          <w:i/>
          <w:sz w:val="24"/>
          <w:szCs w:val="24"/>
          <w:lang w:val="it-IT"/>
        </w:rPr>
        <w:t xml:space="preserve">E </w:t>
      </w:r>
      <w:r w:rsidR="009E2715" w:rsidRPr="006F07C8">
        <w:rPr>
          <w:rFonts w:ascii="Times New Roman" w:hAnsi="Times New Roman" w:cs="Times New Roman"/>
          <w:sz w:val="24"/>
          <w:szCs w:val="24"/>
          <w:lang w:val="it-IT"/>
        </w:rPr>
        <w:t xml:space="preserve">meno i </w:t>
      </w:r>
      <w:r w:rsidRPr="006F07C8">
        <w:rPr>
          <w:rFonts w:ascii="Times New Roman" w:hAnsi="Times New Roman" w:cs="Times New Roman"/>
          <w:sz w:val="24"/>
          <w:szCs w:val="24"/>
          <w:lang w:val="it-IT"/>
        </w:rPr>
        <w:t>residenti sono esclusi dalla comunicazione prodotta dalla UE</w:t>
      </w:r>
      <w:r w:rsidR="0020378C" w:rsidRPr="006F07C8">
        <w:rPr>
          <w:rFonts w:ascii="Times New Roman" w:hAnsi="Times New Roman" w:cs="Times New Roman"/>
          <w:sz w:val="24"/>
          <w:szCs w:val="24"/>
          <w:lang w:val="it-IT"/>
        </w:rPr>
        <w:t xml:space="preserve"> e quindi più efficace è la comunicazione</w:t>
      </w:r>
      <w:r w:rsidRPr="006F07C8">
        <w:rPr>
          <w:rFonts w:ascii="Times New Roman" w:hAnsi="Times New Roman" w:cs="Times New Roman"/>
          <w:sz w:val="24"/>
          <w:szCs w:val="24"/>
          <w:lang w:val="it-IT"/>
        </w:rPr>
        <w:t>.</w:t>
      </w:r>
      <w:r w:rsidR="009C0084" w:rsidRPr="006F07C8">
        <w:rPr>
          <w:rFonts w:ascii="Times New Roman" w:hAnsi="Times New Roman" w:cs="Times New Roman"/>
          <w:sz w:val="24"/>
          <w:szCs w:val="24"/>
          <w:lang w:val="it-IT"/>
        </w:rPr>
        <w:t xml:space="preserve"> </w:t>
      </w:r>
      <w:r w:rsidR="00D23E2B" w:rsidRPr="006F07C8">
        <w:rPr>
          <w:rFonts w:ascii="Times New Roman" w:hAnsi="Times New Roman" w:cs="Times New Roman"/>
          <w:sz w:val="24"/>
          <w:szCs w:val="24"/>
          <w:lang w:val="it-IT"/>
        </w:rPr>
        <w:t xml:space="preserve">Come si avrà modo di evidenziare nella sezione </w:t>
      </w:r>
      <w:r w:rsidR="00D23E2B" w:rsidRPr="006F07C8">
        <w:rPr>
          <w:rFonts w:ascii="Times New Roman" w:hAnsi="Times New Roman" w:cs="Times New Roman"/>
          <w:sz w:val="24"/>
          <w:szCs w:val="24"/>
          <w:lang w:val="it-IT"/>
        </w:rPr>
        <w:fldChar w:fldCharType="begin"/>
      </w:r>
      <w:r w:rsidR="00D23E2B" w:rsidRPr="006F07C8">
        <w:rPr>
          <w:rFonts w:ascii="Times New Roman" w:hAnsi="Times New Roman" w:cs="Times New Roman"/>
          <w:sz w:val="24"/>
          <w:szCs w:val="24"/>
          <w:lang w:val="it-IT"/>
        </w:rPr>
        <w:instrText xml:space="preserve"> REF _Ref378018188 \r \h  \* MERGEFORMAT </w:instrText>
      </w:r>
      <w:r w:rsidR="00D23E2B" w:rsidRPr="006F07C8">
        <w:rPr>
          <w:rFonts w:ascii="Times New Roman" w:hAnsi="Times New Roman" w:cs="Times New Roman"/>
          <w:sz w:val="24"/>
          <w:szCs w:val="24"/>
          <w:lang w:val="it-IT"/>
        </w:rPr>
      </w:r>
      <w:r w:rsidR="00D23E2B" w:rsidRPr="006F07C8">
        <w:rPr>
          <w:rFonts w:ascii="Times New Roman" w:hAnsi="Times New Roman" w:cs="Times New Roman"/>
          <w:sz w:val="24"/>
          <w:szCs w:val="24"/>
          <w:lang w:val="it-IT"/>
        </w:rPr>
        <w:fldChar w:fldCharType="separate"/>
      </w:r>
      <w:r w:rsidR="00087B27" w:rsidRPr="006F07C8">
        <w:rPr>
          <w:rFonts w:ascii="Times New Roman" w:hAnsi="Times New Roman" w:cs="Times New Roman"/>
          <w:sz w:val="24"/>
          <w:szCs w:val="24"/>
          <w:lang w:val="it-IT"/>
        </w:rPr>
        <w:t>5</w:t>
      </w:r>
      <w:r w:rsidR="00D23E2B" w:rsidRPr="006F07C8">
        <w:rPr>
          <w:rFonts w:ascii="Times New Roman" w:hAnsi="Times New Roman" w:cs="Times New Roman"/>
          <w:sz w:val="24"/>
          <w:szCs w:val="24"/>
          <w:lang w:val="it-IT"/>
        </w:rPr>
        <w:fldChar w:fldCharType="end"/>
      </w:r>
      <w:r w:rsidR="00D23E2B" w:rsidRPr="006F07C8">
        <w:rPr>
          <w:rFonts w:ascii="Times New Roman" w:hAnsi="Times New Roman" w:cs="Times New Roman"/>
          <w:sz w:val="24"/>
          <w:szCs w:val="24"/>
          <w:lang w:val="it-IT"/>
        </w:rPr>
        <w:t xml:space="preserve">, </w:t>
      </w:r>
      <w:r w:rsidR="009C0084" w:rsidRPr="006F07C8">
        <w:rPr>
          <w:rFonts w:ascii="Times New Roman" w:hAnsi="Times New Roman" w:cs="Times New Roman"/>
          <w:sz w:val="24"/>
          <w:szCs w:val="24"/>
          <w:lang w:val="it-IT"/>
        </w:rPr>
        <w:t>la UE non è un’organizzazione internazio</w:t>
      </w:r>
      <w:r w:rsidR="00BC25AB" w:rsidRPr="006F07C8">
        <w:rPr>
          <w:rFonts w:ascii="Times New Roman" w:hAnsi="Times New Roman" w:cs="Times New Roman"/>
          <w:sz w:val="24"/>
          <w:szCs w:val="24"/>
          <w:lang w:val="it-IT"/>
        </w:rPr>
        <w:t xml:space="preserve">nale </w:t>
      </w:r>
      <w:r w:rsidR="00D23E2B" w:rsidRPr="006F07C8">
        <w:rPr>
          <w:rFonts w:ascii="Times New Roman" w:hAnsi="Times New Roman" w:cs="Times New Roman"/>
          <w:sz w:val="24"/>
          <w:szCs w:val="24"/>
          <w:lang w:val="it-IT"/>
        </w:rPr>
        <w:t>tradizionale come ad esempio le Nazioni Unite. L’UE</w:t>
      </w:r>
      <w:r w:rsidR="00BC25AB" w:rsidRPr="006F07C8">
        <w:rPr>
          <w:rFonts w:ascii="Times New Roman" w:hAnsi="Times New Roman" w:cs="Times New Roman"/>
          <w:sz w:val="24"/>
          <w:szCs w:val="24"/>
          <w:lang w:val="it-IT"/>
        </w:rPr>
        <w:t xml:space="preserve"> è </w:t>
      </w:r>
      <w:r w:rsidR="00D23E2B" w:rsidRPr="006F07C8">
        <w:rPr>
          <w:rFonts w:ascii="Times New Roman" w:hAnsi="Times New Roman" w:cs="Times New Roman"/>
          <w:sz w:val="24"/>
          <w:szCs w:val="24"/>
          <w:lang w:val="it-IT"/>
        </w:rPr>
        <w:t xml:space="preserve">infatti </w:t>
      </w:r>
      <w:r w:rsidR="00BC25AB" w:rsidRPr="006F07C8">
        <w:rPr>
          <w:rFonts w:ascii="Times New Roman" w:hAnsi="Times New Roman" w:cs="Times New Roman"/>
          <w:sz w:val="24"/>
          <w:szCs w:val="24"/>
          <w:lang w:val="it-IT"/>
        </w:rPr>
        <w:t xml:space="preserve">dotata di </w:t>
      </w:r>
      <w:r w:rsidR="009C0084" w:rsidRPr="006F07C8">
        <w:rPr>
          <w:rFonts w:ascii="Times New Roman" w:hAnsi="Times New Roman" w:cs="Times New Roman"/>
          <w:sz w:val="24"/>
          <w:szCs w:val="24"/>
          <w:lang w:val="it-IT"/>
        </w:rPr>
        <w:t>competenze</w:t>
      </w:r>
      <w:r w:rsidR="003E6BA6" w:rsidRPr="006F07C8">
        <w:rPr>
          <w:rFonts w:ascii="Times New Roman" w:hAnsi="Times New Roman" w:cs="Times New Roman"/>
          <w:sz w:val="24"/>
          <w:szCs w:val="24"/>
          <w:lang w:val="it-IT"/>
        </w:rPr>
        <w:t xml:space="preserve"> </w:t>
      </w:r>
      <w:r w:rsidR="00D23E2B" w:rsidRPr="006F07C8">
        <w:rPr>
          <w:rFonts w:ascii="Times New Roman" w:hAnsi="Times New Roman" w:cs="Times New Roman"/>
          <w:sz w:val="24"/>
          <w:szCs w:val="24"/>
          <w:lang w:val="it-IT"/>
        </w:rPr>
        <w:t>e poteri molto più vasti di ogni altra organizzazione internazionale e l</w:t>
      </w:r>
      <w:r w:rsidR="009C0084" w:rsidRPr="006F07C8">
        <w:rPr>
          <w:rFonts w:ascii="Times New Roman" w:hAnsi="Times New Roman" w:cs="Times New Roman"/>
          <w:sz w:val="24"/>
          <w:szCs w:val="24"/>
          <w:lang w:val="it-IT"/>
        </w:rPr>
        <w:t xml:space="preserve">e decisioni </w:t>
      </w:r>
      <w:r w:rsidR="003E6BA6" w:rsidRPr="006F07C8">
        <w:rPr>
          <w:rFonts w:ascii="Times New Roman" w:hAnsi="Times New Roman" w:cs="Times New Roman"/>
          <w:sz w:val="24"/>
          <w:szCs w:val="24"/>
          <w:lang w:val="it-IT"/>
        </w:rPr>
        <w:t xml:space="preserve">della UE </w:t>
      </w:r>
      <w:r w:rsidR="009C0084" w:rsidRPr="006F07C8">
        <w:rPr>
          <w:rFonts w:ascii="Times New Roman" w:hAnsi="Times New Roman" w:cs="Times New Roman"/>
          <w:sz w:val="24"/>
          <w:szCs w:val="24"/>
          <w:lang w:val="it-IT"/>
        </w:rPr>
        <w:t>hanno spesso effetto diretto sulla situazione giuridica dei residenti europei (</w:t>
      </w:r>
      <w:hyperlink w:anchor="_ENREF_73" w:tooltip="Tesauro, 2001 #115" w:history="1">
        <w:r w:rsidR="00101624" w:rsidRPr="006F07C8">
          <w:rPr>
            <w:rFonts w:ascii="Times New Roman" w:hAnsi="Times New Roman" w:cs="Times New Roman"/>
            <w:sz w:val="24"/>
            <w:szCs w:val="24"/>
            <w:lang w:val="it-IT"/>
          </w:rPr>
          <w:fldChar w:fldCharType="begin"/>
        </w:r>
        <w:r w:rsidR="00101624" w:rsidRPr="006F07C8">
          <w:rPr>
            <w:rFonts w:ascii="Times New Roman" w:hAnsi="Times New Roman" w:cs="Times New Roman"/>
            <w:sz w:val="24"/>
            <w:szCs w:val="24"/>
            <w:lang w:val="it-IT"/>
          </w:rPr>
          <w:instrText xml:space="preserve"> ADDIN EN.CITE &lt;EndNote&gt;&lt;Cite&gt;&lt;Author&gt;Tesauro&lt;/Author&gt;&lt;Year&gt;2001&lt;/Year&gt;&lt;RecNum&gt;115&lt;/RecNum&gt;&lt;DisplayText&gt;Tesauro 2001&lt;/DisplayText&gt;&lt;record&gt;&lt;rec-number&gt;115&lt;/rec-number&gt;&lt;foreign-keys&gt;&lt;key app="EN" db-id="wvvszzd93a0z5wesdfpvdv9z5wrra5p05axp"&gt;115&lt;/key&gt;&lt;/foreign-keys&gt;&lt;ref-type name="Book"&gt;6&lt;/ref-type&gt;&lt;contributors&gt;&lt;authors&gt;&lt;author&gt;Tesauro, Giuseppe&lt;/author&gt;&lt;/authors&gt;&lt;/contributors&gt;&lt;titles&gt;&lt;title&gt;Diritto comunitario&lt;/title&gt;&lt;/titles&gt;&lt;dates&gt;&lt;year&gt;2001&lt;/year&gt;&lt;/dates&gt;&lt;pub-location&gt;Padova&lt;/pub-location&gt;&lt;publisher&gt;Cedam&lt;/publisher&gt;&lt;urls&gt;&lt;/urls&gt;&lt;/record&gt;&lt;/Cite&gt;&lt;/EndNote&gt;</w:instrText>
        </w:r>
        <w:r w:rsidR="00101624" w:rsidRPr="006F07C8">
          <w:rPr>
            <w:rFonts w:ascii="Times New Roman" w:hAnsi="Times New Roman" w:cs="Times New Roman"/>
            <w:sz w:val="24"/>
            <w:szCs w:val="24"/>
            <w:lang w:val="it-IT"/>
          </w:rPr>
          <w:fldChar w:fldCharType="separate"/>
        </w:r>
        <w:r w:rsidR="00101624" w:rsidRPr="006F07C8">
          <w:rPr>
            <w:rFonts w:ascii="Times New Roman" w:hAnsi="Times New Roman" w:cs="Times New Roman"/>
            <w:noProof/>
            <w:sz w:val="24"/>
            <w:szCs w:val="24"/>
            <w:lang w:val="it-IT"/>
          </w:rPr>
          <w:t>Tesauro 2001</w:t>
        </w:r>
        <w:r w:rsidR="00101624" w:rsidRPr="006F07C8">
          <w:rPr>
            <w:rFonts w:ascii="Times New Roman" w:hAnsi="Times New Roman" w:cs="Times New Roman"/>
            <w:sz w:val="24"/>
            <w:szCs w:val="24"/>
            <w:lang w:val="it-IT"/>
          </w:rPr>
          <w:fldChar w:fldCharType="end"/>
        </w:r>
      </w:hyperlink>
      <w:r w:rsidR="009C0084" w:rsidRPr="006F07C8">
        <w:rPr>
          <w:rFonts w:ascii="Times New Roman" w:hAnsi="Times New Roman" w:cs="Times New Roman"/>
          <w:sz w:val="24"/>
          <w:szCs w:val="24"/>
          <w:lang w:val="it-IT"/>
        </w:rPr>
        <w:t xml:space="preserve">), i quali hanno ovviamente tutto l’interesse a informarsi su ciò che li </w:t>
      </w:r>
      <w:r w:rsidR="009E2715" w:rsidRPr="006F07C8">
        <w:rPr>
          <w:rFonts w:ascii="Times New Roman" w:hAnsi="Times New Roman" w:cs="Times New Roman"/>
          <w:sz w:val="24"/>
          <w:szCs w:val="24"/>
          <w:lang w:val="it-IT"/>
        </w:rPr>
        <w:t>riguarda</w:t>
      </w:r>
      <w:r w:rsidR="009C0084" w:rsidRPr="006F07C8">
        <w:rPr>
          <w:rFonts w:ascii="Times New Roman" w:hAnsi="Times New Roman" w:cs="Times New Roman"/>
          <w:sz w:val="24"/>
          <w:szCs w:val="24"/>
          <w:lang w:val="it-IT"/>
        </w:rPr>
        <w:t>.</w:t>
      </w:r>
      <w:r w:rsidR="00D23E2B" w:rsidRPr="006F07C8">
        <w:rPr>
          <w:rFonts w:ascii="Times New Roman" w:hAnsi="Times New Roman" w:cs="Times New Roman"/>
          <w:sz w:val="24"/>
          <w:szCs w:val="24"/>
          <w:lang w:val="it-IT"/>
        </w:rPr>
        <w:t xml:space="preserve"> </w:t>
      </w:r>
    </w:p>
    <w:p w:rsidR="0068447F" w:rsidRPr="006F07C8" w:rsidRDefault="00230840" w:rsidP="002F52A9">
      <w:pPr>
        <w:spacing w:line="240" w:lineRule="auto"/>
        <w:jc w:val="both"/>
        <w:rPr>
          <w:rFonts w:ascii="Times New Roman" w:hAnsi="Times New Roman" w:cs="Times New Roman"/>
          <w:sz w:val="24"/>
          <w:szCs w:val="24"/>
          <w:lang w:val="it-IT"/>
        </w:rPr>
      </w:pPr>
      <w:r w:rsidRPr="006F07C8">
        <w:rPr>
          <w:rFonts w:ascii="Times New Roman" w:hAnsi="Times New Roman" w:cs="Times New Roman"/>
          <w:sz w:val="24"/>
          <w:szCs w:val="24"/>
          <w:lang w:val="it-IT"/>
        </w:rPr>
        <w:t>L</w:t>
      </w:r>
      <w:r w:rsidR="0068447F" w:rsidRPr="006F07C8">
        <w:rPr>
          <w:rFonts w:ascii="Times New Roman" w:hAnsi="Times New Roman" w:cs="Times New Roman"/>
          <w:sz w:val="24"/>
          <w:szCs w:val="24"/>
          <w:lang w:val="it-IT"/>
        </w:rPr>
        <w:t>’efficacia di un regime linguistico va valutata sulla base dei</w:t>
      </w:r>
      <w:r w:rsidR="0020378C" w:rsidRPr="006F07C8">
        <w:rPr>
          <w:rFonts w:ascii="Times New Roman" w:hAnsi="Times New Roman" w:cs="Times New Roman"/>
          <w:sz w:val="24"/>
          <w:szCs w:val="24"/>
          <w:lang w:val="it-IT"/>
        </w:rPr>
        <w:t xml:space="preserve"> </w:t>
      </w:r>
      <w:r w:rsidR="0068447F" w:rsidRPr="006F07C8">
        <w:rPr>
          <w:rFonts w:ascii="Times New Roman" w:hAnsi="Times New Roman" w:cs="Times New Roman"/>
          <w:sz w:val="24"/>
          <w:szCs w:val="24"/>
          <w:lang w:val="it-IT"/>
        </w:rPr>
        <w:t>risultati</w:t>
      </w:r>
      <w:r w:rsidR="001D2C4F" w:rsidRPr="006F07C8">
        <w:rPr>
          <w:rFonts w:ascii="Times New Roman" w:hAnsi="Times New Roman" w:cs="Times New Roman"/>
          <w:sz w:val="24"/>
          <w:szCs w:val="24"/>
          <w:lang w:val="it-IT"/>
        </w:rPr>
        <w:t>,</w:t>
      </w:r>
      <w:r w:rsidR="0068447F" w:rsidRPr="006F07C8">
        <w:rPr>
          <w:rFonts w:ascii="Times New Roman" w:hAnsi="Times New Roman" w:cs="Times New Roman"/>
          <w:i/>
          <w:sz w:val="24"/>
          <w:szCs w:val="24"/>
          <w:lang w:val="it-IT"/>
        </w:rPr>
        <w:t xml:space="preserve"> </w:t>
      </w:r>
      <w:r w:rsidR="00F23186" w:rsidRPr="006F07C8">
        <w:rPr>
          <w:rFonts w:ascii="Times New Roman" w:hAnsi="Times New Roman" w:cs="Times New Roman"/>
          <w:sz w:val="24"/>
          <w:szCs w:val="24"/>
          <w:lang w:val="it-IT"/>
        </w:rPr>
        <w:t xml:space="preserve">o </w:t>
      </w:r>
      <w:r w:rsidR="0068447F" w:rsidRPr="006F07C8">
        <w:rPr>
          <w:rFonts w:ascii="Times New Roman" w:hAnsi="Times New Roman" w:cs="Times New Roman"/>
          <w:i/>
          <w:sz w:val="24"/>
          <w:szCs w:val="24"/>
          <w:lang w:val="it-IT"/>
        </w:rPr>
        <w:t>outcome</w:t>
      </w:r>
      <w:r w:rsidR="001D2C4F" w:rsidRPr="006F07C8">
        <w:rPr>
          <w:rFonts w:ascii="Times New Roman" w:hAnsi="Times New Roman" w:cs="Times New Roman"/>
          <w:sz w:val="24"/>
          <w:szCs w:val="24"/>
          <w:lang w:val="it-IT"/>
        </w:rPr>
        <w:t>,</w:t>
      </w:r>
      <w:r w:rsidR="0068447F" w:rsidRPr="006F07C8">
        <w:rPr>
          <w:rFonts w:ascii="Times New Roman" w:hAnsi="Times New Roman" w:cs="Times New Roman"/>
          <w:sz w:val="24"/>
          <w:szCs w:val="24"/>
          <w:lang w:val="it-IT"/>
        </w:rPr>
        <w:t xml:space="preserve"> </w:t>
      </w:r>
      <w:r w:rsidR="0020378C" w:rsidRPr="006F07C8">
        <w:rPr>
          <w:rFonts w:ascii="Times New Roman" w:hAnsi="Times New Roman" w:cs="Times New Roman"/>
          <w:sz w:val="24"/>
          <w:szCs w:val="24"/>
          <w:lang w:val="it-IT"/>
        </w:rPr>
        <w:t xml:space="preserve">e </w:t>
      </w:r>
      <w:r w:rsidRPr="006F07C8">
        <w:rPr>
          <w:rFonts w:ascii="Times New Roman" w:hAnsi="Times New Roman" w:cs="Times New Roman"/>
          <w:sz w:val="24"/>
          <w:szCs w:val="24"/>
          <w:lang w:val="it-IT"/>
        </w:rPr>
        <w:t>non sulla base dei</w:t>
      </w:r>
      <w:r w:rsidR="0020378C" w:rsidRPr="006F07C8">
        <w:rPr>
          <w:rFonts w:ascii="Times New Roman" w:hAnsi="Times New Roman" w:cs="Times New Roman"/>
          <w:sz w:val="24"/>
          <w:szCs w:val="24"/>
          <w:lang w:val="it-IT"/>
        </w:rPr>
        <w:t xml:space="preserve"> </w:t>
      </w:r>
      <w:r w:rsidR="0068447F" w:rsidRPr="006F07C8">
        <w:rPr>
          <w:rFonts w:ascii="Times New Roman" w:hAnsi="Times New Roman" w:cs="Times New Roman"/>
          <w:sz w:val="24"/>
          <w:szCs w:val="24"/>
          <w:lang w:val="it-IT"/>
        </w:rPr>
        <w:t>prodotti</w:t>
      </w:r>
      <w:r w:rsidR="00D23E2B" w:rsidRPr="006F07C8">
        <w:rPr>
          <w:rFonts w:ascii="Times New Roman" w:hAnsi="Times New Roman" w:cs="Times New Roman"/>
          <w:sz w:val="24"/>
          <w:szCs w:val="24"/>
          <w:lang w:val="it-IT"/>
        </w:rPr>
        <w:t>,</w:t>
      </w:r>
      <w:r w:rsidR="0068447F" w:rsidRPr="006F07C8">
        <w:rPr>
          <w:rFonts w:ascii="Times New Roman" w:hAnsi="Times New Roman" w:cs="Times New Roman"/>
          <w:i/>
          <w:sz w:val="24"/>
          <w:szCs w:val="24"/>
          <w:lang w:val="it-IT"/>
        </w:rPr>
        <w:t xml:space="preserve"> </w:t>
      </w:r>
      <w:r w:rsidR="00F23186" w:rsidRPr="006F07C8">
        <w:rPr>
          <w:rFonts w:ascii="Times New Roman" w:hAnsi="Times New Roman" w:cs="Times New Roman"/>
          <w:sz w:val="24"/>
          <w:szCs w:val="24"/>
          <w:lang w:val="it-IT"/>
        </w:rPr>
        <w:t xml:space="preserve">o </w:t>
      </w:r>
      <w:r w:rsidR="0068447F" w:rsidRPr="006F07C8">
        <w:rPr>
          <w:rFonts w:ascii="Times New Roman" w:hAnsi="Times New Roman" w:cs="Times New Roman"/>
          <w:i/>
          <w:sz w:val="24"/>
          <w:szCs w:val="24"/>
          <w:lang w:val="it-IT"/>
        </w:rPr>
        <w:t>output</w:t>
      </w:r>
      <w:r w:rsidR="00D23E2B" w:rsidRPr="006F07C8">
        <w:rPr>
          <w:rFonts w:ascii="Times New Roman" w:hAnsi="Times New Roman" w:cs="Times New Roman"/>
          <w:sz w:val="24"/>
          <w:szCs w:val="24"/>
          <w:lang w:val="it-IT"/>
        </w:rPr>
        <w:t xml:space="preserve">, </w:t>
      </w:r>
      <w:r w:rsidR="00F23186" w:rsidRPr="006F07C8">
        <w:rPr>
          <w:rFonts w:ascii="Times New Roman" w:hAnsi="Times New Roman" w:cs="Times New Roman"/>
          <w:sz w:val="24"/>
          <w:szCs w:val="24"/>
          <w:lang w:val="it-IT"/>
        </w:rPr>
        <w:t xml:space="preserve">(Grin </w:t>
      </w:r>
      <w:hyperlink w:anchor="_ENREF_37" w:tooltip="Grin, 2003 #49" w:history="1">
        <w:r w:rsidR="00101624" w:rsidRPr="006F07C8">
          <w:rPr>
            <w:rFonts w:ascii="Times New Roman" w:hAnsi="Times New Roman" w:cs="Times New Roman"/>
            <w:sz w:val="24"/>
            <w:szCs w:val="24"/>
            <w:lang w:val="it-IT"/>
          </w:rPr>
          <w:fldChar w:fldCharType="begin"/>
        </w:r>
        <w:r w:rsidR="00101624" w:rsidRPr="006F07C8">
          <w:rPr>
            <w:rFonts w:ascii="Times New Roman" w:hAnsi="Times New Roman" w:cs="Times New Roman"/>
            <w:sz w:val="24"/>
            <w:szCs w:val="24"/>
            <w:lang w:val="it-IT"/>
          </w:rPr>
          <w:instrText xml:space="preserve"> ADDIN EN.CITE &lt;EndNote&gt;&lt;Cite ExcludeAuth="1"&gt;&lt;Author&gt;Grin&lt;/Author&gt;&lt;Year&gt;2003&lt;/Year&gt;&lt;RecNum&gt;49&lt;/RecNum&gt;&lt;DisplayText&gt;2003b&lt;/DisplayText&gt;&lt;record&gt;&lt;rec-number&gt;49&lt;/rec-number&gt;&lt;foreign-keys&gt;&lt;key app="EN" db-id="wvvszzd93a0z5wesdfpvdv9z5wrra5p05axp"&gt;49&lt;/key&gt;&lt;/foreign-keys&gt;&lt;ref-type name="Book"&gt;6&lt;/ref-type&gt;&lt;contributors&gt;&lt;authors&gt;&lt;author&gt;Grin, François&lt;/author&gt;&lt;/authors&gt;&lt;/contributors&gt;&lt;titles&gt;&lt;title&gt;Language policy evaluation and the European charter for regional or minority languages&lt;/title&gt;&lt;/titles&gt;&lt;keywords&gt;&lt;keyword&gt;Charte europ©*enne des langues r©*gionales ou minoritaires (1992&lt;/keyword&gt;&lt;keyword&gt;Strasbourg)&lt;/keyword&gt;&lt;keyword&gt;planification linguistique * Charte europ©*enne des langues r©*gionales ou minoritaires (1992&lt;/keyword&gt;&lt;keyword&gt;Strasbourg) - application [document]&lt;/keyword&gt;&lt;/keywords&gt;&lt;dates&gt;&lt;year&gt;2003&lt;/year&gt;&lt;/dates&gt;&lt;pub-location&gt;Basingstoke&lt;/pub-location&gt;&lt;publisher&gt;Palgrave Macmillan&lt;/publisher&gt;&lt;isbn&gt;1403900329&lt;/isbn&gt;&lt;accession-num&gt;vtls003406841&lt;/accession-num&gt;&lt;urls&gt;&lt;/urls&gt;&lt;/record&gt;&lt;/Cite&gt;&lt;/EndNote&gt;</w:instrText>
        </w:r>
        <w:r w:rsidR="00101624" w:rsidRPr="006F07C8">
          <w:rPr>
            <w:rFonts w:ascii="Times New Roman" w:hAnsi="Times New Roman" w:cs="Times New Roman"/>
            <w:sz w:val="24"/>
            <w:szCs w:val="24"/>
            <w:lang w:val="it-IT"/>
          </w:rPr>
          <w:fldChar w:fldCharType="separate"/>
        </w:r>
        <w:r w:rsidR="00101624" w:rsidRPr="006F07C8">
          <w:rPr>
            <w:rFonts w:ascii="Times New Roman" w:hAnsi="Times New Roman" w:cs="Times New Roman"/>
            <w:noProof/>
            <w:sz w:val="24"/>
            <w:szCs w:val="24"/>
            <w:lang w:val="it-IT"/>
          </w:rPr>
          <w:t>2003b</w:t>
        </w:r>
        <w:r w:rsidR="00101624" w:rsidRPr="006F07C8">
          <w:rPr>
            <w:rFonts w:ascii="Times New Roman" w:hAnsi="Times New Roman" w:cs="Times New Roman"/>
            <w:sz w:val="24"/>
            <w:szCs w:val="24"/>
            <w:lang w:val="it-IT"/>
          </w:rPr>
          <w:fldChar w:fldCharType="end"/>
        </w:r>
      </w:hyperlink>
      <w:r w:rsidR="00F23186" w:rsidRPr="006F07C8">
        <w:rPr>
          <w:rFonts w:ascii="Times New Roman" w:hAnsi="Times New Roman" w:cs="Times New Roman"/>
          <w:sz w:val="24"/>
          <w:szCs w:val="24"/>
          <w:lang w:val="it-IT"/>
        </w:rPr>
        <w:t xml:space="preserve">, Grin e Gazzola </w:t>
      </w:r>
      <w:hyperlink w:anchor="_ENREF_43" w:tooltip="Grin, 2013 #801" w:history="1">
        <w:r w:rsidR="00101624" w:rsidRPr="006F07C8">
          <w:rPr>
            <w:rFonts w:ascii="Times New Roman" w:hAnsi="Times New Roman" w:cs="Times New Roman"/>
            <w:sz w:val="24"/>
            <w:szCs w:val="24"/>
            <w:lang w:val="it-IT"/>
          </w:rPr>
          <w:fldChar w:fldCharType="begin"/>
        </w:r>
        <w:r w:rsidR="00101624" w:rsidRPr="006F07C8">
          <w:rPr>
            <w:rFonts w:ascii="Times New Roman" w:hAnsi="Times New Roman" w:cs="Times New Roman"/>
            <w:sz w:val="24"/>
            <w:szCs w:val="24"/>
            <w:lang w:val="it-IT"/>
          </w:rPr>
          <w:instrText xml:space="preserve"> ADDIN EN.CITE &lt;EndNote&gt;&lt;Cite ExcludeAuth="1"&gt;&lt;Author&gt;Grin&lt;/Author&gt;&lt;Year&gt;2013&lt;/Year&gt;&lt;RecNum&gt;801&lt;/RecNum&gt;&lt;DisplayText&gt;2013&lt;/DisplayText&gt;&lt;record&gt;&lt;rec-number&gt;801&lt;/rec-number&gt;&lt;foreign-keys&gt;&lt;key app="EN" db-id="wvvszzd93a0z5wesdfpvdv9z5wrra5p05axp"&gt;801&lt;/key&gt;&lt;/foreign-keys&gt;&lt;ref-type name="Book Section"&gt;5&lt;/ref-type&gt;&lt;contributors&gt;&lt;authors&gt;&lt;author&gt;Grin, François&lt;/author&gt;&lt;author&gt;Gazzola, Michele&lt;/author&gt;&lt;/authors&gt;&lt;secondary-authors&gt;&lt;author&gt;Berthoud, Anne-Claude&lt;/author&gt;&lt;author&gt;Grin, François&lt;/author&gt;&lt;author&gt;Lüdi, Georges&lt;/author&gt;&lt;/secondary-authors&gt;&lt;/contributors&gt;&lt;titles&gt;&lt;title&gt;Assessing efficiency and fairness in multilingual communication: theory and application through indicators&lt;/title&gt;&lt;secondary-title&gt;Exploring the dynamics of multilingualism&lt;/secondary-title&gt;&lt;/titles&gt;&lt;pages&gt;365–386&lt;/pages&gt;&lt;dates&gt;&lt;year&gt;2013&lt;/year&gt;&lt;/dates&gt;&lt;pub-location&gt;Amsterdam&lt;/pub-location&gt;&lt;publisher&gt;John Benjamins&lt;/publisher&gt;&lt;urls&gt;&lt;/urls&gt;&lt;/record&gt;&lt;/Cite&gt;&lt;/EndNote&gt;</w:instrText>
        </w:r>
        <w:r w:rsidR="00101624" w:rsidRPr="006F07C8">
          <w:rPr>
            <w:rFonts w:ascii="Times New Roman" w:hAnsi="Times New Roman" w:cs="Times New Roman"/>
            <w:sz w:val="24"/>
            <w:szCs w:val="24"/>
            <w:lang w:val="it-IT"/>
          </w:rPr>
          <w:fldChar w:fldCharType="separate"/>
        </w:r>
        <w:r w:rsidR="00101624" w:rsidRPr="006F07C8">
          <w:rPr>
            <w:rFonts w:ascii="Times New Roman" w:hAnsi="Times New Roman" w:cs="Times New Roman"/>
            <w:noProof/>
            <w:sz w:val="24"/>
            <w:szCs w:val="24"/>
            <w:lang w:val="it-IT"/>
          </w:rPr>
          <w:t>2013</w:t>
        </w:r>
        <w:r w:rsidR="00101624" w:rsidRPr="006F07C8">
          <w:rPr>
            <w:rFonts w:ascii="Times New Roman" w:hAnsi="Times New Roman" w:cs="Times New Roman"/>
            <w:sz w:val="24"/>
            <w:szCs w:val="24"/>
            <w:lang w:val="it-IT"/>
          </w:rPr>
          <w:fldChar w:fldCharType="end"/>
        </w:r>
      </w:hyperlink>
      <w:r w:rsidR="00F23186" w:rsidRPr="006F07C8">
        <w:rPr>
          <w:rFonts w:ascii="Times New Roman" w:hAnsi="Times New Roman" w:cs="Times New Roman"/>
          <w:noProof/>
          <w:sz w:val="24"/>
          <w:szCs w:val="24"/>
          <w:lang w:val="it-IT"/>
        </w:rPr>
        <w:t>)</w:t>
      </w:r>
      <w:r w:rsidR="0068447F" w:rsidRPr="006F07C8">
        <w:rPr>
          <w:rFonts w:ascii="Times New Roman" w:hAnsi="Times New Roman" w:cs="Times New Roman"/>
          <w:sz w:val="24"/>
          <w:szCs w:val="24"/>
          <w:lang w:val="it-IT"/>
        </w:rPr>
        <w:t xml:space="preserve">. Gli output di un regime linguistico </w:t>
      </w:r>
      <w:r w:rsidR="0020378C" w:rsidRPr="006F07C8">
        <w:rPr>
          <w:rFonts w:ascii="Times New Roman" w:hAnsi="Times New Roman" w:cs="Times New Roman"/>
          <w:sz w:val="24"/>
          <w:szCs w:val="24"/>
          <w:lang w:val="it-IT"/>
        </w:rPr>
        <w:t xml:space="preserve">sono </w:t>
      </w:r>
      <w:r w:rsidR="0068447F" w:rsidRPr="006F07C8">
        <w:rPr>
          <w:rFonts w:ascii="Times New Roman" w:hAnsi="Times New Roman" w:cs="Times New Roman"/>
          <w:sz w:val="24"/>
          <w:szCs w:val="24"/>
          <w:lang w:val="it-IT"/>
        </w:rPr>
        <w:t xml:space="preserve">solitamente il numero di pagine tradotte o le ore di conferenze interpretate, cioè i </w:t>
      </w:r>
      <w:r w:rsidR="009C0084" w:rsidRPr="006F07C8">
        <w:rPr>
          <w:rFonts w:ascii="Times New Roman" w:hAnsi="Times New Roman" w:cs="Times New Roman"/>
          <w:sz w:val="24"/>
          <w:szCs w:val="24"/>
          <w:lang w:val="it-IT"/>
        </w:rPr>
        <w:t xml:space="preserve">prodotti </w:t>
      </w:r>
      <w:r w:rsidRPr="006F07C8">
        <w:rPr>
          <w:rFonts w:ascii="Times New Roman" w:hAnsi="Times New Roman" w:cs="Times New Roman"/>
          <w:sz w:val="24"/>
          <w:szCs w:val="24"/>
          <w:lang w:val="it-IT"/>
        </w:rPr>
        <w:t>derivanti</w:t>
      </w:r>
      <w:r w:rsidR="009C0084" w:rsidRPr="006F07C8">
        <w:rPr>
          <w:rFonts w:ascii="Times New Roman" w:hAnsi="Times New Roman" w:cs="Times New Roman"/>
          <w:sz w:val="24"/>
          <w:szCs w:val="24"/>
          <w:lang w:val="it-IT"/>
        </w:rPr>
        <w:t xml:space="preserve"> dell’applicazione </w:t>
      </w:r>
      <w:r w:rsidRPr="006F07C8">
        <w:rPr>
          <w:rFonts w:ascii="Times New Roman" w:hAnsi="Times New Roman" w:cs="Times New Roman"/>
          <w:sz w:val="24"/>
          <w:szCs w:val="24"/>
          <w:lang w:val="it-IT"/>
        </w:rPr>
        <w:t xml:space="preserve">diretta </w:t>
      </w:r>
      <w:r w:rsidR="009C0084" w:rsidRPr="006F07C8">
        <w:rPr>
          <w:rFonts w:ascii="Times New Roman" w:hAnsi="Times New Roman" w:cs="Times New Roman"/>
          <w:sz w:val="24"/>
          <w:szCs w:val="24"/>
          <w:lang w:val="it-IT"/>
        </w:rPr>
        <w:t>dei servizi linguistici</w:t>
      </w:r>
      <w:r w:rsidR="00F23186" w:rsidRPr="006F07C8">
        <w:rPr>
          <w:rFonts w:ascii="Times New Roman" w:hAnsi="Times New Roman" w:cs="Times New Roman"/>
          <w:sz w:val="24"/>
          <w:szCs w:val="24"/>
          <w:lang w:val="it-IT"/>
        </w:rPr>
        <w:t xml:space="preserve"> alla comunicazione multilingue</w:t>
      </w:r>
      <w:r w:rsidR="009C0084" w:rsidRPr="006F07C8">
        <w:rPr>
          <w:rFonts w:ascii="Times New Roman" w:hAnsi="Times New Roman" w:cs="Times New Roman"/>
          <w:sz w:val="24"/>
          <w:szCs w:val="24"/>
          <w:lang w:val="it-IT"/>
        </w:rPr>
        <w:t xml:space="preserve">. Tuttavia, l’efficacia generale va valutata rispetto ai </w:t>
      </w:r>
      <w:r w:rsidR="0068447F" w:rsidRPr="006F07C8">
        <w:rPr>
          <w:rFonts w:ascii="Times New Roman" w:hAnsi="Times New Roman" w:cs="Times New Roman"/>
          <w:sz w:val="24"/>
          <w:szCs w:val="24"/>
          <w:lang w:val="it-IT"/>
        </w:rPr>
        <w:t>risultat</w:t>
      </w:r>
      <w:r w:rsidR="009C0084" w:rsidRPr="006F07C8">
        <w:rPr>
          <w:rFonts w:ascii="Times New Roman" w:hAnsi="Times New Roman" w:cs="Times New Roman"/>
          <w:sz w:val="24"/>
          <w:szCs w:val="24"/>
          <w:lang w:val="it-IT"/>
        </w:rPr>
        <w:t xml:space="preserve">i </w:t>
      </w:r>
      <w:r w:rsidR="0068447F" w:rsidRPr="006F07C8">
        <w:rPr>
          <w:rFonts w:ascii="Times New Roman" w:hAnsi="Times New Roman" w:cs="Times New Roman"/>
          <w:sz w:val="24"/>
          <w:szCs w:val="24"/>
          <w:lang w:val="it-IT"/>
        </w:rPr>
        <w:t xml:space="preserve">del </w:t>
      </w:r>
      <w:r w:rsidR="009C0084" w:rsidRPr="006F07C8">
        <w:rPr>
          <w:rFonts w:ascii="Times New Roman" w:hAnsi="Times New Roman" w:cs="Times New Roman"/>
          <w:sz w:val="24"/>
          <w:szCs w:val="24"/>
          <w:lang w:val="it-IT"/>
        </w:rPr>
        <w:t xml:space="preserve">regime linguistico sulla popolazione obiettivo, cioè </w:t>
      </w:r>
      <w:r w:rsidR="00F23186" w:rsidRPr="006F07C8">
        <w:rPr>
          <w:rFonts w:ascii="Times New Roman" w:hAnsi="Times New Roman" w:cs="Times New Roman"/>
          <w:sz w:val="24"/>
          <w:szCs w:val="24"/>
          <w:lang w:val="it-IT"/>
        </w:rPr>
        <w:t xml:space="preserve">la possibilità di accesso </w:t>
      </w:r>
      <w:r w:rsidR="009C0084" w:rsidRPr="006F07C8">
        <w:rPr>
          <w:rFonts w:ascii="Times New Roman" w:hAnsi="Times New Roman" w:cs="Times New Roman"/>
          <w:sz w:val="24"/>
          <w:szCs w:val="24"/>
          <w:lang w:val="it-IT"/>
        </w:rPr>
        <w:t>(</w:t>
      </w:r>
      <w:r w:rsidR="00F23186" w:rsidRPr="006F07C8">
        <w:rPr>
          <w:rFonts w:ascii="Times New Roman" w:hAnsi="Times New Roman" w:cs="Times New Roman"/>
          <w:sz w:val="24"/>
          <w:szCs w:val="24"/>
          <w:lang w:val="it-IT"/>
        </w:rPr>
        <w:t xml:space="preserve">e quindi di partecipazione </w:t>
      </w:r>
      <w:r w:rsidR="009C0084" w:rsidRPr="006F07C8">
        <w:rPr>
          <w:rFonts w:ascii="Times New Roman" w:hAnsi="Times New Roman" w:cs="Times New Roman"/>
          <w:sz w:val="24"/>
          <w:szCs w:val="24"/>
          <w:lang w:val="it-IT"/>
        </w:rPr>
        <w:t>potenziale) dei residenti europei</w:t>
      </w:r>
      <w:r w:rsidR="00F23186" w:rsidRPr="006F07C8">
        <w:rPr>
          <w:rFonts w:ascii="Times New Roman" w:hAnsi="Times New Roman" w:cs="Times New Roman"/>
          <w:sz w:val="24"/>
          <w:szCs w:val="24"/>
          <w:lang w:val="it-IT"/>
        </w:rPr>
        <w:t xml:space="preserve"> ai documenti pubblicati d</w:t>
      </w:r>
      <w:r w:rsidR="00D23E2B" w:rsidRPr="006F07C8">
        <w:rPr>
          <w:rFonts w:ascii="Times New Roman" w:hAnsi="Times New Roman" w:cs="Times New Roman"/>
          <w:sz w:val="24"/>
          <w:szCs w:val="24"/>
          <w:lang w:val="it-IT"/>
        </w:rPr>
        <w:t>a</w:t>
      </w:r>
      <w:r w:rsidR="00F23186" w:rsidRPr="006F07C8">
        <w:rPr>
          <w:rFonts w:ascii="Times New Roman" w:hAnsi="Times New Roman" w:cs="Times New Roman"/>
          <w:sz w:val="24"/>
          <w:szCs w:val="24"/>
          <w:lang w:val="it-IT"/>
        </w:rPr>
        <w:t>ll’Unione</w:t>
      </w:r>
      <w:r w:rsidR="009C0084" w:rsidRPr="006F07C8">
        <w:rPr>
          <w:rFonts w:ascii="Times New Roman" w:hAnsi="Times New Roman" w:cs="Times New Roman"/>
          <w:sz w:val="24"/>
          <w:szCs w:val="24"/>
          <w:lang w:val="it-IT"/>
        </w:rPr>
        <w:t>.</w:t>
      </w:r>
    </w:p>
    <w:p w:rsidR="00F537AF" w:rsidRPr="006F07C8" w:rsidRDefault="00F23186" w:rsidP="002F52A9">
      <w:pPr>
        <w:spacing w:line="240" w:lineRule="auto"/>
        <w:jc w:val="both"/>
        <w:rPr>
          <w:rFonts w:ascii="Times New Roman" w:hAnsi="Times New Roman" w:cs="Times New Roman"/>
          <w:sz w:val="24"/>
          <w:szCs w:val="24"/>
          <w:lang w:val="it-IT"/>
        </w:rPr>
      </w:pPr>
      <w:r w:rsidRPr="006F07C8">
        <w:rPr>
          <w:rFonts w:ascii="Times New Roman" w:hAnsi="Times New Roman" w:cs="Times New Roman"/>
          <w:sz w:val="24"/>
          <w:szCs w:val="24"/>
          <w:lang w:val="it-IT"/>
        </w:rPr>
        <w:t xml:space="preserve">L’equità è un altro </w:t>
      </w:r>
      <w:r w:rsidR="00F537AF" w:rsidRPr="006F07C8">
        <w:rPr>
          <w:rFonts w:ascii="Times New Roman" w:hAnsi="Times New Roman" w:cs="Times New Roman"/>
          <w:sz w:val="24"/>
          <w:szCs w:val="24"/>
          <w:lang w:val="it-IT"/>
        </w:rPr>
        <w:t>criterio fondamentale di analisi delle politiche pubbliche. Il termine equità nella valutazione delle politiche non ha una particolare dimensione morale (</w:t>
      </w:r>
      <w:hyperlink w:anchor="_ENREF_50" w:tooltip="Just, 2004 #194" w:history="1">
        <w:r w:rsidR="00101624" w:rsidRPr="006F07C8">
          <w:rPr>
            <w:rFonts w:ascii="Times New Roman" w:hAnsi="Times New Roman" w:cs="Times New Roman"/>
            <w:sz w:val="24"/>
            <w:szCs w:val="24"/>
            <w:lang w:val="it-IT"/>
          </w:rPr>
          <w:fldChar w:fldCharType="begin"/>
        </w:r>
        <w:r w:rsidR="00101624" w:rsidRPr="006F07C8">
          <w:rPr>
            <w:rFonts w:ascii="Times New Roman" w:hAnsi="Times New Roman" w:cs="Times New Roman"/>
            <w:sz w:val="24"/>
            <w:szCs w:val="24"/>
            <w:lang w:val="it-IT"/>
          </w:rPr>
          <w:instrText xml:space="preserve"> ADDIN EN.CITE &lt;EndNote&gt;&lt;Cite&gt;&lt;Author&gt;Just&lt;/Author&gt;&lt;Year&gt;2004&lt;/Year&gt;&lt;RecNum&gt;194&lt;/RecNum&gt;&lt;DisplayText&gt;Just&lt;style face="italic"&gt; et al.&lt;/style&gt; 2004&lt;/DisplayText&gt;&lt;record&gt;&lt;rec-number&gt;194&lt;/rec-number&gt;&lt;foreign-keys&gt;&lt;key app="EN" db-id="wvvszzd93a0z5wesdfpvdv9z5wrra5p05axp"&gt;194&lt;/key&gt;&lt;/foreign-keys&gt;&lt;ref-type name="Book"&gt;6&lt;/ref-type&gt;&lt;contributors&gt;&lt;authors&gt;&lt;author&gt;Just, Richard E.&lt;/author&gt;&lt;author&gt;Hueth, Darrell L.&lt;/author&gt;&lt;author&gt;Schmitz, Andrew&lt;/author&gt;&lt;/authors&gt;&lt;/contributors&gt;&lt;titles&gt;&lt;title&gt;The welfare economics of public policy: A practical approach to project and policy evaluation&lt;/title&gt;&lt;/titles&gt;&lt;keywords&gt;&lt;keyword&gt;bien-©®tre politique publique&lt;/keyword&gt;&lt;/keywords&gt;&lt;dates&gt;&lt;year&gt;2004&lt;/year&gt;&lt;/dates&gt;&lt;pub-location&gt;Cheltenham&lt;/pub-location&gt;&lt;publisher&gt;Edward Elgar&lt;/publisher&gt;&lt;isbn&gt;1843766884 (cased)&lt;/isbn&gt;&lt;accession-num&gt;vtls003766395&lt;/accession-num&gt;&lt;urls&gt;&lt;/urls&gt;&lt;/record&gt;&lt;/Cite&gt;&lt;/EndNote&gt;</w:instrText>
        </w:r>
        <w:r w:rsidR="00101624" w:rsidRPr="006F07C8">
          <w:rPr>
            <w:rFonts w:ascii="Times New Roman" w:hAnsi="Times New Roman" w:cs="Times New Roman"/>
            <w:sz w:val="24"/>
            <w:szCs w:val="24"/>
            <w:lang w:val="it-IT"/>
          </w:rPr>
          <w:fldChar w:fldCharType="separate"/>
        </w:r>
        <w:r w:rsidR="00101624" w:rsidRPr="006F07C8">
          <w:rPr>
            <w:rFonts w:ascii="Times New Roman" w:hAnsi="Times New Roman" w:cs="Times New Roman"/>
            <w:noProof/>
            <w:sz w:val="24"/>
            <w:szCs w:val="24"/>
            <w:lang w:val="it-IT"/>
          </w:rPr>
          <w:t>Just</w:t>
        </w:r>
        <w:r w:rsidR="00101624" w:rsidRPr="006F07C8">
          <w:rPr>
            <w:rFonts w:ascii="Times New Roman" w:hAnsi="Times New Roman" w:cs="Times New Roman"/>
            <w:i/>
            <w:noProof/>
            <w:sz w:val="24"/>
            <w:szCs w:val="24"/>
            <w:lang w:val="it-IT"/>
          </w:rPr>
          <w:t xml:space="preserve"> et al.</w:t>
        </w:r>
        <w:r w:rsidR="00101624" w:rsidRPr="006F07C8">
          <w:rPr>
            <w:rFonts w:ascii="Times New Roman" w:hAnsi="Times New Roman" w:cs="Times New Roman"/>
            <w:noProof/>
            <w:sz w:val="24"/>
            <w:szCs w:val="24"/>
            <w:lang w:val="it-IT"/>
          </w:rPr>
          <w:t xml:space="preserve"> 2004</w:t>
        </w:r>
        <w:r w:rsidR="00101624" w:rsidRPr="006F07C8">
          <w:rPr>
            <w:rFonts w:ascii="Times New Roman" w:hAnsi="Times New Roman" w:cs="Times New Roman"/>
            <w:sz w:val="24"/>
            <w:szCs w:val="24"/>
            <w:lang w:val="it-IT"/>
          </w:rPr>
          <w:fldChar w:fldCharType="end"/>
        </w:r>
      </w:hyperlink>
      <w:r w:rsidR="00F537AF" w:rsidRPr="006F07C8">
        <w:rPr>
          <w:rFonts w:ascii="Times New Roman" w:hAnsi="Times New Roman" w:cs="Times New Roman"/>
          <w:sz w:val="24"/>
          <w:szCs w:val="24"/>
          <w:lang w:val="it-IT"/>
        </w:rPr>
        <w:t xml:space="preserve">); esso si riferisce piuttosto alla misurazione delle conseguenze distributive di una politica pubblica. Dal punto di vista economico, quindi, valutare l’equità di una politica linguistica significa chiarire i </w:t>
      </w:r>
      <w:r w:rsidR="009B0D8D" w:rsidRPr="006F07C8">
        <w:rPr>
          <w:rFonts w:ascii="Times New Roman" w:hAnsi="Times New Roman" w:cs="Times New Roman"/>
          <w:sz w:val="24"/>
          <w:szCs w:val="24"/>
          <w:lang w:val="it-IT"/>
        </w:rPr>
        <w:t xml:space="preserve">suoi </w:t>
      </w:r>
      <w:r w:rsidR="00F537AF" w:rsidRPr="006F07C8">
        <w:rPr>
          <w:rFonts w:ascii="Times New Roman" w:hAnsi="Times New Roman" w:cs="Times New Roman"/>
          <w:sz w:val="24"/>
          <w:szCs w:val="24"/>
          <w:lang w:val="it-IT"/>
        </w:rPr>
        <w:t>effetti distributivi sugli attori portatori di interessi, cioè chiarire chi vince e chi perde se una politica è preferita ad un’altra, e come i costi di politiche linguistiche alternative sono condivisi fra individui</w:t>
      </w:r>
      <w:r w:rsidR="009B0D8D" w:rsidRPr="006F07C8">
        <w:rPr>
          <w:rFonts w:ascii="Times New Roman" w:hAnsi="Times New Roman" w:cs="Times New Roman"/>
          <w:sz w:val="24"/>
          <w:szCs w:val="24"/>
          <w:lang w:val="it-IT"/>
        </w:rPr>
        <w:t>,</w:t>
      </w:r>
      <w:r w:rsidR="00F537AF" w:rsidRPr="006F07C8">
        <w:rPr>
          <w:rFonts w:ascii="Times New Roman" w:hAnsi="Times New Roman" w:cs="Times New Roman"/>
          <w:sz w:val="24"/>
          <w:szCs w:val="24"/>
          <w:lang w:val="it-IT"/>
        </w:rPr>
        <w:t xml:space="preserve"> gruppi di individui </w:t>
      </w:r>
      <w:r w:rsidR="009B0D8D" w:rsidRPr="006F07C8">
        <w:rPr>
          <w:rFonts w:ascii="Times New Roman" w:hAnsi="Times New Roman" w:cs="Times New Roman"/>
          <w:sz w:val="24"/>
          <w:szCs w:val="24"/>
          <w:lang w:val="it-IT"/>
        </w:rPr>
        <w:t>o</w:t>
      </w:r>
      <w:r w:rsidR="00F537AF" w:rsidRPr="006F07C8">
        <w:rPr>
          <w:rFonts w:ascii="Times New Roman" w:hAnsi="Times New Roman" w:cs="Times New Roman"/>
          <w:sz w:val="24"/>
          <w:szCs w:val="24"/>
          <w:lang w:val="it-IT"/>
        </w:rPr>
        <w:t xml:space="preserve"> Stati. Nel mondo della ricerca l’equità delle politiche linguistiche è talvolta definita come “giustizia linguistica” (</w:t>
      </w:r>
      <w:r w:rsidR="00F537AF" w:rsidRPr="006F07C8">
        <w:rPr>
          <w:rFonts w:ascii="Times New Roman" w:hAnsi="Times New Roman" w:cs="Times New Roman"/>
          <w:noProof/>
          <w:sz w:val="24"/>
          <w:szCs w:val="24"/>
          <w:lang w:val="it-IT"/>
        </w:rPr>
        <w:t>Grin</w:t>
      </w:r>
      <w:r w:rsidR="00F537AF" w:rsidRPr="006F07C8">
        <w:rPr>
          <w:rFonts w:ascii="Times New Roman" w:hAnsi="Times New Roman" w:cs="Times New Roman"/>
          <w:sz w:val="24"/>
          <w:szCs w:val="24"/>
          <w:lang w:val="it-IT"/>
        </w:rPr>
        <w:t xml:space="preserve"> </w:t>
      </w:r>
      <w:hyperlink w:anchor="_ENREF_39" w:tooltip="Grin, 2004 #86" w:history="1">
        <w:r w:rsidR="00101624" w:rsidRPr="006F07C8">
          <w:rPr>
            <w:rFonts w:ascii="Times New Roman" w:hAnsi="Times New Roman" w:cs="Times New Roman"/>
            <w:sz w:val="24"/>
            <w:szCs w:val="24"/>
            <w:lang w:val="it-IT"/>
          </w:rPr>
          <w:fldChar w:fldCharType="begin"/>
        </w:r>
        <w:r w:rsidR="00101624" w:rsidRPr="006F07C8">
          <w:rPr>
            <w:rFonts w:ascii="Times New Roman" w:hAnsi="Times New Roman" w:cs="Times New Roman"/>
            <w:sz w:val="24"/>
            <w:szCs w:val="24"/>
            <w:lang w:val="it-IT"/>
          </w:rPr>
          <w:instrText xml:space="preserve"> ADDIN EN.CITE &lt;EndNote&gt;&lt;Cite ExcludeAuth="1"&gt;&lt;Author&gt;Grin&lt;/Author&gt;&lt;Year&gt;2004&lt;/Year&gt;&lt;RecNum&gt;86&lt;/RecNum&gt;&lt;DisplayText&gt;2004b&lt;/DisplayText&gt;&lt;record&gt;&lt;rec-number&gt;86&lt;/rec-number&gt;&lt;foreign-keys&gt;&lt;key app="EN" db-id="wvvszzd93a0z5wesdfpvdv9z5wrra5p05axp"&gt;86&lt;/key&gt;&lt;/foreign-keys&gt;&lt;ref-type name="Journal Article"&gt;17&lt;/ref-type&gt;&lt;contributors&gt;&lt;authors&gt;&lt;author&gt;Grin, François&lt;/author&gt;&lt;/authors&gt;&lt;/contributors&gt;&lt;titles&gt;&lt;title&gt;L&amp;apos;élargissement de l&amp;apos;Union européenne: questions de coût et justice linguistique&lt;/title&gt;&lt;secondary-title&gt;Panoramiques&lt;/secondary-title&gt;&lt;/titles&gt;&lt;pages&gt;97-104&lt;/pages&gt;&lt;volume&gt;69&lt;/volume&gt;&lt;dates&gt;&lt;year&gt;2004&lt;/year&gt;&lt;/dates&gt;&lt;urls&gt;&lt;/urls&gt;&lt;/record&gt;&lt;/Cite&gt;&lt;/EndNote&gt;</w:instrText>
        </w:r>
        <w:r w:rsidR="00101624" w:rsidRPr="006F07C8">
          <w:rPr>
            <w:rFonts w:ascii="Times New Roman" w:hAnsi="Times New Roman" w:cs="Times New Roman"/>
            <w:sz w:val="24"/>
            <w:szCs w:val="24"/>
            <w:lang w:val="it-IT"/>
          </w:rPr>
          <w:fldChar w:fldCharType="separate"/>
        </w:r>
        <w:r w:rsidR="00101624" w:rsidRPr="006F07C8">
          <w:rPr>
            <w:rFonts w:ascii="Times New Roman" w:hAnsi="Times New Roman" w:cs="Times New Roman"/>
            <w:noProof/>
            <w:sz w:val="24"/>
            <w:szCs w:val="24"/>
            <w:lang w:val="it-IT"/>
          </w:rPr>
          <w:t>2004b</w:t>
        </w:r>
        <w:r w:rsidR="00101624" w:rsidRPr="006F07C8">
          <w:rPr>
            <w:rFonts w:ascii="Times New Roman" w:hAnsi="Times New Roman" w:cs="Times New Roman"/>
            <w:sz w:val="24"/>
            <w:szCs w:val="24"/>
            <w:lang w:val="it-IT"/>
          </w:rPr>
          <w:fldChar w:fldCharType="end"/>
        </w:r>
      </w:hyperlink>
      <w:r w:rsidR="00F537AF" w:rsidRPr="006F07C8">
        <w:rPr>
          <w:rFonts w:ascii="Times New Roman" w:hAnsi="Times New Roman" w:cs="Times New Roman"/>
          <w:sz w:val="24"/>
          <w:szCs w:val="24"/>
          <w:lang w:val="it-IT"/>
        </w:rPr>
        <w:t xml:space="preserve">, </w:t>
      </w:r>
      <w:r w:rsidR="00F537AF" w:rsidRPr="006F07C8">
        <w:rPr>
          <w:rFonts w:ascii="Times New Roman" w:hAnsi="Times New Roman" w:cs="Times New Roman"/>
          <w:noProof/>
          <w:sz w:val="24"/>
          <w:szCs w:val="24"/>
          <w:lang w:val="it-IT"/>
        </w:rPr>
        <w:t>Van Parijs</w:t>
      </w:r>
      <w:r w:rsidR="00F537AF" w:rsidRPr="006F07C8">
        <w:rPr>
          <w:rFonts w:ascii="Times New Roman" w:hAnsi="Times New Roman" w:cs="Times New Roman"/>
          <w:sz w:val="24"/>
          <w:szCs w:val="24"/>
          <w:lang w:val="it-IT"/>
        </w:rPr>
        <w:t xml:space="preserve"> </w:t>
      </w:r>
      <w:hyperlink w:anchor="_ENREF_77" w:tooltip="Van Parijs, 2011 #794" w:history="1">
        <w:r w:rsidR="00101624" w:rsidRPr="006F07C8">
          <w:rPr>
            <w:rFonts w:ascii="Times New Roman" w:hAnsi="Times New Roman" w:cs="Times New Roman"/>
            <w:sz w:val="24"/>
            <w:szCs w:val="24"/>
            <w:lang w:val="it-IT"/>
          </w:rPr>
          <w:fldChar w:fldCharType="begin"/>
        </w:r>
        <w:r w:rsidR="00101624" w:rsidRPr="006F07C8">
          <w:rPr>
            <w:rFonts w:ascii="Times New Roman" w:hAnsi="Times New Roman" w:cs="Times New Roman"/>
            <w:sz w:val="24"/>
            <w:szCs w:val="24"/>
            <w:lang w:val="it-IT"/>
          </w:rPr>
          <w:instrText xml:space="preserve"> ADDIN EN.CITE &lt;EndNote&gt;&lt;Cite ExcludeAuth="1"&gt;&lt;Author&gt;Van Parijs&lt;/Author&gt;&lt;Year&gt;2011&lt;/Year&gt;&lt;RecNum&gt;794&lt;/RecNum&gt;&lt;DisplayText&gt;2011&lt;/DisplayText&gt;&lt;record&gt;&lt;rec-number&gt;794&lt;/rec-number&gt;&lt;foreign-keys&gt;&lt;key app="EN" db-id="wvvszzd93a0z5wesdfpvdv9z5wrra5p05axp"&gt;794&lt;/key&gt;&lt;/foreign-keys&gt;&lt;ref-type name="Book"&gt;6&lt;/ref-type&gt;&lt;contributors&gt;&lt;authors&gt;&lt;author&gt;Van Parijs, Philippe&lt;/author&gt;&lt;/authors&gt;&lt;/contributors&gt;&lt;titles&gt;&lt;title&gt;Linguistic justice for Europe and for the World&lt;/title&gt;&lt;/titles&gt;&lt;dates&gt;&lt;year&gt;2011&lt;/year&gt;&lt;/dates&gt;&lt;pub-location&gt;Oxford&lt;/pub-location&gt;&lt;publisher&gt;Oxford University Press&lt;/publisher&gt;&lt;urls&gt;&lt;/urls&gt;&lt;/record&gt;&lt;/Cite&gt;&lt;/EndNote&gt;</w:instrText>
        </w:r>
        <w:r w:rsidR="00101624" w:rsidRPr="006F07C8">
          <w:rPr>
            <w:rFonts w:ascii="Times New Roman" w:hAnsi="Times New Roman" w:cs="Times New Roman"/>
            <w:sz w:val="24"/>
            <w:szCs w:val="24"/>
            <w:lang w:val="it-IT"/>
          </w:rPr>
          <w:fldChar w:fldCharType="separate"/>
        </w:r>
        <w:r w:rsidR="00101624" w:rsidRPr="006F07C8">
          <w:rPr>
            <w:rFonts w:ascii="Times New Roman" w:hAnsi="Times New Roman" w:cs="Times New Roman"/>
            <w:noProof/>
            <w:sz w:val="24"/>
            <w:szCs w:val="24"/>
            <w:lang w:val="it-IT"/>
          </w:rPr>
          <w:t>2011</w:t>
        </w:r>
        <w:r w:rsidR="00101624" w:rsidRPr="006F07C8">
          <w:rPr>
            <w:rFonts w:ascii="Times New Roman" w:hAnsi="Times New Roman" w:cs="Times New Roman"/>
            <w:sz w:val="24"/>
            <w:szCs w:val="24"/>
            <w:lang w:val="it-IT"/>
          </w:rPr>
          <w:fldChar w:fldCharType="end"/>
        </w:r>
      </w:hyperlink>
      <w:r w:rsidR="00F537AF" w:rsidRPr="006F07C8">
        <w:rPr>
          <w:rFonts w:ascii="Times New Roman" w:hAnsi="Times New Roman" w:cs="Times New Roman"/>
          <w:sz w:val="24"/>
          <w:szCs w:val="24"/>
          <w:lang w:val="it-IT"/>
        </w:rPr>
        <w:t xml:space="preserve">, </w:t>
      </w:r>
      <w:hyperlink w:anchor="_ENREF_30" w:tooltip="Gazzola, 2014 #887" w:history="1">
        <w:r w:rsidR="00101624" w:rsidRPr="006F07C8">
          <w:rPr>
            <w:rFonts w:ascii="Times New Roman" w:hAnsi="Times New Roman" w:cs="Times New Roman"/>
            <w:sz w:val="24"/>
            <w:szCs w:val="24"/>
            <w:lang w:val="it-IT"/>
          </w:rPr>
          <w:fldChar w:fldCharType="begin"/>
        </w:r>
        <w:r w:rsidR="00101624" w:rsidRPr="006F07C8">
          <w:rPr>
            <w:rFonts w:ascii="Times New Roman" w:hAnsi="Times New Roman" w:cs="Times New Roman"/>
            <w:sz w:val="24"/>
            <w:szCs w:val="24"/>
            <w:lang w:val="it-IT"/>
          </w:rPr>
          <w:instrText xml:space="preserve"> ADDIN EN.CITE &lt;EndNote&gt;&lt;Cite&gt;&lt;Author&gt;Gazzola&lt;/Author&gt;&lt;Year&gt;2014&lt;/Year&gt;&lt;RecNum&gt;887&lt;/RecNum&gt;&lt;DisplayText&gt;Gazzola 2014&lt;/DisplayText&gt;&lt;record&gt;&lt;rec-number&gt;887&lt;/rec-number&gt;&lt;foreign-keys&gt;&lt;key app="EN" db-id="wvvszzd93a0z5wesdfpvdv9z5wrra5p05axp"&gt;887&lt;/key&gt;&lt;/foreign-keys&gt;&lt;ref-type name="Book"&gt;6&lt;/ref-type&gt;&lt;contributors&gt;&lt;authors&gt;&lt;author&gt;Gazzola, Michele&lt;/author&gt;&lt;/authors&gt;&lt;/contributors&gt;&lt;titles&gt;&lt;title&gt;The evaluation of language regimes. Theory and application to multilingual patent organisations&lt;/title&gt;&lt;/titles&gt;&lt;dates&gt;&lt;year&gt;2014&lt;/year&gt;&lt;/dates&gt;&lt;pub-location&gt;Amsterdam&lt;/pub-location&gt;&lt;publisher&gt;John Benjamins&lt;/publisher&gt;&lt;urls&gt;&lt;/urls&gt;&lt;/record&gt;&lt;/Cite&gt;&lt;/EndNote&gt;</w:instrText>
        </w:r>
        <w:r w:rsidR="00101624" w:rsidRPr="006F07C8">
          <w:rPr>
            <w:rFonts w:ascii="Times New Roman" w:hAnsi="Times New Roman" w:cs="Times New Roman"/>
            <w:sz w:val="24"/>
            <w:szCs w:val="24"/>
            <w:lang w:val="it-IT"/>
          </w:rPr>
          <w:fldChar w:fldCharType="separate"/>
        </w:r>
        <w:r w:rsidR="00101624" w:rsidRPr="006F07C8">
          <w:rPr>
            <w:rFonts w:ascii="Times New Roman" w:hAnsi="Times New Roman" w:cs="Times New Roman"/>
            <w:noProof/>
            <w:sz w:val="24"/>
            <w:szCs w:val="24"/>
            <w:lang w:val="it-IT"/>
          </w:rPr>
          <w:t>Gazzola 2014</w:t>
        </w:r>
        <w:r w:rsidR="00101624" w:rsidRPr="006F07C8">
          <w:rPr>
            <w:rFonts w:ascii="Times New Roman" w:hAnsi="Times New Roman" w:cs="Times New Roman"/>
            <w:sz w:val="24"/>
            <w:szCs w:val="24"/>
            <w:lang w:val="it-IT"/>
          </w:rPr>
          <w:fldChar w:fldCharType="end"/>
        </w:r>
      </w:hyperlink>
      <w:r w:rsidR="00F537AF" w:rsidRPr="006F07C8">
        <w:rPr>
          <w:rFonts w:ascii="Times New Roman" w:hAnsi="Times New Roman" w:cs="Times New Roman"/>
          <w:sz w:val="24"/>
          <w:szCs w:val="24"/>
          <w:lang w:val="it-IT"/>
        </w:rPr>
        <w:t>).</w:t>
      </w:r>
    </w:p>
    <w:p w:rsidR="00852534" w:rsidRPr="006F07C8" w:rsidRDefault="000D6478" w:rsidP="002F52A9">
      <w:pPr>
        <w:pStyle w:val="Heading2"/>
        <w:numPr>
          <w:ilvl w:val="0"/>
          <w:numId w:val="12"/>
        </w:numPr>
        <w:spacing w:line="240" w:lineRule="auto"/>
        <w:rPr>
          <w:rFonts w:ascii="Times New Roman" w:hAnsi="Times New Roman" w:cs="Times New Roman"/>
          <w:lang w:val="it-IT"/>
        </w:rPr>
      </w:pPr>
      <w:bookmarkStart w:id="8" w:name="_Toc384652925"/>
      <w:r w:rsidRPr="006F07C8">
        <w:rPr>
          <w:rFonts w:ascii="Times New Roman" w:hAnsi="Times New Roman" w:cs="Times New Roman"/>
          <w:lang w:val="it-IT"/>
        </w:rPr>
        <w:t>Multilinguismo e partecipazione</w:t>
      </w:r>
      <w:bookmarkEnd w:id="8"/>
    </w:p>
    <w:p w:rsidR="0011066F" w:rsidRPr="006F07C8" w:rsidRDefault="00182F1D" w:rsidP="002F52A9">
      <w:pPr>
        <w:pStyle w:val="Heading3"/>
        <w:spacing w:line="240" w:lineRule="auto"/>
        <w:ind w:firstLine="360"/>
        <w:rPr>
          <w:rFonts w:ascii="Times New Roman" w:hAnsi="Times New Roman" w:cs="Times New Roman"/>
          <w:i/>
          <w:lang w:val="it-IT"/>
        </w:rPr>
      </w:pPr>
      <w:bookmarkStart w:id="9" w:name="_Toc384652926"/>
      <w:r w:rsidRPr="006F07C8">
        <w:rPr>
          <w:rFonts w:ascii="Times New Roman" w:hAnsi="Times New Roman" w:cs="Times New Roman"/>
          <w:i/>
          <w:sz w:val="24"/>
          <w:lang w:val="it-IT"/>
        </w:rPr>
        <w:t xml:space="preserve">4.1 </w:t>
      </w:r>
      <w:r w:rsidR="000D6478" w:rsidRPr="006F07C8">
        <w:rPr>
          <w:rFonts w:ascii="Times New Roman" w:hAnsi="Times New Roman" w:cs="Times New Roman"/>
          <w:i/>
          <w:sz w:val="24"/>
          <w:lang w:val="it-IT"/>
        </w:rPr>
        <w:t xml:space="preserve">L’efficacia </w:t>
      </w:r>
      <w:r w:rsidR="0011066F" w:rsidRPr="006F07C8">
        <w:rPr>
          <w:rFonts w:ascii="Times New Roman" w:hAnsi="Times New Roman" w:cs="Times New Roman"/>
          <w:i/>
          <w:sz w:val="24"/>
          <w:lang w:val="it-IT"/>
        </w:rPr>
        <w:t>del regime linguistico della UE</w:t>
      </w:r>
      <w:bookmarkEnd w:id="9"/>
    </w:p>
    <w:p w:rsidR="007E2139" w:rsidRPr="006F07C8" w:rsidRDefault="002D4156" w:rsidP="002F52A9">
      <w:pPr>
        <w:spacing w:line="240" w:lineRule="auto"/>
        <w:jc w:val="both"/>
        <w:rPr>
          <w:rFonts w:ascii="Times New Roman" w:hAnsi="Times New Roman" w:cs="Times New Roman"/>
          <w:sz w:val="24"/>
          <w:szCs w:val="24"/>
          <w:lang w:val="it-IT"/>
        </w:rPr>
      </w:pPr>
      <w:r w:rsidRPr="006F07C8">
        <w:rPr>
          <w:rFonts w:ascii="Times New Roman" w:hAnsi="Times New Roman" w:cs="Times New Roman"/>
          <w:sz w:val="24"/>
          <w:szCs w:val="24"/>
          <w:lang w:val="it-IT"/>
        </w:rPr>
        <w:t xml:space="preserve">Per valutare </w:t>
      </w:r>
      <w:r w:rsidR="00DD76EA" w:rsidRPr="006F07C8">
        <w:rPr>
          <w:rFonts w:ascii="Times New Roman" w:hAnsi="Times New Roman" w:cs="Times New Roman"/>
          <w:sz w:val="24"/>
          <w:szCs w:val="24"/>
          <w:lang w:val="it-IT"/>
        </w:rPr>
        <w:t xml:space="preserve">l’efficacia dell’attuale regime fondato su 24 lingue </w:t>
      </w:r>
      <w:r w:rsidR="000706D3" w:rsidRPr="006F07C8">
        <w:rPr>
          <w:rFonts w:ascii="Times New Roman" w:hAnsi="Times New Roman" w:cs="Times New Roman"/>
          <w:sz w:val="24"/>
          <w:szCs w:val="24"/>
          <w:lang w:val="it-IT"/>
        </w:rPr>
        <w:t xml:space="preserve">ufficiali </w:t>
      </w:r>
      <w:r w:rsidRPr="006F07C8">
        <w:rPr>
          <w:rFonts w:ascii="Times New Roman" w:hAnsi="Times New Roman" w:cs="Times New Roman"/>
          <w:sz w:val="24"/>
          <w:szCs w:val="24"/>
          <w:lang w:val="it-IT"/>
        </w:rPr>
        <w:t xml:space="preserve">si scelgono come termine di paragone </w:t>
      </w:r>
      <w:r w:rsidR="00DD76EA" w:rsidRPr="006F07C8">
        <w:rPr>
          <w:rFonts w:ascii="Times New Roman" w:hAnsi="Times New Roman" w:cs="Times New Roman"/>
          <w:sz w:val="24"/>
          <w:szCs w:val="24"/>
          <w:lang w:val="it-IT"/>
        </w:rPr>
        <w:t xml:space="preserve">un regime linguistico </w:t>
      </w:r>
      <w:r w:rsidR="000706D3" w:rsidRPr="006F07C8">
        <w:rPr>
          <w:rFonts w:ascii="Times New Roman" w:hAnsi="Times New Roman" w:cs="Times New Roman"/>
          <w:sz w:val="24"/>
          <w:szCs w:val="24"/>
          <w:lang w:val="it-IT"/>
        </w:rPr>
        <w:t xml:space="preserve">monolingue </w:t>
      </w:r>
      <w:r w:rsidR="001450CC" w:rsidRPr="006F07C8">
        <w:rPr>
          <w:rFonts w:ascii="Times New Roman" w:hAnsi="Times New Roman" w:cs="Times New Roman"/>
          <w:sz w:val="24"/>
          <w:szCs w:val="24"/>
          <w:lang w:val="it-IT"/>
        </w:rPr>
        <w:t>con</w:t>
      </w:r>
      <w:r w:rsidR="00D45575" w:rsidRPr="006F07C8">
        <w:rPr>
          <w:rFonts w:ascii="Times New Roman" w:hAnsi="Times New Roman" w:cs="Times New Roman"/>
          <w:sz w:val="24"/>
          <w:szCs w:val="24"/>
          <w:lang w:val="it-IT"/>
        </w:rPr>
        <w:t xml:space="preserve"> </w:t>
      </w:r>
      <w:r w:rsidR="000706D3" w:rsidRPr="006F07C8">
        <w:rPr>
          <w:rFonts w:ascii="Times New Roman" w:hAnsi="Times New Roman" w:cs="Times New Roman"/>
          <w:sz w:val="24"/>
          <w:szCs w:val="24"/>
          <w:lang w:val="it-IT"/>
        </w:rPr>
        <w:t>l’inglese unica lingua ufficiale</w:t>
      </w:r>
      <w:r w:rsidRPr="006F07C8">
        <w:rPr>
          <w:rFonts w:ascii="Times New Roman" w:hAnsi="Times New Roman" w:cs="Times New Roman"/>
          <w:sz w:val="24"/>
          <w:szCs w:val="24"/>
          <w:lang w:val="it-IT"/>
        </w:rPr>
        <w:t xml:space="preserve"> e un regime oligarchico in cui le lingue ufficiali sono solo il fr</w:t>
      </w:r>
      <w:r w:rsidR="007E2139" w:rsidRPr="006F07C8">
        <w:rPr>
          <w:rFonts w:ascii="Times New Roman" w:hAnsi="Times New Roman" w:cs="Times New Roman"/>
          <w:sz w:val="24"/>
          <w:szCs w:val="24"/>
          <w:lang w:val="it-IT"/>
        </w:rPr>
        <w:t xml:space="preserve">ancese, l’inglese e il tedesco. </w:t>
      </w:r>
      <w:r w:rsidR="00D9320A" w:rsidRPr="006F07C8">
        <w:rPr>
          <w:rFonts w:ascii="Times New Roman" w:hAnsi="Times New Roman" w:cs="Times New Roman"/>
          <w:sz w:val="24"/>
          <w:szCs w:val="24"/>
          <w:lang w:val="it-IT"/>
        </w:rPr>
        <w:t xml:space="preserve">Si sono scelti questi due regimi linguistici per la loro rilevanza pratica. Come avremo modo di constatare nel paragrafo </w:t>
      </w:r>
      <w:r w:rsidR="00D9320A" w:rsidRPr="006F07C8">
        <w:rPr>
          <w:rFonts w:ascii="Times New Roman" w:hAnsi="Times New Roman" w:cs="Times New Roman"/>
          <w:sz w:val="24"/>
          <w:szCs w:val="24"/>
          <w:lang w:val="it-IT"/>
        </w:rPr>
        <w:fldChar w:fldCharType="begin"/>
      </w:r>
      <w:r w:rsidR="00D9320A" w:rsidRPr="006F07C8">
        <w:rPr>
          <w:rFonts w:ascii="Times New Roman" w:hAnsi="Times New Roman" w:cs="Times New Roman"/>
          <w:sz w:val="24"/>
          <w:szCs w:val="24"/>
          <w:lang w:val="it-IT"/>
        </w:rPr>
        <w:instrText xml:space="preserve"> REF _Ref378018188 \r \h </w:instrText>
      </w:r>
      <w:r w:rsidR="00C46520" w:rsidRPr="006F07C8">
        <w:rPr>
          <w:rFonts w:ascii="Times New Roman" w:hAnsi="Times New Roman" w:cs="Times New Roman"/>
          <w:sz w:val="24"/>
          <w:szCs w:val="24"/>
          <w:lang w:val="it-IT"/>
        </w:rPr>
        <w:instrText xml:space="preserve"> \* MERGEFORMAT </w:instrText>
      </w:r>
      <w:r w:rsidR="00D9320A" w:rsidRPr="006F07C8">
        <w:rPr>
          <w:rFonts w:ascii="Times New Roman" w:hAnsi="Times New Roman" w:cs="Times New Roman"/>
          <w:sz w:val="24"/>
          <w:szCs w:val="24"/>
          <w:lang w:val="it-IT"/>
        </w:rPr>
      </w:r>
      <w:r w:rsidR="00D9320A" w:rsidRPr="006F07C8">
        <w:rPr>
          <w:rFonts w:ascii="Times New Roman" w:hAnsi="Times New Roman" w:cs="Times New Roman"/>
          <w:sz w:val="24"/>
          <w:szCs w:val="24"/>
          <w:lang w:val="it-IT"/>
        </w:rPr>
        <w:fldChar w:fldCharType="separate"/>
      </w:r>
      <w:r w:rsidR="00087B27" w:rsidRPr="006F07C8">
        <w:rPr>
          <w:rFonts w:ascii="Times New Roman" w:hAnsi="Times New Roman" w:cs="Times New Roman"/>
          <w:sz w:val="24"/>
          <w:szCs w:val="24"/>
          <w:lang w:val="it-IT"/>
        </w:rPr>
        <w:t>5</w:t>
      </w:r>
      <w:r w:rsidR="00D9320A" w:rsidRPr="006F07C8">
        <w:rPr>
          <w:rFonts w:ascii="Times New Roman" w:hAnsi="Times New Roman" w:cs="Times New Roman"/>
          <w:sz w:val="24"/>
          <w:szCs w:val="24"/>
          <w:lang w:val="it-IT"/>
        </w:rPr>
        <w:fldChar w:fldCharType="end"/>
      </w:r>
      <w:r w:rsidR="00D9320A" w:rsidRPr="006F07C8">
        <w:rPr>
          <w:rFonts w:ascii="Times New Roman" w:hAnsi="Times New Roman" w:cs="Times New Roman"/>
          <w:sz w:val="24"/>
          <w:szCs w:val="24"/>
          <w:lang w:val="it-IT"/>
        </w:rPr>
        <w:t xml:space="preserve">, </w:t>
      </w:r>
      <w:r w:rsidR="00493F2A" w:rsidRPr="006F07C8">
        <w:rPr>
          <w:rFonts w:ascii="Times New Roman" w:hAnsi="Times New Roman" w:cs="Times New Roman"/>
          <w:sz w:val="24"/>
          <w:szCs w:val="24"/>
          <w:lang w:val="it-IT"/>
        </w:rPr>
        <w:t xml:space="preserve">essi </w:t>
      </w:r>
      <w:r w:rsidR="00D9320A" w:rsidRPr="006F07C8">
        <w:rPr>
          <w:rFonts w:ascii="Times New Roman" w:hAnsi="Times New Roman" w:cs="Times New Roman"/>
          <w:sz w:val="24"/>
          <w:szCs w:val="24"/>
          <w:lang w:val="it-IT"/>
        </w:rPr>
        <w:t>sono</w:t>
      </w:r>
      <w:r w:rsidR="00493F2A" w:rsidRPr="006F07C8">
        <w:rPr>
          <w:rFonts w:ascii="Times New Roman" w:hAnsi="Times New Roman" w:cs="Times New Roman"/>
          <w:sz w:val="24"/>
          <w:szCs w:val="24"/>
          <w:lang w:val="it-IT"/>
        </w:rPr>
        <w:t xml:space="preserve"> </w:t>
      </w:r>
      <w:r w:rsidR="001A66C8" w:rsidRPr="006F07C8">
        <w:rPr>
          <w:rFonts w:ascii="Times New Roman" w:hAnsi="Times New Roman" w:cs="Times New Roman"/>
          <w:sz w:val="24"/>
          <w:szCs w:val="24"/>
          <w:lang w:val="it-IT"/>
        </w:rPr>
        <w:t xml:space="preserve">di fatto </w:t>
      </w:r>
      <w:r w:rsidR="00D9320A" w:rsidRPr="006F07C8">
        <w:rPr>
          <w:rFonts w:ascii="Times New Roman" w:hAnsi="Times New Roman" w:cs="Times New Roman"/>
          <w:sz w:val="24"/>
          <w:szCs w:val="24"/>
          <w:lang w:val="it-IT"/>
        </w:rPr>
        <w:t xml:space="preserve">già </w:t>
      </w:r>
      <w:r w:rsidR="001A66C8" w:rsidRPr="006F07C8">
        <w:rPr>
          <w:rFonts w:ascii="Times New Roman" w:hAnsi="Times New Roman" w:cs="Times New Roman"/>
          <w:sz w:val="24"/>
          <w:szCs w:val="24"/>
          <w:lang w:val="it-IT"/>
        </w:rPr>
        <w:t>applicati</w:t>
      </w:r>
      <w:r w:rsidR="00D9320A" w:rsidRPr="006F07C8">
        <w:rPr>
          <w:rFonts w:ascii="Times New Roman" w:hAnsi="Times New Roman" w:cs="Times New Roman"/>
          <w:sz w:val="24"/>
          <w:szCs w:val="24"/>
          <w:lang w:val="it-IT"/>
        </w:rPr>
        <w:t xml:space="preserve"> dalle istituzioni europee in alcuni ambiti di comunicazione dove non vige l’obbligo normativo di multilinguismo </w:t>
      </w:r>
      <w:r w:rsidR="00493F2A" w:rsidRPr="006F07C8">
        <w:rPr>
          <w:rFonts w:ascii="Times New Roman" w:hAnsi="Times New Roman" w:cs="Times New Roman"/>
          <w:sz w:val="24"/>
          <w:szCs w:val="24"/>
          <w:lang w:val="it-IT"/>
        </w:rPr>
        <w:t>integrale</w:t>
      </w:r>
      <w:r w:rsidR="00D9320A" w:rsidRPr="006F07C8">
        <w:rPr>
          <w:rFonts w:ascii="Times New Roman" w:hAnsi="Times New Roman" w:cs="Times New Roman"/>
          <w:sz w:val="24"/>
          <w:szCs w:val="24"/>
          <w:lang w:val="it-IT"/>
        </w:rPr>
        <w:t>.</w:t>
      </w:r>
    </w:p>
    <w:p w:rsidR="008C2EED" w:rsidRPr="006F07C8" w:rsidRDefault="008859FC" w:rsidP="002F52A9">
      <w:pPr>
        <w:spacing w:line="240" w:lineRule="auto"/>
        <w:jc w:val="both"/>
        <w:rPr>
          <w:rFonts w:ascii="Times New Roman" w:hAnsi="Times New Roman" w:cs="Times New Roman"/>
          <w:sz w:val="24"/>
          <w:szCs w:val="24"/>
          <w:lang w:val="it-IT"/>
        </w:rPr>
      </w:pPr>
      <w:r w:rsidRPr="006F07C8">
        <w:rPr>
          <w:rFonts w:ascii="Times New Roman" w:hAnsi="Times New Roman" w:cs="Times New Roman"/>
          <w:sz w:val="24"/>
          <w:szCs w:val="24"/>
          <w:lang w:val="it-IT"/>
        </w:rPr>
        <w:t xml:space="preserve">Si </w:t>
      </w:r>
      <w:r w:rsidR="00A440FA" w:rsidRPr="006F07C8">
        <w:rPr>
          <w:rFonts w:ascii="Times New Roman" w:hAnsi="Times New Roman" w:cs="Times New Roman"/>
          <w:sz w:val="24"/>
          <w:szCs w:val="24"/>
          <w:lang w:val="it-IT"/>
        </w:rPr>
        <w:t xml:space="preserve">introduce </w:t>
      </w:r>
      <w:r w:rsidR="00D82A33" w:rsidRPr="006F07C8">
        <w:rPr>
          <w:rFonts w:ascii="Times New Roman" w:hAnsi="Times New Roman" w:cs="Times New Roman"/>
          <w:sz w:val="24"/>
          <w:szCs w:val="24"/>
          <w:lang w:val="it-IT"/>
        </w:rPr>
        <w:t xml:space="preserve">ora una </w:t>
      </w:r>
      <w:r w:rsidRPr="006F07C8">
        <w:rPr>
          <w:rFonts w:ascii="Times New Roman" w:hAnsi="Times New Roman" w:cs="Times New Roman"/>
          <w:sz w:val="24"/>
          <w:szCs w:val="24"/>
          <w:lang w:val="it-IT"/>
        </w:rPr>
        <w:t>distin</w:t>
      </w:r>
      <w:r w:rsidR="00A440FA" w:rsidRPr="006F07C8">
        <w:rPr>
          <w:rFonts w:ascii="Times New Roman" w:hAnsi="Times New Roman" w:cs="Times New Roman"/>
          <w:sz w:val="24"/>
          <w:szCs w:val="24"/>
          <w:lang w:val="it-IT"/>
        </w:rPr>
        <w:t>zione</w:t>
      </w:r>
      <w:r w:rsidRPr="006F07C8">
        <w:rPr>
          <w:rFonts w:ascii="Times New Roman" w:hAnsi="Times New Roman" w:cs="Times New Roman"/>
          <w:sz w:val="24"/>
          <w:szCs w:val="24"/>
          <w:lang w:val="it-IT"/>
        </w:rPr>
        <w:t xml:space="preserve"> </w:t>
      </w:r>
      <w:r w:rsidR="001A4260" w:rsidRPr="006F07C8">
        <w:rPr>
          <w:rFonts w:ascii="Times New Roman" w:hAnsi="Times New Roman" w:cs="Times New Roman"/>
          <w:sz w:val="24"/>
          <w:szCs w:val="24"/>
          <w:lang w:val="it-IT"/>
        </w:rPr>
        <w:t xml:space="preserve">fra il tasso di esclusione linguistica </w:t>
      </w:r>
      <w:r w:rsidR="00EB1D14" w:rsidRPr="006F07C8">
        <w:rPr>
          <w:rFonts w:ascii="Times New Roman" w:hAnsi="Times New Roman" w:cs="Times New Roman"/>
          <w:i/>
          <w:sz w:val="24"/>
          <w:szCs w:val="24"/>
          <w:lang w:val="it-IT"/>
        </w:rPr>
        <w:t>assoluta</w:t>
      </w:r>
      <w:r w:rsidR="00EB1D14" w:rsidRPr="006F07C8">
        <w:rPr>
          <w:rFonts w:ascii="Times New Roman" w:hAnsi="Times New Roman" w:cs="Times New Roman"/>
          <w:sz w:val="24"/>
          <w:szCs w:val="24"/>
          <w:lang w:val="it-IT"/>
        </w:rPr>
        <w:t xml:space="preserve"> </w:t>
      </w:r>
      <w:r w:rsidR="001A4260" w:rsidRPr="006F07C8">
        <w:rPr>
          <w:rFonts w:ascii="Times New Roman" w:hAnsi="Times New Roman" w:cs="Times New Roman"/>
          <w:sz w:val="24"/>
          <w:szCs w:val="24"/>
          <w:lang w:val="it-IT"/>
        </w:rPr>
        <w:t>(</w:t>
      </w:r>
      <w:r w:rsidR="001A4260" w:rsidRPr="006F07C8">
        <w:rPr>
          <w:rFonts w:ascii="Times New Roman" w:hAnsi="Times New Roman" w:cs="Times New Roman"/>
          <w:i/>
          <w:sz w:val="24"/>
          <w:szCs w:val="24"/>
          <w:lang w:val="it-IT"/>
        </w:rPr>
        <w:t>E</w:t>
      </w:r>
      <w:r w:rsidR="003D1BEA" w:rsidRPr="006F07C8">
        <w:rPr>
          <w:rFonts w:ascii="Times New Roman" w:hAnsi="Times New Roman" w:cs="Times New Roman"/>
          <w:i/>
          <w:sz w:val="24"/>
          <w:szCs w:val="24"/>
          <w:vertAlign w:val="subscript"/>
          <w:lang w:val="it-IT"/>
        </w:rPr>
        <w:t>a</w:t>
      </w:r>
      <w:r w:rsidR="001A4260" w:rsidRPr="006F07C8">
        <w:rPr>
          <w:rFonts w:ascii="Times New Roman" w:hAnsi="Times New Roman" w:cs="Times New Roman"/>
          <w:sz w:val="24"/>
          <w:szCs w:val="24"/>
          <w:lang w:val="it-IT"/>
        </w:rPr>
        <w:t xml:space="preserve">) e il tasso di esclusione linguistica </w:t>
      </w:r>
      <w:r w:rsidR="00EB1D14" w:rsidRPr="006F07C8">
        <w:rPr>
          <w:rFonts w:ascii="Times New Roman" w:hAnsi="Times New Roman" w:cs="Times New Roman"/>
          <w:i/>
          <w:sz w:val="24"/>
          <w:szCs w:val="24"/>
          <w:lang w:val="it-IT"/>
        </w:rPr>
        <w:t>relativa</w:t>
      </w:r>
      <w:r w:rsidR="001A4260" w:rsidRPr="006F07C8">
        <w:rPr>
          <w:rFonts w:ascii="Times New Roman" w:hAnsi="Times New Roman" w:cs="Times New Roman"/>
          <w:sz w:val="24"/>
          <w:szCs w:val="24"/>
          <w:lang w:val="it-IT"/>
        </w:rPr>
        <w:t xml:space="preserve"> (</w:t>
      </w:r>
      <w:r w:rsidR="001A4260" w:rsidRPr="006F07C8">
        <w:rPr>
          <w:rFonts w:ascii="Times New Roman" w:hAnsi="Times New Roman" w:cs="Times New Roman"/>
          <w:i/>
          <w:sz w:val="24"/>
          <w:szCs w:val="24"/>
          <w:lang w:val="it-IT"/>
        </w:rPr>
        <w:t>E</w:t>
      </w:r>
      <w:r w:rsidR="003D1BEA" w:rsidRPr="006F07C8">
        <w:rPr>
          <w:rFonts w:ascii="Times New Roman" w:hAnsi="Times New Roman" w:cs="Times New Roman"/>
          <w:i/>
          <w:sz w:val="24"/>
          <w:szCs w:val="24"/>
          <w:vertAlign w:val="subscript"/>
          <w:lang w:val="it-IT"/>
        </w:rPr>
        <w:t>r</w:t>
      </w:r>
      <w:r w:rsidR="001A4260" w:rsidRPr="006F07C8">
        <w:rPr>
          <w:rFonts w:ascii="Times New Roman" w:hAnsi="Times New Roman" w:cs="Times New Roman"/>
          <w:sz w:val="24"/>
          <w:szCs w:val="24"/>
          <w:lang w:val="it-IT"/>
        </w:rPr>
        <w:t xml:space="preserve">). </w:t>
      </w:r>
      <w:r w:rsidR="00852AC5" w:rsidRPr="006F07C8">
        <w:rPr>
          <w:rFonts w:ascii="Times New Roman" w:hAnsi="Times New Roman" w:cs="Times New Roman"/>
          <w:sz w:val="24"/>
          <w:szCs w:val="24"/>
          <w:lang w:val="it-IT"/>
        </w:rPr>
        <w:t xml:space="preserve">Il primo </w:t>
      </w:r>
      <w:r w:rsidR="00054FD7" w:rsidRPr="006F07C8">
        <w:rPr>
          <w:rFonts w:ascii="Times New Roman" w:hAnsi="Times New Roman" w:cs="Times New Roman"/>
          <w:sz w:val="24"/>
          <w:szCs w:val="24"/>
          <w:lang w:val="it-IT"/>
        </w:rPr>
        <w:t>indica</w:t>
      </w:r>
      <w:r w:rsidR="00852AC5" w:rsidRPr="006F07C8">
        <w:rPr>
          <w:rFonts w:ascii="Times New Roman" w:hAnsi="Times New Roman" w:cs="Times New Roman"/>
          <w:sz w:val="24"/>
          <w:szCs w:val="24"/>
          <w:lang w:val="it-IT"/>
        </w:rPr>
        <w:t xml:space="preserve"> la percentuale della popolazione </w:t>
      </w:r>
      <w:r w:rsidR="000E0CC0" w:rsidRPr="006F07C8">
        <w:rPr>
          <w:rFonts w:ascii="Times New Roman" w:hAnsi="Times New Roman" w:cs="Times New Roman"/>
          <w:sz w:val="24"/>
          <w:szCs w:val="24"/>
          <w:lang w:val="it-IT"/>
        </w:rPr>
        <w:t xml:space="preserve">che non </w:t>
      </w:r>
      <w:r w:rsidR="00D82A33" w:rsidRPr="006F07C8">
        <w:rPr>
          <w:rFonts w:ascii="Times New Roman" w:hAnsi="Times New Roman" w:cs="Times New Roman"/>
          <w:sz w:val="24"/>
          <w:szCs w:val="24"/>
          <w:lang w:val="it-IT"/>
        </w:rPr>
        <w:t xml:space="preserve">conosce </w:t>
      </w:r>
      <w:r w:rsidR="000E0CC0" w:rsidRPr="006F07C8">
        <w:rPr>
          <w:rFonts w:ascii="Times New Roman" w:hAnsi="Times New Roman" w:cs="Times New Roman"/>
          <w:sz w:val="24"/>
          <w:szCs w:val="24"/>
          <w:lang w:val="it-IT"/>
        </w:rPr>
        <w:t>nessuna delle</w:t>
      </w:r>
      <w:r w:rsidR="00852AC5" w:rsidRPr="006F07C8">
        <w:rPr>
          <w:rFonts w:ascii="Times New Roman" w:hAnsi="Times New Roman" w:cs="Times New Roman"/>
          <w:sz w:val="24"/>
          <w:szCs w:val="24"/>
          <w:lang w:val="it-IT"/>
        </w:rPr>
        <w:t xml:space="preserve"> lingue ufficiali stabilite da</w:t>
      </w:r>
      <w:r w:rsidRPr="006F07C8">
        <w:rPr>
          <w:rFonts w:ascii="Times New Roman" w:hAnsi="Times New Roman" w:cs="Times New Roman"/>
          <w:sz w:val="24"/>
          <w:szCs w:val="24"/>
          <w:lang w:val="it-IT"/>
        </w:rPr>
        <w:t xml:space="preserve"> un determinato </w:t>
      </w:r>
      <w:r w:rsidR="00852AC5" w:rsidRPr="006F07C8">
        <w:rPr>
          <w:rFonts w:ascii="Times New Roman" w:hAnsi="Times New Roman" w:cs="Times New Roman"/>
          <w:sz w:val="24"/>
          <w:szCs w:val="24"/>
          <w:lang w:val="it-IT"/>
        </w:rPr>
        <w:t>regime linguistico</w:t>
      </w:r>
      <w:r w:rsidR="00D82A33" w:rsidRPr="006F07C8">
        <w:rPr>
          <w:rFonts w:ascii="Times New Roman" w:hAnsi="Times New Roman" w:cs="Times New Roman"/>
          <w:sz w:val="24"/>
          <w:szCs w:val="24"/>
          <w:lang w:val="it-IT"/>
        </w:rPr>
        <w:t xml:space="preserve"> (nemmeno a livello elementare)</w:t>
      </w:r>
      <w:r w:rsidR="00F76A89" w:rsidRPr="006F07C8">
        <w:rPr>
          <w:rFonts w:ascii="Times New Roman" w:hAnsi="Times New Roman" w:cs="Times New Roman"/>
          <w:sz w:val="24"/>
          <w:szCs w:val="24"/>
          <w:lang w:val="it-IT"/>
        </w:rPr>
        <w:t>.</w:t>
      </w:r>
      <w:r w:rsidR="00852AC5" w:rsidRPr="006F07C8">
        <w:rPr>
          <w:rFonts w:ascii="Times New Roman" w:hAnsi="Times New Roman" w:cs="Times New Roman"/>
          <w:sz w:val="24"/>
          <w:szCs w:val="24"/>
          <w:lang w:val="it-IT"/>
        </w:rPr>
        <w:t xml:space="preserve"> </w:t>
      </w:r>
      <w:r w:rsidR="0095788A" w:rsidRPr="006F07C8">
        <w:rPr>
          <w:rFonts w:ascii="Times New Roman" w:hAnsi="Times New Roman" w:cs="Times New Roman"/>
          <w:sz w:val="24"/>
          <w:szCs w:val="24"/>
          <w:lang w:val="it-IT"/>
        </w:rPr>
        <w:t>Si tratta insomma di coloro totalmente esclusi dalla comunicazione</w:t>
      </w:r>
      <w:r w:rsidR="00054FD7" w:rsidRPr="006F07C8">
        <w:rPr>
          <w:rFonts w:ascii="Times New Roman" w:hAnsi="Times New Roman" w:cs="Times New Roman"/>
          <w:sz w:val="24"/>
          <w:szCs w:val="24"/>
          <w:lang w:val="it-IT"/>
        </w:rPr>
        <w:t xml:space="preserve"> prodotta dalla UE</w:t>
      </w:r>
      <w:r w:rsidR="0095788A" w:rsidRPr="006F07C8">
        <w:rPr>
          <w:rFonts w:ascii="Times New Roman" w:hAnsi="Times New Roman" w:cs="Times New Roman"/>
          <w:sz w:val="24"/>
          <w:szCs w:val="24"/>
          <w:lang w:val="it-IT"/>
        </w:rPr>
        <w:t xml:space="preserve">. </w:t>
      </w:r>
      <w:r w:rsidR="008C2EED" w:rsidRPr="006F07C8">
        <w:rPr>
          <w:rFonts w:ascii="Times New Roman" w:hAnsi="Times New Roman" w:cs="Times New Roman"/>
          <w:sz w:val="24"/>
          <w:szCs w:val="24"/>
          <w:lang w:val="it-IT"/>
        </w:rPr>
        <w:t xml:space="preserve">Il tasso </w:t>
      </w:r>
      <w:r w:rsidR="008C2EED" w:rsidRPr="006F07C8">
        <w:rPr>
          <w:rFonts w:ascii="Times New Roman" w:hAnsi="Times New Roman" w:cs="Times New Roman"/>
          <w:i/>
          <w:sz w:val="24"/>
          <w:szCs w:val="24"/>
          <w:lang w:val="it-IT"/>
        </w:rPr>
        <w:t>E</w:t>
      </w:r>
      <w:r w:rsidR="00994D83" w:rsidRPr="006F07C8">
        <w:rPr>
          <w:rFonts w:ascii="Times New Roman" w:hAnsi="Times New Roman" w:cs="Times New Roman"/>
          <w:i/>
          <w:sz w:val="24"/>
          <w:szCs w:val="24"/>
          <w:vertAlign w:val="subscript"/>
          <w:lang w:val="it-IT"/>
        </w:rPr>
        <w:t>a</w:t>
      </w:r>
      <w:r w:rsidR="008C2EED" w:rsidRPr="006F07C8">
        <w:rPr>
          <w:rFonts w:ascii="Times New Roman" w:hAnsi="Times New Roman" w:cs="Times New Roman"/>
          <w:sz w:val="24"/>
          <w:szCs w:val="24"/>
          <w:lang w:val="it-IT"/>
        </w:rPr>
        <w:t xml:space="preserve"> è </w:t>
      </w:r>
      <w:r w:rsidR="000E0CC0" w:rsidRPr="006F07C8">
        <w:rPr>
          <w:rFonts w:ascii="Times New Roman" w:hAnsi="Times New Roman" w:cs="Times New Roman"/>
          <w:sz w:val="24"/>
          <w:szCs w:val="24"/>
          <w:lang w:val="it-IT"/>
        </w:rPr>
        <w:t xml:space="preserve">formalmente </w:t>
      </w:r>
      <w:r w:rsidR="008C2EED" w:rsidRPr="006F07C8">
        <w:rPr>
          <w:rFonts w:ascii="Times New Roman" w:hAnsi="Times New Roman" w:cs="Times New Roman"/>
          <w:sz w:val="24"/>
          <w:szCs w:val="24"/>
          <w:lang w:val="it-IT"/>
        </w:rPr>
        <w:t>definito come:</w:t>
      </w:r>
    </w:p>
    <w:p w:rsidR="008C2EED" w:rsidRPr="006F07C8" w:rsidRDefault="00B14B1B" w:rsidP="002F52A9">
      <w:pPr>
        <w:spacing w:line="240" w:lineRule="auto"/>
        <w:jc w:val="center"/>
        <w:rPr>
          <w:rFonts w:ascii="Times New Roman" w:hAnsi="Times New Roman" w:cs="Times New Roman"/>
          <w:sz w:val="24"/>
          <w:szCs w:val="24"/>
          <w:lang w:val="it-IT"/>
        </w:rPr>
      </w:pPr>
      <m:oMathPara>
        <m:oMath>
          <m:sSub>
            <m:sSubPr>
              <m:ctrlPr>
                <w:rPr>
                  <w:rFonts w:ascii="Cambria Math" w:hAnsi="Cambria Math" w:cs="Times New Roman"/>
                  <w:i/>
                  <w:sz w:val="24"/>
                  <w:szCs w:val="24"/>
                  <w:lang w:val="it-IT"/>
                </w:rPr>
              </m:ctrlPr>
            </m:sSubPr>
            <m:e>
              <m:r>
                <w:rPr>
                  <w:rFonts w:ascii="Cambria Math" w:hAnsi="Cambria Math" w:cs="Times New Roman"/>
                  <w:sz w:val="24"/>
                  <w:szCs w:val="24"/>
                  <w:lang w:val="it-IT"/>
                </w:rPr>
                <m:t>E</m:t>
              </m:r>
            </m:e>
            <m:sub>
              <m:r>
                <w:rPr>
                  <w:rFonts w:ascii="Cambria Math" w:hAnsi="Cambria Math" w:cs="Times New Roman"/>
                  <w:sz w:val="24"/>
                  <w:szCs w:val="24"/>
                  <w:lang w:val="it-IT"/>
                </w:rPr>
                <m:t>a</m:t>
              </m:r>
            </m:sub>
          </m:sSub>
          <m:r>
            <w:rPr>
              <w:rFonts w:ascii="Cambria Math" w:hAnsi="Cambria Math" w:cs="Times New Roman"/>
              <w:sz w:val="24"/>
              <w:szCs w:val="24"/>
              <w:lang w:val="it-IT"/>
            </w:rPr>
            <m:t>=1-</m:t>
          </m:r>
          <m:sSub>
            <m:sSubPr>
              <m:ctrlPr>
                <w:rPr>
                  <w:rFonts w:ascii="Cambria Math" w:hAnsi="Cambria Math" w:cs="Times New Roman"/>
                  <w:i/>
                  <w:sz w:val="24"/>
                  <w:szCs w:val="24"/>
                  <w:lang w:val="it-IT"/>
                </w:rPr>
              </m:ctrlPr>
            </m:sSubPr>
            <m:e>
              <m:r>
                <w:rPr>
                  <w:rFonts w:ascii="Cambria Math" w:hAnsi="Cambria Math" w:cs="Times New Roman"/>
                  <w:sz w:val="24"/>
                  <w:szCs w:val="24"/>
                  <w:lang w:val="it-IT"/>
                </w:rPr>
                <m:t>x</m:t>
              </m:r>
            </m:e>
            <m:sub>
              <m:r>
                <w:rPr>
                  <w:rFonts w:ascii="Cambria Math" w:hAnsi="Cambria Math" w:cs="Times New Roman"/>
                  <w:sz w:val="24"/>
                  <w:szCs w:val="24"/>
                  <w:lang w:val="it-IT"/>
                </w:rPr>
                <m:t>b</m:t>
              </m:r>
            </m:sub>
          </m:sSub>
          <m:r>
            <w:rPr>
              <w:rFonts w:ascii="Cambria Math" w:hAnsi="Cambria Math" w:cs="Times New Roman"/>
              <w:sz w:val="24"/>
              <w:szCs w:val="24"/>
              <w:lang w:val="it-IT"/>
            </w:rPr>
            <m:t>,</m:t>
          </m:r>
        </m:oMath>
      </m:oMathPara>
    </w:p>
    <w:p w:rsidR="00BC399A" w:rsidRPr="006F07C8" w:rsidRDefault="00BC399A" w:rsidP="002F52A9">
      <w:pPr>
        <w:spacing w:line="240" w:lineRule="auto"/>
        <w:jc w:val="both"/>
        <w:rPr>
          <w:rFonts w:ascii="Times New Roman" w:hAnsi="Times New Roman" w:cs="Times New Roman"/>
          <w:sz w:val="24"/>
          <w:szCs w:val="24"/>
          <w:lang w:val="it-IT"/>
        </w:rPr>
      </w:pPr>
      <w:r w:rsidRPr="006F07C8">
        <w:rPr>
          <w:rFonts w:ascii="Times New Roman" w:hAnsi="Times New Roman" w:cs="Times New Roman"/>
          <w:sz w:val="24"/>
          <w:szCs w:val="24"/>
          <w:lang w:val="it-IT"/>
        </w:rPr>
        <w:lastRenderedPageBreak/>
        <w:t xml:space="preserve">dove </w:t>
      </w:r>
      <w:r w:rsidRPr="006F07C8">
        <w:rPr>
          <w:rFonts w:ascii="Times New Roman" w:hAnsi="Times New Roman" w:cs="Times New Roman"/>
          <w:i/>
          <w:sz w:val="24"/>
          <w:szCs w:val="24"/>
          <w:lang w:val="it-IT"/>
        </w:rPr>
        <w:t>x</w:t>
      </w:r>
      <w:r w:rsidR="00735663" w:rsidRPr="006F07C8">
        <w:rPr>
          <w:rFonts w:ascii="Times New Roman" w:hAnsi="Times New Roman" w:cs="Times New Roman"/>
          <w:i/>
          <w:sz w:val="24"/>
          <w:szCs w:val="24"/>
          <w:vertAlign w:val="subscript"/>
          <w:lang w:val="it-IT"/>
        </w:rPr>
        <w:t>b</w:t>
      </w:r>
      <w:r w:rsidR="00735663" w:rsidRPr="006F07C8">
        <w:rPr>
          <w:rFonts w:ascii="Times New Roman" w:hAnsi="Times New Roman" w:cs="Times New Roman"/>
          <w:sz w:val="24"/>
          <w:szCs w:val="24"/>
          <w:lang w:val="it-IT"/>
        </w:rPr>
        <w:t xml:space="preserve"> è la percentuale di residenti con almeno una competenza base (</w:t>
      </w:r>
      <w:r w:rsidR="00735663" w:rsidRPr="006F07C8">
        <w:rPr>
          <w:rFonts w:ascii="Times New Roman" w:hAnsi="Times New Roman" w:cs="Times New Roman"/>
          <w:i/>
          <w:sz w:val="24"/>
          <w:szCs w:val="24"/>
          <w:lang w:val="it-IT"/>
        </w:rPr>
        <w:t>b</w:t>
      </w:r>
      <w:r w:rsidR="00735663" w:rsidRPr="006F07C8">
        <w:rPr>
          <w:rFonts w:ascii="Times New Roman" w:hAnsi="Times New Roman" w:cs="Times New Roman"/>
          <w:sz w:val="24"/>
          <w:szCs w:val="24"/>
          <w:lang w:val="it-IT"/>
        </w:rPr>
        <w:t xml:space="preserve">) in almeno una lingua </w:t>
      </w:r>
      <w:r w:rsidR="00054FD7" w:rsidRPr="006F07C8">
        <w:rPr>
          <w:rFonts w:ascii="Times New Roman" w:hAnsi="Times New Roman" w:cs="Times New Roman"/>
          <w:sz w:val="24"/>
          <w:szCs w:val="24"/>
          <w:lang w:val="it-IT"/>
        </w:rPr>
        <w:t xml:space="preserve">ufficiale </w:t>
      </w:r>
      <w:r w:rsidR="00735663" w:rsidRPr="006F07C8">
        <w:rPr>
          <w:rFonts w:ascii="Times New Roman" w:hAnsi="Times New Roman" w:cs="Times New Roman"/>
          <w:sz w:val="24"/>
          <w:szCs w:val="24"/>
          <w:lang w:val="it-IT"/>
        </w:rPr>
        <w:t>(i nativi sono quindi inclusi).</w:t>
      </w:r>
    </w:p>
    <w:p w:rsidR="00852AC5" w:rsidRPr="006F07C8" w:rsidRDefault="00852AC5" w:rsidP="002F52A9">
      <w:pPr>
        <w:spacing w:line="240" w:lineRule="auto"/>
        <w:jc w:val="both"/>
        <w:rPr>
          <w:rFonts w:ascii="Times New Roman" w:hAnsi="Times New Roman" w:cs="Times New Roman"/>
          <w:sz w:val="24"/>
          <w:szCs w:val="24"/>
          <w:lang w:val="it-IT"/>
        </w:rPr>
      </w:pPr>
      <w:r w:rsidRPr="006F07C8">
        <w:rPr>
          <w:rFonts w:ascii="Times New Roman" w:hAnsi="Times New Roman" w:cs="Times New Roman"/>
          <w:sz w:val="24"/>
          <w:szCs w:val="24"/>
          <w:lang w:val="it-IT"/>
        </w:rPr>
        <w:t xml:space="preserve">Il </w:t>
      </w:r>
      <w:r w:rsidR="00994D83" w:rsidRPr="006F07C8">
        <w:rPr>
          <w:rFonts w:ascii="Times New Roman" w:hAnsi="Times New Roman" w:cs="Times New Roman"/>
          <w:sz w:val="24"/>
          <w:szCs w:val="24"/>
          <w:lang w:val="it-IT"/>
        </w:rPr>
        <w:t xml:space="preserve">tasso di esclusione linguistica relativa </w:t>
      </w:r>
      <w:r w:rsidRPr="006F07C8">
        <w:rPr>
          <w:rFonts w:ascii="Times New Roman" w:hAnsi="Times New Roman" w:cs="Times New Roman"/>
          <w:i/>
          <w:sz w:val="24"/>
          <w:szCs w:val="24"/>
          <w:lang w:val="it-IT"/>
        </w:rPr>
        <w:t>E</w:t>
      </w:r>
      <w:r w:rsidR="008859FC" w:rsidRPr="006F07C8">
        <w:rPr>
          <w:rFonts w:ascii="Times New Roman" w:hAnsi="Times New Roman" w:cs="Times New Roman"/>
          <w:i/>
          <w:sz w:val="24"/>
          <w:szCs w:val="24"/>
          <w:vertAlign w:val="subscript"/>
          <w:lang w:val="it-IT"/>
        </w:rPr>
        <w:t>r</w:t>
      </w:r>
      <w:r w:rsidRPr="006F07C8">
        <w:rPr>
          <w:rFonts w:ascii="Times New Roman" w:hAnsi="Times New Roman" w:cs="Times New Roman"/>
          <w:sz w:val="24"/>
          <w:szCs w:val="24"/>
          <w:lang w:val="it-IT"/>
        </w:rPr>
        <w:t xml:space="preserve"> è definito come</w:t>
      </w:r>
      <w:r w:rsidR="00735663" w:rsidRPr="006F07C8">
        <w:rPr>
          <w:rFonts w:ascii="Times New Roman" w:hAnsi="Times New Roman" w:cs="Times New Roman"/>
          <w:sz w:val="24"/>
          <w:szCs w:val="24"/>
          <w:lang w:val="it-IT"/>
        </w:rPr>
        <w:t>:</w:t>
      </w:r>
    </w:p>
    <w:p w:rsidR="00852AC5" w:rsidRPr="006F07C8" w:rsidRDefault="00B14B1B" w:rsidP="002F52A9">
      <w:pPr>
        <w:spacing w:line="240" w:lineRule="auto"/>
        <w:jc w:val="center"/>
        <w:rPr>
          <w:rFonts w:ascii="Times New Roman" w:hAnsi="Times New Roman" w:cs="Times New Roman"/>
          <w:sz w:val="24"/>
          <w:szCs w:val="24"/>
          <w:lang w:val="it-IT"/>
        </w:rPr>
      </w:pPr>
      <m:oMath>
        <m:sSub>
          <m:sSubPr>
            <m:ctrlPr>
              <w:rPr>
                <w:rFonts w:ascii="Cambria Math" w:hAnsi="Cambria Math" w:cs="Times New Roman"/>
                <w:i/>
                <w:sz w:val="24"/>
                <w:szCs w:val="24"/>
                <w:lang w:val="it-IT"/>
              </w:rPr>
            </m:ctrlPr>
          </m:sSubPr>
          <m:e>
            <m:r>
              <w:rPr>
                <w:rFonts w:ascii="Cambria Math" w:hAnsi="Cambria Math" w:cs="Times New Roman"/>
                <w:sz w:val="24"/>
                <w:szCs w:val="24"/>
                <w:lang w:val="it-IT"/>
              </w:rPr>
              <m:t>E</m:t>
            </m:r>
          </m:e>
          <m:sub>
            <m:r>
              <w:rPr>
                <w:rFonts w:ascii="Cambria Math" w:hAnsi="Cambria Math" w:cs="Times New Roman"/>
                <w:sz w:val="24"/>
                <w:szCs w:val="24"/>
                <w:lang w:val="it-IT"/>
              </w:rPr>
              <m:t>r</m:t>
            </m:r>
          </m:sub>
        </m:sSub>
        <m:r>
          <w:rPr>
            <w:rFonts w:ascii="Cambria Math" w:hAnsi="Cambria Math" w:cs="Times New Roman"/>
            <w:sz w:val="24"/>
            <w:szCs w:val="24"/>
            <w:lang w:val="it-IT"/>
          </w:rPr>
          <m:t>=1-(</m:t>
        </m:r>
        <m:sSub>
          <m:sSubPr>
            <m:ctrlPr>
              <w:rPr>
                <w:rFonts w:ascii="Cambria Math" w:hAnsi="Cambria Math" w:cs="Times New Roman"/>
                <w:i/>
                <w:sz w:val="24"/>
                <w:szCs w:val="24"/>
                <w:lang w:val="it-IT"/>
              </w:rPr>
            </m:ctrlPr>
          </m:sSubPr>
          <m:e>
            <m:r>
              <w:rPr>
                <w:rFonts w:ascii="Cambria Math" w:hAnsi="Cambria Math" w:cs="Times New Roman"/>
                <w:sz w:val="24"/>
                <w:szCs w:val="24"/>
                <w:lang w:val="it-IT"/>
              </w:rPr>
              <m:t>x</m:t>
            </m:r>
          </m:e>
          <m:sub>
            <m:r>
              <w:rPr>
                <w:rFonts w:ascii="Cambria Math" w:hAnsi="Cambria Math" w:cs="Times New Roman"/>
                <w:sz w:val="24"/>
                <w:szCs w:val="24"/>
                <w:lang w:val="it-IT"/>
              </w:rPr>
              <m:t>m</m:t>
            </m:r>
          </m:sub>
        </m:sSub>
        <m:r>
          <w:rPr>
            <w:rFonts w:ascii="Cambria Math" w:hAnsi="Cambria Math" w:cs="Times New Roman"/>
            <w:sz w:val="24"/>
            <w:szCs w:val="24"/>
            <w:lang w:val="it-IT"/>
          </w:rPr>
          <m:t>+</m:t>
        </m:r>
        <m:sSub>
          <m:sSubPr>
            <m:ctrlPr>
              <w:rPr>
                <w:rFonts w:ascii="Cambria Math" w:hAnsi="Cambria Math" w:cs="Times New Roman"/>
                <w:i/>
                <w:sz w:val="24"/>
                <w:szCs w:val="24"/>
                <w:lang w:val="it-IT"/>
              </w:rPr>
            </m:ctrlPr>
          </m:sSubPr>
          <m:e>
            <m:r>
              <w:rPr>
                <w:rFonts w:ascii="Cambria Math" w:hAnsi="Cambria Math" w:cs="Times New Roman"/>
                <w:sz w:val="24"/>
                <w:szCs w:val="24"/>
                <w:lang w:val="it-IT"/>
              </w:rPr>
              <m:t>x</m:t>
            </m:r>
          </m:e>
          <m:sub>
            <m:r>
              <w:rPr>
                <w:rFonts w:ascii="Cambria Math" w:hAnsi="Cambria Math" w:cs="Times New Roman"/>
                <w:sz w:val="24"/>
                <w:szCs w:val="24"/>
                <w:lang w:val="it-IT"/>
              </w:rPr>
              <m:t>e</m:t>
            </m:r>
          </m:sub>
        </m:sSub>
        <m:r>
          <w:rPr>
            <w:rFonts w:ascii="Cambria Math" w:hAnsi="Cambria Math" w:cs="Times New Roman"/>
            <w:sz w:val="24"/>
            <w:szCs w:val="24"/>
            <w:lang w:val="it-IT"/>
          </w:rPr>
          <m:t>)</m:t>
        </m:r>
      </m:oMath>
      <w:r w:rsidR="00852AC5" w:rsidRPr="006F07C8">
        <w:rPr>
          <w:rFonts w:ascii="Times New Roman" w:eastAsiaTheme="minorEastAsia" w:hAnsi="Times New Roman" w:cs="Times New Roman"/>
          <w:sz w:val="24"/>
          <w:szCs w:val="24"/>
          <w:lang w:val="it-IT"/>
        </w:rPr>
        <w:t>,</w:t>
      </w:r>
    </w:p>
    <w:p w:rsidR="00D47C06" w:rsidRPr="006F07C8" w:rsidRDefault="00852AC5" w:rsidP="002F52A9">
      <w:pPr>
        <w:spacing w:line="240" w:lineRule="auto"/>
        <w:jc w:val="both"/>
        <w:rPr>
          <w:rFonts w:ascii="Times New Roman" w:eastAsiaTheme="minorEastAsia" w:hAnsi="Times New Roman" w:cs="Times New Roman"/>
          <w:sz w:val="24"/>
          <w:szCs w:val="24"/>
          <w:lang w:val="it-IT"/>
        </w:rPr>
      </w:pPr>
      <w:r w:rsidRPr="006F07C8">
        <w:rPr>
          <w:rFonts w:ascii="Times New Roman" w:hAnsi="Times New Roman" w:cs="Times New Roman"/>
          <w:sz w:val="24"/>
          <w:szCs w:val="24"/>
          <w:lang w:val="it-IT"/>
        </w:rPr>
        <w:t xml:space="preserve">dove </w:t>
      </w:r>
      <w:r w:rsidRPr="006F07C8">
        <w:rPr>
          <w:rFonts w:ascii="Times New Roman" w:hAnsi="Times New Roman" w:cs="Times New Roman"/>
          <w:i/>
          <w:sz w:val="24"/>
          <w:szCs w:val="24"/>
          <w:lang w:val="it-IT"/>
        </w:rPr>
        <w:t>x</w:t>
      </w:r>
      <w:r w:rsidR="00EB1D14" w:rsidRPr="006F07C8">
        <w:rPr>
          <w:rFonts w:ascii="Times New Roman" w:hAnsi="Times New Roman" w:cs="Times New Roman"/>
          <w:i/>
          <w:sz w:val="24"/>
          <w:szCs w:val="24"/>
          <w:vertAlign w:val="subscript"/>
          <w:lang w:val="it-IT"/>
        </w:rPr>
        <w:t>m</w:t>
      </w:r>
      <w:r w:rsidRPr="006F07C8">
        <w:rPr>
          <w:rFonts w:ascii="Times New Roman" w:hAnsi="Times New Roman" w:cs="Times New Roman"/>
          <w:sz w:val="24"/>
          <w:szCs w:val="24"/>
          <w:vertAlign w:val="subscript"/>
          <w:lang w:val="it-IT"/>
        </w:rPr>
        <w:t xml:space="preserve"> </w:t>
      </w:r>
      <w:r w:rsidRPr="006F07C8">
        <w:rPr>
          <w:rFonts w:ascii="Times New Roman" w:hAnsi="Times New Roman" w:cs="Times New Roman"/>
          <w:sz w:val="24"/>
          <w:szCs w:val="24"/>
          <w:lang w:val="it-IT"/>
        </w:rPr>
        <w:t xml:space="preserve">è la percentuale di persone che parlano come lingua materna </w:t>
      </w:r>
      <w:r w:rsidR="00EB1D14" w:rsidRPr="006F07C8">
        <w:rPr>
          <w:rFonts w:ascii="Times New Roman" w:hAnsi="Times New Roman" w:cs="Times New Roman"/>
          <w:sz w:val="24"/>
          <w:szCs w:val="24"/>
          <w:lang w:val="it-IT"/>
        </w:rPr>
        <w:t>(</w:t>
      </w:r>
      <w:r w:rsidR="00EB1D14" w:rsidRPr="006F07C8">
        <w:rPr>
          <w:rFonts w:ascii="Times New Roman" w:hAnsi="Times New Roman" w:cs="Times New Roman"/>
          <w:i/>
          <w:sz w:val="24"/>
          <w:szCs w:val="24"/>
          <w:lang w:val="it-IT"/>
        </w:rPr>
        <w:t>m</w:t>
      </w:r>
      <w:r w:rsidR="00EB1D14" w:rsidRPr="006F07C8">
        <w:rPr>
          <w:rFonts w:ascii="Times New Roman" w:hAnsi="Times New Roman" w:cs="Times New Roman"/>
          <w:sz w:val="24"/>
          <w:szCs w:val="24"/>
          <w:lang w:val="it-IT"/>
        </w:rPr>
        <w:t>)</w:t>
      </w:r>
      <w:r w:rsidR="00EB1D14" w:rsidRPr="006F07C8">
        <w:rPr>
          <w:rFonts w:ascii="Times New Roman" w:hAnsi="Times New Roman" w:cs="Times New Roman"/>
          <w:i/>
          <w:sz w:val="24"/>
          <w:szCs w:val="24"/>
          <w:lang w:val="it-IT"/>
        </w:rPr>
        <w:t xml:space="preserve"> </w:t>
      </w:r>
      <w:r w:rsidRPr="006F07C8">
        <w:rPr>
          <w:rFonts w:ascii="Times New Roman" w:hAnsi="Times New Roman" w:cs="Times New Roman"/>
          <w:sz w:val="24"/>
          <w:szCs w:val="24"/>
          <w:lang w:val="it-IT"/>
        </w:rPr>
        <w:t xml:space="preserve">almeno una delle lingue ufficiali e </w:t>
      </w:r>
      <w:r w:rsidRPr="006F07C8">
        <w:rPr>
          <w:rFonts w:ascii="Times New Roman" w:hAnsi="Times New Roman" w:cs="Times New Roman"/>
          <w:i/>
          <w:sz w:val="24"/>
          <w:szCs w:val="24"/>
          <w:lang w:val="it-IT"/>
        </w:rPr>
        <w:t>x</w:t>
      </w:r>
      <w:r w:rsidR="009B7F35" w:rsidRPr="006F07C8">
        <w:rPr>
          <w:rFonts w:ascii="Times New Roman" w:hAnsi="Times New Roman" w:cs="Times New Roman"/>
          <w:i/>
          <w:sz w:val="24"/>
          <w:szCs w:val="24"/>
          <w:vertAlign w:val="subscript"/>
          <w:lang w:val="it-IT"/>
        </w:rPr>
        <w:t>e</w:t>
      </w:r>
      <w:r w:rsidR="00EB1D14" w:rsidRPr="006F07C8">
        <w:rPr>
          <w:rFonts w:ascii="Times New Roman" w:hAnsi="Times New Roman" w:cs="Times New Roman"/>
          <w:sz w:val="24"/>
          <w:szCs w:val="24"/>
          <w:lang w:val="it-IT"/>
        </w:rPr>
        <w:t xml:space="preserve"> è la percentuale di persone che parlano almeno una delle lingue ufficiali come prima o seconda lingua stranier</w:t>
      </w:r>
      <w:r w:rsidR="00F02623" w:rsidRPr="006F07C8">
        <w:rPr>
          <w:rFonts w:ascii="Times New Roman" w:hAnsi="Times New Roman" w:cs="Times New Roman"/>
          <w:sz w:val="24"/>
          <w:szCs w:val="24"/>
          <w:lang w:val="it-IT"/>
        </w:rPr>
        <w:t>a</w:t>
      </w:r>
      <w:r w:rsidR="003E6BA6" w:rsidRPr="006F07C8">
        <w:rPr>
          <w:rFonts w:ascii="Times New Roman" w:hAnsi="Times New Roman" w:cs="Times New Roman"/>
          <w:sz w:val="24"/>
          <w:szCs w:val="24"/>
          <w:lang w:val="it-IT"/>
        </w:rPr>
        <w:t xml:space="preserve"> a livello </w:t>
      </w:r>
      <w:r w:rsidR="009B7F35" w:rsidRPr="006F07C8">
        <w:rPr>
          <w:rFonts w:ascii="Times New Roman" w:hAnsi="Times New Roman" w:cs="Times New Roman"/>
          <w:sz w:val="24"/>
          <w:szCs w:val="24"/>
          <w:lang w:val="it-IT"/>
        </w:rPr>
        <w:t>eccellente</w:t>
      </w:r>
      <w:r w:rsidR="00E00708" w:rsidRPr="006F07C8">
        <w:rPr>
          <w:rFonts w:ascii="Times New Roman" w:hAnsi="Times New Roman" w:cs="Times New Roman"/>
          <w:sz w:val="24"/>
          <w:szCs w:val="24"/>
          <w:lang w:val="it-IT"/>
        </w:rPr>
        <w:t xml:space="preserve"> (</w:t>
      </w:r>
      <w:r w:rsidR="00E00708" w:rsidRPr="006F07C8">
        <w:rPr>
          <w:rFonts w:ascii="Times New Roman" w:hAnsi="Times New Roman" w:cs="Times New Roman"/>
          <w:i/>
          <w:sz w:val="24"/>
          <w:szCs w:val="24"/>
          <w:lang w:val="it-IT"/>
        </w:rPr>
        <w:t>e</w:t>
      </w:r>
      <w:r w:rsidR="00E00708" w:rsidRPr="006F07C8">
        <w:rPr>
          <w:rFonts w:ascii="Times New Roman" w:hAnsi="Times New Roman" w:cs="Times New Roman"/>
          <w:sz w:val="24"/>
          <w:szCs w:val="24"/>
          <w:lang w:val="it-IT"/>
        </w:rPr>
        <w:t>)</w:t>
      </w:r>
      <w:r w:rsidR="00F66FF0" w:rsidRPr="006F07C8">
        <w:rPr>
          <w:rFonts w:ascii="Times New Roman" w:hAnsi="Times New Roman" w:cs="Times New Roman"/>
          <w:sz w:val="24"/>
          <w:szCs w:val="24"/>
          <w:lang w:val="it-IT"/>
        </w:rPr>
        <w:t xml:space="preserve"> </w:t>
      </w:r>
      <w:r w:rsidR="00A95D49" w:rsidRPr="006F07C8">
        <w:rPr>
          <w:rFonts w:ascii="Times New Roman" w:hAnsi="Times New Roman" w:cs="Times New Roman"/>
          <w:sz w:val="24"/>
          <w:szCs w:val="24"/>
          <w:lang w:val="it-IT"/>
        </w:rPr>
        <w:t xml:space="preserve">senza essere </w:t>
      </w:r>
      <w:r w:rsidR="00F66FF0" w:rsidRPr="006F07C8">
        <w:rPr>
          <w:rFonts w:ascii="Times New Roman" w:hAnsi="Times New Roman" w:cs="Times New Roman"/>
          <w:sz w:val="24"/>
          <w:szCs w:val="24"/>
          <w:lang w:val="it-IT"/>
        </w:rPr>
        <w:t xml:space="preserve">di lingua materna </w:t>
      </w:r>
      <w:r w:rsidR="00F66FF0" w:rsidRPr="006F07C8">
        <w:rPr>
          <w:rFonts w:ascii="Times New Roman" w:hAnsi="Times New Roman" w:cs="Times New Roman"/>
          <w:i/>
          <w:sz w:val="24"/>
          <w:szCs w:val="24"/>
          <w:lang w:val="it-IT"/>
        </w:rPr>
        <w:t>m</w:t>
      </w:r>
      <w:r w:rsidR="00EB1D14" w:rsidRPr="006F07C8">
        <w:rPr>
          <w:rFonts w:ascii="Times New Roman" w:hAnsi="Times New Roman" w:cs="Times New Roman"/>
          <w:sz w:val="24"/>
          <w:szCs w:val="24"/>
          <w:lang w:val="it-IT"/>
        </w:rPr>
        <w:t xml:space="preserve">. </w:t>
      </w:r>
      <w:r w:rsidR="000E0CC0" w:rsidRPr="006F07C8">
        <w:rPr>
          <w:rFonts w:ascii="Times New Roman" w:hAnsi="Times New Roman" w:cs="Times New Roman"/>
          <w:sz w:val="24"/>
          <w:szCs w:val="24"/>
          <w:lang w:val="it-IT"/>
        </w:rPr>
        <w:t xml:space="preserve">In pratica </w:t>
      </w:r>
      <w:r w:rsidR="000E0CC0" w:rsidRPr="006F07C8">
        <w:rPr>
          <w:rFonts w:ascii="Times New Roman" w:hAnsi="Times New Roman" w:cs="Times New Roman"/>
          <w:i/>
          <w:sz w:val="24"/>
          <w:szCs w:val="24"/>
          <w:lang w:val="it-IT"/>
        </w:rPr>
        <w:t>E</w:t>
      </w:r>
      <w:r w:rsidR="000E0CC0" w:rsidRPr="006F07C8">
        <w:rPr>
          <w:rFonts w:ascii="Times New Roman" w:hAnsi="Times New Roman" w:cs="Times New Roman"/>
          <w:i/>
          <w:sz w:val="24"/>
          <w:szCs w:val="24"/>
          <w:vertAlign w:val="subscript"/>
          <w:lang w:val="it-IT"/>
        </w:rPr>
        <w:t>r</w:t>
      </w:r>
      <w:r w:rsidR="000E0CC0" w:rsidRPr="006F07C8">
        <w:rPr>
          <w:rFonts w:ascii="Times New Roman" w:hAnsi="Times New Roman" w:cs="Times New Roman"/>
          <w:sz w:val="24"/>
          <w:szCs w:val="24"/>
          <w:lang w:val="it-IT"/>
        </w:rPr>
        <w:t xml:space="preserve"> è </w:t>
      </w:r>
      <w:r w:rsidR="005E4960" w:rsidRPr="006F07C8">
        <w:rPr>
          <w:rFonts w:ascii="Times New Roman" w:hAnsi="Times New Roman" w:cs="Times New Roman"/>
          <w:sz w:val="24"/>
          <w:szCs w:val="24"/>
          <w:lang w:val="it-IT"/>
        </w:rPr>
        <w:t xml:space="preserve">uguale a </w:t>
      </w:r>
      <w:r w:rsidR="005E4960" w:rsidRPr="006F07C8">
        <w:rPr>
          <w:rFonts w:ascii="Times New Roman" w:hAnsi="Times New Roman" w:cs="Times New Roman"/>
          <w:i/>
          <w:sz w:val="24"/>
          <w:szCs w:val="24"/>
          <w:lang w:val="it-IT"/>
        </w:rPr>
        <w:t>E</w:t>
      </w:r>
      <w:r w:rsidR="005E4960" w:rsidRPr="006F07C8">
        <w:rPr>
          <w:rFonts w:ascii="Times New Roman" w:hAnsi="Times New Roman" w:cs="Times New Roman"/>
          <w:i/>
          <w:sz w:val="24"/>
          <w:szCs w:val="24"/>
          <w:vertAlign w:val="subscript"/>
          <w:lang w:val="it-IT"/>
        </w:rPr>
        <w:t>a</w:t>
      </w:r>
      <w:r w:rsidR="005E4960" w:rsidRPr="006F07C8">
        <w:rPr>
          <w:rFonts w:ascii="Times New Roman" w:hAnsi="Times New Roman" w:cs="Times New Roman"/>
          <w:sz w:val="24"/>
          <w:szCs w:val="24"/>
          <w:lang w:val="it-IT"/>
        </w:rPr>
        <w:t xml:space="preserve"> più </w:t>
      </w:r>
      <w:r w:rsidR="000E0CC0" w:rsidRPr="006F07C8">
        <w:rPr>
          <w:rFonts w:ascii="Times New Roman" w:hAnsi="Times New Roman" w:cs="Times New Roman"/>
          <w:sz w:val="24"/>
          <w:szCs w:val="24"/>
          <w:lang w:val="it-IT"/>
        </w:rPr>
        <w:t xml:space="preserve">la percentuale della popolazione che </w:t>
      </w:r>
      <w:r w:rsidR="0012490D" w:rsidRPr="006F07C8">
        <w:rPr>
          <w:rFonts w:ascii="Times New Roman" w:hAnsi="Times New Roman" w:cs="Times New Roman"/>
          <w:sz w:val="24"/>
          <w:szCs w:val="24"/>
          <w:lang w:val="it-IT"/>
        </w:rPr>
        <w:t xml:space="preserve">ha un accesso difficoltoso </w:t>
      </w:r>
      <w:r w:rsidR="005E4960" w:rsidRPr="006F07C8">
        <w:rPr>
          <w:rFonts w:ascii="Times New Roman" w:hAnsi="Times New Roman" w:cs="Times New Roman"/>
          <w:sz w:val="24"/>
          <w:szCs w:val="24"/>
          <w:lang w:val="it-IT"/>
        </w:rPr>
        <w:t xml:space="preserve">o non agevole alla comunicazione UE </w:t>
      </w:r>
      <w:r w:rsidR="0012490D" w:rsidRPr="006F07C8">
        <w:rPr>
          <w:rFonts w:ascii="Times New Roman" w:hAnsi="Times New Roman" w:cs="Times New Roman"/>
          <w:sz w:val="24"/>
          <w:szCs w:val="24"/>
          <w:lang w:val="it-IT"/>
        </w:rPr>
        <w:t xml:space="preserve">perché </w:t>
      </w:r>
      <w:r w:rsidR="005E4960" w:rsidRPr="006F07C8">
        <w:rPr>
          <w:rFonts w:ascii="Times New Roman" w:hAnsi="Times New Roman" w:cs="Times New Roman"/>
          <w:sz w:val="24"/>
          <w:szCs w:val="24"/>
          <w:lang w:val="it-IT"/>
        </w:rPr>
        <w:t xml:space="preserve">non </w:t>
      </w:r>
      <w:r w:rsidR="0012490D" w:rsidRPr="006F07C8">
        <w:rPr>
          <w:rFonts w:ascii="Times New Roman" w:hAnsi="Times New Roman" w:cs="Times New Roman"/>
          <w:sz w:val="24"/>
          <w:szCs w:val="24"/>
          <w:lang w:val="it-IT"/>
        </w:rPr>
        <w:t xml:space="preserve">hanno competenze linguistiche elevate </w:t>
      </w:r>
      <w:r w:rsidR="000E0CC0" w:rsidRPr="006F07C8">
        <w:rPr>
          <w:rFonts w:ascii="Times New Roman" w:hAnsi="Times New Roman" w:cs="Times New Roman"/>
          <w:sz w:val="24"/>
          <w:szCs w:val="24"/>
          <w:lang w:val="it-IT"/>
        </w:rPr>
        <w:t>(cioè “elementar</w:t>
      </w:r>
      <w:r w:rsidR="0012490D" w:rsidRPr="006F07C8">
        <w:rPr>
          <w:rFonts w:ascii="Times New Roman" w:hAnsi="Times New Roman" w:cs="Times New Roman"/>
          <w:sz w:val="24"/>
          <w:szCs w:val="24"/>
          <w:lang w:val="it-IT"/>
        </w:rPr>
        <w:t>i”, “discrete</w:t>
      </w:r>
      <w:r w:rsidR="000E0CC0" w:rsidRPr="006F07C8">
        <w:rPr>
          <w:rFonts w:ascii="Times New Roman" w:hAnsi="Times New Roman" w:cs="Times New Roman"/>
          <w:sz w:val="24"/>
          <w:szCs w:val="24"/>
          <w:lang w:val="it-IT"/>
        </w:rPr>
        <w:t>” o “buon</w:t>
      </w:r>
      <w:r w:rsidR="0012490D" w:rsidRPr="006F07C8">
        <w:rPr>
          <w:rFonts w:ascii="Times New Roman" w:hAnsi="Times New Roman" w:cs="Times New Roman"/>
          <w:sz w:val="24"/>
          <w:szCs w:val="24"/>
          <w:lang w:val="it-IT"/>
        </w:rPr>
        <w:t>e</w:t>
      </w:r>
      <w:r w:rsidR="000E0CC0" w:rsidRPr="006F07C8">
        <w:rPr>
          <w:rFonts w:ascii="Times New Roman" w:hAnsi="Times New Roman" w:cs="Times New Roman"/>
          <w:sz w:val="24"/>
          <w:szCs w:val="24"/>
          <w:lang w:val="it-IT"/>
        </w:rPr>
        <w:t>”</w:t>
      </w:r>
      <w:r w:rsidR="0012490D" w:rsidRPr="006F07C8">
        <w:rPr>
          <w:rFonts w:ascii="Times New Roman" w:hAnsi="Times New Roman" w:cs="Times New Roman"/>
          <w:sz w:val="24"/>
          <w:szCs w:val="24"/>
          <w:lang w:val="it-IT"/>
        </w:rPr>
        <w:t xml:space="preserve"> secondo la griglia presentata sopra</w:t>
      </w:r>
      <w:r w:rsidR="000E0CC0" w:rsidRPr="006F07C8">
        <w:rPr>
          <w:rFonts w:ascii="Times New Roman" w:hAnsi="Times New Roman" w:cs="Times New Roman"/>
          <w:sz w:val="24"/>
          <w:szCs w:val="24"/>
          <w:lang w:val="it-IT"/>
        </w:rPr>
        <w:t xml:space="preserve">). </w:t>
      </w:r>
      <w:r w:rsidR="00D47C06" w:rsidRPr="006F07C8">
        <w:rPr>
          <w:rFonts w:ascii="Times New Roman" w:hAnsi="Times New Roman" w:cs="Times New Roman"/>
          <w:sz w:val="24"/>
          <w:szCs w:val="24"/>
          <w:lang w:val="it-IT"/>
        </w:rPr>
        <w:t xml:space="preserve">Ovviamente </w:t>
      </w:r>
      <m:oMath>
        <m:sSub>
          <m:sSubPr>
            <m:ctrlPr>
              <w:rPr>
                <w:rFonts w:ascii="Cambria Math" w:hAnsi="Cambria Math" w:cs="Times New Roman"/>
                <w:i/>
                <w:sz w:val="24"/>
                <w:szCs w:val="24"/>
                <w:lang w:val="it-IT"/>
              </w:rPr>
            </m:ctrlPr>
          </m:sSubPr>
          <m:e>
            <m:r>
              <w:rPr>
                <w:rFonts w:ascii="Cambria Math" w:hAnsi="Cambria Math" w:cs="Times New Roman"/>
                <w:sz w:val="24"/>
                <w:szCs w:val="24"/>
                <w:lang w:val="it-IT"/>
              </w:rPr>
              <m:t>x</m:t>
            </m:r>
          </m:e>
          <m:sub>
            <m:r>
              <w:rPr>
                <w:rFonts w:ascii="Cambria Math" w:hAnsi="Cambria Math" w:cs="Times New Roman"/>
                <w:sz w:val="24"/>
                <w:szCs w:val="24"/>
                <w:lang w:val="it-IT"/>
              </w:rPr>
              <m:t>b</m:t>
            </m:r>
          </m:sub>
        </m:sSub>
        <m:r>
          <w:rPr>
            <w:rFonts w:ascii="Cambria Math" w:hAnsi="Cambria Math" w:cs="Times New Roman"/>
            <w:sz w:val="24"/>
            <w:szCs w:val="24"/>
            <w:lang w:val="it-IT"/>
          </w:rPr>
          <m:t>&gt;</m:t>
        </m:r>
        <m:d>
          <m:dPr>
            <m:ctrlPr>
              <w:rPr>
                <w:rFonts w:ascii="Cambria Math" w:hAnsi="Cambria Math" w:cs="Times New Roman"/>
                <w:i/>
                <w:sz w:val="24"/>
                <w:szCs w:val="24"/>
                <w:lang w:val="it-IT"/>
              </w:rPr>
            </m:ctrlPr>
          </m:dPr>
          <m:e>
            <m:sSub>
              <m:sSubPr>
                <m:ctrlPr>
                  <w:rPr>
                    <w:rFonts w:ascii="Cambria Math" w:hAnsi="Cambria Math" w:cs="Times New Roman"/>
                    <w:i/>
                    <w:sz w:val="24"/>
                    <w:szCs w:val="24"/>
                    <w:lang w:val="it-IT"/>
                  </w:rPr>
                </m:ctrlPr>
              </m:sSubPr>
              <m:e>
                <m:r>
                  <w:rPr>
                    <w:rFonts w:ascii="Cambria Math" w:hAnsi="Cambria Math" w:cs="Times New Roman"/>
                    <w:sz w:val="24"/>
                    <w:szCs w:val="24"/>
                    <w:lang w:val="it-IT"/>
                  </w:rPr>
                  <m:t>x</m:t>
                </m:r>
              </m:e>
              <m:sub>
                <m:r>
                  <w:rPr>
                    <w:rFonts w:ascii="Cambria Math" w:hAnsi="Cambria Math" w:cs="Times New Roman"/>
                    <w:sz w:val="24"/>
                    <w:szCs w:val="24"/>
                    <w:lang w:val="it-IT"/>
                  </w:rPr>
                  <m:t>m</m:t>
                </m:r>
              </m:sub>
            </m:sSub>
            <m:r>
              <w:rPr>
                <w:rFonts w:ascii="Cambria Math" w:hAnsi="Cambria Math" w:cs="Times New Roman"/>
                <w:sz w:val="24"/>
                <w:szCs w:val="24"/>
                <w:lang w:val="it-IT"/>
              </w:rPr>
              <m:t>+</m:t>
            </m:r>
            <m:sSub>
              <m:sSubPr>
                <m:ctrlPr>
                  <w:rPr>
                    <w:rFonts w:ascii="Cambria Math" w:hAnsi="Cambria Math" w:cs="Times New Roman"/>
                    <w:i/>
                    <w:sz w:val="24"/>
                    <w:szCs w:val="24"/>
                    <w:lang w:val="it-IT"/>
                  </w:rPr>
                </m:ctrlPr>
              </m:sSubPr>
              <m:e>
                <m:r>
                  <w:rPr>
                    <w:rFonts w:ascii="Cambria Math" w:hAnsi="Cambria Math" w:cs="Times New Roman"/>
                    <w:sz w:val="24"/>
                    <w:szCs w:val="24"/>
                    <w:lang w:val="it-IT"/>
                  </w:rPr>
                  <m:t>x</m:t>
                </m:r>
              </m:e>
              <m:sub>
                <m:r>
                  <w:rPr>
                    <w:rFonts w:ascii="Cambria Math" w:hAnsi="Cambria Math" w:cs="Times New Roman"/>
                    <w:sz w:val="24"/>
                    <w:szCs w:val="24"/>
                    <w:lang w:val="it-IT"/>
                  </w:rPr>
                  <m:t>e</m:t>
                </m:r>
              </m:sub>
            </m:sSub>
          </m:e>
        </m:d>
        <m:r>
          <w:rPr>
            <w:rFonts w:ascii="Cambria Math" w:hAnsi="Cambria Math" w:cs="Times New Roman"/>
            <w:sz w:val="24"/>
            <w:szCs w:val="24"/>
            <w:lang w:val="it-IT"/>
          </w:rPr>
          <m:t xml:space="preserve">. </m:t>
        </m:r>
      </m:oMath>
    </w:p>
    <w:p w:rsidR="008D3D45" w:rsidRPr="006F07C8" w:rsidRDefault="00EB1D14" w:rsidP="002F52A9">
      <w:pPr>
        <w:spacing w:line="240" w:lineRule="auto"/>
        <w:jc w:val="both"/>
        <w:rPr>
          <w:rFonts w:ascii="Times New Roman" w:hAnsi="Times New Roman" w:cs="Times New Roman"/>
          <w:sz w:val="24"/>
          <w:szCs w:val="24"/>
          <w:lang w:val="it-IT"/>
        </w:rPr>
      </w:pPr>
      <w:r w:rsidRPr="006F07C8">
        <w:rPr>
          <w:rFonts w:ascii="Times New Roman" w:hAnsi="Times New Roman" w:cs="Times New Roman"/>
          <w:sz w:val="24"/>
          <w:szCs w:val="24"/>
          <w:lang w:val="it-IT"/>
        </w:rPr>
        <w:t xml:space="preserve">Si fa quindi l’ipotesi che </w:t>
      </w:r>
      <w:r w:rsidR="001A66C8" w:rsidRPr="006F07C8">
        <w:rPr>
          <w:rFonts w:ascii="Times New Roman" w:hAnsi="Times New Roman" w:cs="Times New Roman"/>
          <w:sz w:val="24"/>
          <w:szCs w:val="24"/>
          <w:lang w:val="it-IT"/>
        </w:rPr>
        <w:t>chi conosce</w:t>
      </w:r>
      <w:r w:rsidRPr="006F07C8">
        <w:rPr>
          <w:rFonts w:ascii="Times New Roman" w:hAnsi="Times New Roman" w:cs="Times New Roman"/>
          <w:sz w:val="24"/>
          <w:szCs w:val="24"/>
          <w:lang w:val="it-IT"/>
        </w:rPr>
        <w:t xml:space="preserve"> </w:t>
      </w:r>
      <w:r w:rsidR="00C5679F" w:rsidRPr="006F07C8">
        <w:rPr>
          <w:rFonts w:ascii="Times New Roman" w:hAnsi="Times New Roman" w:cs="Times New Roman"/>
          <w:sz w:val="24"/>
          <w:szCs w:val="24"/>
          <w:lang w:val="it-IT"/>
        </w:rPr>
        <w:t xml:space="preserve">la certa </w:t>
      </w:r>
      <w:r w:rsidRPr="006F07C8">
        <w:rPr>
          <w:rFonts w:ascii="Times New Roman" w:hAnsi="Times New Roman" w:cs="Times New Roman"/>
          <w:sz w:val="24"/>
          <w:szCs w:val="24"/>
          <w:lang w:val="it-IT"/>
        </w:rPr>
        <w:t xml:space="preserve">lingua come lingua materna o </w:t>
      </w:r>
      <w:r w:rsidR="00C5679F" w:rsidRPr="006F07C8">
        <w:rPr>
          <w:rFonts w:ascii="Times New Roman" w:hAnsi="Times New Roman" w:cs="Times New Roman"/>
          <w:sz w:val="24"/>
          <w:szCs w:val="24"/>
          <w:lang w:val="it-IT"/>
        </w:rPr>
        <w:t xml:space="preserve">come </w:t>
      </w:r>
      <w:r w:rsidRPr="006F07C8">
        <w:rPr>
          <w:rFonts w:ascii="Times New Roman" w:hAnsi="Times New Roman" w:cs="Times New Roman"/>
          <w:sz w:val="24"/>
          <w:szCs w:val="24"/>
          <w:lang w:val="it-IT"/>
        </w:rPr>
        <w:t xml:space="preserve">lingua straniera a livello </w:t>
      </w:r>
      <w:r w:rsidR="0096587D" w:rsidRPr="006F07C8">
        <w:rPr>
          <w:rFonts w:ascii="Times New Roman" w:hAnsi="Times New Roman" w:cs="Times New Roman"/>
          <w:sz w:val="24"/>
          <w:szCs w:val="24"/>
          <w:lang w:val="it-IT"/>
        </w:rPr>
        <w:t xml:space="preserve">“eccellente” </w:t>
      </w:r>
      <w:r w:rsidRPr="006F07C8">
        <w:rPr>
          <w:rFonts w:ascii="Times New Roman" w:hAnsi="Times New Roman" w:cs="Times New Roman"/>
          <w:sz w:val="24"/>
          <w:szCs w:val="24"/>
          <w:lang w:val="it-IT"/>
        </w:rPr>
        <w:t xml:space="preserve">non </w:t>
      </w:r>
      <w:r w:rsidR="005D1ED8" w:rsidRPr="006F07C8">
        <w:rPr>
          <w:rFonts w:ascii="Times New Roman" w:hAnsi="Times New Roman" w:cs="Times New Roman"/>
          <w:sz w:val="24"/>
          <w:szCs w:val="24"/>
          <w:lang w:val="it-IT"/>
        </w:rPr>
        <w:t>abbia</w:t>
      </w:r>
      <w:r w:rsidRPr="006F07C8">
        <w:rPr>
          <w:rFonts w:ascii="Times New Roman" w:hAnsi="Times New Roman" w:cs="Times New Roman"/>
          <w:sz w:val="24"/>
          <w:szCs w:val="24"/>
          <w:lang w:val="it-IT"/>
        </w:rPr>
        <w:t xml:space="preserve"> particolari problemi a </w:t>
      </w:r>
      <w:r w:rsidR="001A66C8" w:rsidRPr="006F07C8">
        <w:rPr>
          <w:rFonts w:ascii="Times New Roman" w:hAnsi="Times New Roman" w:cs="Times New Roman"/>
          <w:sz w:val="24"/>
          <w:szCs w:val="24"/>
          <w:lang w:val="it-IT"/>
        </w:rPr>
        <w:t xml:space="preserve">comprendere </w:t>
      </w:r>
      <w:r w:rsidR="00C5679F" w:rsidRPr="006F07C8">
        <w:rPr>
          <w:rFonts w:ascii="Times New Roman" w:hAnsi="Times New Roman" w:cs="Times New Roman"/>
          <w:sz w:val="24"/>
          <w:szCs w:val="24"/>
          <w:lang w:val="it-IT"/>
        </w:rPr>
        <w:t xml:space="preserve">in questa lingua </w:t>
      </w:r>
      <w:r w:rsidRPr="006F07C8">
        <w:rPr>
          <w:rFonts w:ascii="Times New Roman" w:hAnsi="Times New Roman" w:cs="Times New Roman"/>
          <w:sz w:val="24"/>
          <w:szCs w:val="24"/>
          <w:lang w:val="it-IT"/>
        </w:rPr>
        <w:t xml:space="preserve">testi </w:t>
      </w:r>
      <w:r w:rsidR="00C5679F" w:rsidRPr="006F07C8">
        <w:rPr>
          <w:rFonts w:ascii="Times New Roman" w:hAnsi="Times New Roman" w:cs="Times New Roman"/>
          <w:sz w:val="24"/>
          <w:szCs w:val="24"/>
          <w:lang w:val="it-IT"/>
        </w:rPr>
        <w:t xml:space="preserve">complessi </w:t>
      </w:r>
      <w:r w:rsidRPr="006F07C8">
        <w:rPr>
          <w:rFonts w:ascii="Times New Roman" w:hAnsi="Times New Roman" w:cs="Times New Roman"/>
          <w:sz w:val="24"/>
          <w:szCs w:val="24"/>
          <w:lang w:val="it-IT"/>
        </w:rPr>
        <w:t>o discors</w:t>
      </w:r>
      <w:r w:rsidR="00C5679F" w:rsidRPr="006F07C8">
        <w:rPr>
          <w:rFonts w:ascii="Times New Roman" w:hAnsi="Times New Roman" w:cs="Times New Roman"/>
          <w:sz w:val="24"/>
          <w:szCs w:val="24"/>
          <w:lang w:val="it-IT"/>
        </w:rPr>
        <w:t>i</w:t>
      </w:r>
      <w:r w:rsidRPr="006F07C8">
        <w:rPr>
          <w:rFonts w:ascii="Times New Roman" w:hAnsi="Times New Roman" w:cs="Times New Roman"/>
          <w:sz w:val="24"/>
          <w:szCs w:val="24"/>
          <w:lang w:val="it-IT"/>
        </w:rPr>
        <w:t xml:space="preserve"> oral</w:t>
      </w:r>
      <w:r w:rsidR="00C5679F" w:rsidRPr="006F07C8">
        <w:rPr>
          <w:rFonts w:ascii="Times New Roman" w:hAnsi="Times New Roman" w:cs="Times New Roman"/>
          <w:sz w:val="24"/>
          <w:szCs w:val="24"/>
          <w:lang w:val="it-IT"/>
        </w:rPr>
        <w:t>i</w:t>
      </w:r>
      <w:r w:rsidRPr="006F07C8">
        <w:rPr>
          <w:rFonts w:ascii="Times New Roman" w:hAnsi="Times New Roman" w:cs="Times New Roman"/>
          <w:sz w:val="24"/>
          <w:szCs w:val="24"/>
          <w:lang w:val="it-IT"/>
        </w:rPr>
        <w:t xml:space="preserve"> di natura politica</w:t>
      </w:r>
      <w:r w:rsidR="000660BE" w:rsidRPr="006F07C8">
        <w:rPr>
          <w:rFonts w:ascii="Times New Roman" w:hAnsi="Times New Roman" w:cs="Times New Roman"/>
          <w:sz w:val="24"/>
          <w:szCs w:val="24"/>
          <w:lang w:val="it-IT"/>
        </w:rPr>
        <w:t>, amministrativ</w:t>
      </w:r>
      <w:r w:rsidR="00C5679F" w:rsidRPr="006F07C8">
        <w:rPr>
          <w:rFonts w:ascii="Times New Roman" w:hAnsi="Times New Roman" w:cs="Times New Roman"/>
          <w:sz w:val="24"/>
          <w:szCs w:val="24"/>
          <w:lang w:val="it-IT"/>
        </w:rPr>
        <w:t>a</w:t>
      </w:r>
      <w:r w:rsidR="000660BE" w:rsidRPr="006F07C8">
        <w:rPr>
          <w:rFonts w:ascii="Times New Roman" w:hAnsi="Times New Roman" w:cs="Times New Roman"/>
          <w:sz w:val="24"/>
          <w:szCs w:val="24"/>
          <w:lang w:val="it-IT"/>
        </w:rPr>
        <w:t xml:space="preserve"> </w:t>
      </w:r>
      <w:r w:rsidRPr="006F07C8">
        <w:rPr>
          <w:rFonts w:ascii="Times New Roman" w:hAnsi="Times New Roman" w:cs="Times New Roman"/>
          <w:sz w:val="24"/>
          <w:szCs w:val="24"/>
          <w:lang w:val="it-IT"/>
        </w:rPr>
        <w:t>o tecnica</w:t>
      </w:r>
      <w:r w:rsidR="001A66C8" w:rsidRPr="006F07C8">
        <w:rPr>
          <w:rFonts w:ascii="Times New Roman" w:hAnsi="Times New Roman" w:cs="Times New Roman"/>
          <w:sz w:val="24"/>
          <w:szCs w:val="24"/>
          <w:lang w:val="it-IT"/>
        </w:rPr>
        <w:t xml:space="preserve"> </w:t>
      </w:r>
      <w:r w:rsidRPr="006F07C8">
        <w:rPr>
          <w:rFonts w:ascii="Times New Roman" w:hAnsi="Times New Roman" w:cs="Times New Roman"/>
          <w:sz w:val="24"/>
          <w:szCs w:val="24"/>
          <w:lang w:val="it-IT"/>
        </w:rPr>
        <w:t>.</w:t>
      </w:r>
      <w:r w:rsidR="005E4960" w:rsidRPr="006F07C8">
        <w:rPr>
          <w:rFonts w:ascii="Times New Roman" w:hAnsi="Times New Roman" w:cs="Times New Roman"/>
          <w:sz w:val="24"/>
          <w:szCs w:val="24"/>
          <w:lang w:val="it-IT"/>
        </w:rPr>
        <w:t xml:space="preserve"> </w:t>
      </w:r>
      <w:r w:rsidR="008D3D45" w:rsidRPr="006F07C8">
        <w:rPr>
          <w:rFonts w:ascii="Times New Roman" w:hAnsi="Times New Roman" w:cs="Times New Roman"/>
          <w:sz w:val="24"/>
          <w:szCs w:val="24"/>
          <w:lang w:val="it-IT"/>
        </w:rPr>
        <w:t xml:space="preserve">Qualcuno potrebbe obiettare che </w:t>
      </w:r>
      <w:r w:rsidR="00C5679F" w:rsidRPr="006F07C8">
        <w:rPr>
          <w:rFonts w:ascii="Times New Roman" w:hAnsi="Times New Roman" w:cs="Times New Roman"/>
          <w:sz w:val="24"/>
          <w:szCs w:val="24"/>
          <w:lang w:val="it-IT"/>
        </w:rPr>
        <w:t>si tratta di un’</w:t>
      </w:r>
      <w:r w:rsidR="008D3D45" w:rsidRPr="006F07C8">
        <w:rPr>
          <w:rFonts w:ascii="Times New Roman" w:hAnsi="Times New Roman" w:cs="Times New Roman"/>
          <w:sz w:val="24"/>
          <w:szCs w:val="24"/>
          <w:lang w:val="it-IT"/>
        </w:rPr>
        <w:t>ipote</w:t>
      </w:r>
      <w:r w:rsidR="00C5679F" w:rsidRPr="006F07C8">
        <w:rPr>
          <w:rFonts w:ascii="Times New Roman" w:hAnsi="Times New Roman" w:cs="Times New Roman"/>
          <w:sz w:val="24"/>
          <w:szCs w:val="24"/>
          <w:lang w:val="it-IT"/>
        </w:rPr>
        <w:t>si non</w:t>
      </w:r>
      <w:r w:rsidR="008D3D45" w:rsidRPr="006F07C8">
        <w:rPr>
          <w:rFonts w:ascii="Times New Roman" w:hAnsi="Times New Roman" w:cs="Times New Roman"/>
          <w:sz w:val="24"/>
          <w:szCs w:val="24"/>
          <w:lang w:val="it-IT"/>
        </w:rPr>
        <w:t xml:space="preserve"> plausibile perché talvolta il linguaggio giuridico e amministrativo è “incomprensibile” anche ai nativi. L’osservazione è giusta, anche se forse un po’ esagerata, ma non pertinente per questo articolo. Spetta ovviamente alle istituzioni utilizzare un linguaggio chiaro e comprensibile a tutti, ma ciò non toglie che un testo legislativo scritto in un tedesco standard chiaro risulterà </w:t>
      </w:r>
      <w:r w:rsidR="003E6BA6" w:rsidRPr="006F07C8">
        <w:rPr>
          <w:rFonts w:ascii="Times New Roman" w:hAnsi="Times New Roman" w:cs="Times New Roman"/>
          <w:sz w:val="24"/>
          <w:szCs w:val="24"/>
          <w:lang w:val="it-IT"/>
        </w:rPr>
        <w:t>ad ogni modo in gran parte</w:t>
      </w:r>
      <w:r w:rsidR="008D3D45" w:rsidRPr="006F07C8">
        <w:rPr>
          <w:rFonts w:ascii="Times New Roman" w:hAnsi="Times New Roman" w:cs="Times New Roman"/>
          <w:sz w:val="24"/>
          <w:szCs w:val="24"/>
          <w:lang w:val="it-IT"/>
        </w:rPr>
        <w:t xml:space="preserve"> incomprensibile a chi non </w:t>
      </w:r>
      <w:r w:rsidR="003E6BA6" w:rsidRPr="006F07C8">
        <w:rPr>
          <w:rFonts w:ascii="Times New Roman" w:hAnsi="Times New Roman" w:cs="Times New Roman"/>
          <w:sz w:val="24"/>
          <w:szCs w:val="24"/>
          <w:lang w:val="it-IT"/>
        </w:rPr>
        <w:t>ha studiato</w:t>
      </w:r>
      <w:r w:rsidR="008D3D45" w:rsidRPr="006F07C8">
        <w:rPr>
          <w:rFonts w:ascii="Times New Roman" w:hAnsi="Times New Roman" w:cs="Times New Roman"/>
          <w:sz w:val="24"/>
          <w:szCs w:val="24"/>
          <w:lang w:val="it-IT"/>
        </w:rPr>
        <w:t xml:space="preserve"> questa lingua.</w:t>
      </w:r>
      <w:r w:rsidR="00D82A33" w:rsidRPr="006F07C8">
        <w:rPr>
          <w:rFonts w:ascii="Times New Roman" w:hAnsi="Times New Roman" w:cs="Times New Roman"/>
          <w:sz w:val="24"/>
          <w:szCs w:val="24"/>
          <w:lang w:val="it-IT"/>
        </w:rPr>
        <w:t xml:space="preserve"> </w:t>
      </w:r>
      <w:r w:rsidR="008D3D45" w:rsidRPr="006F07C8">
        <w:rPr>
          <w:rFonts w:ascii="Times New Roman" w:hAnsi="Times New Roman" w:cs="Times New Roman"/>
          <w:sz w:val="24"/>
          <w:szCs w:val="24"/>
          <w:lang w:val="it-IT"/>
        </w:rPr>
        <w:t xml:space="preserve">Una critica affine riguarda la vicinanza delle lingue. Alcuni autori (per esempio Ginsburgh e Weber </w:t>
      </w:r>
      <w:hyperlink w:anchor="_ENREF_34" w:tooltip="Ginsburgh, 2011 #793" w:history="1">
        <w:r w:rsidR="00101624" w:rsidRPr="006F07C8">
          <w:rPr>
            <w:rFonts w:ascii="Times New Roman" w:hAnsi="Times New Roman" w:cs="Times New Roman"/>
            <w:sz w:val="24"/>
            <w:szCs w:val="24"/>
            <w:lang w:val="it-IT"/>
          </w:rPr>
          <w:fldChar w:fldCharType="begin"/>
        </w:r>
        <w:r w:rsidR="00101624" w:rsidRPr="006F07C8">
          <w:rPr>
            <w:rFonts w:ascii="Times New Roman" w:hAnsi="Times New Roman" w:cs="Times New Roman"/>
            <w:sz w:val="24"/>
            <w:szCs w:val="24"/>
            <w:lang w:val="it-IT"/>
          </w:rPr>
          <w:instrText xml:space="preserve"> ADDIN EN.CITE &lt;EndNote&gt;&lt;Cite ExcludeAuth="1"&gt;&lt;Author&gt;Ginsburgh&lt;/Author&gt;&lt;Year&gt;2011&lt;/Year&gt;&lt;RecNum&gt;793&lt;/RecNum&gt;&lt;DisplayText&gt;2011&lt;/DisplayText&gt;&lt;record&gt;&lt;rec-number&gt;793&lt;/rec-number&gt;&lt;foreign-keys&gt;&lt;key app="EN" db-id="wvvszzd93a0z5wesdfpvdv9z5wrra5p05axp"&gt;793&lt;/key&gt;&lt;/foreign-keys&gt;&lt;ref-type name="Book"&gt;6&lt;/ref-type&gt;&lt;contributors&gt;&lt;authors&gt;&lt;author&gt;Ginsburgh, Victor&lt;/author&gt;&lt;author&gt;Weber, Shlomo&lt;/author&gt;&lt;/authors&gt;&lt;/contributors&gt;&lt;titles&gt;&lt;title&gt;How many languages do we need? The economics of linguistic diversity&lt;/title&gt;&lt;/titles&gt;&lt;dates&gt;&lt;year&gt;2011&lt;/year&gt;&lt;/dates&gt;&lt;pub-location&gt;Princeton&lt;/pub-location&gt;&lt;publisher&gt;Princeton University Press&lt;/publisher&gt;&lt;urls&gt;&lt;/urls&gt;&lt;/record&gt;&lt;/Cite&gt;&lt;/EndNote&gt;</w:instrText>
        </w:r>
        <w:r w:rsidR="00101624" w:rsidRPr="006F07C8">
          <w:rPr>
            <w:rFonts w:ascii="Times New Roman" w:hAnsi="Times New Roman" w:cs="Times New Roman"/>
            <w:sz w:val="24"/>
            <w:szCs w:val="24"/>
            <w:lang w:val="it-IT"/>
          </w:rPr>
          <w:fldChar w:fldCharType="separate"/>
        </w:r>
        <w:r w:rsidR="00101624" w:rsidRPr="006F07C8">
          <w:rPr>
            <w:rFonts w:ascii="Times New Roman" w:hAnsi="Times New Roman" w:cs="Times New Roman"/>
            <w:noProof/>
            <w:sz w:val="24"/>
            <w:szCs w:val="24"/>
            <w:lang w:val="it-IT"/>
          </w:rPr>
          <w:t>2011</w:t>
        </w:r>
        <w:r w:rsidR="00101624" w:rsidRPr="006F07C8">
          <w:rPr>
            <w:rFonts w:ascii="Times New Roman" w:hAnsi="Times New Roman" w:cs="Times New Roman"/>
            <w:sz w:val="24"/>
            <w:szCs w:val="24"/>
            <w:lang w:val="it-IT"/>
          </w:rPr>
          <w:fldChar w:fldCharType="end"/>
        </w:r>
      </w:hyperlink>
      <w:r w:rsidR="008D3D45" w:rsidRPr="006F07C8">
        <w:rPr>
          <w:rFonts w:ascii="Times New Roman" w:hAnsi="Times New Roman" w:cs="Times New Roman"/>
          <w:sz w:val="24"/>
          <w:szCs w:val="24"/>
          <w:lang w:val="it-IT"/>
        </w:rPr>
        <w:t xml:space="preserve">) fanno notare che il grado di vicinanza fra lingue dovrebbe essere preso in considerazione nel raffronto fra regimi linguistici. </w:t>
      </w:r>
      <w:r w:rsidR="003E6BA6" w:rsidRPr="006F07C8">
        <w:rPr>
          <w:rFonts w:ascii="Times New Roman" w:hAnsi="Times New Roman" w:cs="Times New Roman"/>
          <w:sz w:val="24"/>
          <w:szCs w:val="24"/>
          <w:lang w:val="it-IT"/>
        </w:rPr>
        <w:t>Per esempio, è risaputo che per un italofono u</w:t>
      </w:r>
      <w:r w:rsidR="008D3D45" w:rsidRPr="006F07C8">
        <w:rPr>
          <w:rFonts w:ascii="Times New Roman" w:hAnsi="Times New Roman" w:cs="Times New Roman"/>
          <w:sz w:val="24"/>
          <w:szCs w:val="24"/>
          <w:lang w:val="it-IT"/>
        </w:rPr>
        <w:t xml:space="preserve">n testo redatto in </w:t>
      </w:r>
      <w:r w:rsidR="005D1ED8" w:rsidRPr="006F07C8">
        <w:rPr>
          <w:rFonts w:ascii="Times New Roman" w:hAnsi="Times New Roman" w:cs="Times New Roman"/>
          <w:sz w:val="24"/>
          <w:szCs w:val="24"/>
          <w:lang w:val="it-IT"/>
        </w:rPr>
        <w:t>spagnolo</w:t>
      </w:r>
      <w:r w:rsidR="008D3D45" w:rsidRPr="006F07C8">
        <w:rPr>
          <w:rFonts w:ascii="Times New Roman" w:hAnsi="Times New Roman" w:cs="Times New Roman"/>
          <w:sz w:val="24"/>
          <w:szCs w:val="24"/>
          <w:lang w:val="it-IT"/>
        </w:rPr>
        <w:t xml:space="preserve"> è </w:t>
      </w:r>
      <w:r w:rsidR="003E6BA6" w:rsidRPr="006F07C8">
        <w:rPr>
          <w:rFonts w:ascii="Times New Roman" w:hAnsi="Times New Roman" w:cs="Times New Roman"/>
          <w:i/>
          <w:sz w:val="24"/>
          <w:szCs w:val="24"/>
          <w:lang w:val="it-IT"/>
        </w:rPr>
        <w:t>prima facie</w:t>
      </w:r>
      <w:r w:rsidR="003E6BA6" w:rsidRPr="006F07C8">
        <w:rPr>
          <w:rFonts w:ascii="Times New Roman" w:hAnsi="Times New Roman" w:cs="Times New Roman"/>
          <w:sz w:val="24"/>
          <w:szCs w:val="24"/>
          <w:lang w:val="it-IT"/>
        </w:rPr>
        <w:t xml:space="preserve"> </w:t>
      </w:r>
      <w:r w:rsidR="008D3D45" w:rsidRPr="006F07C8">
        <w:rPr>
          <w:rFonts w:ascii="Times New Roman" w:hAnsi="Times New Roman" w:cs="Times New Roman"/>
          <w:sz w:val="24"/>
          <w:szCs w:val="24"/>
          <w:lang w:val="it-IT"/>
        </w:rPr>
        <w:t xml:space="preserve">più facilmente accessibile </w:t>
      </w:r>
      <w:r w:rsidR="00D43D2B" w:rsidRPr="006F07C8">
        <w:rPr>
          <w:rFonts w:ascii="Times New Roman" w:hAnsi="Times New Roman" w:cs="Times New Roman"/>
          <w:sz w:val="24"/>
          <w:szCs w:val="24"/>
          <w:lang w:val="it-IT"/>
        </w:rPr>
        <w:t xml:space="preserve">che </w:t>
      </w:r>
      <w:r w:rsidR="008D3D45" w:rsidRPr="006F07C8">
        <w:rPr>
          <w:rFonts w:ascii="Times New Roman" w:hAnsi="Times New Roman" w:cs="Times New Roman"/>
          <w:sz w:val="24"/>
          <w:szCs w:val="24"/>
          <w:lang w:val="it-IT"/>
        </w:rPr>
        <w:t xml:space="preserve">un testo in </w:t>
      </w:r>
      <w:r w:rsidR="00633970" w:rsidRPr="006F07C8">
        <w:rPr>
          <w:rFonts w:ascii="Times New Roman" w:hAnsi="Times New Roman" w:cs="Times New Roman"/>
          <w:sz w:val="24"/>
          <w:szCs w:val="24"/>
          <w:lang w:val="it-IT"/>
        </w:rPr>
        <w:t>lingua bulgara</w:t>
      </w:r>
      <w:r w:rsidR="008D3D45" w:rsidRPr="006F07C8">
        <w:rPr>
          <w:rFonts w:ascii="Times New Roman" w:hAnsi="Times New Roman" w:cs="Times New Roman"/>
          <w:sz w:val="24"/>
          <w:szCs w:val="24"/>
          <w:lang w:val="it-IT"/>
        </w:rPr>
        <w:t>. Ne deriva che un testo pubblicato in una certa lingua, secondo gli autori</w:t>
      </w:r>
      <w:r w:rsidR="00D43D2B" w:rsidRPr="006F07C8">
        <w:rPr>
          <w:rFonts w:ascii="Times New Roman" w:hAnsi="Times New Roman" w:cs="Times New Roman"/>
          <w:sz w:val="24"/>
          <w:szCs w:val="24"/>
          <w:lang w:val="it-IT"/>
        </w:rPr>
        <w:t xml:space="preserve"> citati</w:t>
      </w:r>
      <w:r w:rsidR="008D3D45" w:rsidRPr="006F07C8">
        <w:rPr>
          <w:rFonts w:ascii="Times New Roman" w:hAnsi="Times New Roman" w:cs="Times New Roman"/>
          <w:sz w:val="24"/>
          <w:szCs w:val="24"/>
          <w:lang w:val="it-IT"/>
        </w:rPr>
        <w:t>, potrebbe essere compreso per affinità linguistica anche dai non nativi</w:t>
      </w:r>
      <w:r w:rsidR="00D43D2B" w:rsidRPr="006F07C8">
        <w:rPr>
          <w:rFonts w:ascii="Times New Roman" w:hAnsi="Times New Roman" w:cs="Times New Roman"/>
          <w:sz w:val="24"/>
          <w:szCs w:val="24"/>
          <w:lang w:val="it-IT"/>
        </w:rPr>
        <w:t xml:space="preserve"> e questo avrebbe un’influenza sul valore dei tassi di esclusione linguistica</w:t>
      </w:r>
      <w:r w:rsidR="005D1ED8" w:rsidRPr="006F07C8">
        <w:rPr>
          <w:rFonts w:ascii="Times New Roman" w:hAnsi="Times New Roman" w:cs="Times New Roman"/>
          <w:sz w:val="24"/>
          <w:szCs w:val="24"/>
          <w:lang w:val="it-IT"/>
        </w:rPr>
        <w:t xml:space="preserve"> assoluta</w:t>
      </w:r>
      <w:r w:rsidR="008D3D45" w:rsidRPr="006F07C8">
        <w:rPr>
          <w:rFonts w:ascii="Times New Roman" w:hAnsi="Times New Roman" w:cs="Times New Roman"/>
          <w:sz w:val="24"/>
          <w:szCs w:val="24"/>
          <w:lang w:val="it-IT"/>
        </w:rPr>
        <w:t xml:space="preserve">. L’osservazione è corretta, ma va messa in prospettiva. La comprensione fra lingue vicine, o “intercomprensione” (Benucci </w:t>
      </w:r>
      <w:hyperlink w:anchor="_ENREF_7" w:tooltip="Benucci, 2005 #923" w:history="1">
        <w:r w:rsidR="00101624" w:rsidRPr="006F07C8">
          <w:rPr>
            <w:rFonts w:ascii="Times New Roman" w:hAnsi="Times New Roman" w:cs="Times New Roman"/>
            <w:sz w:val="24"/>
            <w:szCs w:val="24"/>
            <w:lang w:val="it-IT"/>
          </w:rPr>
          <w:fldChar w:fldCharType="begin"/>
        </w:r>
        <w:r w:rsidR="00101624" w:rsidRPr="006F07C8">
          <w:rPr>
            <w:rFonts w:ascii="Times New Roman" w:hAnsi="Times New Roman" w:cs="Times New Roman"/>
            <w:sz w:val="24"/>
            <w:szCs w:val="24"/>
            <w:lang w:val="it-IT"/>
          </w:rPr>
          <w:instrText xml:space="preserve"> ADDIN EN.CITE &lt;EndNote&gt;&lt;Cite ExcludeAuth="1"&gt;&lt;Author&gt;Benucci&lt;/Author&gt;&lt;Year&gt;2005&lt;/Year&gt;&lt;RecNum&gt;923&lt;/RecNum&gt;&lt;DisplayText&gt;2005&lt;/DisplayText&gt;&lt;record&gt;&lt;rec-number&gt;923&lt;/rec-number&gt;&lt;foreign-keys&gt;&lt;key app="EN" db-id="wvvszzd93a0z5wesdfpvdv9z5wrra5p05axp"&gt;923&lt;/key&gt;&lt;/foreign-keys&gt;&lt;ref-type name="Edited Book"&gt;28&lt;/ref-type&gt;&lt;contributors&gt;&lt;authors&gt;&lt;author&gt;Benucci, Antonella&lt;/author&gt;&lt;/authors&gt;&lt;/contributors&gt;&lt;titles&gt;&lt;title&gt;Le lingue romanze. Una guida per l&amp;apos;intercomprensione&lt;/title&gt;&lt;/titles&gt;&lt;dates&gt;&lt;year&gt;2005&lt;/year&gt;&lt;/dates&gt;&lt;pub-location&gt;Turin&lt;/pub-location&gt;&lt;publisher&gt;UTET&lt;/publisher&gt;&lt;urls&gt;&lt;/urls&gt;&lt;/record&gt;&lt;/Cite&gt;&lt;/EndNote&gt;</w:instrText>
        </w:r>
        <w:r w:rsidR="00101624" w:rsidRPr="006F07C8">
          <w:rPr>
            <w:rFonts w:ascii="Times New Roman" w:hAnsi="Times New Roman" w:cs="Times New Roman"/>
            <w:sz w:val="24"/>
            <w:szCs w:val="24"/>
            <w:lang w:val="it-IT"/>
          </w:rPr>
          <w:fldChar w:fldCharType="separate"/>
        </w:r>
        <w:r w:rsidR="00101624" w:rsidRPr="006F07C8">
          <w:rPr>
            <w:rFonts w:ascii="Times New Roman" w:hAnsi="Times New Roman" w:cs="Times New Roman"/>
            <w:sz w:val="24"/>
            <w:szCs w:val="24"/>
            <w:lang w:val="it-IT"/>
          </w:rPr>
          <w:t>2005</w:t>
        </w:r>
        <w:r w:rsidR="00101624" w:rsidRPr="006F07C8">
          <w:rPr>
            <w:rFonts w:ascii="Times New Roman" w:hAnsi="Times New Roman" w:cs="Times New Roman"/>
            <w:sz w:val="24"/>
            <w:szCs w:val="24"/>
            <w:lang w:val="it-IT"/>
          </w:rPr>
          <w:fldChar w:fldCharType="end"/>
        </w:r>
      </w:hyperlink>
      <w:r w:rsidR="008D3D45" w:rsidRPr="006F07C8">
        <w:rPr>
          <w:rFonts w:ascii="Times New Roman" w:hAnsi="Times New Roman" w:cs="Times New Roman"/>
          <w:sz w:val="24"/>
          <w:szCs w:val="24"/>
          <w:lang w:val="it-IT"/>
        </w:rPr>
        <w:t xml:space="preserve">, Conti e Grin </w:t>
      </w:r>
      <w:hyperlink w:anchor="_ENREF_17" w:tooltip="Conti, 2008 #922" w:history="1">
        <w:r w:rsidR="00101624" w:rsidRPr="006F07C8">
          <w:rPr>
            <w:rFonts w:ascii="Times New Roman" w:hAnsi="Times New Roman" w:cs="Times New Roman"/>
            <w:sz w:val="24"/>
            <w:szCs w:val="24"/>
            <w:lang w:val="it-IT"/>
          </w:rPr>
          <w:fldChar w:fldCharType="begin"/>
        </w:r>
        <w:r w:rsidR="00101624" w:rsidRPr="006F07C8">
          <w:rPr>
            <w:rFonts w:ascii="Times New Roman" w:hAnsi="Times New Roman" w:cs="Times New Roman"/>
            <w:sz w:val="24"/>
            <w:szCs w:val="24"/>
            <w:lang w:val="it-IT"/>
          </w:rPr>
          <w:instrText xml:space="preserve"> ADDIN EN.CITE &lt;EndNote&gt;&lt;Cite ExcludeAuth="1"&gt;&lt;Author&gt;Conti&lt;/Author&gt;&lt;Year&gt;2008&lt;/Year&gt;&lt;RecNum&gt;922&lt;/RecNum&gt;&lt;DisplayText&gt;2008&lt;/DisplayText&gt;&lt;record&gt;&lt;rec-number&gt;922&lt;/rec-number&gt;&lt;foreign-keys&gt;&lt;key app="EN" db-id="wvvszzd93a0z5wesdfpvdv9z5wrra5p05axp"&gt;922&lt;/key&gt;&lt;/foreign-keys&gt;&lt;ref-type name="Edited Book"&gt;28&lt;/ref-type&gt;&lt;contributors&gt;&lt;authors&gt;&lt;author&gt;Conti, Virginie&lt;/author&gt;&lt;author&gt;Grin, François&lt;/author&gt;&lt;/authors&gt;&lt;/contributors&gt;&lt;titles&gt;&lt;title&gt;S&amp;apos;entendre entre langues voisines : vers l&amp;apos;intercompréhension&lt;/title&gt;&lt;/titles&gt;&lt;dates&gt;&lt;year&gt;2008&lt;/year&gt;&lt;/dates&gt;&lt;pub-location&gt;Geneva&lt;/pub-location&gt;&lt;publisher&gt;Georg&lt;/publisher&gt;&lt;urls&gt;&lt;/urls&gt;&lt;/record&gt;&lt;/Cite&gt;&lt;/EndNote&gt;</w:instrText>
        </w:r>
        <w:r w:rsidR="00101624" w:rsidRPr="006F07C8">
          <w:rPr>
            <w:rFonts w:ascii="Times New Roman" w:hAnsi="Times New Roman" w:cs="Times New Roman"/>
            <w:sz w:val="24"/>
            <w:szCs w:val="24"/>
            <w:lang w:val="it-IT"/>
          </w:rPr>
          <w:fldChar w:fldCharType="separate"/>
        </w:r>
        <w:r w:rsidR="00101624" w:rsidRPr="006F07C8">
          <w:rPr>
            <w:rFonts w:ascii="Times New Roman" w:hAnsi="Times New Roman" w:cs="Times New Roman"/>
            <w:sz w:val="24"/>
            <w:szCs w:val="24"/>
            <w:lang w:val="it-IT"/>
          </w:rPr>
          <w:t>2008</w:t>
        </w:r>
        <w:r w:rsidR="00101624" w:rsidRPr="006F07C8">
          <w:rPr>
            <w:rFonts w:ascii="Times New Roman" w:hAnsi="Times New Roman" w:cs="Times New Roman"/>
            <w:sz w:val="24"/>
            <w:szCs w:val="24"/>
            <w:lang w:val="it-IT"/>
          </w:rPr>
          <w:fldChar w:fldCharType="end"/>
        </w:r>
      </w:hyperlink>
      <w:r w:rsidR="008D3D45" w:rsidRPr="006F07C8">
        <w:rPr>
          <w:rFonts w:ascii="Times New Roman" w:hAnsi="Times New Roman" w:cs="Times New Roman"/>
          <w:sz w:val="24"/>
          <w:szCs w:val="24"/>
          <w:lang w:val="it-IT"/>
        </w:rPr>
        <w:t xml:space="preserve">), è certamente un utile strumento di politica linguistica, ma per funzionare bene, cioè per permettere alle persone di sviluppare una buona comprensione passiva di un testo scritto in una lingua affine, essa necessità di un percorso di apprendimento apposito. Ora, tali percorsi di formazione sono ancora rari in Europa (Conti e Grin </w:t>
      </w:r>
      <w:hyperlink w:anchor="_ENREF_17" w:tooltip="Conti, 2008 #922" w:history="1">
        <w:r w:rsidR="00101624" w:rsidRPr="006F07C8">
          <w:rPr>
            <w:rFonts w:ascii="Times New Roman" w:hAnsi="Times New Roman" w:cs="Times New Roman"/>
            <w:sz w:val="24"/>
            <w:szCs w:val="24"/>
            <w:lang w:val="it-IT"/>
          </w:rPr>
          <w:fldChar w:fldCharType="begin"/>
        </w:r>
        <w:r w:rsidR="00101624" w:rsidRPr="006F07C8">
          <w:rPr>
            <w:rFonts w:ascii="Times New Roman" w:hAnsi="Times New Roman" w:cs="Times New Roman"/>
            <w:sz w:val="24"/>
            <w:szCs w:val="24"/>
            <w:lang w:val="it-IT"/>
          </w:rPr>
          <w:instrText xml:space="preserve"> ADDIN EN.CITE &lt;EndNote&gt;&lt;Cite ExcludeAuth="1"&gt;&lt;Author&gt;Conti&lt;/Author&gt;&lt;Year&gt;2008&lt;/Year&gt;&lt;RecNum&gt;922&lt;/RecNum&gt;&lt;DisplayText&gt;2008&lt;/DisplayText&gt;&lt;record&gt;&lt;rec-number&gt;922&lt;/rec-number&gt;&lt;foreign-keys&gt;&lt;key app="EN" db-id="wvvszzd93a0z5wesdfpvdv9z5wrra5p05axp"&gt;922&lt;/key&gt;&lt;/foreign-keys&gt;&lt;ref-type name="Edited Book"&gt;28&lt;/ref-type&gt;&lt;contributors&gt;&lt;authors&gt;&lt;author&gt;Conti, Virginie&lt;/author&gt;&lt;author&gt;Grin, François&lt;/author&gt;&lt;/authors&gt;&lt;/contributors&gt;&lt;titles&gt;&lt;title&gt;S&amp;apos;entendre entre langues voisines : vers l&amp;apos;intercompréhension&lt;/title&gt;&lt;/titles&gt;&lt;dates&gt;&lt;year&gt;2008&lt;/year&gt;&lt;/dates&gt;&lt;pub-location&gt;Geneva&lt;/pub-location&gt;&lt;publisher&gt;Georg&lt;/publisher&gt;&lt;urls&gt;&lt;/urls&gt;&lt;/record&gt;&lt;/Cite&gt;&lt;/EndNote&gt;</w:instrText>
        </w:r>
        <w:r w:rsidR="00101624" w:rsidRPr="006F07C8">
          <w:rPr>
            <w:rFonts w:ascii="Times New Roman" w:hAnsi="Times New Roman" w:cs="Times New Roman"/>
            <w:sz w:val="24"/>
            <w:szCs w:val="24"/>
            <w:lang w:val="it-IT"/>
          </w:rPr>
          <w:fldChar w:fldCharType="separate"/>
        </w:r>
        <w:r w:rsidR="00101624" w:rsidRPr="006F07C8">
          <w:rPr>
            <w:rFonts w:ascii="Times New Roman" w:hAnsi="Times New Roman" w:cs="Times New Roman"/>
            <w:sz w:val="24"/>
            <w:szCs w:val="24"/>
            <w:lang w:val="it-IT"/>
          </w:rPr>
          <w:t>2008</w:t>
        </w:r>
        <w:r w:rsidR="00101624" w:rsidRPr="006F07C8">
          <w:rPr>
            <w:rFonts w:ascii="Times New Roman" w:hAnsi="Times New Roman" w:cs="Times New Roman"/>
            <w:sz w:val="24"/>
            <w:szCs w:val="24"/>
            <w:lang w:val="it-IT"/>
          </w:rPr>
          <w:fldChar w:fldCharType="end"/>
        </w:r>
      </w:hyperlink>
      <w:r w:rsidR="008D3D45" w:rsidRPr="006F07C8">
        <w:rPr>
          <w:rFonts w:ascii="Times New Roman" w:hAnsi="Times New Roman" w:cs="Times New Roman"/>
          <w:sz w:val="24"/>
          <w:szCs w:val="24"/>
          <w:lang w:val="it-IT"/>
        </w:rPr>
        <w:t>).</w:t>
      </w:r>
    </w:p>
    <w:p w:rsidR="00F03082" w:rsidRPr="006F07C8" w:rsidRDefault="006B5679" w:rsidP="002F52A9">
      <w:pPr>
        <w:spacing w:line="240" w:lineRule="auto"/>
        <w:jc w:val="both"/>
        <w:rPr>
          <w:rFonts w:ascii="Times New Roman" w:eastAsiaTheme="minorEastAsia" w:hAnsi="Times New Roman" w:cs="Times New Roman"/>
          <w:sz w:val="24"/>
          <w:szCs w:val="24"/>
          <w:lang w:val="it-IT"/>
        </w:rPr>
      </w:pPr>
      <w:r w:rsidRPr="006F07C8">
        <w:rPr>
          <w:rFonts w:ascii="Times New Roman" w:hAnsi="Times New Roman" w:cs="Times New Roman"/>
          <w:sz w:val="24"/>
          <w:szCs w:val="24"/>
          <w:lang w:val="it-IT"/>
        </w:rPr>
        <w:t xml:space="preserve">Per </w:t>
      </w:r>
      <w:r w:rsidR="00633970" w:rsidRPr="006F07C8">
        <w:rPr>
          <w:rFonts w:ascii="Times New Roman" w:hAnsi="Times New Roman" w:cs="Times New Roman"/>
          <w:sz w:val="24"/>
          <w:szCs w:val="24"/>
          <w:lang w:val="it-IT"/>
        </w:rPr>
        <w:t>i</w:t>
      </w:r>
      <w:r w:rsidRPr="006F07C8">
        <w:rPr>
          <w:rFonts w:ascii="Times New Roman" w:hAnsi="Times New Roman" w:cs="Times New Roman"/>
          <w:sz w:val="24"/>
          <w:szCs w:val="24"/>
          <w:lang w:val="it-IT"/>
        </w:rPr>
        <w:t xml:space="preserve"> motivi </w:t>
      </w:r>
      <w:r w:rsidR="00633970" w:rsidRPr="006F07C8">
        <w:rPr>
          <w:rFonts w:ascii="Times New Roman" w:hAnsi="Times New Roman" w:cs="Times New Roman"/>
          <w:sz w:val="24"/>
          <w:szCs w:val="24"/>
          <w:lang w:val="it-IT"/>
        </w:rPr>
        <w:t xml:space="preserve">appena esposti </w:t>
      </w:r>
      <w:r w:rsidRPr="006F07C8">
        <w:rPr>
          <w:rFonts w:ascii="Times New Roman" w:hAnsi="Times New Roman" w:cs="Times New Roman"/>
          <w:sz w:val="24"/>
          <w:szCs w:val="24"/>
          <w:lang w:val="it-IT"/>
        </w:rPr>
        <w:t xml:space="preserve">si utilizzeranno </w:t>
      </w:r>
      <w:r w:rsidR="00633970" w:rsidRPr="006F07C8">
        <w:rPr>
          <w:rFonts w:ascii="Times New Roman" w:hAnsi="Times New Roman" w:cs="Times New Roman"/>
          <w:sz w:val="24"/>
          <w:szCs w:val="24"/>
          <w:lang w:val="it-IT"/>
        </w:rPr>
        <w:t xml:space="preserve">qui </w:t>
      </w:r>
      <w:r w:rsidRPr="006F07C8">
        <w:rPr>
          <w:rFonts w:ascii="Times New Roman" w:hAnsi="Times New Roman" w:cs="Times New Roman"/>
          <w:sz w:val="24"/>
          <w:szCs w:val="24"/>
          <w:lang w:val="it-IT"/>
        </w:rPr>
        <w:t>i tassi di esclusione linguistica come</w:t>
      </w:r>
      <w:r w:rsidR="00633970" w:rsidRPr="006F07C8">
        <w:rPr>
          <w:rFonts w:ascii="Times New Roman" w:hAnsi="Times New Roman" w:cs="Times New Roman"/>
          <w:sz w:val="24"/>
          <w:szCs w:val="24"/>
          <w:lang w:val="it-IT"/>
        </w:rPr>
        <w:t xml:space="preserve"> accettabili</w:t>
      </w:r>
      <w:r w:rsidRPr="006F07C8">
        <w:rPr>
          <w:rFonts w:ascii="Times New Roman" w:hAnsi="Times New Roman" w:cs="Times New Roman"/>
          <w:sz w:val="24"/>
          <w:szCs w:val="24"/>
          <w:lang w:val="it-IT"/>
        </w:rPr>
        <w:t xml:space="preserve"> indicatori </w:t>
      </w:r>
      <w:r w:rsidR="00633970" w:rsidRPr="006F07C8">
        <w:rPr>
          <w:rFonts w:ascii="Times New Roman" w:hAnsi="Times New Roman" w:cs="Times New Roman"/>
          <w:sz w:val="24"/>
          <w:szCs w:val="24"/>
          <w:lang w:val="it-IT"/>
        </w:rPr>
        <w:t>valutativi dell’efficacia</w:t>
      </w:r>
      <w:r w:rsidRPr="006F07C8">
        <w:rPr>
          <w:rFonts w:ascii="Times New Roman" w:hAnsi="Times New Roman" w:cs="Times New Roman"/>
          <w:sz w:val="24"/>
          <w:szCs w:val="24"/>
          <w:lang w:val="it-IT"/>
        </w:rPr>
        <w:t xml:space="preserve"> e </w:t>
      </w:r>
      <w:r w:rsidR="00633970" w:rsidRPr="006F07C8">
        <w:rPr>
          <w:rFonts w:ascii="Times New Roman" w:hAnsi="Times New Roman" w:cs="Times New Roman"/>
          <w:sz w:val="24"/>
          <w:szCs w:val="24"/>
          <w:lang w:val="it-IT"/>
        </w:rPr>
        <w:t>del</w:t>
      </w:r>
      <w:r w:rsidRPr="006F07C8">
        <w:rPr>
          <w:rFonts w:ascii="Times New Roman" w:hAnsi="Times New Roman" w:cs="Times New Roman"/>
          <w:sz w:val="24"/>
          <w:szCs w:val="24"/>
          <w:lang w:val="it-IT"/>
        </w:rPr>
        <w:t>l’e</w:t>
      </w:r>
      <w:r w:rsidR="000D6478" w:rsidRPr="006F07C8">
        <w:rPr>
          <w:rFonts w:ascii="Times New Roman" w:hAnsi="Times New Roman" w:cs="Times New Roman"/>
          <w:sz w:val="24"/>
          <w:szCs w:val="24"/>
          <w:lang w:val="it-IT"/>
        </w:rPr>
        <w:t>quità</w:t>
      </w:r>
      <w:r w:rsidRPr="006F07C8">
        <w:rPr>
          <w:rFonts w:ascii="Times New Roman" w:hAnsi="Times New Roman" w:cs="Times New Roman"/>
          <w:sz w:val="24"/>
          <w:szCs w:val="24"/>
          <w:lang w:val="it-IT"/>
        </w:rPr>
        <w:t xml:space="preserve"> di diversi regimi linguistici, e </w:t>
      </w:r>
      <w:r w:rsidR="00633970" w:rsidRPr="006F07C8">
        <w:rPr>
          <w:rFonts w:ascii="Times New Roman" w:hAnsi="Times New Roman" w:cs="Times New Roman"/>
          <w:sz w:val="24"/>
          <w:szCs w:val="24"/>
          <w:lang w:val="it-IT"/>
        </w:rPr>
        <w:t>s</w:t>
      </w:r>
      <w:r w:rsidRPr="006F07C8">
        <w:rPr>
          <w:rFonts w:ascii="Times New Roman" w:hAnsi="Times New Roman" w:cs="Times New Roman"/>
          <w:sz w:val="24"/>
          <w:szCs w:val="24"/>
          <w:lang w:val="it-IT"/>
        </w:rPr>
        <w:t xml:space="preserve">i delega l’elaborazione di indicatori più raffinati </w:t>
      </w:r>
      <w:r w:rsidR="00633970" w:rsidRPr="006F07C8">
        <w:rPr>
          <w:rFonts w:ascii="Times New Roman" w:hAnsi="Times New Roman" w:cs="Times New Roman"/>
          <w:sz w:val="24"/>
          <w:szCs w:val="24"/>
          <w:lang w:val="it-IT"/>
        </w:rPr>
        <w:t>e</w:t>
      </w:r>
      <w:r w:rsidRPr="006F07C8">
        <w:rPr>
          <w:rFonts w:ascii="Times New Roman" w:hAnsi="Times New Roman" w:cs="Times New Roman"/>
          <w:sz w:val="24"/>
          <w:szCs w:val="24"/>
          <w:lang w:val="it-IT"/>
        </w:rPr>
        <w:t xml:space="preserve"> precisi alla ricerca futura.</w:t>
      </w:r>
      <w:r w:rsidR="005E4960" w:rsidRPr="006F07C8">
        <w:rPr>
          <w:rFonts w:ascii="Times New Roman" w:hAnsi="Times New Roman" w:cs="Times New Roman"/>
          <w:sz w:val="24"/>
          <w:szCs w:val="24"/>
          <w:lang w:val="it-IT"/>
        </w:rPr>
        <w:t xml:space="preserve"> </w:t>
      </w:r>
      <w:r w:rsidR="00D82A33" w:rsidRPr="006F07C8">
        <w:rPr>
          <w:rFonts w:ascii="Times New Roman" w:hAnsi="Times New Roman" w:cs="Times New Roman"/>
          <w:sz w:val="24"/>
          <w:szCs w:val="24"/>
          <w:lang w:val="it-IT"/>
        </w:rPr>
        <w:t xml:space="preserve">La </w:t>
      </w:r>
      <w:r w:rsidR="00D82A33" w:rsidRPr="006F07C8">
        <w:rPr>
          <w:rFonts w:ascii="Times New Roman" w:hAnsi="Times New Roman" w:cs="Times New Roman"/>
          <w:sz w:val="24"/>
          <w:szCs w:val="24"/>
          <w:lang w:val="it-IT"/>
        </w:rPr>
        <w:fldChar w:fldCharType="begin"/>
      </w:r>
      <w:r w:rsidR="00D82A33" w:rsidRPr="006F07C8">
        <w:rPr>
          <w:rFonts w:ascii="Times New Roman" w:hAnsi="Times New Roman" w:cs="Times New Roman"/>
          <w:sz w:val="24"/>
          <w:szCs w:val="24"/>
          <w:lang w:val="it-IT"/>
        </w:rPr>
        <w:instrText xml:space="preserve"> REF _Ref378171740 \h  \* MERGEFORMAT </w:instrText>
      </w:r>
      <w:r w:rsidR="00D82A33" w:rsidRPr="006F07C8">
        <w:rPr>
          <w:rFonts w:ascii="Times New Roman" w:hAnsi="Times New Roman" w:cs="Times New Roman"/>
          <w:sz w:val="24"/>
          <w:szCs w:val="24"/>
          <w:lang w:val="it-IT"/>
        </w:rPr>
      </w:r>
      <w:r w:rsidR="00D82A33" w:rsidRPr="006F07C8">
        <w:rPr>
          <w:rFonts w:ascii="Times New Roman" w:hAnsi="Times New Roman" w:cs="Times New Roman"/>
          <w:sz w:val="24"/>
          <w:szCs w:val="24"/>
          <w:lang w:val="it-IT"/>
        </w:rPr>
        <w:fldChar w:fldCharType="separate"/>
      </w:r>
      <w:r w:rsidR="00087B27" w:rsidRPr="006F07C8">
        <w:rPr>
          <w:rFonts w:ascii="Times New Roman" w:hAnsi="Times New Roman" w:cs="Times New Roman"/>
          <w:sz w:val="24"/>
          <w:szCs w:val="24"/>
          <w:lang w:val="it-IT"/>
        </w:rPr>
        <w:t xml:space="preserve">Tabella </w:t>
      </w:r>
      <w:r w:rsidR="00087B27" w:rsidRPr="006F07C8">
        <w:rPr>
          <w:rFonts w:ascii="Times New Roman" w:hAnsi="Times New Roman" w:cs="Times New Roman"/>
          <w:noProof/>
          <w:sz w:val="24"/>
          <w:szCs w:val="24"/>
          <w:lang w:val="it-IT"/>
        </w:rPr>
        <w:t>1</w:t>
      </w:r>
      <w:r w:rsidR="00D82A33" w:rsidRPr="006F07C8">
        <w:rPr>
          <w:rFonts w:ascii="Times New Roman" w:hAnsi="Times New Roman" w:cs="Times New Roman"/>
          <w:sz w:val="24"/>
          <w:szCs w:val="24"/>
          <w:lang w:val="it-IT"/>
        </w:rPr>
        <w:fldChar w:fldCharType="end"/>
      </w:r>
      <w:r w:rsidR="00D82A33" w:rsidRPr="006F07C8">
        <w:rPr>
          <w:rFonts w:ascii="Times New Roman" w:hAnsi="Times New Roman" w:cs="Times New Roman"/>
          <w:sz w:val="24"/>
          <w:szCs w:val="24"/>
          <w:lang w:val="it-IT"/>
        </w:rPr>
        <w:t xml:space="preserve"> confronta i tassi di esclusione linguistica per l’insieme dei 24 paesi considerati per i tre regimi linguistici studiati. </w:t>
      </w:r>
      <w:r w:rsidR="00EB1D14" w:rsidRPr="006F07C8">
        <w:rPr>
          <w:rFonts w:ascii="Times New Roman" w:hAnsi="Times New Roman" w:cs="Times New Roman"/>
          <w:sz w:val="24"/>
          <w:szCs w:val="24"/>
          <w:lang w:val="it-IT"/>
        </w:rPr>
        <w:t>Le stime presentate sono valori netti, cioè nessuna osservazione è stata inclusa due volte</w:t>
      </w:r>
      <w:r w:rsidR="009B7F35" w:rsidRPr="006F07C8">
        <w:rPr>
          <w:rFonts w:ascii="Times New Roman" w:hAnsi="Times New Roman" w:cs="Times New Roman"/>
          <w:sz w:val="24"/>
          <w:szCs w:val="24"/>
          <w:lang w:val="it-IT"/>
        </w:rPr>
        <w:t>.</w:t>
      </w:r>
      <w:r w:rsidR="009B7F35" w:rsidRPr="006F07C8">
        <w:rPr>
          <w:rStyle w:val="FootnoteReference"/>
          <w:rFonts w:ascii="Times New Roman" w:hAnsi="Times New Roman" w:cs="Times New Roman"/>
          <w:sz w:val="24"/>
          <w:szCs w:val="24"/>
          <w:lang w:val="it-IT"/>
        </w:rPr>
        <w:footnoteReference w:id="21"/>
      </w:r>
    </w:p>
    <w:p w:rsidR="0087656D" w:rsidRPr="006F07C8" w:rsidRDefault="0087656D" w:rsidP="004930BB">
      <w:pPr>
        <w:pStyle w:val="Caption"/>
        <w:keepNext/>
        <w:keepLines/>
        <w:rPr>
          <w:rFonts w:ascii="Times New Roman" w:hAnsi="Times New Roman" w:cs="Times New Roman"/>
          <w:sz w:val="20"/>
          <w:szCs w:val="20"/>
          <w:lang w:val="it-IT"/>
        </w:rPr>
      </w:pPr>
      <w:bookmarkStart w:id="10" w:name="_Ref378171740"/>
      <w:bookmarkStart w:id="11" w:name="_Ref378240174"/>
      <w:r w:rsidRPr="006F07C8">
        <w:rPr>
          <w:rFonts w:ascii="Times New Roman" w:hAnsi="Times New Roman" w:cs="Times New Roman"/>
          <w:sz w:val="20"/>
          <w:szCs w:val="20"/>
          <w:lang w:val="it-IT"/>
        </w:rPr>
        <w:lastRenderedPageBreak/>
        <w:t xml:space="preserve">Tabella </w:t>
      </w:r>
      <w:r w:rsidRPr="006F07C8">
        <w:rPr>
          <w:rFonts w:ascii="Times New Roman" w:hAnsi="Times New Roman" w:cs="Times New Roman"/>
          <w:sz w:val="20"/>
          <w:szCs w:val="20"/>
          <w:lang w:val="it-IT"/>
        </w:rPr>
        <w:fldChar w:fldCharType="begin"/>
      </w:r>
      <w:r w:rsidRPr="006F07C8">
        <w:rPr>
          <w:rFonts w:ascii="Times New Roman" w:hAnsi="Times New Roman" w:cs="Times New Roman"/>
          <w:sz w:val="20"/>
          <w:szCs w:val="20"/>
          <w:lang w:val="it-IT"/>
        </w:rPr>
        <w:instrText xml:space="preserve"> SEQ Tabella \* ARABIC </w:instrText>
      </w:r>
      <w:r w:rsidRPr="006F07C8">
        <w:rPr>
          <w:rFonts w:ascii="Times New Roman" w:hAnsi="Times New Roman" w:cs="Times New Roman"/>
          <w:sz w:val="20"/>
          <w:szCs w:val="20"/>
          <w:lang w:val="it-IT"/>
        </w:rPr>
        <w:fldChar w:fldCharType="separate"/>
      </w:r>
      <w:r w:rsidR="00087B27" w:rsidRPr="006F07C8">
        <w:rPr>
          <w:rFonts w:ascii="Times New Roman" w:hAnsi="Times New Roman" w:cs="Times New Roman"/>
          <w:noProof/>
          <w:sz w:val="20"/>
          <w:szCs w:val="20"/>
          <w:lang w:val="it-IT"/>
        </w:rPr>
        <w:t>1</w:t>
      </w:r>
      <w:r w:rsidRPr="006F07C8">
        <w:rPr>
          <w:rFonts w:ascii="Times New Roman" w:hAnsi="Times New Roman" w:cs="Times New Roman"/>
          <w:sz w:val="20"/>
          <w:szCs w:val="20"/>
          <w:lang w:val="it-IT"/>
        </w:rPr>
        <w:fldChar w:fldCharType="end"/>
      </w:r>
      <w:bookmarkEnd w:id="10"/>
      <w:r w:rsidRPr="006F07C8">
        <w:rPr>
          <w:rFonts w:ascii="Times New Roman" w:hAnsi="Times New Roman" w:cs="Times New Roman"/>
          <w:sz w:val="20"/>
          <w:szCs w:val="20"/>
          <w:lang w:val="it-IT"/>
        </w:rPr>
        <w:t xml:space="preserve"> : Tassi di esclusione </w:t>
      </w:r>
      <w:r w:rsidR="003D1BEA" w:rsidRPr="006F07C8">
        <w:rPr>
          <w:rFonts w:ascii="Times New Roman" w:hAnsi="Times New Roman" w:cs="Times New Roman"/>
          <w:sz w:val="20"/>
          <w:szCs w:val="20"/>
          <w:lang w:val="it-IT"/>
        </w:rPr>
        <w:t>linguistica</w:t>
      </w:r>
      <w:r w:rsidR="001A4260" w:rsidRPr="006F07C8">
        <w:rPr>
          <w:rFonts w:ascii="Times New Roman" w:hAnsi="Times New Roman" w:cs="Times New Roman"/>
          <w:sz w:val="20"/>
          <w:szCs w:val="20"/>
          <w:lang w:val="it-IT"/>
        </w:rPr>
        <w:t>, UE-24</w:t>
      </w:r>
      <w:r w:rsidR="00FA49A8" w:rsidRPr="006F07C8">
        <w:rPr>
          <w:rFonts w:ascii="Times New Roman" w:hAnsi="Times New Roman" w:cs="Times New Roman"/>
          <w:sz w:val="20"/>
          <w:szCs w:val="20"/>
          <w:lang w:val="it-IT"/>
        </w:rPr>
        <w:t>. Dati in percentuale</w:t>
      </w:r>
      <w:bookmarkEnd w:id="11"/>
    </w:p>
    <w:tbl>
      <w:tblPr>
        <w:tblStyle w:val="LightShading"/>
        <w:tblW w:w="2806" w:type="pct"/>
        <w:jc w:val="center"/>
        <w:tblLook w:val="0600" w:firstRow="0" w:lastRow="0" w:firstColumn="0" w:lastColumn="0" w:noHBand="1" w:noVBand="1"/>
      </w:tblPr>
      <w:tblGrid>
        <w:gridCol w:w="1951"/>
        <w:gridCol w:w="1668"/>
        <w:gridCol w:w="1593"/>
      </w:tblGrid>
      <w:tr w:rsidR="00602181" w:rsidRPr="006F07C8" w:rsidTr="00E83156">
        <w:trPr>
          <w:trHeight w:val="303"/>
          <w:jc w:val="center"/>
        </w:trPr>
        <w:tc>
          <w:tcPr>
            <w:tcW w:w="1872" w:type="pct"/>
            <w:hideMark/>
          </w:tcPr>
          <w:p w:rsidR="007E2A19" w:rsidRPr="006F07C8" w:rsidRDefault="00000541" w:rsidP="004930BB">
            <w:pPr>
              <w:keepNext/>
              <w:keepLines/>
              <w:rPr>
                <w:rFonts w:ascii="Times New Roman" w:hAnsi="Times New Roman" w:cs="Times New Roman"/>
                <w:sz w:val="20"/>
                <w:szCs w:val="20"/>
                <w:lang w:val="it-IT"/>
              </w:rPr>
            </w:pPr>
            <w:r w:rsidRPr="006F07C8">
              <w:rPr>
                <w:rFonts w:ascii="Times New Roman" w:hAnsi="Times New Roman" w:cs="Times New Roman"/>
                <w:b/>
                <w:bCs/>
                <w:sz w:val="20"/>
                <w:szCs w:val="20"/>
                <w:lang w:val="it-IT"/>
              </w:rPr>
              <w:t>Regime linguistico</w:t>
            </w:r>
          </w:p>
        </w:tc>
        <w:tc>
          <w:tcPr>
            <w:tcW w:w="1600" w:type="pct"/>
            <w:hideMark/>
          </w:tcPr>
          <w:p w:rsidR="007E2A19" w:rsidRPr="006F07C8" w:rsidRDefault="00000541" w:rsidP="004930BB">
            <w:pPr>
              <w:keepNext/>
              <w:keepLines/>
              <w:jc w:val="center"/>
              <w:rPr>
                <w:rFonts w:ascii="Times New Roman" w:hAnsi="Times New Roman" w:cs="Times New Roman"/>
                <w:i/>
                <w:sz w:val="20"/>
                <w:szCs w:val="20"/>
                <w:vertAlign w:val="subscript"/>
                <w:lang w:val="it-IT"/>
              </w:rPr>
            </w:pPr>
            <w:r w:rsidRPr="006F07C8">
              <w:rPr>
                <w:rFonts w:ascii="Times New Roman" w:hAnsi="Times New Roman" w:cs="Times New Roman"/>
                <w:b/>
                <w:bCs/>
                <w:i/>
                <w:sz w:val="20"/>
                <w:szCs w:val="20"/>
                <w:lang w:val="it-IT"/>
              </w:rPr>
              <w:t>E</w:t>
            </w:r>
            <w:r w:rsidR="003D1BEA" w:rsidRPr="006F07C8">
              <w:rPr>
                <w:rFonts w:ascii="Times New Roman" w:hAnsi="Times New Roman" w:cs="Times New Roman"/>
                <w:b/>
                <w:bCs/>
                <w:i/>
                <w:sz w:val="20"/>
                <w:szCs w:val="20"/>
                <w:vertAlign w:val="subscript"/>
                <w:lang w:val="it-IT"/>
              </w:rPr>
              <w:t>a</w:t>
            </w:r>
          </w:p>
        </w:tc>
        <w:tc>
          <w:tcPr>
            <w:tcW w:w="1528" w:type="pct"/>
            <w:hideMark/>
          </w:tcPr>
          <w:p w:rsidR="007E2A19" w:rsidRPr="006F07C8" w:rsidRDefault="00000541" w:rsidP="004930BB">
            <w:pPr>
              <w:keepNext/>
              <w:keepLines/>
              <w:jc w:val="center"/>
              <w:rPr>
                <w:rFonts w:ascii="Times New Roman" w:hAnsi="Times New Roman" w:cs="Times New Roman"/>
                <w:i/>
                <w:sz w:val="20"/>
                <w:szCs w:val="20"/>
                <w:vertAlign w:val="superscript"/>
                <w:lang w:val="it-IT"/>
              </w:rPr>
            </w:pPr>
            <w:r w:rsidRPr="006F07C8">
              <w:rPr>
                <w:rFonts w:ascii="Times New Roman" w:hAnsi="Times New Roman" w:cs="Times New Roman"/>
                <w:b/>
                <w:bCs/>
                <w:i/>
                <w:sz w:val="20"/>
                <w:szCs w:val="20"/>
                <w:lang w:val="it-IT"/>
              </w:rPr>
              <w:t>E</w:t>
            </w:r>
            <w:r w:rsidR="003D1BEA" w:rsidRPr="006F07C8">
              <w:rPr>
                <w:rFonts w:ascii="Times New Roman" w:hAnsi="Times New Roman" w:cs="Times New Roman"/>
                <w:b/>
                <w:bCs/>
                <w:i/>
                <w:sz w:val="20"/>
                <w:szCs w:val="20"/>
                <w:vertAlign w:val="subscript"/>
                <w:lang w:val="it-IT"/>
              </w:rPr>
              <w:t>r</w:t>
            </w:r>
            <w:r w:rsidR="00DA34EC" w:rsidRPr="006F07C8">
              <w:rPr>
                <w:rFonts w:ascii="Times New Roman" w:hAnsi="Times New Roman" w:cs="Times New Roman"/>
                <w:b/>
                <w:bCs/>
                <w:i/>
                <w:sz w:val="20"/>
                <w:szCs w:val="20"/>
                <w:vertAlign w:val="superscript"/>
                <w:lang w:val="it-IT"/>
              </w:rPr>
              <w:t>*</w:t>
            </w:r>
          </w:p>
        </w:tc>
      </w:tr>
      <w:tr w:rsidR="00602181" w:rsidRPr="006F07C8" w:rsidTr="00E83156">
        <w:trPr>
          <w:trHeight w:val="227"/>
          <w:jc w:val="center"/>
        </w:trPr>
        <w:tc>
          <w:tcPr>
            <w:tcW w:w="1872" w:type="pct"/>
            <w:hideMark/>
          </w:tcPr>
          <w:p w:rsidR="007E2A19" w:rsidRPr="006F07C8" w:rsidRDefault="00000541" w:rsidP="004930BB">
            <w:pPr>
              <w:keepNext/>
              <w:keepLines/>
              <w:rPr>
                <w:rFonts w:ascii="Times New Roman" w:hAnsi="Times New Roman" w:cs="Times New Roman"/>
                <w:sz w:val="20"/>
                <w:szCs w:val="20"/>
                <w:lang w:val="it-IT"/>
              </w:rPr>
            </w:pPr>
            <w:r w:rsidRPr="006F07C8">
              <w:rPr>
                <w:rFonts w:ascii="Times New Roman" w:hAnsi="Times New Roman" w:cs="Times New Roman"/>
                <w:i/>
                <w:iCs/>
                <w:sz w:val="20"/>
                <w:szCs w:val="20"/>
                <w:lang w:val="it-IT"/>
              </w:rPr>
              <w:t>24 lingue</w:t>
            </w:r>
          </w:p>
        </w:tc>
        <w:tc>
          <w:tcPr>
            <w:tcW w:w="1600" w:type="pct"/>
            <w:hideMark/>
          </w:tcPr>
          <w:p w:rsidR="007E2A19" w:rsidRPr="006F07C8" w:rsidRDefault="00000541" w:rsidP="004930BB">
            <w:pPr>
              <w:keepNext/>
              <w:keepLines/>
              <w:jc w:val="center"/>
              <w:rPr>
                <w:rFonts w:ascii="Times New Roman" w:hAnsi="Times New Roman" w:cs="Times New Roman"/>
                <w:sz w:val="20"/>
                <w:szCs w:val="20"/>
                <w:lang w:val="it-IT"/>
              </w:rPr>
            </w:pPr>
            <w:r w:rsidRPr="006F07C8">
              <w:rPr>
                <w:rFonts w:ascii="Times New Roman" w:hAnsi="Times New Roman" w:cs="Times New Roman"/>
                <w:sz w:val="20"/>
                <w:szCs w:val="20"/>
                <w:lang w:val="it-IT"/>
              </w:rPr>
              <w:t>0</w:t>
            </w:r>
          </w:p>
        </w:tc>
        <w:tc>
          <w:tcPr>
            <w:tcW w:w="1528" w:type="pct"/>
            <w:hideMark/>
          </w:tcPr>
          <w:p w:rsidR="007E2A19" w:rsidRPr="006F07C8" w:rsidRDefault="00000541" w:rsidP="001F5D09">
            <w:pPr>
              <w:keepNext/>
              <w:keepLines/>
              <w:jc w:val="center"/>
              <w:rPr>
                <w:rFonts w:ascii="Times New Roman" w:hAnsi="Times New Roman" w:cs="Times New Roman"/>
                <w:sz w:val="20"/>
                <w:szCs w:val="20"/>
                <w:lang w:val="it-IT"/>
              </w:rPr>
            </w:pPr>
            <w:r w:rsidRPr="006F07C8">
              <w:rPr>
                <w:rFonts w:ascii="Times New Roman" w:hAnsi="Times New Roman" w:cs="Times New Roman"/>
                <w:sz w:val="20"/>
                <w:szCs w:val="20"/>
                <w:lang w:val="it-IT"/>
              </w:rPr>
              <w:t>4</w:t>
            </w:r>
          </w:p>
        </w:tc>
      </w:tr>
      <w:tr w:rsidR="00D47C06" w:rsidRPr="006F07C8" w:rsidTr="00E83156">
        <w:trPr>
          <w:trHeight w:val="318"/>
          <w:jc w:val="center"/>
        </w:trPr>
        <w:tc>
          <w:tcPr>
            <w:tcW w:w="1872" w:type="pct"/>
          </w:tcPr>
          <w:p w:rsidR="00D47C06" w:rsidRPr="006F07C8" w:rsidRDefault="00D47C06" w:rsidP="004930BB">
            <w:pPr>
              <w:keepNext/>
              <w:keepLines/>
              <w:rPr>
                <w:rFonts w:ascii="Times New Roman" w:hAnsi="Times New Roman" w:cs="Times New Roman"/>
                <w:i/>
                <w:iCs/>
                <w:sz w:val="20"/>
                <w:szCs w:val="20"/>
                <w:lang w:val="it-IT"/>
              </w:rPr>
            </w:pPr>
            <w:r w:rsidRPr="006F07C8">
              <w:rPr>
                <w:rFonts w:ascii="Times New Roman" w:hAnsi="Times New Roman" w:cs="Times New Roman"/>
                <w:i/>
                <w:iCs/>
                <w:sz w:val="20"/>
                <w:szCs w:val="20"/>
                <w:lang w:val="it-IT"/>
              </w:rPr>
              <w:t>Oligarchico</w:t>
            </w:r>
          </w:p>
        </w:tc>
        <w:tc>
          <w:tcPr>
            <w:tcW w:w="1600" w:type="pct"/>
          </w:tcPr>
          <w:p w:rsidR="00D47C06" w:rsidRPr="006F07C8" w:rsidRDefault="00D47C06" w:rsidP="004930BB">
            <w:pPr>
              <w:keepNext/>
              <w:keepLines/>
              <w:jc w:val="center"/>
              <w:rPr>
                <w:rFonts w:ascii="Times New Roman" w:hAnsi="Times New Roman" w:cs="Times New Roman"/>
                <w:sz w:val="20"/>
                <w:szCs w:val="20"/>
                <w:lang w:val="it-IT"/>
              </w:rPr>
            </w:pPr>
            <w:r w:rsidRPr="006F07C8">
              <w:rPr>
                <w:rFonts w:ascii="Times New Roman" w:hAnsi="Times New Roman" w:cs="Times New Roman"/>
                <w:sz w:val="20"/>
                <w:szCs w:val="20"/>
                <w:lang w:val="it-IT"/>
              </w:rPr>
              <w:t>28</w:t>
            </w:r>
          </w:p>
        </w:tc>
        <w:tc>
          <w:tcPr>
            <w:tcW w:w="1528" w:type="pct"/>
          </w:tcPr>
          <w:p w:rsidR="00D47C06" w:rsidRPr="006F07C8" w:rsidRDefault="00D47C06" w:rsidP="004930BB">
            <w:pPr>
              <w:keepNext/>
              <w:keepLines/>
              <w:jc w:val="center"/>
              <w:rPr>
                <w:rFonts w:ascii="Times New Roman" w:hAnsi="Times New Roman" w:cs="Times New Roman"/>
                <w:sz w:val="20"/>
                <w:szCs w:val="20"/>
                <w:lang w:val="it-IT"/>
              </w:rPr>
            </w:pPr>
            <w:r w:rsidRPr="006F07C8">
              <w:rPr>
                <w:rFonts w:ascii="Times New Roman" w:hAnsi="Times New Roman" w:cs="Times New Roman"/>
                <w:sz w:val="20"/>
                <w:szCs w:val="20"/>
                <w:lang w:val="it-IT"/>
              </w:rPr>
              <w:t>55</w:t>
            </w:r>
          </w:p>
        </w:tc>
      </w:tr>
      <w:tr w:rsidR="00602181" w:rsidRPr="006F07C8" w:rsidTr="00E83156">
        <w:trPr>
          <w:trHeight w:val="318"/>
          <w:jc w:val="center"/>
        </w:trPr>
        <w:tc>
          <w:tcPr>
            <w:tcW w:w="1872" w:type="pct"/>
            <w:hideMark/>
          </w:tcPr>
          <w:p w:rsidR="007E2A19" w:rsidRPr="006F07C8" w:rsidRDefault="00D846DA" w:rsidP="004930BB">
            <w:pPr>
              <w:keepNext/>
              <w:keepLines/>
              <w:rPr>
                <w:rFonts w:ascii="Times New Roman" w:hAnsi="Times New Roman" w:cs="Times New Roman"/>
                <w:sz w:val="20"/>
                <w:szCs w:val="20"/>
                <w:lang w:val="it-IT"/>
              </w:rPr>
            </w:pPr>
            <w:r w:rsidRPr="006F07C8">
              <w:rPr>
                <w:rFonts w:ascii="Times New Roman" w:hAnsi="Times New Roman" w:cs="Times New Roman"/>
                <w:i/>
                <w:iCs/>
                <w:sz w:val="20"/>
                <w:szCs w:val="20"/>
                <w:lang w:val="it-IT"/>
              </w:rPr>
              <w:t>Monolingue</w:t>
            </w:r>
          </w:p>
        </w:tc>
        <w:tc>
          <w:tcPr>
            <w:tcW w:w="1600" w:type="pct"/>
            <w:hideMark/>
          </w:tcPr>
          <w:p w:rsidR="007E2A19" w:rsidRPr="006F07C8" w:rsidRDefault="00000541" w:rsidP="004930BB">
            <w:pPr>
              <w:keepNext/>
              <w:keepLines/>
              <w:jc w:val="center"/>
              <w:rPr>
                <w:rFonts w:ascii="Times New Roman" w:hAnsi="Times New Roman" w:cs="Times New Roman"/>
                <w:sz w:val="20"/>
                <w:szCs w:val="20"/>
                <w:lang w:val="it-IT"/>
              </w:rPr>
            </w:pPr>
            <w:r w:rsidRPr="006F07C8">
              <w:rPr>
                <w:rFonts w:ascii="Times New Roman" w:hAnsi="Times New Roman" w:cs="Times New Roman"/>
                <w:sz w:val="20"/>
                <w:szCs w:val="20"/>
                <w:lang w:val="it-IT"/>
              </w:rPr>
              <w:t>49</w:t>
            </w:r>
          </w:p>
        </w:tc>
        <w:tc>
          <w:tcPr>
            <w:tcW w:w="1528" w:type="pct"/>
            <w:hideMark/>
          </w:tcPr>
          <w:p w:rsidR="007E2A19" w:rsidRPr="006F07C8" w:rsidRDefault="00000541" w:rsidP="001F5D09">
            <w:pPr>
              <w:keepNext/>
              <w:keepLines/>
              <w:jc w:val="center"/>
              <w:rPr>
                <w:rFonts w:ascii="Times New Roman" w:hAnsi="Times New Roman" w:cs="Times New Roman"/>
                <w:sz w:val="20"/>
                <w:szCs w:val="20"/>
                <w:vertAlign w:val="superscript"/>
                <w:lang w:val="it-IT"/>
              </w:rPr>
            </w:pPr>
            <w:r w:rsidRPr="006F07C8">
              <w:rPr>
                <w:rFonts w:ascii="Times New Roman" w:hAnsi="Times New Roman" w:cs="Times New Roman"/>
                <w:sz w:val="20"/>
                <w:szCs w:val="20"/>
                <w:lang w:val="it-IT"/>
              </w:rPr>
              <w:t>81</w:t>
            </w:r>
          </w:p>
        </w:tc>
      </w:tr>
    </w:tbl>
    <w:p w:rsidR="00F03082" w:rsidRPr="006F07C8" w:rsidRDefault="009B7F35" w:rsidP="004930BB">
      <w:pPr>
        <w:keepNext/>
        <w:keepLines/>
        <w:spacing w:after="0" w:line="240" w:lineRule="auto"/>
        <w:jc w:val="both"/>
        <w:rPr>
          <w:rFonts w:ascii="Times New Roman" w:hAnsi="Times New Roman" w:cs="Times New Roman"/>
          <w:i/>
          <w:sz w:val="20"/>
          <w:szCs w:val="20"/>
          <w:lang w:val="it-IT"/>
        </w:rPr>
      </w:pPr>
      <w:r w:rsidRPr="006F07C8">
        <w:rPr>
          <w:rFonts w:ascii="Times New Roman" w:hAnsi="Times New Roman" w:cs="Times New Roman"/>
          <w:i/>
          <w:sz w:val="20"/>
          <w:szCs w:val="20"/>
          <w:lang w:val="it-IT"/>
        </w:rPr>
        <w:t>Fonte: Eurostat, IEA</w:t>
      </w:r>
      <w:r w:rsidR="00C6336A" w:rsidRPr="006F07C8">
        <w:rPr>
          <w:rFonts w:ascii="Times New Roman" w:hAnsi="Times New Roman" w:cs="Times New Roman"/>
          <w:i/>
          <w:sz w:val="20"/>
          <w:szCs w:val="20"/>
          <w:lang w:val="it-IT"/>
        </w:rPr>
        <w:t xml:space="preserve"> 2011</w:t>
      </w:r>
      <w:r w:rsidRPr="006F07C8">
        <w:rPr>
          <w:rFonts w:ascii="Times New Roman" w:hAnsi="Times New Roman" w:cs="Times New Roman"/>
          <w:i/>
          <w:sz w:val="20"/>
          <w:szCs w:val="20"/>
          <w:lang w:val="it-IT"/>
        </w:rPr>
        <w:t>. Tabella elaborata dall’autore</w:t>
      </w:r>
    </w:p>
    <w:p w:rsidR="00F4580B" w:rsidRPr="006F07C8" w:rsidRDefault="001F5D09" w:rsidP="004930BB">
      <w:pPr>
        <w:keepNext/>
        <w:keepLines/>
        <w:spacing w:after="0" w:line="240" w:lineRule="auto"/>
        <w:jc w:val="both"/>
        <w:rPr>
          <w:rFonts w:ascii="Times New Roman" w:hAnsi="Times New Roman" w:cs="Times New Roman"/>
          <w:sz w:val="20"/>
          <w:szCs w:val="20"/>
          <w:lang w:val="it-IT"/>
        </w:rPr>
      </w:pPr>
      <w:r w:rsidRPr="006F07C8">
        <w:rPr>
          <w:rFonts w:ascii="Times New Roman" w:hAnsi="Times New Roman" w:cs="Times New Roman"/>
          <w:i/>
          <w:sz w:val="20"/>
          <w:szCs w:val="20"/>
          <w:vertAlign w:val="superscript"/>
          <w:lang w:val="it-IT"/>
        </w:rPr>
        <w:t>*</w:t>
      </w:r>
      <w:r w:rsidR="00F4580B" w:rsidRPr="006F07C8">
        <w:rPr>
          <w:rFonts w:ascii="Times New Roman" w:hAnsi="Times New Roman" w:cs="Times New Roman"/>
          <w:i/>
          <w:sz w:val="20"/>
          <w:szCs w:val="20"/>
          <w:vertAlign w:val="superscript"/>
          <w:lang w:val="it-IT"/>
        </w:rPr>
        <w:t>.</w:t>
      </w:r>
      <w:r w:rsidR="00F4580B" w:rsidRPr="006F07C8">
        <w:rPr>
          <w:rFonts w:ascii="Times New Roman" w:hAnsi="Times New Roman" w:cs="Times New Roman"/>
          <w:i/>
          <w:sz w:val="20"/>
          <w:szCs w:val="20"/>
          <w:lang w:val="it-IT"/>
        </w:rPr>
        <w:t xml:space="preserve">mancano i dati per livello competenza nelle lingue </w:t>
      </w:r>
      <w:r w:rsidR="00E15EA6" w:rsidRPr="006F07C8">
        <w:rPr>
          <w:rFonts w:ascii="Times New Roman" w:hAnsi="Times New Roman" w:cs="Times New Roman"/>
          <w:i/>
          <w:sz w:val="20"/>
          <w:szCs w:val="20"/>
          <w:lang w:val="it-IT"/>
        </w:rPr>
        <w:t xml:space="preserve">straniere (prima e seconda) per la Danimarca </w:t>
      </w:r>
      <w:r w:rsidR="00F4580B" w:rsidRPr="006F07C8">
        <w:rPr>
          <w:rFonts w:ascii="Times New Roman" w:hAnsi="Times New Roman" w:cs="Times New Roman"/>
          <w:i/>
          <w:sz w:val="20"/>
          <w:szCs w:val="20"/>
          <w:lang w:val="it-IT"/>
        </w:rPr>
        <w:t xml:space="preserve">e i dati per livello competenza nella seconda lingua straniera per </w:t>
      </w:r>
      <w:r w:rsidR="00DD0B88" w:rsidRPr="006F07C8">
        <w:rPr>
          <w:rFonts w:ascii="Times New Roman" w:hAnsi="Times New Roman" w:cs="Times New Roman"/>
          <w:i/>
          <w:sz w:val="20"/>
          <w:szCs w:val="20"/>
          <w:lang w:val="it-IT"/>
        </w:rPr>
        <w:t>l’Italia.</w:t>
      </w:r>
    </w:p>
    <w:p w:rsidR="00D216BE" w:rsidRPr="006F07C8" w:rsidRDefault="00D216BE" w:rsidP="002F52A9">
      <w:pPr>
        <w:spacing w:line="240" w:lineRule="auto"/>
        <w:jc w:val="both"/>
        <w:rPr>
          <w:rFonts w:ascii="Times New Roman" w:hAnsi="Times New Roman" w:cs="Times New Roman"/>
          <w:sz w:val="20"/>
          <w:lang w:val="it-IT"/>
        </w:rPr>
      </w:pPr>
    </w:p>
    <w:p w:rsidR="00164630" w:rsidRPr="006F07C8" w:rsidRDefault="0012490D" w:rsidP="002F52A9">
      <w:pPr>
        <w:spacing w:line="240" w:lineRule="auto"/>
        <w:jc w:val="both"/>
        <w:rPr>
          <w:rFonts w:ascii="Times New Roman" w:hAnsi="Times New Roman" w:cs="Times New Roman"/>
          <w:bCs/>
          <w:sz w:val="24"/>
          <w:szCs w:val="24"/>
          <w:lang w:val="it-IT"/>
        </w:rPr>
      </w:pPr>
      <w:r w:rsidRPr="006F07C8">
        <w:rPr>
          <w:rFonts w:ascii="Times New Roman" w:hAnsi="Times New Roman" w:cs="Times New Roman"/>
          <w:sz w:val="24"/>
          <w:szCs w:val="24"/>
          <w:lang w:val="it-IT"/>
        </w:rPr>
        <w:t>Se</w:t>
      </w:r>
      <w:r w:rsidR="00951EEF" w:rsidRPr="006F07C8">
        <w:rPr>
          <w:rFonts w:ascii="Times New Roman" w:hAnsi="Times New Roman" w:cs="Times New Roman"/>
          <w:sz w:val="24"/>
          <w:szCs w:val="24"/>
          <w:lang w:val="it-IT"/>
        </w:rPr>
        <w:t xml:space="preserve"> l’inglese fosse l’unica lingua uffic</w:t>
      </w:r>
      <w:r w:rsidRPr="006F07C8">
        <w:rPr>
          <w:rFonts w:ascii="Times New Roman" w:hAnsi="Times New Roman" w:cs="Times New Roman"/>
          <w:sz w:val="24"/>
          <w:szCs w:val="24"/>
          <w:lang w:val="it-IT"/>
        </w:rPr>
        <w:t xml:space="preserve">iale della UE-24 la metà circa </w:t>
      </w:r>
      <w:r w:rsidR="00951EEF" w:rsidRPr="006F07C8">
        <w:rPr>
          <w:rFonts w:ascii="Times New Roman" w:hAnsi="Times New Roman" w:cs="Times New Roman"/>
          <w:sz w:val="24"/>
          <w:szCs w:val="24"/>
          <w:lang w:val="it-IT"/>
        </w:rPr>
        <w:t xml:space="preserve">della popolazione </w:t>
      </w:r>
      <w:r w:rsidRPr="006F07C8">
        <w:rPr>
          <w:rFonts w:ascii="Times New Roman" w:hAnsi="Times New Roman" w:cs="Times New Roman"/>
          <w:sz w:val="24"/>
          <w:szCs w:val="24"/>
          <w:lang w:val="it-IT"/>
        </w:rPr>
        <w:t xml:space="preserve">residente </w:t>
      </w:r>
      <w:r w:rsidR="00951EEF" w:rsidRPr="006F07C8">
        <w:rPr>
          <w:rFonts w:ascii="Times New Roman" w:hAnsi="Times New Roman" w:cs="Times New Roman"/>
          <w:sz w:val="24"/>
          <w:szCs w:val="24"/>
          <w:lang w:val="it-IT"/>
        </w:rPr>
        <w:t>sarebbe totalmente esclusa dalla comunicazione</w:t>
      </w:r>
      <w:r w:rsidRPr="006F07C8">
        <w:rPr>
          <w:rFonts w:ascii="Times New Roman" w:hAnsi="Times New Roman" w:cs="Times New Roman"/>
          <w:sz w:val="24"/>
          <w:szCs w:val="24"/>
          <w:lang w:val="it-IT"/>
        </w:rPr>
        <w:t>. Il tasso di esclusione linguistica sale all’</w:t>
      </w:r>
      <w:r w:rsidR="00951EEF" w:rsidRPr="006F07C8">
        <w:rPr>
          <w:rFonts w:ascii="Times New Roman" w:hAnsi="Times New Roman" w:cs="Times New Roman"/>
          <w:sz w:val="24"/>
          <w:szCs w:val="24"/>
          <w:lang w:val="it-IT"/>
        </w:rPr>
        <w:t xml:space="preserve">81% </w:t>
      </w:r>
      <w:r w:rsidRPr="006F07C8">
        <w:rPr>
          <w:rFonts w:ascii="Times New Roman" w:hAnsi="Times New Roman" w:cs="Times New Roman"/>
          <w:sz w:val="24"/>
          <w:szCs w:val="24"/>
          <w:lang w:val="it-IT"/>
        </w:rPr>
        <w:t xml:space="preserve">se </w:t>
      </w:r>
      <w:r w:rsidR="00992B3D" w:rsidRPr="006F07C8">
        <w:rPr>
          <w:rFonts w:ascii="Times New Roman" w:hAnsi="Times New Roman" w:cs="Times New Roman"/>
          <w:sz w:val="24"/>
          <w:szCs w:val="24"/>
          <w:lang w:val="it-IT"/>
        </w:rPr>
        <w:t xml:space="preserve">interpretiamo per esclusione anche </w:t>
      </w:r>
      <w:r w:rsidR="00951EEF" w:rsidRPr="006F07C8">
        <w:rPr>
          <w:rFonts w:ascii="Times New Roman" w:hAnsi="Times New Roman" w:cs="Times New Roman"/>
          <w:sz w:val="24"/>
          <w:szCs w:val="24"/>
          <w:lang w:val="it-IT"/>
        </w:rPr>
        <w:t xml:space="preserve">un accesso non </w:t>
      </w:r>
      <w:r w:rsidR="00D47C06" w:rsidRPr="006F07C8">
        <w:rPr>
          <w:rFonts w:ascii="Times New Roman" w:hAnsi="Times New Roman" w:cs="Times New Roman"/>
          <w:sz w:val="24"/>
          <w:szCs w:val="24"/>
          <w:lang w:val="it-IT"/>
        </w:rPr>
        <w:t>agevole</w:t>
      </w:r>
      <w:r w:rsidR="008C7581" w:rsidRPr="006F07C8">
        <w:rPr>
          <w:rFonts w:ascii="Times New Roman" w:hAnsi="Times New Roman" w:cs="Times New Roman"/>
          <w:sz w:val="24"/>
          <w:szCs w:val="24"/>
          <w:lang w:val="it-IT"/>
        </w:rPr>
        <w:t xml:space="preserve"> ai documenti</w:t>
      </w:r>
      <w:r w:rsidR="00951EEF" w:rsidRPr="006F07C8">
        <w:rPr>
          <w:rFonts w:ascii="Times New Roman" w:hAnsi="Times New Roman" w:cs="Times New Roman"/>
          <w:sz w:val="24"/>
          <w:szCs w:val="24"/>
          <w:lang w:val="it-IT"/>
        </w:rPr>
        <w:t xml:space="preserve">. </w:t>
      </w:r>
      <w:r w:rsidR="00164630" w:rsidRPr="006F07C8">
        <w:rPr>
          <w:rFonts w:ascii="Times New Roman" w:hAnsi="Times New Roman" w:cs="Times New Roman"/>
          <w:noProof/>
          <w:sz w:val="24"/>
          <w:szCs w:val="24"/>
          <w:lang w:val="it-IT"/>
        </w:rPr>
        <w:t xml:space="preserve">A tal proposito va subito </w:t>
      </w:r>
      <w:r w:rsidR="00D82A33" w:rsidRPr="006F07C8">
        <w:rPr>
          <w:rFonts w:ascii="Times New Roman" w:hAnsi="Times New Roman" w:cs="Times New Roman"/>
          <w:noProof/>
          <w:sz w:val="24"/>
          <w:szCs w:val="24"/>
          <w:lang w:val="it-IT"/>
        </w:rPr>
        <w:t>precisato</w:t>
      </w:r>
      <w:r w:rsidR="00164630" w:rsidRPr="006F07C8">
        <w:rPr>
          <w:rFonts w:ascii="Times New Roman" w:hAnsi="Times New Roman" w:cs="Times New Roman"/>
          <w:noProof/>
          <w:sz w:val="24"/>
          <w:szCs w:val="24"/>
          <w:lang w:val="it-IT"/>
        </w:rPr>
        <w:t xml:space="preserve"> che la differenza concettuale fra inglese e “English as a Lingua Franca” o ELF (Hülmbauer e Seidlhofer </w:t>
      </w:r>
      <w:hyperlink w:anchor="_ENREF_47" w:tooltip="Hülmbauer, 2013 #810" w:history="1">
        <w:r w:rsidR="00101624" w:rsidRPr="006F07C8">
          <w:rPr>
            <w:rFonts w:ascii="Times New Roman" w:hAnsi="Times New Roman" w:cs="Times New Roman"/>
            <w:noProof/>
            <w:sz w:val="24"/>
            <w:szCs w:val="24"/>
            <w:lang w:val="it-IT"/>
          </w:rPr>
          <w:fldChar w:fldCharType="begin"/>
        </w:r>
        <w:r w:rsidR="00101624" w:rsidRPr="006F07C8">
          <w:rPr>
            <w:rFonts w:ascii="Times New Roman" w:hAnsi="Times New Roman" w:cs="Times New Roman"/>
            <w:noProof/>
            <w:sz w:val="24"/>
            <w:szCs w:val="24"/>
            <w:lang w:val="it-IT"/>
          </w:rPr>
          <w:instrText xml:space="preserve"> ADDIN EN.CITE &lt;EndNote&gt;&lt;Cite ExcludeAuth="1"&gt;&lt;Author&gt;Hülmbauer&lt;/Author&gt;&lt;Year&gt;2013&lt;/Year&gt;&lt;RecNum&gt;810&lt;/RecNum&gt;&lt;DisplayText&gt;2013&lt;/DisplayText&gt;&lt;record&gt;&lt;rec-number&gt;810&lt;/rec-number&gt;&lt;foreign-keys&gt;&lt;key app="EN" db-id="wvvszzd93a0z5wesdfpvdv9z5wrra5p05axp"&gt;810&lt;/key&gt;&lt;/foreign-keys&gt;&lt;ref-type name="Book Section"&gt;5&lt;/ref-type&gt;&lt;contributors&gt;&lt;authors&gt;&lt;author&gt;Hülmbauer, Cornelia&lt;/author&gt;&lt;author&gt;Seidlhofer, Barbara&lt;/author&gt;&lt;/authors&gt;&lt;secondary-authors&gt;&lt;author&gt;Berthoud, Anne-Claude&lt;/author&gt;&lt;author&gt;Grin, François&lt;/author&gt;&lt;author&gt;Lüdi, Georges&lt;/author&gt;&lt;/secondary-authors&gt;&lt;/contributors&gt;&lt;titles&gt;&lt;title&gt;English as a lingua franca in European multilingualism&lt;/title&gt;&lt;secondary-title&gt;Exploring the dynamics of multilingualism&lt;/secondary-title&gt;&lt;/titles&gt;&lt;pages&gt;387-406&lt;/pages&gt;&lt;dates&gt;&lt;year&gt;2013&lt;/year&gt;&lt;/dates&gt;&lt;pub-location&gt;Amsterdam&lt;/pub-location&gt;&lt;publisher&gt;John Benjamins&lt;/publisher&gt;&lt;urls&gt;&lt;/urls&gt;&lt;/record&gt;&lt;/Cite&gt;&lt;/EndNote&gt;</w:instrText>
        </w:r>
        <w:r w:rsidR="00101624" w:rsidRPr="006F07C8">
          <w:rPr>
            <w:rFonts w:ascii="Times New Roman" w:hAnsi="Times New Roman" w:cs="Times New Roman"/>
            <w:noProof/>
            <w:sz w:val="24"/>
            <w:szCs w:val="24"/>
            <w:lang w:val="it-IT"/>
          </w:rPr>
          <w:fldChar w:fldCharType="separate"/>
        </w:r>
        <w:r w:rsidR="00101624" w:rsidRPr="006F07C8">
          <w:rPr>
            <w:rFonts w:ascii="Times New Roman" w:hAnsi="Times New Roman" w:cs="Times New Roman"/>
            <w:noProof/>
            <w:sz w:val="24"/>
            <w:szCs w:val="24"/>
            <w:lang w:val="it-IT"/>
          </w:rPr>
          <w:t>2013</w:t>
        </w:r>
        <w:r w:rsidR="00101624" w:rsidRPr="006F07C8">
          <w:rPr>
            <w:rFonts w:ascii="Times New Roman" w:hAnsi="Times New Roman" w:cs="Times New Roman"/>
            <w:noProof/>
            <w:sz w:val="24"/>
            <w:szCs w:val="24"/>
            <w:lang w:val="it-IT"/>
          </w:rPr>
          <w:fldChar w:fldCharType="end"/>
        </w:r>
      </w:hyperlink>
      <w:r w:rsidR="00164630" w:rsidRPr="006F07C8">
        <w:rPr>
          <w:rFonts w:ascii="Times New Roman" w:hAnsi="Times New Roman" w:cs="Times New Roman"/>
          <w:noProof/>
          <w:sz w:val="24"/>
          <w:szCs w:val="24"/>
          <w:lang w:val="it-IT"/>
        </w:rPr>
        <w:t>, Seidlhofer</w:t>
      </w:r>
      <w:r w:rsidR="00164630" w:rsidRPr="006F07C8">
        <w:rPr>
          <w:rFonts w:ascii="Times New Roman" w:hAnsi="Times New Roman" w:cs="Times New Roman"/>
          <w:i/>
          <w:noProof/>
          <w:sz w:val="24"/>
          <w:szCs w:val="24"/>
          <w:lang w:val="it-IT"/>
        </w:rPr>
        <w:t xml:space="preserve"> et al.</w:t>
      </w:r>
      <w:r w:rsidR="00164630" w:rsidRPr="006F07C8">
        <w:rPr>
          <w:rFonts w:ascii="Times New Roman" w:hAnsi="Times New Roman" w:cs="Times New Roman"/>
          <w:noProof/>
          <w:sz w:val="24"/>
          <w:szCs w:val="24"/>
          <w:lang w:val="it-IT"/>
        </w:rPr>
        <w:t xml:space="preserve"> </w:t>
      </w:r>
      <w:hyperlink w:anchor="_ENREF_70" w:tooltip="Seidlhofer, 2006 #457" w:history="1">
        <w:r w:rsidR="00101624" w:rsidRPr="006F07C8">
          <w:rPr>
            <w:rFonts w:ascii="Times New Roman" w:hAnsi="Times New Roman" w:cs="Times New Roman"/>
            <w:noProof/>
            <w:sz w:val="24"/>
            <w:szCs w:val="24"/>
            <w:lang w:val="it-IT"/>
          </w:rPr>
          <w:fldChar w:fldCharType="begin"/>
        </w:r>
        <w:r w:rsidR="00101624" w:rsidRPr="006F07C8">
          <w:rPr>
            <w:rFonts w:ascii="Times New Roman" w:hAnsi="Times New Roman" w:cs="Times New Roman"/>
            <w:noProof/>
            <w:sz w:val="24"/>
            <w:szCs w:val="24"/>
            <w:lang w:val="it-IT"/>
          </w:rPr>
          <w:instrText xml:space="preserve"> ADDIN EN.CITE &lt;EndNote&gt;&lt;Cite ExcludeAuth="1"&gt;&lt;Author&gt;Seidlhofer&lt;/Author&gt;&lt;Year&gt;2006&lt;/Year&gt;&lt;RecNum&gt;457&lt;/RecNum&gt;&lt;DisplayText&gt;2006&lt;/DisplayText&gt;&lt;record&gt;&lt;rec-number&gt;457&lt;/rec-number&gt;&lt;foreign-keys&gt;&lt;key app="EN" db-id="wvvszzd93a0z5wesdfpvdv9z5wrra5p05axp"&gt;457&lt;/key&gt;&lt;/foreign-keys&gt;&lt;ref-type name="Journal Article"&gt;17&lt;/ref-type&gt;&lt;contributors&gt;&lt;authors&gt;&lt;author&gt;Seidlhofer, Barbara&lt;/author&gt;&lt;author&gt;Breiteneder, Angelika&lt;/author&gt;&lt;author&gt;Pitzl, Marie-Luise&lt;/author&gt;&lt;/authors&gt;&lt;/contributors&gt;&lt;titles&gt;&lt;title&gt;English as a lingua franca in Europe: Challenges for applied linguistics&lt;/title&gt;&lt;secondary-title&gt;Annual Review of Applied Linguistics &lt;/secondary-title&gt;&lt;/titles&gt;&lt;periodical&gt;&lt;full-title&gt;Annual Review of Applied Linguistics&lt;/full-title&gt;&lt;/periodical&gt;&lt;pages&gt;3-34&lt;/pages&gt;&lt;volume&gt;26&lt;/volume&gt;&lt;dates&gt;&lt;year&gt;2006&lt;/year&gt;&lt;/dates&gt;&lt;urls&gt;&lt;/urls&gt;&lt;/record&gt;&lt;/Cite&gt;&lt;/EndNote&gt;</w:instrText>
        </w:r>
        <w:r w:rsidR="00101624" w:rsidRPr="006F07C8">
          <w:rPr>
            <w:rFonts w:ascii="Times New Roman" w:hAnsi="Times New Roman" w:cs="Times New Roman"/>
            <w:noProof/>
            <w:sz w:val="24"/>
            <w:szCs w:val="24"/>
            <w:lang w:val="it-IT"/>
          </w:rPr>
          <w:fldChar w:fldCharType="separate"/>
        </w:r>
        <w:r w:rsidR="00101624" w:rsidRPr="006F07C8">
          <w:rPr>
            <w:rFonts w:ascii="Times New Roman" w:hAnsi="Times New Roman" w:cs="Times New Roman"/>
            <w:noProof/>
            <w:sz w:val="24"/>
            <w:szCs w:val="24"/>
            <w:lang w:val="it-IT"/>
          </w:rPr>
          <w:t>2006</w:t>
        </w:r>
        <w:r w:rsidR="00101624" w:rsidRPr="006F07C8">
          <w:rPr>
            <w:rFonts w:ascii="Times New Roman" w:hAnsi="Times New Roman" w:cs="Times New Roman"/>
            <w:noProof/>
            <w:sz w:val="24"/>
            <w:szCs w:val="24"/>
            <w:lang w:val="it-IT"/>
          </w:rPr>
          <w:fldChar w:fldCharType="end"/>
        </w:r>
      </w:hyperlink>
      <w:r w:rsidR="00164630" w:rsidRPr="006F07C8">
        <w:rPr>
          <w:rFonts w:ascii="Times New Roman" w:hAnsi="Times New Roman" w:cs="Times New Roman"/>
          <w:noProof/>
          <w:sz w:val="24"/>
          <w:szCs w:val="24"/>
          <w:lang w:val="it-IT"/>
        </w:rPr>
        <w:t xml:space="preserve">, Cogo e Jenkins </w:t>
      </w:r>
      <w:hyperlink w:anchor="_ENREF_12" w:tooltip="Cogo, 2010 #804" w:history="1">
        <w:r w:rsidR="00101624" w:rsidRPr="006F07C8">
          <w:rPr>
            <w:rFonts w:ascii="Times New Roman" w:hAnsi="Times New Roman" w:cs="Times New Roman"/>
            <w:noProof/>
            <w:sz w:val="24"/>
            <w:szCs w:val="24"/>
            <w:lang w:val="it-IT"/>
          </w:rPr>
          <w:fldChar w:fldCharType="begin"/>
        </w:r>
        <w:r w:rsidR="00101624" w:rsidRPr="006F07C8">
          <w:rPr>
            <w:rFonts w:ascii="Times New Roman" w:hAnsi="Times New Roman" w:cs="Times New Roman"/>
            <w:noProof/>
            <w:sz w:val="24"/>
            <w:szCs w:val="24"/>
            <w:lang w:val="it-IT"/>
          </w:rPr>
          <w:instrText xml:space="preserve"> ADDIN EN.CITE &lt;EndNote&gt;&lt;Cite ExcludeAuth="1"&gt;&lt;Author&gt;Cogo&lt;/Author&gt;&lt;Year&gt;2010&lt;/Year&gt;&lt;RecNum&gt;804&lt;/RecNum&gt;&lt;DisplayText&gt;2010&lt;/DisplayText&gt;&lt;record&gt;&lt;rec-number&gt;804&lt;/rec-number&gt;&lt;foreign-keys&gt;&lt;key app="EN" db-id="wvvszzd93a0z5wesdfpvdv9z5wrra5p05axp"&gt;804&lt;/key&gt;&lt;/foreign-keys&gt;&lt;ref-type name="Journal Article"&gt;17&lt;/ref-type&gt;&lt;contributors&gt;&lt;authors&gt;&lt;author&gt;Cogo, Alessia&lt;/author&gt;&lt;author&gt;Jenkins, Jennifer&lt;/author&gt;&lt;/authors&gt;&lt;/contributors&gt;&lt;titles&gt;&lt;title&gt;English as a lingua franca in Europe. A mismatch between policy and practice&lt;/title&gt;&lt;secondary-title&gt;European Journal of Language Policy&lt;/secondary-title&gt;&lt;/titles&gt;&lt;periodical&gt;&lt;full-title&gt;European Journal of Language Policy&lt;/full-title&gt;&lt;/periodical&gt;&lt;pages&gt;271–294&lt;/pages&gt;&lt;volume&gt;2&lt;/volume&gt;&lt;number&gt;2&lt;/number&gt;&lt;dates&gt;&lt;year&gt;2010&lt;/year&gt;&lt;/dates&gt;&lt;urls&gt;&lt;/urls&gt;&lt;/record&gt;&lt;/Cite&gt;&lt;/EndNote&gt;</w:instrText>
        </w:r>
        <w:r w:rsidR="00101624" w:rsidRPr="006F07C8">
          <w:rPr>
            <w:rFonts w:ascii="Times New Roman" w:hAnsi="Times New Roman" w:cs="Times New Roman"/>
            <w:noProof/>
            <w:sz w:val="24"/>
            <w:szCs w:val="24"/>
            <w:lang w:val="it-IT"/>
          </w:rPr>
          <w:fldChar w:fldCharType="separate"/>
        </w:r>
        <w:r w:rsidR="00101624" w:rsidRPr="006F07C8">
          <w:rPr>
            <w:rFonts w:ascii="Times New Roman" w:hAnsi="Times New Roman" w:cs="Times New Roman"/>
            <w:noProof/>
            <w:sz w:val="24"/>
            <w:szCs w:val="24"/>
            <w:lang w:val="it-IT"/>
          </w:rPr>
          <w:t>2010</w:t>
        </w:r>
        <w:r w:rsidR="00101624" w:rsidRPr="006F07C8">
          <w:rPr>
            <w:rFonts w:ascii="Times New Roman" w:hAnsi="Times New Roman" w:cs="Times New Roman"/>
            <w:noProof/>
            <w:sz w:val="24"/>
            <w:szCs w:val="24"/>
            <w:lang w:val="it-IT"/>
          </w:rPr>
          <w:fldChar w:fldCharType="end"/>
        </w:r>
      </w:hyperlink>
      <w:r w:rsidR="00164630" w:rsidRPr="006F07C8">
        <w:rPr>
          <w:rFonts w:ascii="Times New Roman" w:hAnsi="Times New Roman" w:cs="Times New Roman"/>
          <w:noProof/>
          <w:sz w:val="24"/>
          <w:szCs w:val="24"/>
          <w:lang w:val="it-IT"/>
        </w:rPr>
        <w:t xml:space="preserve">, Formentelli </w:t>
      </w:r>
      <w:hyperlink w:anchor="_ENREF_26" w:tooltip="Formentelli, 2012 #860" w:history="1">
        <w:r w:rsidR="00101624" w:rsidRPr="006F07C8">
          <w:rPr>
            <w:rFonts w:ascii="Times New Roman" w:hAnsi="Times New Roman" w:cs="Times New Roman"/>
            <w:noProof/>
            <w:sz w:val="24"/>
            <w:szCs w:val="24"/>
            <w:lang w:val="it-IT"/>
          </w:rPr>
          <w:fldChar w:fldCharType="begin"/>
        </w:r>
        <w:r w:rsidR="00101624" w:rsidRPr="006F07C8">
          <w:rPr>
            <w:rFonts w:ascii="Times New Roman" w:hAnsi="Times New Roman" w:cs="Times New Roman"/>
            <w:noProof/>
            <w:sz w:val="24"/>
            <w:szCs w:val="24"/>
            <w:lang w:val="it-IT"/>
          </w:rPr>
          <w:instrText xml:space="preserve"> ADDIN EN.CITE &lt;EndNote&gt;&lt;Cite ExcludeAuth="1"&gt;&lt;Author&gt;Formentelli&lt;/Author&gt;&lt;Year&gt;2012&lt;/Year&gt;&lt;RecNum&gt;860&lt;/RecNum&gt;&lt;DisplayText&gt;2012&lt;/DisplayText&gt;&lt;record&gt;&lt;rec-number&gt;860&lt;/rec-number&gt;&lt;foreign-keys&gt;&lt;key app="EN" db-id="wvvszzd93a0z5wesdfpvdv9z5wrra5p05axp"&gt;860&lt;/key&gt;&lt;/foreign-keys&gt;&lt;ref-type name="Journal Article"&gt;17&lt;/ref-type&gt;&lt;contributors&gt;&lt;authors&gt;&lt;author&gt;Formentelli, Maicol&lt;/author&gt;&lt;/authors&gt;&lt;/contributors&gt;&lt;titles&gt;&lt;title&gt;English Lingua Franca: Reality of Fiction? Assessing the debate on the status of English as a language of global communication&lt;/title&gt;&lt;secondary-title&gt;Studi italiani di linguistica teorica e applicata&lt;/secondary-title&gt;&lt;/titles&gt;&lt;periodical&gt;&lt;full-title&gt;Studi italiani di linguistica teorica e applicata&lt;/full-title&gt;&lt;/periodical&gt;&lt;pages&gt;19-48&lt;/pages&gt;&lt;volume&gt;61&lt;/volume&gt;&lt;number&gt;1&lt;/number&gt;&lt;dates&gt;&lt;year&gt;2012&lt;/year&gt;&lt;/dates&gt;&lt;urls&gt;&lt;/urls&gt;&lt;/record&gt;&lt;/Cite&gt;&lt;/EndNote&gt;</w:instrText>
        </w:r>
        <w:r w:rsidR="00101624" w:rsidRPr="006F07C8">
          <w:rPr>
            <w:rFonts w:ascii="Times New Roman" w:hAnsi="Times New Roman" w:cs="Times New Roman"/>
            <w:noProof/>
            <w:sz w:val="24"/>
            <w:szCs w:val="24"/>
            <w:lang w:val="it-IT"/>
          </w:rPr>
          <w:fldChar w:fldCharType="separate"/>
        </w:r>
        <w:r w:rsidR="00101624" w:rsidRPr="006F07C8">
          <w:rPr>
            <w:rFonts w:ascii="Times New Roman" w:hAnsi="Times New Roman" w:cs="Times New Roman"/>
            <w:noProof/>
            <w:sz w:val="24"/>
            <w:szCs w:val="24"/>
            <w:lang w:val="it-IT"/>
          </w:rPr>
          <w:t>2012</w:t>
        </w:r>
        <w:r w:rsidR="00101624" w:rsidRPr="006F07C8">
          <w:rPr>
            <w:rFonts w:ascii="Times New Roman" w:hAnsi="Times New Roman" w:cs="Times New Roman"/>
            <w:noProof/>
            <w:sz w:val="24"/>
            <w:szCs w:val="24"/>
            <w:lang w:val="it-IT"/>
          </w:rPr>
          <w:fldChar w:fldCharType="end"/>
        </w:r>
      </w:hyperlink>
      <w:r w:rsidR="00164630" w:rsidRPr="006F07C8">
        <w:rPr>
          <w:rFonts w:ascii="Times New Roman" w:hAnsi="Times New Roman" w:cs="Times New Roman"/>
          <w:noProof/>
          <w:sz w:val="24"/>
          <w:szCs w:val="24"/>
          <w:lang w:val="it-IT"/>
        </w:rPr>
        <w:t xml:space="preserve">) è priva di qualsiasi rilevanza nella valutazione dell’efficacia e dell’equità delle politiche linguistiche (Gazzola e Grin </w:t>
      </w:r>
      <w:hyperlink w:anchor="_ENREF_31" w:tooltip="Gazzola, 2013 #880" w:history="1">
        <w:r w:rsidR="00101624" w:rsidRPr="006F07C8">
          <w:rPr>
            <w:rFonts w:ascii="Times New Roman" w:hAnsi="Times New Roman" w:cs="Times New Roman"/>
            <w:noProof/>
            <w:sz w:val="24"/>
            <w:szCs w:val="24"/>
            <w:lang w:val="en-GB"/>
          </w:rPr>
          <w:fldChar w:fldCharType="begin"/>
        </w:r>
        <w:r w:rsidR="00101624" w:rsidRPr="006F07C8">
          <w:rPr>
            <w:rFonts w:ascii="Times New Roman" w:hAnsi="Times New Roman" w:cs="Times New Roman"/>
            <w:noProof/>
            <w:sz w:val="24"/>
            <w:szCs w:val="24"/>
            <w:lang w:val="it-IT"/>
          </w:rPr>
          <w:instrText xml:space="preserve"> ADDIN EN.CITE &lt;EndNote&gt;&lt;Cite ExcludeAuth="1"&gt;&lt;Author&gt;Gazzola&lt;/Author&gt;&lt;Year&gt;2013&lt;/Year&gt;&lt;RecNum&gt;880&lt;/RecNum&gt;&lt;DisplayText&gt;2013&lt;/DisplayText&gt;&lt;record&gt;&lt;rec-number&gt;880&lt;/rec-number&gt;&lt;foreign-keys&gt;&lt;key app="EN" db-id="wvvszzd93a0z5wesdfpvdv9z5wrra5p05axp"&gt;880&lt;/key&gt;&lt;/foreign-keys&gt;&lt;ref-type name="Journal Article"&gt;17&lt;/ref-type&gt;&lt;contributors&gt;&lt;authors&gt;&lt;author&gt;Gazzola, Michele&lt;/author&gt;&lt;author&gt;Grin, François&lt;/author&gt;&lt;/authors&gt;&lt;/contributors&gt;&lt;titles&gt;&lt;title&gt;Is ELF more effective and fair than translation? An evaluation of the EU’s multilingual regime&lt;/title&gt;&lt;secondary-title&gt;International Journal of Applied Linguistics&lt;/secondary-title&gt;&lt;/titles&gt;&lt;periodical&gt;&lt;full-title&gt;International Journal of Applied Linguistics&lt;/full-title&gt;&lt;/periodical&gt;&lt;pages&gt;93-107&lt;/pages&gt;&lt;volume&gt;23&lt;/volume&gt;&lt;number&gt;1&lt;/number&gt;&lt;dates&gt;&lt;year&gt;2013&lt;/year&gt;&lt;/dates&gt;&lt;urls&gt;&lt;/urls&gt;&lt;/record&gt;&lt;/Cite&gt;&lt;/EndNote&gt;</w:instrText>
        </w:r>
        <w:r w:rsidR="00101624" w:rsidRPr="006F07C8">
          <w:rPr>
            <w:rFonts w:ascii="Times New Roman" w:hAnsi="Times New Roman" w:cs="Times New Roman"/>
            <w:noProof/>
            <w:sz w:val="24"/>
            <w:szCs w:val="24"/>
            <w:lang w:val="en-GB"/>
          </w:rPr>
          <w:fldChar w:fldCharType="separate"/>
        </w:r>
        <w:r w:rsidR="00101624" w:rsidRPr="006F07C8">
          <w:rPr>
            <w:rFonts w:ascii="Times New Roman" w:hAnsi="Times New Roman" w:cs="Times New Roman"/>
            <w:noProof/>
            <w:sz w:val="24"/>
            <w:szCs w:val="24"/>
            <w:lang w:val="it-IT"/>
          </w:rPr>
          <w:t>2013</w:t>
        </w:r>
        <w:r w:rsidR="00101624" w:rsidRPr="006F07C8">
          <w:rPr>
            <w:rFonts w:ascii="Times New Roman" w:hAnsi="Times New Roman" w:cs="Times New Roman"/>
            <w:noProof/>
            <w:sz w:val="24"/>
            <w:szCs w:val="24"/>
            <w:lang w:val="it-IT"/>
          </w:rPr>
          <w:fldChar w:fldCharType="end"/>
        </w:r>
      </w:hyperlink>
      <w:r w:rsidR="00164630" w:rsidRPr="006F07C8">
        <w:rPr>
          <w:rFonts w:ascii="Times New Roman" w:hAnsi="Times New Roman" w:cs="Times New Roman"/>
          <w:noProof/>
          <w:sz w:val="24"/>
          <w:szCs w:val="24"/>
          <w:lang w:val="it-IT"/>
        </w:rPr>
        <w:t>).</w:t>
      </w:r>
    </w:p>
    <w:p w:rsidR="00164630" w:rsidRPr="006F07C8" w:rsidRDefault="00DD0B88" w:rsidP="002F52A9">
      <w:pPr>
        <w:spacing w:line="240" w:lineRule="auto"/>
        <w:jc w:val="both"/>
        <w:rPr>
          <w:rFonts w:ascii="Times New Roman" w:hAnsi="Times New Roman" w:cs="Times New Roman"/>
          <w:bCs/>
          <w:sz w:val="24"/>
          <w:szCs w:val="24"/>
          <w:lang w:val="it-IT"/>
        </w:rPr>
      </w:pPr>
      <w:r w:rsidRPr="006F07C8">
        <w:rPr>
          <w:rFonts w:ascii="Times New Roman" w:hAnsi="Times New Roman" w:cs="Times New Roman"/>
          <w:sz w:val="24"/>
          <w:szCs w:val="24"/>
          <w:lang w:val="it-IT"/>
        </w:rPr>
        <w:t xml:space="preserve">Poiché mancano i dati per livello competenza nelle lingue straniere (prima e seconda) per la Danimarca e i dati per livello competenza nella seconda lingua straniera per l’Italia, </w:t>
      </w:r>
      <w:r w:rsidR="00B02959" w:rsidRPr="006F07C8">
        <w:rPr>
          <w:rFonts w:ascii="Times New Roman" w:hAnsi="Times New Roman" w:cs="Times New Roman"/>
          <w:bCs/>
          <w:sz w:val="24"/>
          <w:szCs w:val="24"/>
          <w:lang w:val="it-IT"/>
        </w:rPr>
        <w:t xml:space="preserve">verosimilmente </w:t>
      </w:r>
      <w:r w:rsidRPr="006F07C8">
        <w:rPr>
          <w:rFonts w:ascii="Times New Roman" w:hAnsi="Times New Roman" w:cs="Times New Roman"/>
          <w:sz w:val="24"/>
          <w:szCs w:val="24"/>
          <w:lang w:val="it-IT"/>
        </w:rPr>
        <w:t xml:space="preserve">il valore reale dell’indicatore </w:t>
      </w:r>
      <w:r w:rsidRPr="006F07C8">
        <w:rPr>
          <w:rFonts w:ascii="Times New Roman" w:hAnsi="Times New Roman" w:cs="Times New Roman"/>
          <w:bCs/>
          <w:i/>
          <w:sz w:val="24"/>
          <w:szCs w:val="24"/>
          <w:lang w:val="it-IT"/>
        </w:rPr>
        <w:t>E</w:t>
      </w:r>
      <w:r w:rsidRPr="006F07C8">
        <w:rPr>
          <w:rFonts w:ascii="Times New Roman" w:hAnsi="Times New Roman" w:cs="Times New Roman"/>
          <w:bCs/>
          <w:i/>
          <w:sz w:val="24"/>
          <w:szCs w:val="24"/>
          <w:vertAlign w:val="subscript"/>
          <w:lang w:val="it-IT"/>
        </w:rPr>
        <w:t>r</w:t>
      </w:r>
      <w:r w:rsidRPr="006F07C8">
        <w:rPr>
          <w:rFonts w:ascii="Times New Roman" w:hAnsi="Times New Roman" w:cs="Times New Roman"/>
          <w:bCs/>
          <w:sz w:val="24"/>
          <w:szCs w:val="24"/>
          <w:lang w:val="it-IT"/>
        </w:rPr>
        <w:t xml:space="preserve"> per i 24 paesi considerati è leggermente inferiore a </w:t>
      </w:r>
      <w:r w:rsidR="00992B3D" w:rsidRPr="006F07C8">
        <w:rPr>
          <w:rFonts w:ascii="Times New Roman" w:hAnsi="Times New Roman" w:cs="Times New Roman"/>
          <w:bCs/>
          <w:sz w:val="24"/>
          <w:szCs w:val="24"/>
          <w:lang w:val="it-IT"/>
        </w:rPr>
        <w:t>quello indicato</w:t>
      </w:r>
      <w:r w:rsidR="00633970" w:rsidRPr="006F07C8">
        <w:rPr>
          <w:rFonts w:ascii="Times New Roman" w:hAnsi="Times New Roman" w:cs="Times New Roman"/>
          <w:bCs/>
          <w:sz w:val="24"/>
          <w:szCs w:val="24"/>
          <w:lang w:val="it-IT"/>
        </w:rPr>
        <w:t>,</w:t>
      </w:r>
      <w:r w:rsidR="00992B3D" w:rsidRPr="006F07C8">
        <w:rPr>
          <w:rFonts w:ascii="Times New Roman" w:hAnsi="Times New Roman" w:cs="Times New Roman"/>
          <w:bCs/>
          <w:sz w:val="24"/>
          <w:szCs w:val="24"/>
          <w:lang w:val="it-IT"/>
        </w:rPr>
        <w:t xml:space="preserve"> </w:t>
      </w:r>
      <w:r w:rsidRPr="006F07C8">
        <w:rPr>
          <w:rFonts w:ascii="Times New Roman" w:hAnsi="Times New Roman" w:cs="Times New Roman"/>
          <w:bCs/>
          <w:sz w:val="24"/>
          <w:szCs w:val="24"/>
          <w:lang w:val="it-IT"/>
        </w:rPr>
        <w:t xml:space="preserve">ma comunque </w:t>
      </w:r>
      <w:r w:rsidR="00992B3D" w:rsidRPr="006F07C8">
        <w:rPr>
          <w:rFonts w:ascii="Times New Roman" w:hAnsi="Times New Roman" w:cs="Times New Roman"/>
          <w:bCs/>
          <w:sz w:val="24"/>
          <w:szCs w:val="24"/>
          <w:lang w:val="it-IT"/>
        </w:rPr>
        <w:t>elevato.</w:t>
      </w:r>
      <w:r w:rsidR="00D47C06" w:rsidRPr="006F07C8">
        <w:rPr>
          <w:rFonts w:ascii="Times New Roman" w:hAnsi="Times New Roman" w:cs="Times New Roman"/>
          <w:bCs/>
          <w:sz w:val="24"/>
          <w:szCs w:val="24"/>
          <w:lang w:val="it-IT"/>
        </w:rPr>
        <w:t xml:space="preserve"> </w:t>
      </w:r>
      <w:r w:rsidR="00C33905" w:rsidRPr="006F07C8">
        <w:rPr>
          <w:rFonts w:ascii="Times New Roman" w:hAnsi="Times New Roman" w:cs="Times New Roman"/>
          <w:bCs/>
          <w:sz w:val="24"/>
          <w:szCs w:val="24"/>
          <w:lang w:val="it-IT"/>
        </w:rPr>
        <w:t xml:space="preserve">Uno studio recente effettuato con i dati dell’indagine statistica </w:t>
      </w:r>
      <w:r w:rsidR="00C33905" w:rsidRPr="006F07C8">
        <w:rPr>
          <w:rFonts w:ascii="Times New Roman" w:hAnsi="Times New Roman" w:cs="Times New Roman"/>
          <w:bCs/>
          <w:i/>
          <w:sz w:val="24"/>
          <w:szCs w:val="24"/>
          <w:lang w:val="it-IT"/>
        </w:rPr>
        <w:t xml:space="preserve">Eurobarometro </w:t>
      </w:r>
      <w:r w:rsidR="00C33905" w:rsidRPr="006F07C8">
        <w:rPr>
          <w:rFonts w:ascii="Times New Roman" w:hAnsi="Times New Roman" w:cs="Times New Roman"/>
          <w:bCs/>
          <w:sz w:val="24"/>
          <w:szCs w:val="24"/>
          <w:lang w:val="it-IT"/>
        </w:rPr>
        <w:t xml:space="preserve">sulle competenze linguistiche degli europei </w:t>
      </w:r>
      <w:r w:rsidR="00317DA7" w:rsidRPr="006F07C8">
        <w:rPr>
          <w:rFonts w:ascii="Times New Roman" w:hAnsi="Times New Roman" w:cs="Times New Roman"/>
          <w:bCs/>
          <w:sz w:val="24"/>
          <w:szCs w:val="24"/>
          <w:lang w:val="it-IT"/>
        </w:rPr>
        <w:t xml:space="preserve">nel 2012 </w:t>
      </w:r>
      <w:r w:rsidR="00C33905" w:rsidRPr="006F07C8">
        <w:rPr>
          <w:rFonts w:ascii="Times New Roman" w:hAnsi="Times New Roman" w:cs="Times New Roman"/>
          <w:bCs/>
          <w:sz w:val="24"/>
          <w:szCs w:val="24"/>
          <w:lang w:val="it-IT"/>
        </w:rPr>
        <w:t>(</w:t>
      </w:r>
      <w:r w:rsidR="00317DA7" w:rsidRPr="006F07C8">
        <w:rPr>
          <w:rFonts w:ascii="Times New Roman" w:hAnsi="Times New Roman" w:cs="Times New Roman"/>
          <w:bCs/>
          <w:sz w:val="24"/>
          <w:szCs w:val="24"/>
          <w:lang w:val="it-IT"/>
        </w:rPr>
        <w:t xml:space="preserve">Gazzola e Grin </w:t>
      </w:r>
      <w:hyperlink w:anchor="_ENREF_31" w:tooltip="Gazzola, 2013 #880" w:history="1">
        <w:r w:rsidR="00101624" w:rsidRPr="006F07C8">
          <w:rPr>
            <w:rFonts w:ascii="Times New Roman" w:hAnsi="Times New Roman" w:cs="Times New Roman"/>
            <w:bCs/>
            <w:sz w:val="24"/>
            <w:szCs w:val="24"/>
            <w:lang w:val="it-IT"/>
          </w:rPr>
          <w:fldChar w:fldCharType="begin"/>
        </w:r>
        <w:r w:rsidR="00101624" w:rsidRPr="006F07C8">
          <w:rPr>
            <w:rFonts w:ascii="Times New Roman" w:hAnsi="Times New Roman" w:cs="Times New Roman"/>
            <w:bCs/>
            <w:sz w:val="24"/>
            <w:szCs w:val="24"/>
            <w:lang w:val="it-IT"/>
          </w:rPr>
          <w:instrText xml:space="preserve"> ADDIN EN.CITE &lt;EndNote&gt;&lt;Cite ExcludeAuth="1"&gt;&lt;Author&gt;Gazzola&lt;/Author&gt;&lt;Year&gt;2013&lt;/Year&gt;&lt;RecNum&gt;880&lt;/RecNum&gt;&lt;DisplayText&gt;2013&lt;/DisplayText&gt;&lt;record&gt;&lt;rec-number&gt;880&lt;/rec-number&gt;&lt;foreign-keys&gt;&lt;key app="EN" db-id="wvvszzd93a0z5wesdfpvdv9z5wrra5p05axp"&gt;880&lt;/key&gt;&lt;/foreign-keys&gt;&lt;ref-type name="Journal Article"&gt;17&lt;/ref-type&gt;&lt;contributors&gt;&lt;authors&gt;&lt;author&gt;Gazzola, Michele&lt;/author&gt;&lt;author&gt;Grin, François&lt;/author&gt;&lt;/authors&gt;&lt;/contributors&gt;&lt;titles&gt;&lt;title&gt;Is ELF more effective and fair than translation? An evaluation of the EU’s multilingual regime&lt;/title&gt;&lt;secondary-title&gt;International Journal of Applied Linguistics&lt;/secondary-title&gt;&lt;/titles&gt;&lt;periodical&gt;&lt;full-title&gt;International Journal of Applied Linguistics&lt;/full-title&gt;&lt;/periodical&gt;&lt;pages&gt;93-107&lt;/pages&gt;&lt;volume&gt;23&lt;/volume&gt;&lt;number&gt;1&lt;/number&gt;&lt;dates&gt;&lt;year&gt;2013&lt;/year&gt;&lt;/dates&gt;&lt;urls&gt;&lt;/urls&gt;&lt;/record&gt;&lt;/Cite&gt;&lt;/EndNote&gt;</w:instrText>
        </w:r>
        <w:r w:rsidR="00101624" w:rsidRPr="006F07C8">
          <w:rPr>
            <w:rFonts w:ascii="Times New Roman" w:hAnsi="Times New Roman" w:cs="Times New Roman"/>
            <w:bCs/>
            <w:sz w:val="24"/>
            <w:szCs w:val="24"/>
            <w:lang w:val="it-IT"/>
          </w:rPr>
          <w:fldChar w:fldCharType="separate"/>
        </w:r>
        <w:r w:rsidR="00101624" w:rsidRPr="006F07C8">
          <w:rPr>
            <w:rFonts w:ascii="Times New Roman" w:hAnsi="Times New Roman" w:cs="Times New Roman"/>
            <w:bCs/>
            <w:sz w:val="24"/>
            <w:szCs w:val="24"/>
            <w:lang w:val="it-IT"/>
          </w:rPr>
          <w:t>2013</w:t>
        </w:r>
        <w:r w:rsidR="00101624" w:rsidRPr="006F07C8">
          <w:rPr>
            <w:rFonts w:ascii="Times New Roman" w:hAnsi="Times New Roman" w:cs="Times New Roman"/>
            <w:bCs/>
            <w:sz w:val="24"/>
            <w:szCs w:val="24"/>
            <w:lang w:val="it-IT"/>
          </w:rPr>
          <w:fldChar w:fldCharType="end"/>
        </w:r>
      </w:hyperlink>
      <w:r w:rsidR="00C33905" w:rsidRPr="006F07C8">
        <w:rPr>
          <w:rFonts w:ascii="Times New Roman" w:hAnsi="Times New Roman" w:cs="Times New Roman"/>
          <w:bCs/>
          <w:sz w:val="24"/>
          <w:szCs w:val="24"/>
          <w:lang w:val="it-IT"/>
        </w:rPr>
        <w:t xml:space="preserve">), cioè con un database diverso dalla IEA, </w:t>
      </w:r>
      <w:r w:rsidR="00317DA7" w:rsidRPr="006F07C8">
        <w:rPr>
          <w:rFonts w:ascii="Times New Roman" w:hAnsi="Times New Roman" w:cs="Times New Roman"/>
          <w:bCs/>
          <w:sz w:val="24"/>
          <w:szCs w:val="24"/>
          <w:lang w:val="it-IT"/>
        </w:rPr>
        <w:t>converge su percentuali simili</w:t>
      </w:r>
      <w:r w:rsidR="00C33905" w:rsidRPr="006F07C8">
        <w:rPr>
          <w:rFonts w:ascii="Times New Roman" w:hAnsi="Times New Roman" w:cs="Times New Roman"/>
          <w:bCs/>
          <w:sz w:val="24"/>
          <w:szCs w:val="24"/>
          <w:lang w:val="it-IT"/>
        </w:rPr>
        <w:t>.</w:t>
      </w:r>
      <w:r w:rsidR="00367925" w:rsidRPr="006F07C8">
        <w:rPr>
          <w:rStyle w:val="FootnoteReference"/>
          <w:rFonts w:ascii="Times New Roman" w:hAnsi="Times New Roman" w:cs="Times New Roman"/>
          <w:bCs/>
          <w:sz w:val="24"/>
          <w:szCs w:val="24"/>
          <w:lang w:val="it-IT"/>
        </w:rPr>
        <w:footnoteReference w:id="22"/>
      </w:r>
      <w:r w:rsidR="00C33905" w:rsidRPr="006F07C8">
        <w:rPr>
          <w:rFonts w:ascii="Times New Roman" w:hAnsi="Times New Roman" w:cs="Times New Roman"/>
          <w:bCs/>
          <w:sz w:val="24"/>
          <w:szCs w:val="24"/>
          <w:lang w:val="it-IT"/>
        </w:rPr>
        <w:t xml:space="preserve"> </w:t>
      </w:r>
    </w:p>
    <w:p w:rsidR="00DD0B88" w:rsidRPr="006F07C8" w:rsidRDefault="00D47C06" w:rsidP="002F52A9">
      <w:pPr>
        <w:spacing w:line="240" w:lineRule="auto"/>
        <w:jc w:val="both"/>
        <w:rPr>
          <w:rFonts w:ascii="Times New Roman" w:hAnsi="Times New Roman" w:cs="Times New Roman"/>
          <w:sz w:val="24"/>
          <w:szCs w:val="24"/>
          <w:lang w:val="it-IT"/>
        </w:rPr>
      </w:pPr>
      <w:r w:rsidRPr="006F07C8">
        <w:rPr>
          <w:rFonts w:ascii="Times New Roman" w:hAnsi="Times New Roman" w:cs="Times New Roman"/>
          <w:bCs/>
          <w:sz w:val="24"/>
          <w:szCs w:val="24"/>
          <w:lang w:val="it-IT"/>
        </w:rPr>
        <w:t xml:space="preserve">I tassi di esclusione linguistica associati a un regime trilingue sono sensibilmente inferiori a quelli </w:t>
      </w:r>
      <w:r w:rsidR="00941AE0" w:rsidRPr="006F07C8">
        <w:rPr>
          <w:rFonts w:ascii="Times New Roman" w:hAnsi="Times New Roman" w:cs="Times New Roman"/>
          <w:bCs/>
          <w:sz w:val="24"/>
          <w:szCs w:val="24"/>
          <w:lang w:val="it-IT"/>
        </w:rPr>
        <w:t xml:space="preserve">derivanti dal </w:t>
      </w:r>
      <w:r w:rsidRPr="006F07C8">
        <w:rPr>
          <w:rFonts w:ascii="Times New Roman" w:hAnsi="Times New Roman" w:cs="Times New Roman"/>
          <w:bCs/>
          <w:sz w:val="24"/>
          <w:szCs w:val="24"/>
          <w:lang w:val="it-IT"/>
        </w:rPr>
        <w:t>regime monolingue</w:t>
      </w:r>
      <w:r w:rsidR="00633970" w:rsidRPr="006F07C8">
        <w:rPr>
          <w:rFonts w:ascii="Times New Roman" w:hAnsi="Times New Roman" w:cs="Times New Roman"/>
          <w:bCs/>
          <w:sz w:val="24"/>
          <w:szCs w:val="24"/>
          <w:lang w:val="it-IT"/>
        </w:rPr>
        <w:t>,</w:t>
      </w:r>
      <w:r w:rsidRPr="006F07C8">
        <w:rPr>
          <w:rFonts w:ascii="Times New Roman" w:hAnsi="Times New Roman" w:cs="Times New Roman"/>
          <w:bCs/>
          <w:sz w:val="24"/>
          <w:szCs w:val="24"/>
          <w:lang w:val="it-IT"/>
        </w:rPr>
        <w:t xml:space="preserve"> </w:t>
      </w:r>
      <w:r w:rsidR="007F05B3" w:rsidRPr="006F07C8">
        <w:rPr>
          <w:rFonts w:ascii="Times New Roman" w:hAnsi="Times New Roman" w:cs="Times New Roman"/>
          <w:bCs/>
          <w:sz w:val="24"/>
          <w:szCs w:val="24"/>
          <w:lang w:val="it-IT"/>
        </w:rPr>
        <w:t>pur</w:t>
      </w:r>
      <w:r w:rsidRPr="006F07C8">
        <w:rPr>
          <w:rFonts w:ascii="Times New Roman" w:hAnsi="Times New Roman" w:cs="Times New Roman"/>
          <w:bCs/>
          <w:sz w:val="24"/>
          <w:szCs w:val="24"/>
          <w:lang w:val="it-IT"/>
        </w:rPr>
        <w:t xml:space="preserve"> </w:t>
      </w:r>
      <w:r w:rsidR="00814BB2" w:rsidRPr="006F07C8">
        <w:rPr>
          <w:rFonts w:ascii="Times New Roman" w:hAnsi="Times New Roman" w:cs="Times New Roman"/>
          <w:bCs/>
          <w:sz w:val="24"/>
          <w:szCs w:val="24"/>
          <w:lang w:val="it-IT"/>
        </w:rPr>
        <w:t>restan</w:t>
      </w:r>
      <w:r w:rsidR="007F05B3" w:rsidRPr="006F07C8">
        <w:rPr>
          <w:rFonts w:ascii="Times New Roman" w:hAnsi="Times New Roman" w:cs="Times New Roman"/>
          <w:bCs/>
          <w:sz w:val="24"/>
          <w:szCs w:val="24"/>
          <w:lang w:val="it-IT"/>
        </w:rPr>
        <w:t>d</w:t>
      </w:r>
      <w:r w:rsidR="00814BB2" w:rsidRPr="006F07C8">
        <w:rPr>
          <w:rFonts w:ascii="Times New Roman" w:hAnsi="Times New Roman" w:cs="Times New Roman"/>
          <w:bCs/>
          <w:sz w:val="24"/>
          <w:szCs w:val="24"/>
          <w:lang w:val="it-IT"/>
        </w:rPr>
        <w:t xml:space="preserve">o </w:t>
      </w:r>
      <w:r w:rsidR="007F05B3" w:rsidRPr="006F07C8">
        <w:rPr>
          <w:rFonts w:ascii="Times New Roman" w:hAnsi="Times New Roman" w:cs="Times New Roman"/>
          <w:bCs/>
          <w:sz w:val="24"/>
          <w:szCs w:val="24"/>
          <w:lang w:val="it-IT"/>
        </w:rPr>
        <w:t>alti. P</w:t>
      </w:r>
      <w:r w:rsidR="00941AE0" w:rsidRPr="006F07C8">
        <w:rPr>
          <w:rFonts w:ascii="Times New Roman" w:hAnsi="Times New Roman" w:cs="Times New Roman"/>
          <w:bCs/>
          <w:sz w:val="24"/>
          <w:szCs w:val="24"/>
          <w:lang w:val="it-IT"/>
        </w:rPr>
        <w:t>iù di un quarto della popolazione residente sarebbe totalmente esclusa dalla comunicazione in caso di oligarchia linguistica.</w:t>
      </w:r>
    </w:p>
    <w:p w:rsidR="00941AE0" w:rsidRPr="006F07C8" w:rsidRDefault="00D16556" w:rsidP="002F52A9">
      <w:pPr>
        <w:spacing w:line="240" w:lineRule="auto"/>
        <w:jc w:val="both"/>
        <w:rPr>
          <w:rFonts w:ascii="Times New Roman" w:hAnsi="Times New Roman" w:cs="Times New Roman"/>
          <w:sz w:val="24"/>
          <w:szCs w:val="24"/>
          <w:lang w:val="it-IT"/>
        </w:rPr>
      </w:pPr>
      <w:r w:rsidRPr="006F07C8">
        <w:rPr>
          <w:rFonts w:ascii="Times New Roman" w:hAnsi="Times New Roman" w:cs="Times New Roman"/>
          <w:sz w:val="24"/>
          <w:szCs w:val="24"/>
          <w:lang w:val="it-IT"/>
        </w:rPr>
        <w:t xml:space="preserve">Il regime linguistico a 24 lingue è quindi l’unico fra </w:t>
      </w:r>
      <w:r w:rsidR="00D82A33" w:rsidRPr="006F07C8">
        <w:rPr>
          <w:rFonts w:ascii="Times New Roman" w:hAnsi="Times New Roman" w:cs="Times New Roman"/>
          <w:sz w:val="24"/>
          <w:szCs w:val="24"/>
          <w:lang w:val="it-IT"/>
        </w:rPr>
        <w:t>le tre politiche linguistiche raffrontate</w:t>
      </w:r>
      <w:r w:rsidRPr="006F07C8">
        <w:rPr>
          <w:rFonts w:ascii="Times New Roman" w:hAnsi="Times New Roman" w:cs="Times New Roman"/>
          <w:sz w:val="24"/>
          <w:szCs w:val="24"/>
          <w:lang w:val="it-IT"/>
        </w:rPr>
        <w:t xml:space="preserve"> che possa dirsi veramente effi</w:t>
      </w:r>
      <w:r w:rsidR="00367925" w:rsidRPr="006F07C8">
        <w:rPr>
          <w:rFonts w:ascii="Times New Roman" w:hAnsi="Times New Roman" w:cs="Times New Roman"/>
          <w:sz w:val="24"/>
          <w:szCs w:val="24"/>
          <w:lang w:val="it-IT"/>
        </w:rPr>
        <w:t xml:space="preserve">cace. Non pare dunque </w:t>
      </w:r>
      <w:r w:rsidR="0024763B" w:rsidRPr="006F07C8">
        <w:rPr>
          <w:rFonts w:ascii="Times New Roman" w:hAnsi="Times New Roman" w:cs="Times New Roman"/>
          <w:sz w:val="24"/>
          <w:szCs w:val="24"/>
          <w:lang w:val="it-IT"/>
        </w:rPr>
        <w:t>corretto</w:t>
      </w:r>
      <w:r w:rsidR="00367925" w:rsidRPr="006F07C8">
        <w:rPr>
          <w:rFonts w:ascii="Times New Roman" w:hAnsi="Times New Roman" w:cs="Times New Roman"/>
          <w:sz w:val="24"/>
          <w:szCs w:val="24"/>
          <w:lang w:val="it-IT"/>
        </w:rPr>
        <w:t xml:space="preserve"> </w:t>
      </w:r>
      <w:r w:rsidR="0024763B" w:rsidRPr="006F07C8">
        <w:rPr>
          <w:rFonts w:ascii="Times New Roman" w:hAnsi="Times New Roman" w:cs="Times New Roman"/>
          <w:sz w:val="24"/>
          <w:szCs w:val="24"/>
          <w:lang w:val="it-IT"/>
        </w:rPr>
        <w:t>guardare alla</w:t>
      </w:r>
      <w:r w:rsidR="008C4774" w:rsidRPr="006F07C8">
        <w:rPr>
          <w:rFonts w:ascii="Times New Roman" w:hAnsi="Times New Roman" w:cs="Times New Roman"/>
          <w:sz w:val="24"/>
          <w:szCs w:val="24"/>
          <w:lang w:val="it-IT"/>
        </w:rPr>
        <w:t xml:space="preserve"> pol</w:t>
      </w:r>
      <w:r w:rsidR="00367925" w:rsidRPr="006F07C8">
        <w:rPr>
          <w:rFonts w:ascii="Times New Roman" w:hAnsi="Times New Roman" w:cs="Times New Roman"/>
          <w:sz w:val="24"/>
          <w:szCs w:val="24"/>
          <w:lang w:val="it-IT"/>
        </w:rPr>
        <w:t>itica multilingue europea come</w:t>
      </w:r>
      <w:r w:rsidR="008C4774" w:rsidRPr="006F07C8">
        <w:rPr>
          <w:rFonts w:ascii="Times New Roman" w:hAnsi="Times New Roman" w:cs="Times New Roman"/>
          <w:sz w:val="24"/>
          <w:szCs w:val="24"/>
          <w:lang w:val="it-IT"/>
        </w:rPr>
        <w:t xml:space="preserve"> un lusso giustificabile solo con ragioni di tipo simbolico (la parità </w:t>
      </w:r>
      <w:r w:rsidR="004F649F" w:rsidRPr="006F07C8">
        <w:rPr>
          <w:rFonts w:ascii="Times New Roman" w:hAnsi="Times New Roman" w:cs="Times New Roman"/>
          <w:sz w:val="24"/>
          <w:szCs w:val="24"/>
          <w:lang w:val="it-IT"/>
        </w:rPr>
        <w:t xml:space="preserve">politica </w:t>
      </w:r>
      <w:r w:rsidR="008C4774" w:rsidRPr="006F07C8">
        <w:rPr>
          <w:rFonts w:ascii="Times New Roman" w:hAnsi="Times New Roman" w:cs="Times New Roman"/>
          <w:sz w:val="24"/>
          <w:szCs w:val="24"/>
          <w:lang w:val="it-IT"/>
        </w:rPr>
        <w:t>degli Stati membri) o di tipo ideologico</w:t>
      </w:r>
      <w:r w:rsidR="004F649F" w:rsidRPr="006F07C8">
        <w:rPr>
          <w:rFonts w:ascii="Times New Roman" w:hAnsi="Times New Roman" w:cs="Times New Roman"/>
          <w:sz w:val="24"/>
          <w:szCs w:val="24"/>
          <w:lang w:val="it-IT"/>
        </w:rPr>
        <w:t xml:space="preserve"> (la diversità come valore in quanto tale)</w:t>
      </w:r>
      <w:r w:rsidR="008C4774" w:rsidRPr="006F07C8">
        <w:rPr>
          <w:rFonts w:ascii="Times New Roman" w:hAnsi="Times New Roman" w:cs="Times New Roman"/>
          <w:sz w:val="24"/>
          <w:szCs w:val="24"/>
          <w:lang w:val="it-IT"/>
        </w:rPr>
        <w:t xml:space="preserve">; si tratta </w:t>
      </w:r>
      <w:r w:rsidR="004F649F" w:rsidRPr="006F07C8">
        <w:rPr>
          <w:rFonts w:ascii="Times New Roman" w:hAnsi="Times New Roman" w:cs="Times New Roman"/>
          <w:sz w:val="24"/>
          <w:szCs w:val="24"/>
          <w:lang w:val="it-IT"/>
        </w:rPr>
        <w:t xml:space="preserve">soprattutto </w:t>
      </w:r>
      <w:r w:rsidR="008C4774" w:rsidRPr="006F07C8">
        <w:rPr>
          <w:rFonts w:ascii="Times New Roman" w:hAnsi="Times New Roman" w:cs="Times New Roman"/>
          <w:sz w:val="24"/>
          <w:szCs w:val="24"/>
          <w:lang w:val="it-IT"/>
        </w:rPr>
        <w:t xml:space="preserve">della politica linguistica che al momento permette </w:t>
      </w:r>
      <w:r w:rsidR="00814BB2" w:rsidRPr="006F07C8">
        <w:rPr>
          <w:rFonts w:ascii="Times New Roman" w:hAnsi="Times New Roman" w:cs="Times New Roman"/>
          <w:sz w:val="24"/>
          <w:szCs w:val="24"/>
          <w:lang w:val="it-IT"/>
        </w:rPr>
        <w:t xml:space="preserve">alla UE </w:t>
      </w:r>
      <w:r w:rsidR="008C4774" w:rsidRPr="006F07C8">
        <w:rPr>
          <w:rFonts w:ascii="Times New Roman" w:hAnsi="Times New Roman" w:cs="Times New Roman"/>
          <w:sz w:val="24"/>
          <w:szCs w:val="24"/>
          <w:lang w:val="it-IT"/>
        </w:rPr>
        <w:t>di comunicare nel modo più efficace</w:t>
      </w:r>
      <w:r w:rsidR="0024763B" w:rsidRPr="006F07C8">
        <w:rPr>
          <w:rFonts w:ascii="Times New Roman" w:hAnsi="Times New Roman" w:cs="Times New Roman"/>
          <w:sz w:val="24"/>
          <w:szCs w:val="24"/>
          <w:lang w:val="it-IT"/>
        </w:rPr>
        <w:t xml:space="preserve"> con i residenti europei</w:t>
      </w:r>
      <w:r w:rsidR="008C4774" w:rsidRPr="006F07C8">
        <w:rPr>
          <w:rFonts w:ascii="Times New Roman" w:hAnsi="Times New Roman" w:cs="Times New Roman"/>
          <w:sz w:val="24"/>
          <w:szCs w:val="24"/>
          <w:lang w:val="it-IT"/>
        </w:rPr>
        <w:t xml:space="preserve">. </w:t>
      </w:r>
      <w:r w:rsidRPr="006F07C8">
        <w:rPr>
          <w:rFonts w:ascii="Times New Roman" w:hAnsi="Times New Roman" w:cs="Times New Roman"/>
          <w:sz w:val="24"/>
          <w:szCs w:val="24"/>
          <w:lang w:val="it-IT"/>
        </w:rPr>
        <w:t xml:space="preserve">A completamento dell’analisi vale la pena notare che un regime oligarchico con sei lingue ufficiali (francese, inglese, italiano, polacco, spagnolo e tedesco) farebbe diminuire </w:t>
      </w:r>
      <w:r w:rsidR="008C4774" w:rsidRPr="006F07C8">
        <w:rPr>
          <w:rFonts w:ascii="Times New Roman" w:hAnsi="Times New Roman" w:cs="Times New Roman"/>
          <w:sz w:val="24"/>
          <w:szCs w:val="24"/>
          <w:lang w:val="it-IT"/>
        </w:rPr>
        <w:t xml:space="preserve">ulteriormente </w:t>
      </w:r>
      <w:r w:rsidRPr="006F07C8">
        <w:rPr>
          <w:rFonts w:ascii="Times New Roman" w:hAnsi="Times New Roman" w:cs="Times New Roman"/>
          <w:sz w:val="24"/>
          <w:szCs w:val="24"/>
          <w:lang w:val="it-IT"/>
        </w:rPr>
        <w:t>i tassi di esclusione linguistica assoluta e relativa</w:t>
      </w:r>
      <w:r w:rsidR="008C4774" w:rsidRPr="006F07C8">
        <w:rPr>
          <w:rFonts w:ascii="Times New Roman" w:hAnsi="Times New Roman" w:cs="Times New Roman"/>
          <w:sz w:val="24"/>
          <w:szCs w:val="24"/>
          <w:lang w:val="it-IT"/>
        </w:rPr>
        <w:t>, ma senza annullarli o portarli a percentuali minime</w:t>
      </w:r>
      <w:r w:rsidRPr="006F07C8">
        <w:rPr>
          <w:rFonts w:ascii="Times New Roman" w:hAnsi="Times New Roman" w:cs="Times New Roman"/>
          <w:sz w:val="24"/>
          <w:szCs w:val="24"/>
          <w:lang w:val="it-IT"/>
        </w:rPr>
        <w:t xml:space="preserve">. Un regime a sei lingue genererebbe un </w:t>
      </w:r>
      <w:r w:rsidRPr="006F07C8">
        <w:rPr>
          <w:rFonts w:ascii="Times New Roman" w:hAnsi="Times New Roman" w:cs="Times New Roman"/>
          <w:bCs/>
          <w:i/>
          <w:sz w:val="24"/>
          <w:szCs w:val="24"/>
          <w:lang w:val="it-IT"/>
        </w:rPr>
        <w:t>E</w:t>
      </w:r>
      <w:r w:rsidRPr="006F07C8">
        <w:rPr>
          <w:rFonts w:ascii="Times New Roman" w:hAnsi="Times New Roman" w:cs="Times New Roman"/>
          <w:bCs/>
          <w:i/>
          <w:sz w:val="24"/>
          <w:szCs w:val="24"/>
          <w:vertAlign w:val="subscript"/>
          <w:lang w:val="it-IT"/>
        </w:rPr>
        <w:t>a</w:t>
      </w:r>
      <w:r w:rsidRPr="006F07C8">
        <w:rPr>
          <w:rFonts w:ascii="Times New Roman" w:hAnsi="Times New Roman" w:cs="Times New Roman"/>
          <w:bCs/>
          <w:sz w:val="24"/>
          <w:szCs w:val="24"/>
          <w:lang w:val="it-IT"/>
        </w:rPr>
        <w:t xml:space="preserve"> uguale a 12% e </w:t>
      </w:r>
      <w:r w:rsidRPr="006F07C8">
        <w:rPr>
          <w:rFonts w:ascii="Times New Roman" w:hAnsi="Times New Roman" w:cs="Times New Roman"/>
          <w:bCs/>
          <w:i/>
          <w:sz w:val="24"/>
          <w:szCs w:val="24"/>
          <w:lang w:val="it-IT"/>
        </w:rPr>
        <w:t>E</w:t>
      </w:r>
      <w:r w:rsidRPr="006F07C8">
        <w:rPr>
          <w:rFonts w:ascii="Times New Roman" w:hAnsi="Times New Roman" w:cs="Times New Roman"/>
          <w:bCs/>
          <w:i/>
          <w:sz w:val="24"/>
          <w:szCs w:val="24"/>
          <w:vertAlign w:val="subscript"/>
          <w:lang w:val="it-IT"/>
        </w:rPr>
        <w:t>r</w:t>
      </w:r>
      <w:r w:rsidRPr="006F07C8">
        <w:rPr>
          <w:rFonts w:ascii="Times New Roman" w:hAnsi="Times New Roman" w:cs="Times New Roman"/>
          <w:bCs/>
          <w:sz w:val="24"/>
          <w:szCs w:val="24"/>
          <w:lang w:val="it-IT"/>
        </w:rPr>
        <w:t xml:space="preserve"> pari a 26%, e la riduzione riguarderebbe essenzialmente tre paesi, cioè </w:t>
      </w:r>
      <w:r w:rsidR="0024763B" w:rsidRPr="006F07C8">
        <w:rPr>
          <w:rFonts w:ascii="Times New Roman" w:hAnsi="Times New Roman" w:cs="Times New Roman"/>
          <w:bCs/>
          <w:sz w:val="24"/>
          <w:szCs w:val="24"/>
          <w:lang w:val="it-IT"/>
        </w:rPr>
        <w:t>l’</w:t>
      </w:r>
      <w:r w:rsidRPr="006F07C8">
        <w:rPr>
          <w:rFonts w:ascii="Times New Roman" w:hAnsi="Times New Roman" w:cs="Times New Roman"/>
          <w:bCs/>
          <w:sz w:val="24"/>
          <w:szCs w:val="24"/>
          <w:lang w:val="it-IT"/>
        </w:rPr>
        <w:t xml:space="preserve">Italia, </w:t>
      </w:r>
      <w:r w:rsidR="0024763B" w:rsidRPr="006F07C8">
        <w:rPr>
          <w:rFonts w:ascii="Times New Roman" w:hAnsi="Times New Roman" w:cs="Times New Roman"/>
          <w:bCs/>
          <w:sz w:val="24"/>
          <w:szCs w:val="24"/>
          <w:lang w:val="it-IT"/>
        </w:rPr>
        <w:t xml:space="preserve">la </w:t>
      </w:r>
      <w:r w:rsidRPr="006F07C8">
        <w:rPr>
          <w:rFonts w:ascii="Times New Roman" w:hAnsi="Times New Roman" w:cs="Times New Roman"/>
          <w:bCs/>
          <w:sz w:val="24"/>
          <w:szCs w:val="24"/>
          <w:lang w:val="it-IT"/>
        </w:rPr>
        <w:t xml:space="preserve">Spagna e </w:t>
      </w:r>
      <w:r w:rsidR="0024763B" w:rsidRPr="006F07C8">
        <w:rPr>
          <w:rFonts w:ascii="Times New Roman" w:hAnsi="Times New Roman" w:cs="Times New Roman"/>
          <w:bCs/>
          <w:sz w:val="24"/>
          <w:szCs w:val="24"/>
          <w:lang w:val="it-IT"/>
        </w:rPr>
        <w:t xml:space="preserve">la </w:t>
      </w:r>
      <w:r w:rsidRPr="006F07C8">
        <w:rPr>
          <w:rFonts w:ascii="Times New Roman" w:hAnsi="Times New Roman" w:cs="Times New Roman"/>
          <w:bCs/>
          <w:sz w:val="24"/>
          <w:szCs w:val="24"/>
          <w:lang w:val="it-IT"/>
        </w:rPr>
        <w:t>Polonia.</w:t>
      </w:r>
    </w:p>
    <w:p w:rsidR="003D1BEA" w:rsidRPr="006F07C8" w:rsidRDefault="00F052C5" w:rsidP="002F52A9">
      <w:pPr>
        <w:spacing w:line="240" w:lineRule="auto"/>
        <w:jc w:val="both"/>
        <w:rPr>
          <w:rFonts w:ascii="Times New Roman" w:hAnsi="Times New Roman" w:cs="Times New Roman"/>
          <w:sz w:val="24"/>
          <w:szCs w:val="24"/>
          <w:lang w:val="it-IT"/>
        </w:rPr>
      </w:pPr>
      <w:r w:rsidRPr="006F07C8">
        <w:rPr>
          <w:rFonts w:ascii="Times New Roman" w:hAnsi="Times New Roman" w:cs="Times New Roman"/>
          <w:sz w:val="24"/>
          <w:szCs w:val="24"/>
          <w:lang w:val="it-IT"/>
        </w:rPr>
        <w:t xml:space="preserve">Apriamo brevemente una parentesi. </w:t>
      </w:r>
      <w:r w:rsidR="00B87733" w:rsidRPr="006F07C8">
        <w:rPr>
          <w:rFonts w:ascii="Times New Roman" w:hAnsi="Times New Roman" w:cs="Times New Roman"/>
          <w:sz w:val="24"/>
          <w:szCs w:val="24"/>
          <w:lang w:val="it-IT"/>
        </w:rPr>
        <w:t xml:space="preserve">Si osservi </w:t>
      </w:r>
      <w:r w:rsidR="00D82A33" w:rsidRPr="006F07C8">
        <w:rPr>
          <w:rFonts w:ascii="Times New Roman" w:hAnsi="Times New Roman" w:cs="Times New Roman"/>
          <w:sz w:val="24"/>
          <w:szCs w:val="24"/>
          <w:lang w:val="it-IT"/>
        </w:rPr>
        <w:t xml:space="preserve">l’ultima colonna della </w:t>
      </w:r>
      <w:r w:rsidR="00D16556" w:rsidRPr="006F07C8">
        <w:rPr>
          <w:rFonts w:ascii="Times New Roman" w:hAnsi="Times New Roman" w:cs="Times New Roman"/>
          <w:sz w:val="24"/>
          <w:szCs w:val="24"/>
          <w:lang w:val="it-IT"/>
        </w:rPr>
        <w:fldChar w:fldCharType="begin"/>
      </w:r>
      <w:r w:rsidR="00D16556" w:rsidRPr="006F07C8">
        <w:rPr>
          <w:rFonts w:ascii="Times New Roman" w:hAnsi="Times New Roman" w:cs="Times New Roman"/>
          <w:sz w:val="24"/>
          <w:szCs w:val="24"/>
          <w:lang w:val="it-IT"/>
        </w:rPr>
        <w:instrText xml:space="preserve"> REF _Ref378171740 \h  \* MERGEFORMAT </w:instrText>
      </w:r>
      <w:r w:rsidR="00D16556" w:rsidRPr="006F07C8">
        <w:rPr>
          <w:rFonts w:ascii="Times New Roman" w:hAnsi="Times New Roman" w:cs="Times New Roman"/>
          <w:sz w:val="24"/>
          <w:szCs w:val="24"/>
          <w:lang w:val="it-IT"/>
        </w:rPr>
      </w:r>
      <w:r w:rsidR="00D16556" w:rsidRPr="006F07C8">
        <w:rPr>
          <w:rFonts w:ascii="Times New Roman" w:hAnsi="Times New Roman" w:cs="Times New Roman"/>
          <w:sz w:val="24"/>
          <w:szCs w:val="24"/>
          <w:lang w:val="it-IT"/>
        </w:rPr>
        <w:fldChar w:fldCharType="separate"/>
      </w:r>
      <w:r w:rsidR="00087B27" w:rsidRPr="006F07C8">
        <w:rPr>
          <w:rFonts w:ascii="Times New Roman" w:hAnsi="Times New Roman" w:cs="Times New Roman"/>
          <w:sz w:val="24"/>
          <w:szCs w:val="24"/>
          <w:lang w:val="it-IT"/>
        </w:rPr>
        <w:t xml:space="preserve">Tabella </w:t>
      </w:r>
      <w:r w:rsidR="00087B27" w:rsidRPr="006F07C8">
        <w:rPr>
          <w:rFonts w:ascii="Times New Roman" w:hAnsi="Times New Roman" w:cs="Times New Roman"/>
          <w:noProof/>
          <w:sz w:val="24"/>
          <w:szCs w:val="24"/>
          <w:lang w:val="it-IT"/>
        </w:rPr>
        <w:t>1</w:t>
      </w:r>
      <w:r w:rsidR="00D16556" w:rsidRPr="006F07C8">
        <w:rPr>
          <w:rFonts w:ascii="Times New Roman" w:hAnsi="Times New Roman" w:cs="Times New Roman"/>
          <w:sz w:val="24"/>
          <w:szCs w:val="24"/>
          <w:lang w:val="it-IT"/>
        </w:rPr>
        <w:fldChar w:fldCharType="end"/>
      </w:r>
      <w:r w:rsidR="00D82A33" w:rsidRPr="006F07C8">
        <w:rPr>
          <w:rFonts w:ascii="Times New Roman" w:hAnsi="Times New Roman" w:cs="Times New Roman"/>
          <w:sz w:val="24"/>
          <w:szCs w:val="24"/>
          <w:lang w:val="it-IT"/>
        </w:rPr>
        <w:t xml:space="preserve">; </w:t>
      </w:r>
      <w:r w:rsidR="00B87733" w:rsidRPr="006F07C8">
        <w:rPr>
          <w:rFonts w:ascii="Times New Roman" w:hAnsi="Times New Roman" w:cs="Times New Roman"/>
          <w:sz w:val="24"/>
          <w:szCs w:val="24"/>
          <w:lang w:val="it-IT"/>
        </w:rPr>
        <w:t>i risultati mostrano</w:t>
      </w:r>
      <w:r w:rsidR="00D82A33" w:rsidRPr="006F07C8">
        <w:rPr>
          <w:rFonts w:ascii="Times New Roman" w:hAnsi="Times New Roman" w:cs="Times New Roman"/>
          <w:sz w:val="24"/>
          <w:szCs w:val="24"/>
          <w:lang w:val="it-IT"/>
        </w:rPr>
        <w:t xml:space="preserve"> che</w:t>
      </w:r>
      <w:r w:rsidR="00951EEF" w:rsidRPr="006F07C8">
        <w:rPr>
          <w:rFonts w:ascii="Times New Roman" w:hAnsi="Times New Roman" w:cs="Times New Roman"/>
          <w:sz w:val="24"/>
          <w:szCs w:val="24"/>
          <w:lang w:val="it-IT"/>
        </w:rPr>
        <w:t xml:space="preserve"> nemmeno il regime linguistico attuale garantisce un tasso di esclusione </w:t>
      </w:r>
      <w:r w:rsidR="00616A50" w:rsidRPr="006F07C8">
        <w:rPr>
          <w:rFonts w:ascii="Times New Roman" w:hAnsi="Times New Roman" w:cs="Times New Roman"/>
          <w:sz w:val="24"/>
          <w:szCs w:val="24"/>
          <w:lang w:val="it-IT"/>
        </w:rPr>
        <w:t xml:space="preserve">linguistica </w:t>
      </w:r>
      <w:r w:rsidR="00616A50" w:rsidRPr="006F07C8">
        <w:rPr>
          <w:rFonts w:ascii="Times New Roman" w:hAnsi="Times New Roman" w:cs="Times New Roman"/>
          <w:i/>
          <w:sz w:val="24"/>
          <w:szCs w:val="24"/>
          <w:lang w:val="it-IT"/>
        </w:rPr>
        <w:t>relativa</w:t>
      </w:r>
      <w:r w:rsidR="00951EEF" w:rsidRPr="006F07C8">
        <w:rPr>
          <w:rFonts w:ascii="Times New Roman" w:hAnsi="Times New Roman" w:cs="Times New Roman"/>
          <w:sz w:val="24"/>
          <w:szCs w:val="24"/>
          <w:lang w:val="it-IT"/>
        </w:rPr>
        <w:t xml:space="preserve"> </w:t>
      </w:r>
      <w:r w:rsidR="00616A50" w:rsidRPr="006F07C8">
        <w:rPr>
          <w:rFonts w:ascii="Times New Roman" w:hAnsi="Times New Roman" w:cs="Times New Roman"/>
          <w:sz w:val="24"/>
          <w:szCs w:val="24"/>
          <w:lang w:val="it-IT"/>
        </w:rPr>
        <w:t>pari a zero</w:t>
      </w:r>
      <w:r w:rsidR="00951EEF" w:rsidRPr="006F07C8">
        <w:rPr>
          <w:rFonts w:ascii="Times New Roman" w:hAnsi="Times New Roman" w:cs="Times New Roman"/>
          <w:sz w:val="24"/>
          <w:szCs w:val="24"/>
          <w:lang w:val="it-IT"/>
        </w:rPr>
        <w:t xml:space="preserve">. Ciò </w:t>
      </w:r>
      <w:r w:rsidR="00814BB2" w:rsidRPr="006F07C8">
        <w:rPr>
          <w:rFonts w:ascii="Times New Roman" w:hAnsi="Times New Roman" w:cs="Times New Roman"/>
          <w:sz w:val="24"/>
          <w:szCs w:val="24"/>
          <w:lang w:val="it-IT"/>
        </w:rPr>
        <w:t xml:space="preserve">è dovuto </w:t>
      </w:r>
      <w:r w:rsidR="003C168D" w:rsidRPr="006F07C8">
        <w:rPr>
          <w:rFonts w:ascii="Times New Roman" w:hAnsi="Times New Roman" w:cs="Times New Roman"/>
          <w:sz w:val="24"/>
          <w:szCs w:val="24"/>
          <w:lang w:val="it-IT"/>
        </w:rPr>
        <w:t xml:space="preserve">alla presenza </w:t>
      </w:r>
      <w:r w:rsidR="00992B3D" w:rsidRPr="006F07C8">
        <w:rPr>
          <w:rFonts w:ascii="Times New Roman" w:hAnsi="Times New Roman" w:cs="Times New Roman"/>
          <w:sz w:val="24"/>
          <w:szCs w:val="24"/>
          <w:lang w:val="it-IT"/>
        </w:rPr>
        <w:t xml:space="preserve">di minoranze la cui lingua </w:t>
      </w:r>
      <w:r w:rsidR="0024763B" w:rsidRPr="006F07C8">
        <w:rPr>
          <w:rFonts w:ascii="Times New Roman" w:hAnsi="Times New Roman" w:cs="Times New Roman"/>
          <w:sz w:val="24"/>
          <w:szCs w:val="24"/>
          <w:lang w:val="it-IT"/>
        </w:rPr>
        <w:t xml:space="preserve">materna </w:t>
      </w:r>
      <w:r w:rsidR="00992B3D" w:rsidRPr="006F07C8">
        <w:rPr>
          <w:rFonts w:ascii="Times New Roman" w:hAnsi="Times New Roman" w:cs="Times New Roman"/>
          <w:sz w:val="24"/>
          <w:szCs w:val="24"/>
          <w:lang w:val="it-IT"/>
        </w:rPr>
        <w:t>non è ufficiale</w:t>
      </w:r>
      <w:r w:rsidR="00814BB2" w:rsidRPr="006F07C8">
        <w:rPr>
          <w:rFonts w:ascii="Times New Roman" w:hAnsi="Times New Roman" w:cs="Times New Roman"/>
          <w:sz w:val="24"/>
          <w:szCs w:val="24"/>
          <w:lang w:val="it-IT"/>
        </w:rPr>
        <w:t xml:space="preserve"> e che non hanno sviluppato competenze linguistiche alte in nessuna lingua ufficiale della UE. È il caso di alcuni membri del</w:t>
      </w:r>
      <w:r w:rsidR="003C168D" w:rsidRPr="006F07C8">
        <w:rPr>
          <w:rFonts w:ascii="Times New Roman" w:hAnsi="Times New Roman" w:cs="Times New Roman"/>
          <w:sz w:val="24"/>
          <w:szCs w:val="24"/>
          <w:lang w:val="it-IT"/>
        </w:rPr>
        <w:t>la</w:t>
      </w:r>
      <w:r w:rsidR="008C7581" w:rsidRPr="006F07C8">
        <w:rPr>
          <w:rFonts w:ascii="Times New Roman" w:hAnsi="Times New Roman" w:cs="Times New Roman"/>
          <w:sz w:val="24"/>
          <w:szCs w:val="24"/>
          <w:lang w:val="it-IT"/>
        </w:rPr>
        <w:t xml:space="preserve"> </w:t>
      </w:r>
      <w:r w:rsidR="00992B3D" w:rsidRPr="006F07C8">
        <w:rPr>
          <w:rFonts w:ascii="Times New Roman" w:hAnsi="Times New Roman" w:cs="Times New Roman"/>
          <w:sz w:val="24"/>
          <w:szCs w:val="24"/>
          <w:lang w:val="it-IT"/>
        </w:rPr>
        <w:t>comunità</w:t>
      </w:r>
      <w:r w:rsidR="008C7581" w:rsidRPr="006F07C8">
        <w:rPr>
          <w:rFonts w:ascii="Times New Roman" w:hAnsi="Times New Roman" w:cs="Times New Roman"/>
          <w:sz w:val="24"/>
          <w:szCs w:val="24"/>
          <w:lang w:val="it-IT"/>
        </w:rPr>
        <w:t xml:space="preserve"> di lingua russa nei paesi baltici e </w:t>
      </w:r>
      <w:r w:rsidR="003C168D" w:rsidRPr="006F07C8">
        <w:rPr>
          <w:rFonts w:ascii="Times New Roman" w:hAnsi="Times New Roman" w:cs="Times New Roman"/>
          <w:sz w:val="24"/>
          <w:szCs w:val="24"/>
          <w:lang w:val="it-IT"/>
        </w:rPr>
        <w:t>de</w:t>
      </w:r>
      <w:r w:rsidR="008C7581" w:rsidRPr="006F07C8">
        <w:rPr>
          <w:rFonts w:ascii="Times New Roman" w:hAnsi="Times New Roman" w:cs="Times New Roman"/>
          <w:sz w:val="24"/>
          <w:szCs w:val="24"/>
          <w:lang w:val="it-IT"/>
        </w:rPr>
        <w:t xml:space="preserve">i residenti </w:t>
      </w:r>
      <w:r w:rsidR="0024763B" w:rsidRPr="006F07C8">
        <w:rPr>
          <w:rFonts w:ascii="Times New Roman" w:hAnsi="Times New Roman" w:cs="Times New Roman"/>
          <w:sz w:val="24"/>
          <w:szCs w:val="24"/>
          <w:lang w:val="it-IT"/>
        </w:rPr>
        <w:lastRenderedPageBreak/>
        <w:t>extra-comunitari</w:t>
      </w:r>
      <w:r w:rsidR="008C7581" w:rsidRPr="006F07C8">
        <w:rPr>
          <w:rFonts w:ascii="Times New Roman" w:hAnsi="Times New Roman" w:cs="Times New Roman"/>
          <w:sz w:val="24"/>
          <w:szCs w:val="24"/>
          <w:lang w:val="it-IT"/>
        </w:rPr>
        <w:t xml:space="preserve"> che non hanno competenze eccellenti in </w:t>
      </w:r>
      <w:r w:rsidR="000660BE" w:rsidRPr="006F07C8">
        <w:rPr>
          <w:rFonts w:ascii="Times New Roman" w:hAnsi="Times New Roman" w:cs="Times New Roman"/>
          <w:sz w:val="24"/>
          <w:szCs w:val="24"/>
          <w:lang w:val="it-IT"/>
        </w:rPr>
        <w:t>nessuna</w:t>
      </w:r>
      <w:r w:rsidR="008C7581" w:rsidRPr="006F07C8">
        <w:rPr>
          <w:rFonts w:ascii="Times New Roman" w:hAnsi="Times New Roman" w:cs="Times New Roman"/>
          <w:sz w:val="24"/>
          <w:szCs w:val="24"/>
          <w:lang w:val="it-IT"/>
        </w:rPr>
        <w:t xml:space="preserve"> lingua ufficiale</w:t>
      </w:r>
      <w:r w:rsidR="00B87733" w:rsidRPr="006F07C8">
        <w:rPr>
          <w:rFonts w:ascii="Times New Roman" w:hAnsi="Times New Roman" w:cs="Times New Roman"/>
          <w:sz w:val="24"/>
          <w:szCs w:val="24"/>
          <w:lang w:val="it-IT"/>
        </w:rPr>
        <w:t xml:space="preserve"> della UE</w:t>
      </w:r>
      <w:r w:rsidR="008C7581" w:rsidRPr="006F07C8">
        <w:rPr>
          <w:rFonts w:ascii="Times New Roman" w:hAnsi="Times New Roman" w:cs="Times New Roman"/>
          <w:sz w:val="24"/>
          <w:szCs w:val="24"/>
          <w:lang w:val="it-IT"/>
        </w:rPr>
        <w:t>.</w:t>
      </w:r>
      <w:r w:rsidR="00D82A33" w:rsidRPr="006F07C8">
        <w:rPr>
          <w:rFonts w:ascii="Times New Roman" w:hAnsi="Times New Roman" w:cs="Times New Roman"/>
          <w:sz w:val="24"/>
          <w:szCs w:val="24"/>
          <w:lang w:val="it-IT"/>
        </w:rPr>
        <w:t xml:space="preserve"> Si tratta di un dato importante </w:t>
      </w:r>
      <w:r w:rsidR="00B87733" w:rsidRPr="006F07C8">
        <w:rPr>
          <w:rFonts w:ascii="Times New Roman" w:hAnsi="Times New Roman" w:cs="Times New Roman"/>
          <w:sz w:val="24"/>
          <w:szCs w:val="24"/>
          <w:lang w:val="it-IT"/>
        </w:rPr>
        <w:t xml:space="preserve">che ha delle chiare implicazioni </w:t>
      </w:r>
      <w:r w:rsidR="00D82A33" w:rsidRPr="006F07C8">
        <w:rPr>
          <w:rFonts w:ascii="Times New Roman" w:hAnsi="Times New Roman" w:cs="Times New Roman"/>
          <w:sz w:val="24"/>
          <w:szCs w:val="24"/>
          <w:lang w:val="it-IT"/>
        </w:rPr>
        <w:t>in termini di poli</w:t>
      </w:r>
      <w:r w:rsidR="00B87733" w:rsidRPr="006F07C8">
        <w:rPr>
          <w:rFonts w:ascii="Times New Roman" w:hAnsi="Times New Roman" w:cs="Times New Roman"/>
          <w:sz w:val="24"/>
          <w:szCs w:val="24"/>
          <w:lang w:val="it-IT"/>
        </w:rPr>
        <w:t>ti</w:t>
      </w:r>
      <w:r w:rsidR="00317DA7" w:rsidRPr="006F07C8">
        <w:rPr>
          <w:rFonts w:ascii="Times New Roman" w:hAnsi="Times New Roman" w:cs="Times New Roman"/>
          <w:sz w:val="24"/>
          <w:szCs w:val="24"/>
          <w:lang w:val="it-IT"/>
        </w:rPr>
        <w:t>che per l’integrazione</w:t>
      </w:r>
      <w:r w:rsidR="00B87733" w:rsidRPr="006F07C8">
        <w:rPr>
          <w:rFonts w:ascii="Times New Roman" w:hAnsi="Times New Roman" w:cs="Times New Roman"/>
          <w:sz w:val="24"/>
          <w:szCs w:val="24"/>
          <w:lang w:val="it-IT"/>
        </w:rPr>
        <w:t xml:space="preserve"> e che è confermato dalla </w:t>
      </w:r>
      <w:r w:rsidR="00B87733" w:rsidRPr="006F07C8">
        <w:rPr>
          <w:rFonts w:ascii="Times New Roman" w:hAnsi="Times New Roman" w:cs="Times New Roman"/>
          <w:sz w:val="24"/>
          <w:szCs w:val="24"/>
          <w:lang w:val="it-IT"/>
        </w:rPr>
        <w:fldChar w:fldCharType="begin"/>
      </w:r>
      <w:r w:rsidR="00B87733" w:rsidRPr="006F07C8">
        <w:rPr>
          <w:rFonts w:ascii="Times New Roman" w:hAnsi="Times New Roman" w:cs="Times New Roman"/>
          <w:sz w:val="24"/>
          <w:szCs w:val="24"/>
          <w:lang w:val="it-IT"/>
        </w:rPr>
        <w:instrText xml:space="preserve"> REF _Ref378177938 \h  \* MERGEFORMAT </w:instrText>
      </w:r>
      <w:r w:rsidR="00B87733" w:rsidRPr="006F07C8">
        <w:rPr>
          <w:rFonts w:ascii="Times New Roman" w:hAnsi="Times New Roman" w:cs="Times New Roman"/>
          <w:sz w:val="24"/>
          <w:szCs w:val="24"/>
          <w:lang w:val="it-IT"/>
        </w:rPr>
      </w:r>
      <w:r w:rsidR="00B87733" w:rsidRPr="006F07C8">
        <w:rPr>
          <w:rFonts w:ascii="Times New Roman" w:hAnsi="Times New Roman" w:cs="Times New Roman"/>
          <w:sz w:val="24"/>
          <w:szCs w:val="24"/>
          <w:lang w:val="it-IT"/>
        </w:rPr>
        <w:fldChar w:fldCharType="separate"/>
      </w:r>
      <w:r w:rsidR="00087B27" w:rsidRPr="006F07C8">
        <w:rPr>
          <w:rFonts w:ascii="Times New Roman" w:hAnsi="Times New Roman" w:cs="Times New Roman"/>
          <w:sz w:val="24"/>
          <w:szCs w:val="24"/>
          <w:lang w:val="it-IT"/>
        </w:rPr>
        <w:t xml:space="preserve">Tabella </w:t>
      </w:r>
      <w:r w:rsidR="00087B27" w:rsidRPr="006F07C8">
        <w:rPr>
          <w:rFonts w:ascii="Times New Roman" w:hAnsi="Times New Roman" w:cs="Times New Roman"/>
          <w:noProof/>
          <w:sz w:val="24"/>
          <w:szCs w:val="24"/>
          <w:lang w:val="it-IT"/>
        </w:rPr>
        <w:t>2</w:t>
      </w:r>
      <w:r w:rsidR="00B87733" w:rsidRPr="006F07C8">
        <w:rPr>
          <w:rFonts w:ascii="Times New Roman" w:hAnsi="Times New Roman" w:cs="Times New Roman"/>
          <w:sz w:val="24"/>
          <w:szCs w:val="24"/>
          <w:lang w:val="it-IT"/>
        </w:rPr>
        <w:fldChar w:fldCharType="end"/>
      </w:r>
      <w:r w:rsidR="00B87733" w:rsidRPr="006F07C8">
        <w:rPr>
          <w:rFonts w:ascii="Times New Roman" w:hAnsi="Times New Roman" w:cs="Times New Roman"/>
          <w:sz w:val="24"/>
          <w:szCs w:val="24"/>
          <w:lang w:val="it-IT"/>
        </w:rPr>
        <w:t xml:space="preserve">, dove </w:t>
      </w:r>
      <w:r w:rsidR="00FA49A8" w:rsidRPr="006F07C8">
        <w:rPr>
          <w:rFonts w:ascii="Times New Roman" w:hAnsi="Times New Roman" w:cs="Times New Roman"/>
          <w:sz w:val="24"/>
          <w:szCs w:val="24"/>
          <w:lang w:val="it-IT"/>
        </w:rPr>
        <w:t xml:space="preserve">i valori dei tassi di esclusione </w:t>
      </w:r>
      <w:r w:rsidR="00B87733" w:rsidRPr="006F07C8">
        <w:rPr>
          <w:rFonts w:ascii="Times New Roman" w:hAnsi="Times New Roman" w:cs="Times New Roman"/>
          <w:sz w:val="24"/>
          <w:szCs w:val="24"/>
          <w:lang w:val="it-IT"/>
        </w:rPr>
        <w:t xml:space="preserve">sono presentati per </w:t>
      </w:r>
      <w:r w:rsidR="00FA49A8" w:rsidRPr="006F07C8">
        <w:rPr>
          <w:rFonts w:ascii="Times New Roman" w:hAnsi="Times New Roman" w:cs="Times New Roman"/>
          <w:sz w:val="24"/>
          <w:szCs w:val="24"/>
          <w:lang w:val="it-IT"/>
        </w:rPr>
        <w:t>paese.</w:t>
      </w:r>
      <w:r w:rsidR="00B87733" w:rsidRPr="006F07C8">
        <w:rPr>
          <w:rFonts w:ascii="Times New Roman" w:hAnsi="Times New Roman" w:cs="Times New Roman"/>
          <w:sz w:val="24"/>
          <w:szCs w:val="24"/>
          <w:lang w:val="it-IT"/>
        </w:rPr>
        <w:t xml:space="preserve"> I tassi di esclusione relativa in paesi come Austria, Germania, Francia e Regno Unito restano positivi e talvolta piuttosto alti anche nel caso di regime linguistico oligarchico. Ciò significa che esistono all’interno di quei paesi consistenti minoranze di residenti europei o extra-comunitari che non hanno competenze linguistiche elevate né in inglese, né in francese né in tedesco. L’aumento dell’immigrazione da paesi extra-europei e </w:t>
      </w:r>
      <w:r w:rsidR="009D7A35" w:rsidRPr="006F07C8">
        <w:rPr>
          <w:rFonts w:ascii="Times New Roman" w:hAnsi="Times New Roman" w:cs="Times New Roman"/>
          <w:sz w:val="24"/>
          <w:szCs w:val="24"/>
          <w:lang w:val="it-IT"/>
        </w:rPr>
        <w:t xml:space="preserve">soprattutto l’incremento </w:t>
      </w:r>
      <w:r w:rsidR="00B87733" w:rsidRPr="006F07C8">
        <w:rPr>
          <w:rFonts w:ascii="Times New Roman" w:hAnsi="Times New Roman" w:cs="Times New Roman"/>
          <w:sz w:val="24"/>
          <w:szCs w:val="24"/>
          <w:lang w:val="it-IT"/>
        </w:rPr>
        <w:t xml:space="preserve">della mobilità dei cittadini </w:t>
      </w:r>
      <w:r w:rsidR="009D7A35" w:rsidRPr="006F07C8">
        <w:rPr>
          <w:rFonts w:ascii="Times New Roman" w:hAnsi="Times New Roman" w:cs="Times New Roman"/>
          <w:i/>
          <w:sz w:val="24"/>
          <w:szCs w:val="24"/>
          <w:lang w:val="it-IT"/>
        </w:rPr>
        <w:t>europei</w:t>
      </w:r>
      <w:r w:rsidR="009D7A35" w:rsidRPr="006F07C8">
        <w:rPr>
          <w:rFonts w:ascii="Times New Roman" w:hAnsi="Times New Roman" w:cs="Times New Roman"/>
          <w:sz w:val="24"/>
          <w:szCs w:val="24"/>
          <w:lang w:val="it-IT"/>
        </w:rPr>
        <w:t xml:space="preserve"> all’interno dell’UE </w:t>
      </w:r>
      <w:r w:rsidR="00B87733" w:rsidRPr="006F07C8">
        <w:rPr>
          <w:rFonts w:ascii="Times New Roman" w:hAnsi="Times New Roman" w:cs="Times New Roman"/>
          <w:sz w:val="24"/>
          <w:szCs w:val="24"/>
          <w:lang w:val="it-IT"/>
        </w:rPr>
        <w:t>(inclusa quella degli studenti e dei ricercatori) potrebbe aggravare questo fenomeno che richiede di essere affrontato con opportune politiche linguistiche di integrazione a livello nazionale, possibilmente coordinate a livello europeo.</w:t>
      </w:r>
    </w:p>
    <w:p w:rsidR="00FA49A8" w:rsidRPr="006F07C8" w:rsidRDefault="00FA49A8" w:rsidP="002F52A9">
      <w:pPr>
        <w:pStyle w:val="Caption"/>
        <w:rPr>
          <w:rFonts w:ascii="Times New Roman" w:hAnsi="Times New Roman" w:cs="Times New Roman"/>
          <w:sz w:val="20"/>
          <w:szCs w:val="20"/>
          <w:lang w:val="it-IT"/>
        </w:rPr>
      </w:pPr>
      <w:bookmarkStart w:id="12" w:name="_Ref378177938"/>
      <w:r w:rsidRPr="006F07C8">
        <w:rPr>
          <w:rFonts w:ascii="Times New Roman" w:hAnsi="Times New Roman" w:cs="Times New Roman"/>
          <w:sz w:val="20"/>
          <w:szCs w:val="20"/>
          <w:lang w:val="it-IT"/>
        </w:rPr>
        <w:t xml:space="preserve">Tabella </w:t>
      </w:r>
      <w:r w:rsidRPr="006F07C8">
        <w:rPr>
          <w:rFonts w:ascii="Times New Roman" w:hAnsi="Times New Roman" w:cs="Times New Roman"/>
          <w:sz w:val="20"/>
          <w:szCs w:val="20"/>
          <w:lang w:val="it-IT"/>
        </w:rPr>
        <w:fldChar w:fldCharType="begin"/>
      </w:r>
      <w:r w:rsidRPr="006F07C8">
        <w:rPr>
          <w:rFonts w:ascii="Times New Roman" w:hAnsi="Times New Roman" w:cs="Times New Roman"/>
          <w:sz w:val="20"/>
          <w:szCs w:val="20"/>
          <w:lang w:val="it-IT"/>
        </w:rPr>
        <w:instrText xml:space="preserve"> SEQ Tabella \* ARABIC </w:instrText>
      </w:r>
      <w:r w:rsidRPr="006F07C8">
        <w:rPr>
          <w:rFonts w:ascii="Times New Roman" w:hAnsi="Times New Roman" w:cs="Times New Roman"/>
          <w:sz w:val="20"/>
          <w:szCs w:val="20"/>
          <w:lang w:val="it-IT"/>
        </w:rPr>
        <w:fldChar w:fldCharType="separate"/>
      </w:r>
      <w:r w:rsidR="00087B27" w:rsidRPr="006F07C8">
        <w:rPr>
          <w:rFonts w:ascii="Times New Roman" w:hAnsi="Times New Roman" w:cs="Times New Roman"/>
          <w:noProof/>
          <w:sz w:val="20"/>
          <w:szCs w:val="20"/>
          <w:lang w:val="it-IT"/>
        </w:rPr>
        <w:t>2</w:t>
      </w:r>
      <w:r w:rsidRPr="006F07C8">
        <w:rPr>
          <w:rFonts w:ascii="Times New Roman" w:hAnsi="Times New Roman" w:cs="Times New Roman"/>
          <w:sz w:val="20"/>
          <w:szCs w:val="20"/>
          <w:lang w:val="it-IT"/>
        </w:rPr>
        <w:fldChar w:fldCharType="end"/>
      </w:r>
      <w:bookmarkEnd w:id="12"/>
      <w:r w:rsidRPr="006F07C8">
        <w:rPr>
          <w:rFonts w:ascii="Times New Roman" w:hAnsi="Times New Roman" w:cs="Times New Roman"/>
          <w:sz w:val="20"/>
          <w:szCs w:val="20"/>
          <w:lang w:val="it-IT"/>
        </w:rPr>
        <w:t xml:space="preserve"> : Tassi di esclusione linguistica, per </w:t>
      </w:r>
      <w:r w:rsidR="00D846DA" w:rsidRPr="006F07C8">
        <w:rPr>
          <w:rFonts w:ascii="Times New Roman" w:hAnsi="Times New Roman" w:cs="Times New Roman"/>
          <w:sz w:val="20"/>
          <w:szCs w:val="20"/>
          <w:lang w:val="it-IT"/>
        </w:rPr>
        <w:t xml:space="preserve">regime linguistico e per </w:t>
      </w:r>
      <w:r w:rsidRPr="006F07C8">
        <w:rPr>
          <w:rFonts w:ascii="Times New Roman" w:hAnsi="Times New Roman" w:cs="Times New Roman"/>
          <w:sz w:val="20"/>
          <w:szCs w:val="20"/>
          <w:lang w:val="it-IT"/>
        </w:rPr>
        <w:t>paese</w:t>
      </w:r>
      <w:r w:rsidR="00884566" w:rsidRPr="006F07C8">
        <w:rPr>
          <w:rFonts w:ascii="Times New Roman" w:hAnsi="Times New Roman" w:cs="Times New Roman"/>
          <w:sz w:val="20"/>
          <w:szCs w:val="20"/>
          <w:lang w:val="it-IT"/>
        </w:rPr>
        <w:t xml:space="preserve"> (UE-24)</w:t>
      </w:r>
      <w:r w:rsidRPr="006F07C8">
        <w:rPr>
          <w:rFonts w:ascii="Times New Roman" w:hAnsi="Times New Roman" w:cs="Times New Roman"/>
          <w:sz w:val="20"/>
          <w:szCs w:val="20"/>
          <w:lang w:val="it-IT"/>
        </w:rPr>
        <w:t>. Dati in percentuale</w:t>
      </w:r>
    </w:p>
    <w:tbl>
      <w:tblPr>
        <w:tblStyle w:val="LightShading"/>
        <w:tblW w:w="5890" w:type="dxa"/>
        <w:jc w:val="center"/>
        <w:tblLook w:val="0600" w:firstRow="0" w:lastRow="0" w:firstColumn="0" w:lastColumn="0" w:noHBand="1" w:noVBand="1"/>
      </w:tblPr>
      <w:tblGrid>
        <w:gridCol w:w="1961"/>
        <w:gridCol w:w="227"/>
        <w:gridCol w:w="9"/>
        <w:gridCol w:w="984"/>
        <w:gridCol w:w="9"/>
        <w:gridCol w:w="921"/>
        <w:gridCol w:w="911"/>
        <w:gridCol w:w="9"/>
        <w:gridCol w:w="9"/>
        <w:gridCol w:w="832"/>
        <w:gridCol w:w="9"/>
        <w:gridCol w:w="9"/>
      </w:tblGrid>
      <w:tr w:rsidR="00343EFC" w:rsidRPr="006F07C8" w:rsidTr="006C2813">
        <w:trPr>
          <w:gridAfter w:val="2"/>
          <w:wAfter w:w="18" w:type="dxa"/>
          <w:trHeight w:val="294"/>
          <w:jc w:val="center"/>
        </w:trPr>
        <w:tc>
          <w:tcPr>
            <w:tcW w:w="2197" w:type="dxa"/>
            <w:gridSpan w:val="3"/>
          </w:tcPr>
          <w:p w:rsidR="00343EFC" w:rsidRPr="006F07C8" w:rsidRDefault="00343EFC" w:rsidP="002F52A9">
            <w:pPr>
              <w:jc w:val="center"/>
              <w:rPr>
                <w:rFonts w:ascii="Times New Roman" w:hAnsi="Times New Roman" w:cs="Times New Roman"/>
                <w:b/>
                <w:bCs/>
                <w:sz w:val="20"/>
                <w:szCs w:val="20"/>
                <w:lang w:val="it-IT"/>
              </w:rPr>
            </w:pPr>
            <w:r w:rsidRPr="006F07C8">
              <w:rPr>
                <w:rFonts w:ascii="Times New Roman" w:hAnsi="Times New Roman" w:cs="Times New Roman"/>
                <w:b/>
                <w:bCs/>
                <w:sz w:val="20"/>
                <w:szCs w:val="20"/>
                <w:lang w:val="it-IT"/>
              </w:rPr>
              <w:t>Paese</w:t>
            </w:r>
          </w:p>
        </w:tc>
        <w:tc>
          <w:tcPr>
            <w:tcW w:w="1914" w:type="dxa"/>
            <w:gridSpan w:val="3"/>
          </w:tcPr>
          <w:p w:rsidR="00343EFC" w:rsidRPr="006F07C8" w:rsidRDefault="00343EFC" w:rsidP="002F52A9">
            <w:pPr>
              <w:jc w:val="center"/>
              <w:rPr>
                <w:rFonts w:ascii="Times New Roman" w:hAnsi="Times New Roman" w:cs="Times New Roman"/>
                <w:b/>
                <w:bCs/>
                <w:i/>
                <w:sz w:val="20"/>
                <w:szCs w:val="20"/>
                <w:lang w:val="it-IT"/>
              </w:rPr>
            </w:pPr>
            <w:r w:rsidRPr="006F07C8">
              <w:rPr>
                <w:rFonts w:ascii="Times New Roman" w:hAnsi="Times New Roman" w:cs="Times New Roman"/>
                <w:b/>
                <w:bCs/>
                <w:i/>
                <w:sz w:val="20"/>
                <w:szCs w:val="20"/>
                <w:lang w:val="it-IT"/>
              </w:rPr>
              <w:t>Monolingue</w:t>
            </w:r>
          </w:p>
        </w:tc>
        <w:tc>
          <w:tcPr>
            <w:tcW w:w="1761" w:type="dxa"/>
            <w:gridSpan w:val="4"/>
          </w:tcPr>
          <w:p w:rsidR="00343EFC" w:rsidRPr="006F07C8" w:rsidRDefault="00343EFC" w:rsidP="002F52A9">
            <w:pPr>
              <w:jc w:val="center"/>
              <w:rPr>
                <w:rFonts w:ascii="Times New Roman" w:hAnsi="Times New Roman" w:cs="Times New Roman"/>
                <w:b/>
                <w:bCs/>
                <w:i/>
                <w:sz w:val="20"/>
                <w:szCs w:val="20"/>
                <w:lang w:val="it-IT"/>
              </w:rPr>
            </w:pPr>
            <w:r w:rsidRPr="006F07C8">
              <w:rPr>
                <w:rFonts w:ascii="Times New Roman" w:hAnsi="Times New Roman" w:cs="Times New Roman"/>
                <w:b/>
                <w:bCs/>
                <w:i/>
                <w:sz w:val="20"/>
                <w:szCs w:val="20"/>
                <w:lang w:val="it-IT"/>
              </w:rPr>
              <w:t>Oligarchico</w:t>
            </w:r>
          </w:p>
        </w:tc>
      </w:tr>
      <w:tr w:rsidR="00343EFC" w:rsidRPr="006F07C8" w:rsidTr="006C2813">
        <w:trPr>
          <w:gridAfter w:val="2"/>
          <w:wAfter w:w="18" w:type="dxa"/>
          <w:trHeight w:val="294"/>
          <w:jc w:val="center"/>
        </w:trPr>
        <w:tc>
          <w:tcPr>
            <w:tcW w:w="2197" w:type="dxa"/>
            <w:gridSpan w:val="3"/>
            <w:hideMark/>
          </w:tcPr>
          <w:p w:rsidR="00343EFC" w:rsidRPr="006F07C8" w:rsidRDefault="00343EFC" w:rsidP="002F52A9">
            <w:pPr>
              <w:jc w:val="center"/>
              <w:rPr>
                <w:rFonts w:ascii="Times New Roman" w:hAnsi="Times New Roman" w:cs="Times New Roman"/>
                <w:sz w:val="20"/>
                <w:szCs w:val="20"/>
                <w:lang w:val="it-IT"/>
              </w:rPr>
            </w:pPr>
          </w:p>
        </w:tc>
        <w:tc>
          <w:tcPr>
            <w:tcW w:w="993" w:type="dxa"/>
            <w:gridSpan w:val="2"/>
            <w:hideMark/>
          </w:tcPr>
          <w:p w:rsidR="00343EFC" w:rsidRPr="006F07C8" w:rsidRDefault="00343EFC" w:rsidP="002F52A9">
            <w:pPr>
              <w:jc w:val="center"/>
              <w:rPr>
                <w:rFonts w:ascii="Times New Roman" w:hAnsi="Times New Roman" w:cs="Times New Roman"/>
                <w:i/>
                <w:sz w:val="20"/>
                <w:szCs w:val="20"/>
                <w:vertAlign w:val="subscript"/>
                <w:lang w:val="it-IT"/>
              </w:rPr>
            </w:pPr>
            <w:r w:rsidRPr="006F07C8">
              <w:rPr>
                <w:rFonts w:ascii="Times New Roman" w:hAnsi="Times New Roman" w:cs="Times New Roman"/>
                <w:b/>
                <w:bCs/>
                <w:i/>
                <w:sz w:val="20"/>
                <w:szCs w:val="20"/>
                <w:lang w:val="it-IT"/>
              </w:rPr>
              <w:t>E</w:t>
            </w:r>
            <w:r w:rsidRPr="006F07C8">
              <w:rPr>
                <w:rFonts w:ascii="Times New Roman" w:hAnsi="Times New Roman" w:cs="Times New Roman"/>
                <w:b/>
                <w:bCs/>
                <w:i/>
                <w:sz w:val="20"/>
                <w:szCs w:val="20"/>
                <w:vertAlign w:val="subscript"/>
                <w:lang w:val="it-IT"/>
              </w:rPr>
              <w:t>a</w:t>
            </w:r>
          </w:p>
        </w:tc>
        <w:tc>
          <w:tcPr>
            <w:tcW w:w="921" w:type="dxa"/>
            <w:hideMark/>
          </w:tcPr>
          <w:p w:rsidR="00343EFC" w:rsidRPr="006F07C8" w:rsidRDefault="00343EFC" w:rsidP="002F52A9">
            <w:pPr>
              <w:jc w:val="center"/>
              <w:rPr>
                <w:rFonts w:ascii="Times New Roman" w:hAnsi="Times New Roman" w:cs="Times New Roman"/>
                <w:i/>
                <w:sz w:val="20"/>
                <w:szCs w:val="20"/>
                <w:vertAlign w:val="subscript"/>
                <w:lang w:val="it-IT"/>
              </w:rPr>
            </w:pPr>
            <w:r w:rsidRPr="006F07C8">
              <w:rPr>
                <w:rFonts w:ascii="Times New Roman" w:hAnsi="Times New Roman" w:cs="Times New Roman"/>
                <w:b/>
                <w:bCs/>
                <w:i/>
                <w:sz w:val="20"/>
                <w:szCs w:val="20"/>
                <w:lang w:val="it-IT"/>
              </w:rPr>
              <w:t>E</w:t>
            </w:r>
            <w:r w:rsidRPr="006F07C8">
              <w:rPr>
                <w:rFonts w:ascii="Times New Roman" w:hAnsi="Times New Roman" w:cs="Times New Roman"/>
                <w:b/>
                <w:bCs/>
                <w:i/>
                <w:sz w:val="20"/>
                <w:szCs w:val="20"/>
                <w:vertAlign w:val="subscript"/>
                <w:lang w:val="it-IT"/>
              </w:rPr>
              <w:t>r</w:t>
            </w:r>
          </w:p>
        </w:tc>
        <w:tc>
          <w:tcPr>
            <w:tcW w:w="911" w:type="dxa"/>
          </w:tcPr>
          <w:p w:rsidR="00343EFC" w:rsidRPr="006F07C8" w:rsidRDefault="00343EFC" w:rsidP="002F52A9">
            <w:pPr>
              <w:jc w:val="center"/>
              <w:rPr>
                <w:rFonts w:ascii="Times New Roman" w:hAnsi="Times New Roman" w:cs="Times New Roman"/>
                <w:i/>
                <w:sz w:val="20"/>
                <w:szCs w:val="20"/>
                <w:vertAlign w:val="subscript"/>
                <w:lang w:val="it-IT"/>
              </w:rPr>
            </w:pPr>
            <w:r w:rsidRPr="006F07C8">
              <w:rPr>
                <w:rFonts w:ascii="Times New Roman" w:hAnsi="Times New Roman" w:cs="Times New Roman"/>
                <w:b/>
                <w:bCs/>
                <w:i/>
                <w:sz w:val="20"/>
                <w:szCs w:val="20"/>
                <w:lang w:val="it-IT"/>
              </w:rPr>
              <w:t>E</w:t>
            </w:r>
            <w:r w:rsidRPr="006F07C8">
              <w:rPr>
                <w:rFonts w:ascii="Times New Roman" w:hAnsi="Times New Roman" w:cs="Times New Roman"/>
                <w:b/>
                <w:bCs/>
                <w:i/>
                <w:sz w:val="20"/>
                <w:szCs w:val="20"/>
                <w:vertAlign w:val="subscript"/>
                <w:lang w:val="it-IT"/>
              </w:rPr>
              <w:t>a</w:t>
            </w:r>
          </w:p>
        </w:tc>
        <w:tc>
          <w:tcPr>
            <w:tcW w:w="850" w:type="dxa"/>
            <w:gridSpan w:val="3"/>
          </w:tcPr>
          <w:p w:rsidR="00343EFC" w:rsidRPr="006F07C8" w:rsidRDefault="00343EFC" w:rsidP="002F52A9">
            <w:pPr>
              <w:jc w:val="center"/>
              <w:rPr>
                <w:rFonts w:ascii="Times New Roman" w:hAnsi="Times New Roman" w:cs="Times New Roman"/>
                <w:i/>
                <w:sz w:val="20"/>
                <w:szCs w:val="20"/>
                <w:vertAlign w:val="subscript"/>
                <w:lang w:val="it-IT"/>
              </w:rPr>
            </w:pPr>
            <w:r w:rsidRPr="006F07C8">
              <w:rPr>
                <w:rFonts w:ascii="Times New Roman" w:hAnsi="Times New Roman" w:cs="Times New Roman"/>
                <w:b/>
                <w:bCs/>
                <w:i/>
                <w:sz w:val="20"/>
                <w:szCs w:val="20"/>
                <w:lang w:val="it-IT"/>
              </w:rPr>
              <w:t>E</w:t>
            </w:r>
            <w:r w:rsidRPr="006F07C8">
              <w:rPr>
                <w:rFonts w:ascii="Times New Roman" w:hAnsi="Times New Roman" w:cs="Times New Roman"/>
                <w:b/>
                <w:bCs/>
                <w:i/>
                <w:sz w:val="20"/>
                <w:szCs w:val="20"/>
                <w:vertAlign w:val="subscript"/>
                <w:lang w:val="it-IT"/>
              </w:rPr>
              <w:t>r</w:t>
            </w:r>
          </w:p>
        </w:tc>
      </w:tr>
      <w:tr w:rsidR="00343EFC" w:rsidRPr="006F07C8" w:rsidTr="006C2813">
        <w:trPr>
          <w:gridAfter w:val="2"/>
          <w:wAfter w:w="18" w:type="dxa"/>
          <w:trHeight w:val="270"/>
          <w:jc w:val="center"/>
        </w:trPr>
        <w:tc>
          <w:tcPr>
            <w:tcW w:w="2197" w:type="dxa"/>
            <w:gridSpan w:val="3"/>
            <w:hideMark/>
          </w:tcPr>
          <w:p w:rsidR="00343EFC" w:rsidRPr="006F07C8" w:rsidRDefault="00343EFC" w:rsidP="002F52A9">
            <w:pPr>
              <w:rPr>
                <w:rFonts w:ascii="Times New Roman" w:hAnsi="Times New Roman" w:cs="Times New Roman"/>
                <w:sz w:val="20"/>
                <w:szCs w:val="20"/>
                <w:lang w:val="it-IT"/>
              </w:rPr>
            </w:pPr>
            <w:r w:rsidRPr="006F07C8">
              <w:rPr>
                <w:rFonts w:ascii="Times New Roman" w:hAnsi="Times New Roman" w:cs="Times New Roman"/>
                <w:sz w:val="20"/>
                <w:szCs w:val="20"/>
                <w:lang w:val="it-IT"/>
              </w:rPr>
              <w:t>Austria</w:t>
            </w:r>
          </w:p>
        </w:tc>
        <w:tc>
          <w:tcPr>
            <w:tcW w:w="993" w:type="dxa"/>
            <w:gridSpan w:val="2"/>
            <w:hideMark/>
          </w:tcPr>
          <w:p w:rsidR="00343EFC" w:rsidRPr="006F07C8" w:rsidRDefault="00343EFC" w:rsidP="002F52A9">
            <w:pPr>
              <w:jc w:val="center"/>
              <w:rPr>
                <w:rFonts w:ascii="Times New Roman" w:hAnsi="Times New Roman" w:cs="Times New Roman"/>
                <w:sz w:val="20"/>
                <w:szCs w:val="20"/>
                <w:lang w:val="it-IT"/>
              </w:rPr>
            </w:pPr>
            <w:r w:rsidRPr="006F07C8">
              <w:rPr>
                <w:rFonts w:ascii="Times New Roman" w:hAnsi="Times New Roman" w:cs="Times New Roman"/>
                <w:sz w:val="20"/>
                <w:szCs w:val="20"/>
                <w:lang w:val="it-IT"/>
              </w:rPr>
              <w:t>32</w:t>
            </w:r>
          </w:p>
        </w:tc>
        <w:tc>
          <w:tcPr>
            <w:tcW w:w="921" w:type="dxa"/>
            <w:hideMark/>
          </w:tcPr>
          <w:p w:rsidR="00343EFC" w:rsidRPr="006F07C8" w:rsidRDefault="00343EFC" w:rsidP="002F52A9">
            <w:pPr>
              <w:jc w:val="center"/>
              <w:rPr>
                <w:rFonts w:ascii="Times New Roman" w:hAnsi="Times New Roman" w:cs="Times New Roman"/>
                <w:sz w:val="20"/>
                <w:szCs w:val="20"/>
                <w:lang w:val="it-IT"/>
              </w:rPr>
            </w:pPr>
            <w:r w:rsidRPr="006F07C8">
              <w:rPr>
                <w:rFonts w:ascii="Times New Roman" w:hAnsi="Times New Roman" w:cs="Times New Roman"/>
                <w:sz w:val="20"/>
                <w:szCs w:val="20"/>
                <w:lang w:val="it-IT"/>
              </w:rPr>
              <w:t>83</w:t>
            </w:r>
          </w:p>
        </w:tc>
        <w:tc>
          <w:tcPr>
            <w:tcW w:w="911" w:type="dxa"/>
          </w:tcPr>
          <w:p w:rsidR="00343EFC" w:rsidRPr="006F07C8" w:rsidRDefault="00343EFC" w:rsidP="002F52A9">
            <w:pPr>
              <w:jc w:val="center"/>
              <w:rPr>
                <w:rFonts w:ascii="Times New Roman" w:hAnsi="Times New Roman" w:cs="Times New Roman"/>
                <w:sz w:val="20"/>
                <w:szCs w:val="20"/>
                <w:lang w:val="it-IT"/>
              </w:rPr>
            </w:pPr>
            <w:r w:rsidRPr="006F07C8">
              <w:rPr>
                <w:rFonts w:ascii="Times New Roman" w:hAnsi="Times New Roman" w:cs="Times New Roman"/>
                <w:sz w:val="20"/>
                <w:szCs w:val="20"/>
                <w:lang w:val="it-IT"/>
              </w:rPr>
              <w:t>0</w:t>
            </w:r>
          </w:p>
        </w:tc>
        <w:tc>
          <w:tcPr>
            <w:tcW w:w="850" w:type="dxa"/>
            <w:gridSpan w:val="3"/>
          </w:tcPr>
          <w:p w:rsidR="00343EFC" w:rsidRPr="006F07C8" w:rsidRDefault="00343EFC" w:rsidP="002F52A9">
            <w:pPr>
              <w:jc w:val="center"/>
              <w:rPr>
                <w:rFonts w:ascii="Times New Roman" w:hAnsi="Times New Roman" w:cs="Times New Roman"/>
                <w:sz w:val="20"/>
                <w:szCs w:val="20"/>
                <w:lang w:val="it-IT"/>
              </w:rPr>
            </w:pPr>
            <w:r w:rsidRPr="006F07C8">
              <w:rPr>
                <w:rFonts w:ascii="Times New Roman" w:hAnsi="Times New Roman" w:cs="Times New Roman"/>
                <w:sz w:val="20"/>
                <w:szCs w:val="20"/>
                <w:lang w:val="it-IT"/>
              </w:rPr>
              <w:t>8</w:t>
            </w:r>
          </w:p>
        </w:tc>
      </w:tr>
      <w:tr w:rsidR="00343EFC" w:rsidRPr="006F07C8" w:rsidTr="006C2813">
        <w:trPr>
          <w:gridAfter w:val="2"/>
          <w:wAfter w:w="18" w:type="dxa"/>
          <w:trHeight w:val="274"/>
          <w:jc w:val="center"/>
        </w:trPr>
        <w:tc>
          <w:tcPr>
            <w:tcW w:w="2197" w:type="dxa"/>
            <w:gridSpan w:val="3"/>
            <w:hideMark/>
          </w:tcPr>
          <w:p w:rsidR="00343EFC" w:rsidRPr="006F07C8" w:rsidRDefault="00343EFC" w:rsidP="002F52A9">
            <w:pPr>
              <w:rPr>
                <w:rFonts w:ascii="Times New Roman" w:hAnsi="Times New Roman" w:cs="Times New Roman"/>
                <w:sz w:val="20"/>
                <w:szCs w:val="20"/>
                <w:lang w:val="it-IT"/>
              </w:rPr>
            </w:pPr>
            <w:r w:rsidRPr="006F07C8">
              <w:rPr>
                <w:rFonts w:ascii="Times New Roman" w:hAnsi="Times New Roman" w:cs="Times New Roman"/>
                <w:sz w:val="20"/>
                <w:szCs w:val="20"/>
                <w:lang w:val="it-IT"/>
              </w:rPr>
              <w:t>Belgio</w:t>
            </w:r>
          </w:p>
        </w:tc>
        <w:tc>
          <w:tcPr>
            <w:tcW w:w="993" w:type="dxa"/>
            <w:gridSpan w:val="2"/>
            <w:hideMark/>
          </w:tcPr>
          <w:p w:rsidR="00343EFC" w:rsidRPr="006F07C8" w:rsidRDefault="00343EFC" w:rsidP="002F52A9">
            <w:pPr>
              <w:jc w:val="center"/>
              <w:rPr>
                <w:rFonts w:ascii="Times New Roman" w:hAnsi="Times New Roman" w:cs="Times New Roman"/>
                <w:sz w:val="20"/>
                <w:szCs w:val="20"/>
                <w:lang w:val="it-IT"/>
              </w:rPr>
            </w:pPr>
            <w:r w:rsidRPr="006F07C8">
              <w:rPr>
                <w:rFonts w:ascii="Times New Roman" w:hAnsi="Times New Roman" w:cs="Times New Roman"/>
                <w:sz w:val="20"/>
                <w:szCs w:val="20"/>
                <w:lang w:val="it-IT"/>
              </w:rPr>
              <w:t>42</w:t>
            </w:r>
          </w:p>
        </w:tc>
        <w:tc>
          <w:tcPr>
            <w:tcW w:w="921" w:type="dxa"/>
            <w:hideMark/>
          </w:tcPr>
          <w:p w:rsidR="00343EFC" w:rsidRPr="006F07C8" w:rsidRDefault="00343EFC" w:rsidP="002F52A9">
            <w:pPr>
              <w:jc w:val="center"/>
              <w:rPr>
                <w:rFonts w:ascii="Times New Roman" w:hAnsi="Times New Roman" w:cs="Times New Roman"/>
                <w:sz w:val="20"/>
                <w:szCs w:val="20"/>
                <w:lang w:val="it-IT"/>
              </w:rPr>
            </w:pPr>
            <w:r w:rsidRPr="006F07C8">
              <w:rPr>
                <w:rFonts w:ascii="Times New Roman" w:hAnsi="Times New Roman" w:cs="Times New Roman"/>
                <w:sz w:val="20"/>
                <w:szCs w:val="20"/>
                <w:lang w:val="it-IT"/>
              </w:rPr>
              <w:t>86</w:t>
            </w:r>
          </w:p>
        </w:tc>
        <w:tc>
          <w:tcPr>
            <w:tcW w:w="911" w:type="dxa"/>
          </w:tcPr>
          <w:p w:rsidR="00343EFC" w:rsidRPr="006F07C8" w:rsidRDefault="00343EFC" w:rsidP="002F52A9">
            <w:pPr>
              <w:jc w:val="center"/>
              <w:rPr>
                <w:rFonts w:ascii="Times New Roman" w:hAnsi="Times New Roman" w:cs="Times New Roman"/>
                <w:sz w:val="20"/>
                <w:szCs w:val="20"/>
                <w:lang w:val="it-IT"/>
              </w:rPr>
            </w:pPr>
            <w:r w:rsidRPr="006F07C8">
              <w:rPr>
                <w:rFonts w:ascii="Times New Roman" w:hAnsi="Times New Roman" w:cs="Times New Roman"/>
                <w:sz w:val="20"/>
                <w:szCs w:val="20"/>
                <w:lang w:val="it-IT"/>
              </w:rPr>
              <w:t>14</w:t>
            </w:r>
          </w:p>
        </w:tc>
        <w:tc>
          <w:tcPr>
            <w:tcW w:w="850" w:type="dxa"/>
            <w:gridSpan w:val="3"/>
          </w:tcPr>
          <w:p w:rsidR="00343EFC" w:rsidRPr="006F07C8" w:rsidRDefault="00343EFC" w:rsidP="002F52A9">
            <w:pPr>
              <w:jc w:val="center"/>
              <w:rPr>
                <w:rFonts w:ascii="Times New Roman" w:hAnsi="Times New Roman" w:cs="Times New Roman"/>
                <w:sz w:val="20"/>
                <w:szCs w:val="20"/>
                <w:lang w:val="it-IT"/>
              </w:rPr>
            </w:pPr>
            <w:r w:rsidRPr="006F07C8">
              <w:rPr>
                <w:rFonts w:ascii="Times New Roman" w:hAnsi="Times New Roman" w:cs="Times New Roman"/>
                <w:sz w:val="20"/>
                <w:szCs w:val="20"/>
                <w:lang w:val="it-IT"/>
              </w:rPr>
              <w:t>43</w:t>
            </w:r>
          </w:p>
        </w:tc>
      </w:tr>
      <w:tr w:rsidR="00343EFC" w:rsidRPr="006F07C8" w:rsidTr="006C2813">
        <w:trPr>
          <w:gridAfter w:val="2"/>
          <w:wAfter w:w="18" w:type="dxa"/>
          <w:trHeight w:val="264"/>
          <w:jc w:val="center"/>
        </w:trPr>
        <w:tc>
          <w:tcPr>
            <w:tcW w:w="1961" w:type="dxa"/>
            <w:hideMark/>
          </w:tcPr>
          <w:p w:rsidR="00343EFC" w:rsidRPr="006F07C8" w:rsidRDefault="00343EFC" w:rsidP="002F52A9">
            <w:pPr>
              <w:rPr>
                <w:rFonts w:ascii="Times New Roman" w:hAnsi="Times New Roman" w:cs="Times New Roman"/>
                <w:sz w:val="20"/>
                <w:szCs w:val="20"/>
                <w:lang w:val="it-IT"/>
              </w:rPr>
            </w:pPr>
            <w:r w:rsidRPr="006F07C8">
              <w:rPr>
                <w:rFonts w:ascii="Times New Roman" w:hAnsi="Times New Roman" w:cs="Times New Roman"/>
                <w:bCs/>
                <w:sz w:val="20"/>
                <w:szCs w:val="20"/>
                <w:lang w:val="it-IT"/>
              </w:rPr>
              <w:t>Bulgaria</w:t>
            </w:r>
          </w:p>
        </w:tc>
        <w:tc>
          <w:tcPr>
            <w:tcW w:w="236" w:type="dxa"/>
            <w:gridSpan w:val="2"/>
          </w:tcPr>
          <w:p w:rsidR="00343EFC" w:rsidRPr="006F07C8" w:rsidRDefault="00343EFC" w:rsidP="002F52A9">
            <w:pPr>
              <w:rPr>
                <w:rFonts w:ascii="Times New Roman" w:hAnsi="Times New Roman" w:cs="Times New Roman"/>
                <w:sz w:val="20"/>
                <w:szCs w:val="20"/>
                <w:lang w:val="it-IT"/>
              </w:rPr>
            </w:pPr>
          </w:p>
        </w:tc>
        <w:tc>
          <w:tcPr>
            <w:tcW w:w="993" w:type="dxa"/>
            <w:gridSpan w:val="2"/>
            <w:hideMark/>
          </w:tcPr>
          <w:p w:rsidR="00343EFC" w:rsidRPr="006F07C8" w:rsidRDefault="00343EFC" w:rsidP="002F52A9">
            <w:pPr>
              <w:jc w:val="center"/>
              <w:rPr>
                <w:rFonts w:ascii="Times New Roman" w:hAnsi="Times New Roman" w:cs="Times New Roman"/>
                <w:sz w:val="20"/>
                <w:szCs w:val="20"/>
                <w:lang w:val="it-IT"/>
              </w:rPr>
            </w:pPr>
            <w:r w:rsidRPr="006F07C8">
              <w:rPr>
                <w:rFonts w:ascii="Times New Roman" w:hAnsi="Times New Roman" w:cs="Times New Roman"/>
                <w:sz w:val="20"/>
                <w:szCs w:val="20"/>
                <w:lang w:val="it-IT"/>
              </w:rPr>
              <w:t>79</w:t>
            </w:r>
          </w:p>
        </w:tc>
        <w:tc>
          <w:tcPr>
            <w:tcW w:w="921" w:type="dxa"/>
            <w:hideMark/>
          </w:tcPr>
          <w:p w:rsidR="00343EFC" w:rsidRPr="006F07C8" w:rsidRDefault="00343EFC" w:rsidP="002F52A9">
            <w:pPr>
              <w:jc w:val="center"/>
              <w:rPr>
                <w:rFonts w:ascii="Times New Roman" w:hAnsi="Times New Roman" w:cs="Times New Roman"/>
                <w:sz w:val="20"/>
                <w:szCs w:val="20"/>
                <w:lang w:val="it-IT"/>
              </w:rPr>
            </w:pPr>
            <w:r w:rsidRPr="006F07C8">
              <w:rPr>
                <w:rFonts w:ascii="Times New Roman" w:hAnsi="Times New Roman" w:cs="Times New Roman"/>
                <w:sz w:val="20"/>
                <w:szCs w:val="20"/>
                <w:lang w:val="it-IT"/>
              </w:rPr>
              <w:t>97</w:t>
            </w:r>
          </w:p>
        </w:tc>
        <w:tc>
          <w:tcPr>
            <w:tcW w:w="911" w:type="dxa"/>
          </w:tcPr>
          <w:p w:rsidR="00343EFC" w:rsidRPr="006F07C8" w:rsidRDefault="00343EFC" w:rsidP="002F52A9">
            <w:pPr>
              <w:jc w:val="center"/>
              <w:rPr>
                <w:rFonts w:ascii="Times New Roman" w:hAnsi="Times New Roman" w:cs="Times New Roman"/>
                <w:sz w:val="20"/>
                <w:szCs w:val="20"/>
                <w:lang w:val="it-IT"/>
              </w:rPr>
            </w:pPr>
            <w:r w:rsidRPr="006F07C8">
              <w:rPr>
                <w:rFonts w:ascii="Times New Roman" w:hAnsi="Times New Roman" w:cs="Times New Roman"/>
                <w:sz w:val="20"/>
                <w:szCs w:val="20"/>
                <w:lang w:val="it-IT"/>
              </w:rPr>
              <w:t>64</w:t>
            </w:r>
          </w:p>
        </w:tc>
        <w:tc>
          <w:tcPr>
            <w:tcW w:w="850" w:type="dxa"/>
            <w:gridSpan w:val="3"/>
          </w:tcPr>
          <w:p w:rsidR="00343EFC" w:rsidRPr="006F07C8" w:rsidRDefault="00343EFC" w:rsidP="002F52A9">
            <w:pPr>
              <w:jc w:val="center"/>
              <w:rPr>
                <w:rFonts w:ascii="Times New Roman" w:hAnsi="Times New Roman" w:cs="Times New Roman"/>
                <w:sz w:val="20"/>
                <w:szCs w:val="20"/>
                <w:lang w:val="it-IT"/>
              </w:rPr>
            </w:pPr>
            <w:r w:rsidRPr="006F07C8">
              <w:rPr>
                <w:rFonts w:ascii="Times New Roman" w:hAnsi="Times New Roman" w:cs="Times New Roman"/>
                <w:sz w:val="20"/>
                <w:szCs w:val="20"/>
                <w:lang w:val="it-IT"/>
              </w:rPr>
              <w:t>96</w:t>
            </w:r>
          </w:p>
        </w:tc>
      </w:tr>
      <w:tr w:rsidR="00343EFC" w:rsidRPr="006F07C8" w:rsidTr="006C2813">
        <w:trPr>
          <w:gridAfter w:val="2"/>
          <w:wAfter w:w="18" w:type="dxa"/>
          <w:trHeight w:val="282"/>
          <w:jc w:val="center"/>
        </w:trPr>
        <w:tc>
          <w:tcPr>
            <w:tcW w:w="1961" w:type="dxa"/>
            <w:hideMark/>
          </w:tcPr>
          <w:p w:rsidR="00343EFC" w:rsidRPr="006F07C8" w:rsidRDefault="00343EFC" w:rsidP="002F52A9">
            <w:pPr>
              <w:rPr>
                <w:rFonts w:ascii="Times New Roman" w:hAnsi="Times New Roman" w:cs="Times New Roman"/>
                <w:sz w:val="20"/>
                <w:szCs w:val="20"/>
                <w:lang w:val="it-IT"/>
              </w:rPr>
            </w:pPr>
            <w:r w:rsidRPr="006F07C8">
              <w:rPr>
                <w:rFonts w:ascii="Times New Roman" w:hAnsi="Times New Roman" w:cs="Times New Roman"/>
                <w:sz w:val="20"/>
                <w:szCs w:val="20"/>
                <w:lang w:val="it-IT"/>
              </w:rPr>
              <w:t>Cipro</w:t>
            </w:r>
          </w:p>
        </w:tc>
        <w:tc>
          <w:tcPr>
            <w:tcW w:w="236" w:type="dxa"/>
            <w:gridSpan w:val="2"/>
            <w:vMerge w:val="restart"/>
          </w:tcPr>
          <w:p w:rsidR="00343EFC" w:rsidRPr="006F07C8" w:rsidRDefault="00343EFC" w:rsidP="002F52A9">
            <w:pPr>
              <w:rPr>
                <w:rFonts w:ascii="Times New Roman" w:hAnsi="Times New Roman" w:cs="Times New Roman"/>
                <w:sz w:val="20"/>
                <w:szCs w:val="20"/>
                <w:lang w:val="it-IT"/>
              </w:rPr>
            </w:pPr>
          </w:p>
        </w:tc>
        <w:tc>
          <w:tcPr>
            <w:tcW w:w="993" w:type="dxa"/>
            <w:gridSpan w:val="2"/>
            <w:hideMark/>
          </w:tcPr>
          <w:p w:rsidR="00343EFC" w:rsidRPr="006F07C8" w:rsidRDefault="00343EFC" w:rsidP="002F52A9">
            <w:pPr>
              <w:jc w:val="center"/>
              <w:rPr>
                <w:rFonts w:ascii="Times New Roman" w:hAnsi="Times New Roman" w:cs="Times New Roman"/>
                <w:sz w:val="20"/>
                <w:szCs w:val="20"/>
                <w:lang w:val="it-IT"/>
              </w:rPr>
            </w:pPr>
            <w:r w:rsidRPr="006F07C8">
              <w:rPr>
                <w:rFonts w:ascii="Times New Roman" w:hAnsi="Times New Roman" w:cs="Times New Roman"/>
                <w:sz w:val="20"/>
                <w:szCs w:val="20"/>
                <w:lang w:val="it-IT"/>
              </w:rPr>
              <w:t>17</w:t>
            </w:r>
          </w:p>
        </w:tc>
        <w:tc>
          <w:tcPr>
            <w:tcW w:w="921" w:type="dxa"/>
            <w:hideMark/>
          </w:tcPr>
          <w:p w:rsidR="00343EFC" w:rsidRPr="006F07C8" w:rsidRDefault="00343EFC" w:rsidP="002F52A9">
            <w:pPr>
              <w:jc w:val="center"/>
              <w:rPr>
                <w:rFonts w:ascii="Times New Roman" w:hAnsi="Times New Roman" w:cs="Times New Roman"/>
                <w:sz w:val="20"/>
                <w:szCs w:val="20"/>
                <w:lang w:val="it-IT"/>
              </w:rPr>
            </w:pPr>
            <w:r w:rsidRPr="006F07C8">
              <w:rPr>
                <w:rFonts w:ascii="Times New Roman" w:hAnsi="Times New Roman" w:cs="Times New Roman"/>
                <w:sz w:val="20"/>
                <w:szCs w:val="20"/>
                <w:lang w:val="it-IT"/>
              </w:rPr>
              <w:t>74</w:t>
            </w:r>
          </w:p>
        </w:tc>
        <w:tc>
          <w:tcPr>
            <w:tcW w:w="911" w:type="dxa"/>
          </w:tcPr>
          <w:p w:rsidR="00343EFC" w:rsidRPr="006F07C8" w:rsidRDefault="00343EFC" w:rsidP="002F52A9">
            <w:pPr>
              <w:jc w:val="center"/>
              <w:rPr>
                <w:rFonts w:ascii="Times New Roman" w:hAnsi="Times New Roman" w:cs="Times New Roman"/>
                <w:sz w:val="20"/>
                <w:szCs w:val="20"/>
                <w:lang w:val="it-IT"/>
              </w:rPr>
            </w:pPr>
            <w:r w:rsidRPr="006F07C8">
              <w:rPr>
                <w:rFonts w:ascii="Times New Roman" w:hAnsi="Times New Roman" w:cs="Times New Roman"/>
                <w:sz w:val="20"/>
                <w:szCs w:val="20"/>
                <w:lang w:val="it-IT"/>
              </w:rPr>
              <w:t>16</w:t>
            </w:r>
          </w:p>
        </w:tc>
        <w:tc>
          <w:tcPr>
            <w:tcW w:w="850" w:type="dxa"/>
            <w:gridSpan w:val="3"/>
          </w:tcPr>
          <w:p w:rsidR="00343EFC" w:rsidRPr="006F07C8" w:rsidRDefault="00343EFC" w:rsidP="002F52A9">
            <w:pPr>
              <w:jc w:val="center"/>
              <w:rPr>
                <w:rFonts w:ascii="Times New Roman" w:hAnsi="Times New Roman" w:cs="Times New Roman"/>
                <w:sz w:val="20"/>
                <w:szCs w:val="20"/>
                <w:lang w:val="it-IT"/>
              </w:rPr>
            </w:pPr>
            <w:r w:rsidRPr="006F07C8">
              <w:rPr>
                <w:rFonts w:ascii="Times New Roman" w:hAnsi="Times New Roman" w:cs="Times New Roman"/>
                <w:sz w:val="20"/>
                <w:szCs w:val="20"/>
                <w:lang w:val="it-IT"/>
              </w:rPr>
              <w:t>73</w:t>
            </w:r>
          </w:p>
        </w:tc>
      </w:tr>
      <w:tr w:rsidR="00343EFC" w:rsidRPr="006F07C8" w:rsidTr="006C2813">
        <w:trPr>
          <w:gridAfter w:val="2"/>
          <w:wAfter w:w="18" w:type="dxa"/>
          <w:trHeight w:val="272"/>
          <w:jc w:val="center"/>
        </w:trPr>
        <w:tc>
          <w:tcPr>
            <w:tcW w:w="1961" w:type="dxa"/>
            <w:hideMark/>
          </w:tcPr>
          <w:p w:rsidR="00343EFC" w:rsidRPr="006F07C8" w:rsidRDefault="00343EFC" w:rsidP="002F52A9">
            <w:pPr>
              <w:rPr>
                <w:rFonts w:ascii="Times New Roman" w:hAnsi="Times New Roman" w:cs="Times New Roman"/>
                <w:sz w:val="20"/>
                <w:szCs w:val="20"/>
                <w:lang w:val="it-IT"/>
              </w:rPr>
            </w:pPr>
            <w:r w:rsidRPr="006F07C8">
              <w:rPr>
                <w:rFonts w:ascii="Times New Roman" w:hAnsi="Times New Roman" w:cs="Times New Roman"/>
                <w:iCs/>
                <w:sz w:val="20"/>
                <w:szCs w:val="20"/>
                <w:lang w:val="it-IT"/>
              </w:rPr>
              <w:t>Ceca, Repubblica</w:t>
            </w:r>
          </w:p>
        </w:tc>
        <w:tc>
          <w:tcPr>
            <w:tcW w:w="236" w:type="dxa"/>
            <w:gridSpan w:val="2"/>
            <w:vMerge/>
          </w:tcPr>
          <w:p w:rsidR="00343EFC" w:rsidRPr="006F07C8" w:rsidRDefault="00343EFC" w:rsidP="002F52A9">
            <w:pPr>
              <w:rPr>
                <w:rFonts w:ascii="Times New Roman" w:hAnsi="Times New Roman" w:cs="Times New Roman"/>
                <w:sz w:val="20"/>
                <w:szCs w:val="20"/>
                <w:lang w:val="it-IT"/>
              </w:rPr>
            </w:pPr>
          </w:p>
        </w:tc>
        <w:tc>
          <w:tcPr>
            <w:tcW w:w="993" w:type="dxa"/>
            <w:gridSpan w:val="2"/>
            <w:hideMark/>
          </w:tcPr>
          <w:p w:rsidR="00343EFC" w:rsidRPr="006F07C8" w:rsidRDefault="00343EFC" w:rsidP="002F52A9">
            <w:pPr>
              <w:jc w:val="center"/>
              <w:rPr>
                <w:rFonts w:ascii="Times New Roman" w:hAnsi="Times New Roman" w:cs="Times New Roman"/>
                <w:sz w:val="20"/>
                <w:szCs w:val="20"/>
                <w:lang w:val="it-IT"/>
              </w:rPr>
            </w:pPr>
            <w:r w:rsidRPr="006F07C8">
              <w:rPr>
                <w:rFonts w:ascii="Times New Roman" w:hAnsi="Times New Roman" w:cs="Times New Roman"/>
                <w:sz w:val="20"/>
                <w:szCs w:val="20"/>
                <w:lang w:val="it-IT"/>
              </w:rPr>
              <w:t>67</w:t>
            </w:r>
          </w:p>
        </w:tc>
        <w:tc>
          <w:tcPr>
            <w:tcW w:w="921" w:type="dxa"/>
            <w:hideMark/>
          </w:tcPr>
          <w:p w:rsidR="00343EFC" w:rsidRPr="006F07C8" w:rsidRDefault="00343EFC" w:rsidP="002F52A9">
            <w:pPr>
              <w:jc w:val="center"/>
              <w:rPr>
                <w:rFonts w:ascii="Times New Roman" w:hAnsi="Times New Roman" w:cs="Times New Roman"/>
                <w:sz w:val="20"/>
                <w:szCs w:val="20"/>
                <w:lang w:val="it-IT"/>
              </w:rPr>
            </w:pPr>
            <w:r w:rsidRPr="006F07C8">
              <w:rPr>
                <w:rFonts w:ascii="Times New Roman" w:hAnsi="Times New Roman" w:cs="Times New Roman"/>
                <w:sz w:val="20"/>
                <w:szCs w:val="20"/>
                <w:lang w:val="it-IT"/>
              </w:rPr>
              <w:t>95</w:t>
            </w:r>
          </w:p>
        </w:tc>
        <w:tc>
          <w:tcPr>
            <w:tcW w:w="911" w:type="dxa"/>
          </w:tcPr>
          <w:p w:rsidR="00343EFC" w:rsidRPr="006F07C8" w:rsidRDefault="00343EFC" w:rsidP="002F52A9">
            <w:pPr>
              <w:jc w:val="center"/>
              <w:rPr>
                <w:rFonts w:ascii="Times New Roman" w:hAnsi="Times New Roman" w:cs="Times New Roman"/>
                <w:sz w:val="20"/>
                <w:szCs w:val="20"/>
                <w:lang w:val="it-IT"/>
              </w:rPr>
            </w:pPr>
            <w:r w:rsidRPr="006F07C8">
              <w:rPr>
                <w:rFonts w:ascii="Times New Roman" w:hAnsi="Times New Roman" w:cs="Times New Roman"/>
                <w:sz w:val="20"/>
                <w:szCs w:val="20"/>
                <w:lang w:val="it-IT"/>
              </w:rPr>
              <w:t>47</w:t>
            </w:r>
          </w:p>
        </w:tc>
        <w:tc>
          <w:tcPr>
            <w:tcW w:w="850" w:type="dxa"/>
            <w:gridSpan w:val="3"/>
          </w:tcPr>
          <w:p w:rsidR="00343EFC" w:rsidRPr="006F07C8" w:rsidRDefault="00343EFC" w:rsidP="002F52A9">
            <w:pPr>
              <w:jc w:val="center"/>
              <w:rPr>
                <w:rFonts w:ascii="Times New Roman" w:hAnsi="Times New Roman" w:cs="Times New Roman"/>
                <w:sz w:val="20"/>
                <w:szCs w:val="20"/>
                <w:lang w:val="it-IT"/>
              </w:rPr>
            </w:pPr>
            <w:r w:rsidRPr="006F07C8">
              <w:rPr>
                <w:rFonts w:ascii="Times New Roman" w:hAnsi="Times New Roman" w:cs="Times New Roman"/>
                <w:sz w:val="20"/>
                <w:szCs w:val="20"/>
                <w:lang w:val="it-IT"/>
              </w:rPr>
              <w:t>93</w:t>
            </w:r>
          </w:p>
        </w:tc>
      </w:tr>
      <w:tr w:rsidR="00343EFC" w:rsidRPr="006F07C8" w:rsidTr="006C2813">
        <w:trPr>
          <w:gridAfter w:val="2"/>
          <w:wAfter w:w="18" w:type="dxa"/>
          <w:trHeight w:val="276"/>
          <w:jc w:val="center"/>
        </w:trPr>
        <w:tc>
          <w:tcPr>
            <w:tcW w:w="1961" w:type="dxa"/>
          </w:tcPr>
          <w:p w:rsidR="00343EFC" w:rsidRPr="006F07C8" w:rsidRDefault="00343EFC" w:rsidP="002F52A9">
            <w:pPr>
              <w:rPr>
                <w:rFonts w:ascii="Times New Roman" w:hAnsi="Times New Roman" w:cs="Times New Roman"/>
                <w:sz w:val="20"/>
                <w:szCs w:val="20"/>
                <w:lang w:val="it-IT"/>
              </w:rPr>
            </w:pPr>
            <w:r w:rsidRPr="006F07C8">
              <w:rPr>
                <w:rFonts w:ascii="Times New Roman" w:hAnsi="Times New Roman" w:cs="Times New Roman"/>
                <w:sz w:val="20"/>
                <w:szCs w:val="20"/>
                <w:lang w:val="it-IT"/>
              </w:rPr>
              <w:t>Croazia</w:t>
            </w:r>
          </w:p>
        </w:tc>
        <w:tc>
          <w:tcPr>
            <w:tcW w:w="236" w:type="dxa"/>
            <w:gridSpan w:val="2"/>
            <w:vMerge/>
          </w:tcPr>
          <w:p w:rsidR="00343EFC" w:rsidRPr="006F07C8" w:rsidRDefault="00343EFC" w:rsidP="002F52A9">
            <w:pPr>
              <w:rPr>
                <w:rFonts w:ascii="Times New Roman" w:hAnsi="Times New Roman" w:cs="Times New Roman"/>
                <w:sz w:val="20"/>
                <w:szCs w:val="20"/>
                <w:lang w:val="it-IT"/>
              </w:rPr>
            </w:pPr>
          </w:p>
        </w:tc>
        <w:tc>
          <w:tcPr>
            <w:tcW w:w="993" w:type="dxa"/>
            <w:gridSpan w:val="2"/>
          </w:tcPr>
          <w:p w:rsidR="00343EFC" w:rsidRPr="006F07C8" w:rsidRDefault="00343EFC" w:rsidP="002F52A9">
            <w:pPr>
              <w:jc w:val="center"/>
              <w:rPr>
                <w:rFonts w:ascii="Times New Roman" w:hAnsi="Times New Roman" w:cs="Times New Roman"/>
                <w:sz w:val="20"/>
                <w:szCs w:val="20"/>
                <w:lang w:val="it-IT"/>
              </w:rPr>
            </w:pPr>
            <w:r w:rsidRPr="006F07C8">
              <w:rPr>
                <w:rFonts w:ascii="Times New Roman" w:hAnsi="Times New Roman" w:cs="Times New Roman"/>
                <w:sz w:val="20"/>
                <w:szCs w:val="20"/>
                <w:lang w:val="it-IT"/>
              </w:rPr>
              <w:t>56</w:t>
            </w:r>
          </w:p>
        </w:tc>
        <w:tc>
          <w:tcPr>
            <w:tcW w:w="921" w:type="dxa"/>
          </w:tcPr>
          <w:p w:rsidR="00343EFC" w:rsidRPr="006F07C8" w:rsidRDefault="00343EFC" w:rsidP="002F52A9">
            <w:pPr>
              <w:jc w:val="center"/>
              <w:rPr>
                <w:rFonts w:ascii="Times New Roman" w:hAnsi="Times New Roman" w:cs="Times New Roman"/>
                <w:sz w:val="20"/>
                <w:szCs w:val="20"/>
                <w:lang w:val="it-IT"/>
              </w:rPr>
            </w:pPr>
            <w:r w:rsidRPr="006F07C8">
              <w:rPr>
                <w:rFonts w:ascii="Times New Roman" w:hAnsi="Times New Roman" w:cs="Times New Roman"/>
                <w:sz w:val="20"/>
                <w:szCs w:val="20"/>
                <w:lang w:val="it-IT"/>
              </w:rPr>
              <w:t>92</w:t>
            </w:r>
          </w:p>
        </w:tc>
        <w:tc>
          <w:tcPr>
            <w:tcW w:w="911" w:type="dxa"/>
          </w:tcPr>
          <w:p w:rsidR="00343EFC" w:rsidRPr="006F07C8" w:rsidRDefault="00343EFC" w:rsidP="002F52A9">
            <w:pPr>
              <w:jc w:val="center"/>
              <w:rPr>
                <w:rFonts w:ascii="Times New Roman" w:hAnsi="Times New Roman" w:cs="Times New Roman"/>
                <w:sz w:val="20"/>
                <w:szCs w:val="20"/>
                <w:lang w:val="it-IT"/>
              </w:rPr>
            </w:pPr>
            <w:r w:rsidRPr="006F07C8">
              <w:rPr>
                <w:rFonts w:ascii="Times New Roman" w:hAnsi="Times New Roman" w:cs="Times New Roman"/>
                <w:sz w:val="20"/>
                <w:szCs w:val="20"/>
                <w:lang w:val="it-IT"/>
              </w:rPr>
              <w:t>38</w:t>
            </w:r>
          </w:p>
        </w:tc>
        <w:tc>
          <w:tcPr>
            <w:tcW w:w="850" w:type="dxa"/>
            <w:gridSpan w:val="3"/>
          </w:tcPr>
          <w:p w:rsidR="00343EFC" w:rsidRPr="006F07C8" w:rsidRDefault="00343EFC" w:rsidP="002F52A9">
            <w:pPr>
              <w:jc w:val="center"/>
              <w:rPr>
                <w:rFonts w:ascii="Times New Roman" w:hAnsi="Times New Roman" w:cs="Times New Roman"/>
                <w:sz w:val="20"/>
                <w:szCs w:val="20"/>
                <w:lang w:val="it-IT"/>
              </w:rPr>
            </w:pPr>
            <w:r w:rsidRPr="006F07C8">
              <w:rPr>
                <w:rFonts w:ascii="Times New Roman" w:hAnsi="Times New Roman" w:cs="Times New Roman"/>
                <w:sz w:val="20"/>
                <w:szCs w:val="20"/>
                <w:lang w:val="it-IT"/>
              </w:rPr>
              <w:t>90</w:t>
            </w:r>
          </w:p>
        </w:tc>
      </w:tr>
      <w:tr w:rsidR="00343EFC" w:rsidRPr="006F07C8" w:rsidTr="006C2813">
        <w:trPr>
          <w:gridAfter w:val="2"/>
          <w:wAfter w:w="18" w:type="dxa"/>
          <w:trHeight w:val="266"/>
          <w:jc w:val="center"/>
        </w:trPr>
        <w:tc>
          <w:tcPr>
            <w:tcW w:w="1961" w:type="dxa"/>
            <w:hideMark/>
          </w:tcPr>
          <w:p w:rsidR="00343EFC" w:rsidRPr="006F07C8" w:rsidRDefault="00343EFC" w:rsidP="002F52A9">
            <w:pPr>
              <w:rPr>
                <w:rFonts w:ascii="Times New Roman" w:hAnsi="Times New Roman" w:cs="Times New Roman"/>
                <w:sz w:val="20"/>
                <w:szCs w:val="20"/>
                <w:lang w:val="it-IT"/>
              </w:rPr>
            </w:pPr>
            <w:r w:rsidRPr="006F07C8">
              <w:rPr>
                <w:rFonts w:ascii="Times New Roman" w:hAnsi="Times New Roman" w:cs="Times New Roman"/>
                <w:sz w:val="20"/>
                <w:szCs w:val="20"/>
                <w:lang w:val="it-IT"/>
              </w:rPr>
              <w:t>Danimarca</w:t>
            </w:r>
          </w:p>
        </w:tc>
        <w:tc>
          <w:tcPr>
            <w:tcW w:w="236" w:type="dxa"/>
            <w:gridSpan w:val="2"/>
            <w:vMerge/>
          </w:tcPr>
          <w:p w:rsidR="00343EFC" w:rsidRPr="006F07C8" w:rsidRDefault="00343EFC" w:rsidP="002F52A9">
            <w:pPr>
              <w:rPr>
                <w:rFonts w:ascii="Times New Roman" w:hAnsi="Times New Roman" w:cs="Times New Roman"/>
                <w:sz w:val="20"/>
                <w:szCs w:val="20"/>
                <w:lang w:val="it-IT"/>
              </w:rPr>
            </w:pPr>
          </w:p>
        </w:tc>
        <w:tc>
          <w:tcPr>
            <w:tcW w:w="993" w:type="dxa"/>
            <w:gridSpan w:val="2"/>
            <w:hideMark/>
          </w:tcPr>
          <w:p w:rsidR="00343EFC" w:rsidRPr="006F07C8" w:rsidRDefault="00343EFC" w:rsidP="002F52A9">
            <w:pPr>
              <w:jc w:val="center"/>
              <w:rPr>
                <w:rFonts w:ascii="Times New Roman" w:hAnsi="Times New Roman" w:cs="Times New Roman"/>
                <w:sz w:val="20"/>
                <w:szCs w:val="20"/>
                <w:lang w:val="it-IT"/>
              </w:rPr>
            </w:pPr>
            <w:r w:rsidRPr="006F07C8">
              <w:rPr>
                <w:rFonts w:ascii="Times New Roman" w:hAnsi="Times New Roman" w:cs="Times New Roman"/>
                <w:sz w:val="20"/>
                <w:szCs w:val="20"/>
                <w:lang w:val="it-IT"/>
              </w:rPr>
              <w:t>15</w:t>
            </w:r>
          </w:p>
        </w:tc>
        <w:tc>
          <w:tcPr>
            <w:tcW w:w="921" w:type="dxa"/>
            <w:hideMark/>
          </w:tcPr>
          <w:p w:rsidR="00343EFC" w:rsidRPr="006F07C8" w:rsidRDefault="001F5D09" w:rsidP="001F5D09">
            <w:pPr>
              <w:jc w:val="center"/>
              <w:rPr>
                <w:rFonts w:ascii="Times New Roman" w:hAnsi="Times New Roman" w:cs="Times New Roman"/>
                <w:i/>
                <w:sz w:val="20"/>
                <w:szCs w:val="20"/>
                <w:lang w:val="it-IT"/>
              </w:rPr>
            </w:pPr>
            <w:r w:rsidRPr="006F07C8">
              <w:rPr>
                <w:rFonts w:ascii="Times New Roman" w:hAnsi="Times New Roman" w:cs="Times New Roman"/>
                <w:i/>
                <w:sz w:val="20"/>
                <w:szCs w:val="20"/>
                <w:lang w:val="it-IT"/>
              </w:rPr>
              <w:t>n.d.*</w:t>
            </w:r>
          </w:p>
        </w:tc>
        <w:tc>
          <w:tcPr>
            <w:tcW w:w="911" w:type="dxa"/>
          </w:tcPr>
          <w:p w:rsidR="00343EFC" w:rsidRPr="006F07C8" w:rsidRDefault="00343EFC" w:rsidP="002F52A9">
            <w:pPr>
              <w:jc w:val="center"/>
              <w:rPr>
                <w:rFonts w:ascii="Times New Roman" w:hAnsi="Times New Roman" w:cs="Times New Roman"/>
                <w:sz w:val="20"/>
                <w:szCs w:val="20"/>
                <w:lang w:val="it-IT"/>
              </w:rPr>
            </w:pPr>
            <w:r w:rsidRPr="006F07C8">
              <w:rPr>
                <w:rFonts w:ascii="Times New Roman" w:hAnsi="Times New Roman" w:cs="Times New Roman"/>
                <w:sz w:val="20"/>
                <w:szCs w:val="20"/>
                <w:lang w:val="it-IT"/>
              </w:rPr>
              <w:t>13</w:t>
            </w:r>
          </w:p>
        </w:tc>
        <w:tc>
          <w:tcPr>
            <w:tcW w:w="850" w:type="dxa"/>
            <w:gridSpan w:val="3"/>
          </w:tcPr>
          <w:p w:rsidR="00343EFC" w:rsidRPr="006F07C8" w:rsidRDefault="001F5D09" w:rsidP="001F5D09">
            <w:pPr>
              <w:jc w:val="center"/>
              <w:rPr>
                <w:rFonts w:ascii="Times New Roman" w:hAnsi="Times New Roman" w:cs="Times New Roman"/>
                <w:i/>
                <w:sz w:val="20"/>
                <w:szCs w:val="20"/>
                <w:lang w:val="it-IT"/>
              </w:rPr>
            </w:pPr>
            <w:r w:rsidRPr="006F07C8">
              <w:rPr>
                <w:rFonts w:ascii="Times New Roman" w:hAnsi="Times New Roman" w:cs="Times New Roman"/>
                <w:i/>
                <w:sz w:val="20"/>
                <w:szCs w:val="20"/>
                <w:lang w:val="it-IT"/>
              </w:rPr>
              <w:t>n.d.*</w:t>
            </w:r>
          </w:p>
        </w:tc>
      </w:tr>
      <w:tr w:rsidR="00343EFC" w:rsidRPr="006F07C8" w:rsidTr="006C2813">
        <w:trPr>
          <w:gridAfter w:val="2"/>
          <w:wAfter w:w="18" w:type="dxa"/>
          <w:trHeight w:val="284"/>
          <w:jc w:val="center"/>
        </w:trPr>
        <w:tc>
          <w:tcPr>
            <w:tcW w:w="1961" w:type="dxa"/>
            <w:hideMark/>
          </w:tcPr>
          <w:p w:rsidR="00343EFC" w:rsidRPr="006F07C8" w:rsidRDefault="00343EFC" w:rsidP="002F52A9">
            <w:pPr>
              <w:rPr>
                <w:rFonts w:ascii="Times New Roman" w:hAnsi="Times New Roman" w:cs="Times New Roman"/>
                <w:sz w:val="20"/>
                <w:szCs w:val="20"/>
                <w:lang w:val="it-IT"/>
              </w:rPr>
            </w:pPr>
            <w:r w:rsidRPr="006F07C8">
              <w:rPr>
                <w:rFonts w:ascii="Times New Roman" w:hAnsi="Times New Roman" w:cs="Times New Roman"/>
                <w:iCs/>
                <w:sz w:val="20"/>
                <w:szCs w:val="20"/>
                <w:lang w:val="it-IT"/>
              </w:rPr>
              <w:t>Estonia</w:t>
            </w:r>
          </w:p>
        </w:tc>
        <w:tc>
          <w:tcPr>
            <w:tcW w:w="236" w:type="dxa"/>
            <w:gridSpan w:val="2"/>
            <w:vMerge/>
          </w:tcPr>
          <w:p w:rsidR="00343EFC" w:rsidRPr="006F07C8" w:rsidRDefault="00343EFC" w:rsidP="002F52A9">
            <w:pPr>
              <w:rPr>
                <w:rFonts w:ascii="Times New Roman" w:hAnsi="Times New Roman" w:cs="Times New Roman"/>
                <w:sz w:val="20"/>
                <w:szCs w:val="20"/>
                <w:lang w:val="it-IT"/>
              </w:rPr>
            </w:pPr>
          </w:p>
        </w:tc>
        <w:tc>
          <w:tcPr>
            <w:tcW w:w="993" w:type="dxa"/>
            <w:gridSpan w:val="2"/>
            <w:hideMark/>
          </w:tcPr>
          <w:p w:rsidR="00343EFC" w:rsidRPr="006F07C8" w:rsidRDefault="00343EFC" w:rsidP="002F52A9">
            <w:pPr>
              <w:jc w:val="center"/>
              <w:rPr>
                <w:rFonts w:ascii="Times New Roman" w:hAnsi="Times New Roman" w:cs="Times New Roman"/>
                <w:sz w:val="20"/>
                <w:szCs w:val="20"/>
                <w:lang w:val="it-IT"/>
              </w:rPr>
            </w:pPr>
            <w:r w:rsidRPr="006F07C8">
              <w:rPr>
                <w:rFonts w:ascii="Times New Roman" w:hAnsi="Times New Roman" w:cs="Times New Roman"/>
                <w:sz w:val="20"/>
                <w:szCs w:val="20"/>
                <w:lang w:val="it-IT"/>
              </w:rPr>
              <w:t>54</w:t>
            </w:r>
          </w:p>
        </w:tc>
        <w:tc>
          <w:tcPr>
            <w:tcW w:w="921" w:type="dxa"/>
            <w:hideMark/>
          </w:tcPr>
          <w:p w:rsidR="00343EFC" w:rsidRPr="006F07C8" w:rsidRDefault="00343EFC" w:rsidP="002F52A9">
            <w:pPr>
              <w:jc w:val="center"/>
              <w:rPr>
                <w:rFonts w:ascii="Times New Roman" w:hAnsi="Times New Roman" w:cs="Times New Roman"/>
                <w:sz w:val="20"/>
                <w:szCs w:val="20"/>
                <w:lang w:val="it-IT"/>
              </w:rPr>
            </w:pPr>
            <w:r w:rsidRPr="006F07C8">
              <w:rPr>
                <w:rFonts w:ascii="Times New Roman" w:hAnsi="Times New Roman" w:cs="Times New Roman"/>
                <w:sz w:val="20"/>
                <w:szCs w:val="20"/>
                <w:lang w:val="it-IT"/>
              </w:rPr>
              <w:t>91</w:t>
            </w:r>
          </w:p>
        </w:tc>
        <w:tc>
          <w:tcPr>
            <w:tcW w:w="911" w:type="dxa"/>
          </w:tcPr>
          <w:p w:rsidR="00343EFC" w:rsidRPr="006F07C8" w:rsidRDefault="00343EFC" w:rsidP="002F52A9">
            <w:pPr>
              <w:jc w:val="center"/>
              <w:rPr>
                <w:rFonts w:ascii="Times New Roman" w:hAnsi="Times New Roman" w:cs="Times New Roman"/>
                <w:sz w:val="20"/>
                <w:szCs w:val="20"/>
                <w:lang w:val="it-IT"/>
              </w:rPr>
            </w:pPr>
            <w:r w:rsidRPr="006F07C8">
              <w:rPr>
                <w:rFonts w:ascii="Times New Roman" w:hAnsi="Times New Roman" w:cs="Times New Roman"/>
                <w:sz w:val="20"/>
                <w:szCs w:val="20"/>
                <w:lang w:val="it-IT"/>
              </w:rPr>
              <w:t>46</w:t>
            </w:r>
          </w:p>
        </w:tc>
        <w:tc>
          <w:tcPr>
            <w:tcW w:w="850" w:type="dxa"/>
            <w:gridSpan w:val="3"/>
          </w:tcPr>
          <w:p w:rsidR="00343EFC" w:rsidRPr="006F07C8" w:rsidRDefault="00343EFC" w:rsidP="002F52A9">
            <w:pPr>
              <w:jc w:val="center"/>
              <w:rPr>
                <w:rFonts w:ascii="Times New Roman" w:hAnsi="Times New Roman" w:cs="Times New Roman"/>
                <w:sz w:val="20"/>
                <w:szCs w:val="20"/>
                <w:lang w:val="it-IT"/>
              </w:rPr>
            </w:pPr>
            <w:r w:rsidRPr="006F07C8">
              <w:rPr>
                <w:rFonts w:ascii="Times New Roman" w:hAnsi="Times New Roman" w:cs="Times New Roman"/>
                <w:sz w:val="20"/>
                <w:szCs w:val="20"/>
                <w:lang w:val="it-IT"/>
              </w:rPr>
              <w:t>91</w:t>
            </w:r>
          </w:p>
        </w:tc>
      </w:tr>
      <w:tr w:rsidR="00343EFC" w:rsidRPr="006F07C8" w:rsidTr="006C2813">
        <w:trPr>
          <w:gridAfter w:val="2"/>
          <w:wAfter w:w="18" w:type="dxa"/>
          <w:trHeight w:val="274"/>
          <w:jc w:val="center"/>
        </w:trPr>
        <w:tc>
          <w:tcPr>
            <w:tcW w:w="2197" w:type="dxa"/>
            <w:gridSpan w:val="3"/>
            <w:hideMark/>
          </w:tcPr>
          <w:p w:rsidR="00343EFC" w:rsidRPr="006F07C8" w:rsidRDefault="00343EFC" w:rsidP="002F52A9">
            <w:pPr>
              <w:rPr>
                <w:rFonts w:ascii="Times New Roman" w:hAnsi="Times New Roman" w:cs="Times New Roman"/>
                <w:sz w:val="20"/>
                <w:szCs w:val="20"/>
                <w:lang w:val="it-IT"/>
              </w:rPr>
            </w:pPr>
            <w:r w:rsidRPr="006F07C8">
              <w:rPr>
                <w:rFonts w:ascii="Times New Roman" w:hAnsi="Times New Roman" w:cs="Times New Roman"/>
                <w:sz w:val="20"/>
                <w:szCs w:val="20"/>
                <w:lang w:val="it-IT"/>
              </w:rPr>
              <w:t>Finlandia</w:t>
            </w:r>
          </w:p>
        </w:tc>
        <w:tc>
          <w:tcPr>
            <w:tcW w:w="993" w:type="dxa"/>
            <w:gridSpan w:val="2"/>
            <w:hideMark/>
          </w:tcPr>
          <w:p w:rsidR="00343EFC" w:rsidRPr="006F07C8" w:rsidRDefault="00343EFC" w:rsidP="002F52A9">
            <w:pPr>
              <w:jc w:val="center"/>
              <w:rPr>
                <w:rFonts w:ascii="Times New Roman" w:hAnsi="Times New Roman" w:cs="Times New Roman"/>
                <w:sz w:val="20"/>
                <w:szCs w:val="20"/>
                <w:lang w:val="it-IT"/>
              </w:rPr>
            </w:pPr>
            <w:r w:rsidRPr="006F07C8">
              <w:rPr>
                <w:rFonts w:ascii="Times New Roman" w:hAnsi="Times New Roman" w:cs="Times New Roman"/>
                <w:sz w:val="20"/>
                <w:szCs w:val="20"/>
                <w:lang w:val="it-IT"/>
              </w:rPr>
              <w:t>20</w:t>
            </w:r>
          </w:p>
        </w:tc>
        <w:tc>
          <w:tcPr>
            <w:tcW w:w="921" w:type="dxa"/>
            <w:hideMark/>
          </w:tcPr>
          <w:p w:rsidR="00343EFC" w:rsidRPr="006F07C8" w:rsidRDefault="00343EFC" w:rsidP="002F52A9">
            <w:pPr>
              <w:jc w:val="center"/>
              <w:rPr>
                <w:rFonts w:ascii="Times New Roman" w:hAnsi="Times New Roman" w:cs="Times New Roman"/>
                <w:sz w:val="20"/>
                <w:szCs w:val="20"/>
                <w:lang w:val="it-IT"/>
              </w:rPr>
            </w:pPr>
            <w:r w:rsidRPr="006F07C8">
              <w:rPr>
                <w:rFonts w:ascii="Times New Roman" w:hAnsi="Times New Roman" w:cs="Times New Roman"/>
                <w:sz w:val="20"/>
                <w:szCs w:val="20"/>
                <w:lang w:val="it-IT"/>
              </w:rPr>
              <w:t>83</w:t>
            </w:r>
          </w:p>
        </w:tc>
        <w:tc>
          <w:tcPr>
            <w:tcW w:w="911" w:type="dxa"/>
          </w:tcPr>
          <w:p w:rsidR="00343EFC" w:rsidRPr="006F07C8" w:rsidRDefault="00343EFC" w:rsidP="002F52A9">
            <w:pPr>
              <w:jc w:val="center"/>
              <w:rPr>
                <w:rFonts w:ascii="Times New Roman" w:hAnsi="Times New Roman" w:cs="Times New Roman"/>
                <w:sz w:val="20"/>
                <w:szCs w:val="20"/>
                <w:lang w:val="it-IT"/>
              </w:rPr>
            </w:pPr>
            <w:r w:rsidRPr="006F07C8">
              <w:rPr>
                <w:rFonts w:ascii="Times New Roman" w:hAnsi="Times New Roman" w:cs="Times New Roman"/>
                <w:sz w:val="20"/>
                <w:szCs w:val="20"/>
                <w:lang w:val="it-IT"/>
              </w:rPr>
              <w:t>19</w:t>
            </w:r>
          </w:p>
        </w:tc>
        <w:tc>
          <w:tcPr>
            <w:tcW w:w="850" w:type="dxa"/>
            <w:gridSpan w:val="3"/>
          </w:tcPr>
          <w:p w:rsidR="00343EFC" w:rsidRPr="006F07C8" w:rsidRDefault="00343EFC" w:rsidP="002F52A9">
            <w:pPr>
              <w:jc w:val="center"/>
              <w:rPr>
                <w:rFonts w:ascii="Times New Roman" w:hAnsi="Times New Roman" w:cs="Times New Roman"/>
                <w:sz w:val="20"/>
                <w:szCs w:val="20"/>
                <w:lang w:val="it-IT"/>
              </w:rPr>
            </w:pPr>
            <w:r w:rsidRPr="006F07C8">
              <w:rPr>
                <w:rFonts w:ascii="Times New Roman" w:hAnsi="Times New Roman" w:cs="Times New Roman"/>
                <w:sz w:val="20"/>
                <w:szCs w:val="20"/>
                <w:lang w:val="it-IT"/>
              </w:rPr>
              <w:t>82</w:t>
            </w:r>
          </w:p>
        </w:tc>
      </w:tr>
      <w:tr w:rsidR="00343EFC" w:rsidRPr="006F07C8" w:rsidTr="006C2813">
        <w:trPr>
          <w:gridAfter w:val="2"/>
          <w:wAfter w:w="18" w:type="dxa"/>
          <w:trHeight w:val="264"/>
          <w:jc w:val="center"/>
        </w:trPr>
        <w:tc>
          <w:tcPr>
            <w:tcW w:w="2197" w:type="dxa"/>
            <w:gridSpan w:val="3"/>
            <w:hideMark/>
          </w:tcPr>
          <w:p w:rsidR="00343EFC" w:rsidRPr="006F07C8" w:rsidRDefault="00343EFC" w:rsidP="002F52A9">
            <w:pPr>
              <w:rPr>
                <w:rFonts w:ascii="Times New Roman" w:hAnsi="Times New Roman" w:cs="Times New Roman"/>
                <w:sz w:val="20"/>
                <w:szCs w:val="20"/>
                <w:lang w:val="it-IT"/>
              </w:rPr>
            </w:pPr>
            <w:r w:rsidRPr="006F07C8">
              <w:rPr>
                <w:rFonts w:ascii="Times New Roman" w:hAnsi="Times New Roman" w:cs="Times New Roman"/>
                <w:sz w:val="20"/>
                <w:szCs w:val="20"/>
                <w:lang w:val="it-IT"/>
              </w:rPr>
              <w:t>Francia</w:t>
            </w:r>
          </w:p>
        </w:tc>
        <w:tc>
          <w:tcPr>
            <w:tcW w:w="993" w:type="dxa"/>
            <w:gridSpan w:val="2"/>
            <w:hideMark/>
          </w:tcPr>
          <w:p w:rsidR="00343EFC" w:rsidRPr="006F07C8" w:rsidRDefault="00343EFC" w:rsidP="002F52A9">
            <w:pPr>
              <w:jc w:val="center"/>
              <w:rPr>
                <w:rFonts w:ascii="Times New Roman" w:hAnsi="Times New Roman" w:cs="Times New Roman"/>
                <w:sz w:val="20"/>
                <w:szCs w:val="20"/>
                <w:lang w:val="it-IT"/>
              </w:rPr>
            </w:pPr>
            <w:r w:rsidRPr="006F07C8">
              <w:rPr>
                <w:rFonts w:ascii="Times New Roman" w:hAnsi="Times New Roman" w:cs="Times New Roman"/>
                <w:sz w:val="20"/>
                <w:szCs w:val="20"/>
                <w:lang w:val="it-IT"/>
              </w:rPr>
              <w:t>55</w:t>
            </w:r>
          </w:p>
        </w:tc>
        <w:tc>
          <w:tcPr>
            <w:tcW w:w="921" w:type="dxa"/>
            <w:hideMark/>
          </w:tcPr>
          <w:p w:rsidR="00343EFC" w:rsidRPr="006F07C8" w:rsidRDefault="00343EFC" w:rsidP="002F52A9">
            <w:pPr>
              <w:jc w:val="center"/>
              <w:rPr>
                <w:rFonts w:ascii="Times New Roman" w:hAnsi="Times New Roman" w:cs="Times New Roman"/>
                <w:sz w:val="20"/>
                <w:szCs w:val="20"/>
                <w:lang w:val="it-IT"/>
              </w:rPr>
            </w:pPr>
            <w:r w:rsidRPr="006F07C8">
              <w:rPr>
                <w:rFonts w:ascii="Times New Roman" w:hAnsi="Times New Roman" w:cs="Times New Roman"/>
                <w:sz w:val="20"/>
                <w:szCs w:val="20"/>
                <w:lang w:val="it-IT"/>
              </w:rPr>
              <w:t>95</w:t>
            </w:r>
          </w:p>
        </w:tc>
        <w:tc>
          <w:tcPr>
            <w:tcW w:w="911" w:type="dxa"/>
          </w:tcPr>
          <w:p w:rsidR="00343EFC" w:rsidRPr="006F07C8" w:rsidRDefault="00343EFC" w:rsidP="002F52A9">
            <w:pPr>
              <w:jc w:val="center"/>
              <w:rPr>
                <w:rFonts w:ascii="Times New Roman" w:hAnsi="Times New Roman" w:cs="Times New Roman"/>
                <w:sz w:val="20"/>
                <w:szCs w:val="20"/>
                <w:lang w:val="it-IT"/>
              </w:rPr>
            </w:pPr>
            <w:r w:rsidRPr="006F07C8">
              <w:rPr>
                <w:rFonts w:ascii="Times New Roman" w:hAnsi="Times New Roman" w:cs="Times New Roman"/>
                <w:sz w:val="20"/>
                <w:szCs w:val="20"/>
                <w:lang w:val="it-IT"/>
              </w:rPr>
              <w:t>0</w:t>
            </w:r>
          </w:p>
        </w:tc>
        <w:tc>
          <w:tcPr>
            <w:tcW w:w="850" w:type="dxa"/>
            <w:gridSpan w:val="3"/>
          </w:tcPr>
          <w:p w:rsidR="00343EFC" w:rsidRPr="006F07C8" w:rsidRDefault="00343EFC" w:rsidP="002F52A9">
            <w:pPr>
              <w:jc w:val="center"/>
              <w:rPr>
                <w:rFonts w:ascii="Times New Roman" w:hAnsi="Times New Roman" w:cs="Times New Roman"/>
                <w:sz w:val="20"/>
                <w:szCs w:val="20"/>
                <w:lang w:val="it-IT"/>
              </w:rPr>
            </w:pPr>
            <w:r w:rsidRPr="006F07C8">
              <w:rPr>
                <w:rFonts w:ascii="Times New Roman" w:hAnsi="Times New Roman" w:cs="Times New Roman"/>
                <w:sz w:val="20"/>
                <w:szCs w:val="20"/>
                <w:lang w:val="it-IT"/>
              </w:rPr>
              <w:t>12</w:t>
            </w:r>
          </w:p>
        </w:tc>
      </w:tr>
      <w:tr w:rsidR="00343EFC" w:rsidRPr="006F07C8" w:rsidTr="006C2813">
        <w:trPr>
          <w:gridAfter w:val="2"/>
          <w:wAfter w:w="18" w:type="dxa"/>
          <w:trHeight w:val="282"/>
          <w:jc w:val="center"/>
        </w:trPr>
        <w:tc>
          <w:tcPr>
            <w:tcW w:w="2197" w:type="dxa"/>
            <w:gridSpan w:val="3"/>
            <w:hideMark/>
          </w:tcPr>
          <w:p w:rsidR="00343EFC" w:rsidRPr="006F07C8" w:rsidRDefault="00343EFC" w:rsidP="002F52A9">
            <w:pPr>
              <w:rPr>
                <w:rFonts w:ascii="Times New Roman" w:hAnsi="Times New Roman" w:cs="Times New Roman"/>
                <w:sz w:val="20"/>
                <w:szCs w:val="20"/>
                <w:lang w:val="it-IT"/>
              </w:rPr>
            </w:pPr>
            <w:r w:rsidRPr="006F07C8">
              <w:rPr>
                <w:rFonts w:ascii="Times New Roman" w:hAnsi="Times New Roman" w:cs="Times New Roman"/>
                <w:sz w:val="20"/>
                <w:szCs w:val="20"/>
                <w:lang w:val="it-IT"/>
              </w:rPr>
              <w:t>Germania</w:t>
            </w:r>
          </w:p>
        </w:tc>
        <w:tc>
          <w:tcPr>
            <w:tcW w:w="993" w:type="dxa"/>
            <w:gridSpan w:val="2"/>
            <w:hideMark/>
          </w:tcPr>
          <w:p w:rsidR="00343EFC" w:rsidRPr="006F07C8" w:rsidRDefault="00343EFC" w:rsidP="002F52A9">
            <w:pPr>
              <w:jc w:val="center"/>
              <w:rPr>
                <w:rFonts w:ascii="Times New Roman" w:hAnsi="Times New Roman" w:cs="Times New Roman"/>
                <w:sz w:val="20"/>
                <w:szCs w:val="20"/>
                <w:lang w:val="it-IT"/>
              </w:rPr>
            </w:pPr>
            <w:r w:rsidRPr="006F07C8">
              <w:rPr>
                <w:rFonts w:ascii="Times New Roman" w:hAnsi="Times New Roman" w:cs="Times New Roman"/>
                <w:sz w:val="20"/>
                <w:szCs w:val="20"/>
                <w:lang w:val="it-IT"/>
              </w:rPr>
              <w:t>43</w:t>
            </w:r>
          </w:p>
        </w:tc>
        <w:tc>
          <w:tcPr>
            <w:tcW w:w="921" w:type="dxa"/>
            <w:hideMark/>
          </w:tcPr>
          <w:p w:rsidR="00343EFC" w:rsidRPr="006F07C8" w:rsidRDefault="00343EFC" w:rsidP="002F52A9">
            <w:pPr>
              <w:jc w:val="center"/>
              <w:rPr>
                <w:rFonts w:ascii="Times New Roman" w:hAnsi="Times New Roman" w:cs="Times New Roman"/>
                <w:sz w:val="20"/>
                <w:szCs w:val="20"/>
                <w:lang w:val="it-IT"/>
              </w:rPr>
            </w:pPr>
            <w:r w:rsidRPr="006F07C8">
              <w:rPr>
                <w:rFonts w:ascii="Times New Roman" w:hAnsi="Times New Roman" w:cs="Times New Roman"/>
                <w:sz w:val="20"/>
                <w:szCs w:val="20"/>
                <w:lang w:val="it-IT"/>
              </w:rPr>
              <w:t>82</w:t>
            </w:r>
          </w:p>
        </w:tc>
        <w:tc>
          <w:tcPr>
            <w:tcW w:w="911" w:type="dxa"/>
          </w:tcPr>
          <w:p w:rsidR="00343EFC" w:rsidRPr="006F07C8" w:rsidRDefault="00343EFC" w:rsidP="002F52A9">
            <w:pPr>
              <w:jc w:val="center"/>
              <w:rPr>
                <w:rFonts w:ascii="Times New Roman" w:hAnsi="Times New Roman" w:cs="Times New Roman"/>
                <w:sz w:val="20"/>
                <w:szCs w:val="20"/>
                <w:lang w:val="it-IT"/>
              </w:rPr>
            </w:pPr>
            <w:r w:rsidRPr="006F07C8">
              <w:rPr>
                <w:rFonts w:ascii="Times New Roman" w:hAnsi="Times New Roman" w:cs="Times New Roman"/>
                <w:sz w:val="20"/>
                <w:szCs w:val="20"/>
                <w:lang w:val="it-IT"/>
              </w:rPr>
              <w:t>1</w:t>
            </w:r>
          </w:p>
        </w:tc>
        <w:tc>
          <w:tcPr>
            <w:tcW w:w="850" w:type="dxa"/>
            <w:gridSpan w:val="3"/>
          </w:tcPr>
          <w:p w:rsidR="00343EFC" w:rsidRPr="006F07C8" w:rsidRDefault="00343EFC" w:rsidP="002F52A9">
            <w:pPr>
              <w:jc w:val="center"/>
              <w:rPr>
                <w:rFonts w:ascii="Times New Roman" w:hAnsi="Times New Roman" w:cs="Times New Roman"/>
                <w:sz w:val="20"/>
                <w:szCs w:val="20"/>
                <w:lang w:val="it-IT"/>
              </w:rPr>
            </w:pPr>
            <w:r w:rsidRPr="006F07C8">
              <w:rPr>
                <w:rFonts w:ascii="Times New Roman" w:hAnsi="Times New Roman" w:cs="Times New Roman"/>
                <w:sz w:val="20"/>
                <w:szCs w:val="20"/>
                <w:lang w:val="it-IT"/>
              </w:rPr>
              <w:t>10</w:t>
            </w:r>
          </w:p>
        </w:tc>
      </w:tr>
      <w:tr w:rsidR="00343EFC" w:rsidRPr="006F07C8" w:rsidTr="006C2813">
        <w:trPr>
          <w:gridAfter w:val="2"/>
          <w:wAfter w:w="18" w:type="dxa"/>
          <w:trHeight w:val="272"/>
          <w:jc w:val="center"/>
        </w:trPr>
        <w:tc>
          <w:tcPr>
            <w:tcW w:w="2197" w:type="dxa"/>
            <w:gridSpan w:val="3"/>
            <w:hideMark/>
          </w:tcPr>
          <w:p w:rsidR="00343EFC" w:rsidRPr="006F07C8" w:rsidRDefault="00343EFC" w:rsidP="002F52A9">
            <w:pPr>
              <w:rPr>
                <w:rFonts w:ascii="Times New Roman" w:hAnsi="Times New Roman" w:cs="Times New Roman"/>
                <w:sz w:val="20"/>
                <w:szCs w:val="20"/>
                <w:lang w:val="it-IT"/>
              </w:rPr>
            </w:pPr>
            <w:r w:rsidRPr="006F07C8">
              <w:rPr>
                <w:rFonts w:ascii="Times New Roman" w:hAnsi="Times New Roman" w:cs="Times New Roman"/>
                <w:bCs/>
                <w:sz w:val="20"/>
                <w:szCs w:val="20"/>
                <w:lang w:val="it-IT"/>
              </w:rPr>
              <w:t>Grecia</w:t>
            </w:r>
          </w:p>
        </w:tc>
        <w:tc>
          <w:tcPr>
            <w:tcW w:w="993" w:type="dxa"/>
            <w:gridSpan w:val="2"/>
            <w:hideMark/>
          </w:tcPr>
          <w:p w:rsidR="00343EFC" w:rsidRPr="006F07C8" w:rsidRDefault="00343EFC" w:rsidP="002F52A9">
            <w:pPr>
              <w:jc w:val="center"/>
              <w:rPr>
                <w:rFonts w:ascii="Times New Roman" w:hAnsi="Times New Roman" w:cs="Times New Roman"/>
                <w:sz w:val="20"/>
                <w:szCs w:val="20"/>
                <w:lang w:val="it-IT"/>
              </w:rPr>
            </w:pPr>
            <w:r w:rsidRPr="006F07C8">
              <w:rPr>
                <w:rFonts w:ascii="Times New Roman" w:hAnsi="Times New Roman" w:cs="Times New Roman"/>
                <w:sz w:val="20"/>
                <w:szCs w:val="20"/>
                <w:lang w:val="it-IT"/>
              </w:rPr>
              <w:t>54</w:t>
            </w:r>
          </w:p>
        </w:tc>
        <w:tc>
          <w:tcPr>
            <w:tcW w:w="921" w:type="dxa"/>
            <w:hideMark/>
          </w:tcPr>
          <w:p w:rsidR="00343EFC" w:rsidRPr="006F07C8" w:rsidRDefault="00343EFC" w:rsidP="002F52A9">
            <w:pPr>
              <w:jc w:val="center"/>
              <w:rPr>
                <w:rFonts w:ascii="Times New Roman" w:hAnsi="Times New Roman" w:cs="Times New Roman"/>
                <w:sz w:val="20"/>
                <w:szCs w:val="20"/>
                <w:lang w:val="it-IT"/>
              </w:rPr>
            </w:pPr>
            <w:r w:rsidRPr="006F07C8">
              <w:rPr>
                <w:rFonts w:ascii="Times New Roman" w:hAnsi="Times New Roman" w:cs="Times New Roman"/>
                <w:sz w:val="20"/>
                <w:szCs w:val="20"/>
                <w:lang w:val="it-IT"/>
              </w:rPr>
              <w:t>92</w:t>
            </w:r>
          </w:p>
        </w:tc>
        <w:tc>
          <w:tcPr>
            <w:tcW w:w="911" w:type="dxa"/>
          </w:tcPr>
          <w:p w:rsidR="00343EFC" w:rsidRPr="006F07C8" w:rsidRDefault="00343EFC" w:rsidP="002F52A9">
            <w:pPr>
              <w:jc w:val="center"/>
              <w:rPr>
                <w:rFonts w:ascii="Times New Roman" w:hAnsi="Times New Roman" w:cs="Times New Roman"/>
                <w:sz w:val="20"/>
                <w:szCs w:val="20"/>
                <w:lang w:val="it-IT"/>
              </w:rPr>
            </w:pPr>
            <w:r w:rsidRPr="006F07C8">
              <w:rPr>
                <w:rFonts w:ascii="Times New Roman" w:hAnsi="Times New Roman" w:cs="Times New Roman"/>
                <w:sz w:val="20"/>
                <w:szCs w:val="20"/>
                <w:lang w:val="it-IT"/>
              </w:rPr>
              <w:t>52</w:t>
            </w:r>
          </w:p>
        </w:tc>
        <w:tc>
          <w:tcPr>
            <w:tcW w:w="850" w:type="dxa"/>
            <w:gridSpan w:val="3"/>
          </w:tcPr>
          <w:p w:rsidR="00343EFC" w:rsidRPr="006F07C8" w:rsidRDefault="00343EFC" w:rsidP="002F52A9">
            <w:pPr>
              <w:jc w:val="center"/>
              <w:rPr>
                <w:rFonts w:ascii="Times New Roman" w:hAnsi="Times New Roman" w:cs="Times New Roman"/>
                <w:sz w:val="20"/>
                <w:szCs w:val="20"/>
                <w:lang w:val="it-IT"/>
              </w:rPr>
            </w:pPr>
            <w:r w:rsidRPr="006F07C8">
              <w:rPr>
                <w:rFonts w:ascii="Times New Roman" w:hAnsi="Times New Roman" w:cs="Times New Roman"/>
                <w:sz w:val="20"/>
                <w:szCs w:val="20"/>
                <w:lang w:val="it-IT"/>
              </w:rPr>
              <w:t>91</w:t>
            </w:r>
          </w:p>
        </w:tc>
      </w:tr>
      <w:tr w:rsidR="00343EFC" w:rsidRPr="006F07C8" w:rsidTr="006C2813">
        <w:trPr>
          <w:gridAfter w:val="2"/>
          <w:wAfter w:w="18" w:type="dxa"/>
          <w:trHeight w:val="282"/>
          <w:jc w:val="center"/>
        </w:trPr>
        <w:tc>
          <w:tcPr>
            <w:tcW w:w="2197" w:type="dxa"/>
            <w:gridSpan w:val="3"/>
            <w:hideMark/>
          </w:tcPr>
          <w:p w:rsidR="00343EFC" w:rsidRPr="006F07C8" w:rsidRDefault="00343EFC" w:rsidP="002F52A9">
            <w:pPr>
              <w:rPr>
                <w:rFonts w:ascii="Times New Roman" w:hAnsi="Times New Roman" w:cs="Times New Roman"/>
                <w:sz w:val="20"/>
                <w:szCs w:val="20"/>
                <w:lang w:val="it-IT"/>
              </w:rPr>
            </w:pPr>
            <w:r w:rsidRPr="006F07C8">
              <w:rPr>
                <w:rFonts w:ascii="Times New Roman" w:hAnsi="Times New Roman" w:cs="Times New Roman"/>
                <w:iCs/>
                <w:sz w:val="20"/>
                <w:szCs w:val="20"/>
                <w:lang w:val="it-IT"/>
              </w:rPr>
              <w:t>Italia</w:t>
            </w:r>
          </w:p>
        </w:tc>
        <w:tc>
          <w:tcPr>
            <w:tcW w:w="993" w:type="dxa"/>
            <w:gridSpan w:val="2"/>
            <w:hideMark/>
          </w:tcPr>
          <w:p w:rsidR="00343EFC" w:rsidRPr="006F07C8" w:rsidRDefault="00343EFC" w:rsidP="002F52A9">
            <w:pPr>
              <w:jc w:val="center"/>
              <w:rPr>
                <w:rFonts w:ascii="Times New Roman" w:hAnsi="Times New Roman" w:cs="Times New Roman"/>
                <w:sz w:val="20"/>
                <w:szCs w:val="20"/>
                <w:lang w:val="it-IT"/>
              </w:rPr>
            </w:pPr>
            <w:r w:rsidRPr="006F07C8">
              <w:rPr>
                <w:rFonts w:ascii="Times New Roman" w:hAnsi="Times New Roman" w:cs="Times New Roman"/>
                <w:sz w:val="20"/>
                <w:szCs w:val="20"/>
                <w:lang w:val="it-IT"/>
              </w:rPr>
              <w:t>54</w:t>
            </w:r>
          </w:p>
        </w:tc>
        <w:tc>
          <w:tcPr>
            <w:tcW w:w="921" w:type="dxa"/>
            <w:hideMark/>
          </w:tcPr>
          <w:p w:rsidR="00343EFC" w:rsidRPr="006F07C8" w:rsidRDefault="00343EFC" w:rsidP="00541112">
            <w:pPr>
              <w:jc w:val="center"/>
              <w:rPr>
                <w:rFonts w:ascii="Times New Roman" w:hAnsi="Times New Roman" w:cs="Times New Roman"/>
                <w:i/>
                <w:sz w:val="20"/>
                <w:szCs w:val="20"/>
                <w:lang w:val="it-IT"/>
              </w:rPr>
            </w:pPr>
            <w:r w:rsidRPr="006F07C8">
              <w:rPr>
                <w:rFonts w:ascii="Times New Roman" w:hAnsi="Times New Roman" w:cs="Times New Roman"/>
                <w:sz w:val="20"/>
                <w:szCs w:val="20"/>
                <w:lang w:val="it-IT"/>
              </w:rPr>
              <w:t>97</w:t>
            </w:r>
            <w:r w:rsidRPr="006F07C8">
              <w:rPr>
                <w:rFonts w:ascii="Times New Roman" w:hAnsi="Times New Roman" w:cs="Times New Roman"/>
                <w:i/>
                <w:sz w:val="20"/>
                <w:szCs w:val="20"/>
                <w:lang w:val="it-IT"/>
              </w:rPr>
              <w:t xml:space="preserve"> </w:t>
            </w:r>
            <w:r w:rsidR="00541112" w:rsidRPr="006F07C8">
              <w:rPr>
                <w:rFonts w:ascii="Times New Roman" w:hAnsi="Times New Roman" w:cs="Times New Roman"/>
                <w:i/>
                <w:sz w:val="20"/>
                <w:szCs w:val="20"/>
                <w:vertAlign w:val="superscript"/>
                <w:lang w:val="it-IT"/>
              </w:rPr>
              <w:t>*</w:t>
            </w:r>
          </w:p>
        </w:tc>
        <w:tc>
          <w:tcPr>
            <w:tcW w:w="911" w:type="dxa"/>
          </w:tcPr>
          <w:p w:rsidR="00343EFC" w:rsidRPr="006F07C8" w:rsidRDefault="00343EFC" w:rsidP="002F52A9">
            <w:pPr>
              <w:jc w:val="center"/>
              <w:rPr>
                <w:rFonts w:ascii="Times New Roman" w:hAnsi="Times New Roman" w:cs="Times New Roman"/>
                <w:sz w:val="20"/>
                <w:szCs w:val="20"/>
                <w:lang w:val="it-IT"/>
              </w:rPr>
            </w:pPr>
            <w:r w:rsidRPr="006F07C8">
              <w:rPr>
                <w:rFonts w:ascii="Times New Roman" w:hAnsi="Times New Roman" w:cs="Times New Roman"/>
                <w:sz w:val="20"/>
                <w:szCs w:val="20"/>
                <w:lang w:val="it-IT"/>
              </w:rPr>
              <w:t>40</w:t>
            </w:r>
          </w:p>
        </w:tc>
        <w:tc>
          <w:tcPr>
            <w:tcW w:w="850" w:type="dxa"/>
            <w:gridSpan w:val="3"/>
          </w:tcPr>
          <w:p w:rsidR="00343EFC" w:rsidRPr="006F07C8" w:rsidRDefault="00343EFC" w:rsidP="00541112">
            <w:pPr>
              <w:jc w:val="center"/>
              <w:rPr>
                <w:rFonts w:ascii="Times New Roman" w:hAnsi="Times New Roman" w:cs="Times New Roman"/>
                <w:sz w:val="20"/>
                <w:szCs w:val="20"/>
                <w:lang w:val="it-IT"/>
              </w:rPr>
            </w:pPr>
            <w:r w:rsidRPr="006F07C8">
              <w:rPr>
                <w:rFonts w:ascii="Times New Roman" w:hAnsi="Times New Roman" w:cs="Times New Roman"/>
                <w:sz w:val="20"/>
                <w:szCs w:val="20"/>
                <w:lang w:val="it-IT"/>
              </w:rPr>
              <w:t>95</w:t>
            </w:r>
            <w:r w:rsidRPr="006F07C8">
              <w:rPr>
                <w:rFonts w:ascii="Times New Roman" w:hAnsi="Times New Roman" w:cs="Times New Roman"/>
                <w:i/>
                <w:sz w:val="20"/>
                <w:szCs w:val="20"/>
                <w:vertAlign w:val="superscript"/>
                <w:lang w:val="it-IT"/>
              </w:rPr>
              <w:t xml:space="preserve"> </w:t>
            </w:r>
            <w:r w:rsidR="00541112" w:rsidRPr="006F07C8">
              <w:rPr>
                <w:rFonts w:ascii="Times New Roman" w:hAnsi="Times New Roman" w:cs="Times New Roman"/>
                <w:i/>
                <w:sz w:val="20"/>
                <w:szCs w:val="20"/>
                <w:vertAlign w:val="superscript"/>
                <w:lang w:val="it-IT"/>
              </w:rPr>
              <w:t>*</w:t>
            </w:r>
          </w:p>
        </w:tc>
      </w:tr>
      <w:tr w:rsidR="00343EFC" w:rsidRPr="006F07C8" w:rsidTr="006C2813">
        <w:trPr>
          <w:gridAfter w:val="2"/>
          <w:wAfter w:w="18" w:type="dxa"/>
          <w:trHeight w:val="266"/>
          <w:jc w:val="center"/>
        </w:trPr>
        <w:tc>
          <w:tcPr>
            <w:tcW w:w="2197" w:type="dxa"/>
            <w:gridSpan w:val="3"/>
          </w:tcPr>
          <w:p w:rsidR="00343EFC" w:rsidRPr="006F07C8" w:rsidRDefault="00343EFC" w:rsidP="002F52A9">
            <w:pPr>
              <w:pStyle w:val="NormalWeb"/>
              <w:spacing w:before="0" w:beforeAutospacing="0" w:after="0" w:afterAutospacing="0"/>
              <w:textAlignment w:val="bottom"/>
              <w:rPr>
                <w:sz w:val="20"/>
                <w:szCs w:val="20"/>
                <w:lang w:val="it-IT"/>
              </w:rPr>
            </w:pPr>
            <w:r w:rsidRPr="006F07C8">
              <w:rPr>
                <w:iCs/>
                <w:color w:val="000000" w:themeColor="text1"/>
                <w:kern w:val="24"/>
                <w:sz w:val="20"/>
                <w:szCs w:val="20"/>
                <w:lang w:val="it-IT"/>
              </w:rPr>
              <w:t>Lettonia</w:t>
            </w:r>
          </w:p>
        </w:tc>
        <w:tc>
          <w:tcPr>
            <w:tcW w:w="993" w:type="dxa"/>
            <w:gridSpan w:val="2"/>
          </w:tcPr>
          <w:p w:rsidR="00343EFC" w:rsidRPr="006F07C8" w:rsidRDefault="00343EFC" w:rsidP="002F52A9">
            <w:pPr>
              <w:pStyle w:val="NormalWeb"/>
              <w:spacing w:before="0" w:beforeAutospacing="0" w:after="0" w:afterAutospacing="0"/>
              <w:jc w:val="center"/>
              <w:textAlignment w:val="bottom"/>
              <w:rPr>
                <w:sz w:val="20"/>
                <w:szCs w:val="20"/>
                <w:lang w:val="it-IT"/>
              </w:rPr>
            </w:pPr>
            <w:r w:rsidRPr="006F07C8">
              <w:rPr>
                <w:color w:val="000000" w:themeColor="text1"/>
                <w:kern w:val="24"/>
                <w:sz w:val="20"/>
                <w:szCs w:val="20"/>
                <w:lang w:val="it-IT"/>
              </w:rPr>
              <w:t>59</w:t>
            </w:r>
          </w:p>
        </w:tc>
        <w:tc>
          <w:tcPr>
            <w:tcW w:w="921" w:type="dxa"/>
          </w:tcPr>
          <w:p w:rsidR="00343EFC" w:rsidRPr="006F07C8" w:rsidRDefault="00343EFC" w:rsidP="002F52A9">
            <w:pPr>
              <w:pStyle w:val="NormalWeb"/>
              <w:spacing w:before="0" w:beforeAutospacing="0" w:after="0" w:afterAutospacing="0"/>
              <w:jc w:val="center"/>
              <w:textAlignment w:val="bottom"/>
              <w:rPr>
                <w:sz w:val="20"/>
                <w:szCs w:val="20"/>
                <w:lang w:val="it-IT"/>
              </w:rPr>
            </w:pPr>
            <w:r w:rsidRPr="006F07C8">
              <w:rPr>
                <w:color w:val="000000" w:themeColor="text1"/>
                <w:kern w:val="24"/>
                <w:sz w:val="20"/>
                <w:szCs w:val="20"/>
                <w:lang w:val="it-IT"/>
              </w:rPr>
              <w:t>94</w:t>
            </w:r>
          </w:p>
        </w:tc>
        <w:tc>
          <w:tcPr>
            <w:tcW w:w="911" w:type="dxa"/>
          </w:tcPr>
          <w:p w:rsidR="00343EFC" w:rsidRPr="006F07C8" w:rsidRDefault="00343EFC" w:rsidP="002F52A9">
            <w:pPr>
              <w:pStyle w:val="NormalWeb"/>
              <w:spacing w:before="0" w:beforeAutospacing="0" w:after="0" w:afterAutospacing="0"/>
              <w:jc w:val="center"/>
              <w:textAlignment w:val="bottom"/>
              <w:rPr>
                <w:color w:val="000000" w:themeColor="text1"/>
                <w:kern w:val="24"/>
                <w:sz w:val="20"/>
                <w:szCs w:val="20"/>
                <w:lang w:val="it-IT"/>
              </w:rPr>
            </w:pPr>
            <w:r w:rsidRPr="006F07C8">
              <w:rPr>
                <w:color w:val="000000" w:themeColor="text1"/>
                <w:kern w:val="24"/>
                <w:sz w:val="20"/>
                <w:szCs w:val="20"/>
                <w:lang w:val="it-IT"/>
              </w:rPr>
              <w:t>48</w:t>
            </w:r>
          </w:p>
        </w:tc>
        <w:tc>
          <w:tcPr>
            <w:tcW w:w="850" w:type="dxa"/>
            <w:gridSpan w:val="3"/>
          </w:tcPr>
          <w:p w:rsidR="00343EFC" w:rsidRPr="006F07C8" w:rsidRDefault="00343EFC" w:rsidP="002F52A9">
            <w:pPr>
              <w:pStyle w:val="NormalWeb"/>
              <w:spacing w:before="0" w:beforeAutospacing="0" w:after="0" w:afterAutospacing="0"/>
              <w:jc w:val="center"/>
              <w:textAlignment w:val="bottom"/>
              <w:rPr>
                <w:color w:val="000000" w:themeColor="text1"/>
                <w:kern w:val="24"/>
                <w:sz w:val="20"/>
                <w:szCs w:val="20"/>
                <w:lang w:val="it-IT"/>
              </w:rPr>
            </w:pPr>
            <w:r w:rsidRPr="006F07C8">
              <w:rPr>
                <w:color w:val="000000" w:themeColor="text1"/>
                <w:kern w:val="24"/>
                <w:sz w:val="20"/>
                <w:szCs w:val="20"/>
                <w:lang w:val="it-IT"/>
              </w:rPr>
              <w:t>93</w:t>
            </w:r>
          </w:p>
        </w:tc>
      </w:tr>
      <w:tr w:rsidR="00343EFC" w:rsidRPr="006F07C8" w:rsidTr="006C2813">
        <w:trPr>
          <w:gridAfter w:val="2"/>
          <w:wAfter w:w="18" w:type="dxa"/>
          <w:trHeight w:val="270"/>
          <w:jc w:val="center"/>
        </w:trPr>
        <w:tc>
          <w:tcPr>
            <w:tcW w:w="2197" w:type="dxa"/>
            <w:gridSpan w:val="3"/>
          </w:tcPr>
          <w:p w:rsidR="00343EFC" w:rsidRPr="006F07C8" w:rsidRDefault="00343EFC" w:rsidP="002F52A9">
            <w:pPr>
              <w:pStyle w:val="NormalWeb"/>
              <w:spacing w:before="0" w:beforeAutospacing="0" w:after="0" w:afterAutospacing="0"/>
              <w:textAlignment w:val="bottom"/>
              <w:rPr>
                <w:sz w:val="20"/>
                <w:szCs w:val="20"/>
                <w:lang w:val="it-IT"/>
              </w:rPr>
            </w:pPr>
            <w:r w:rsidRPr="006F07C8">
              <w:rPr>
                <w:iCs/>
                <w:color w:val="000000" w:themeColor="text1"/>
                <w:kern w:val="24"/>
                <w:sz w:val="20"/>
                <w:szCs w:val="20"/>
                <w:lang w:val="it-IT"/>
              </w:rPr>
              <w:t>Lituania</w:t>
            </w:r>
          </w:p>
        </w:tc>
        <w:tc>
          <w:tcPr>
            <w:tcW w:w="993" w:type="dxa"/>
            <w:gridSpan w:val="2"/>
          </w:tcPr>
          <w:p w:rsidR="00343EFC" w:rsidRPr="006F07C8" w:rsidRDefault="00343EFC" w:rsidP="002F52A9">
            <w:pPr>
              <w:pStyle w:val="NormalWeb"/>
              <w:spacing w:before="0" w:beforeAutospacing="0" w:after="0" w:afterAutospacing="0"/>
              <w:jc w:val="center"/>
              <w:textAlignment w:val="bottom"/>
              <w:rPr>
                <w:sz w:val="20"/>
                <w:szCs w:val="20"/>
                <w:lang w:val="it-IT"/>
              </w:rPr>
            </w:pPr>
            <w:r w:rsidRPr="006F07C8">
              <w:rPr>
                <w:color w:val="000000" w:themeColor="text1"/>
                <w:kern w:val="24"/>
                <w:sz w:val="20"/>
                <w:szCs w:val="20"/>
                <w:lang w:val="it-IT"/>
              </w:rPr>
              <w:t>62</w:t>
            </w:r>
          </w:p>
        </w:tc>
        <w:tc>
          <w:tcPr>
            <w:tcW w:w="921" w:type="dxa"/>
          </w:tcPr>
          <w:p w:rsidR="00343EFC" w:rsidRPr="006F07C8" w:rsidRDefault="00343EFC" w:rsidP="002F52A9">
            <w:pPr>
              <w:pStyle w:val="NormalWeb"/>
              <w:spacing w:before="0" w:beforeAutospacing="0" w:after="0" w:afterAutospacing="0"/>
              <w:jc w:val="center"/>
              <w:textAlignment w:val="bottom"/>
              <w:rPr>
                <w:sz w:val="20"/>
                <w:szCs w:val="20"/>
                <w:lang w:val="it-IT"/>
              </w:rPr>
            </w:pPr>
            <w:r w:rsidRPr="006F07C8">
              <w:rPr>
                <w:color w:val="000000" w:themeColor="text1"/>
                <w:kern w:val="24"/>
                <w:sz w:val="20"/>
                <w:szCs w:val="20"/>
                <w:lang w:val="it-IT"/>
              </w:rPr>
              <w:t>97</w:t>
            </w:r>
          </w:p>
        </w:tc>
        <w:tc>
          <w:tcPr>
            <w:tcW w:w="911" w:type="dxa"/>
          </w:tcPr>
          <w:p w:rsidR="00343EFC" w:rsidRPr="006F07C8" w:rsidRDefault="00343EFC" w:rsidP="002F52A9">
            <w:pPr>
              <w:pStyle w:val="NormalWeb"/>
              <w:spacing w:before="0" w:beforeAutospacing="0" w:after="0" w:afterAutospacing="0"/>
              <w:jc w:val="center"/>
              <w:textAlignment w:val="bottom"/>
              <w:rPr>
                <w:color w:val="000000" w:themeColor="text1"/>
                <w:kern w:val="24"/>
                <w:sz w:val="20"/>
                <w:szCs w:val="20"/>
                <w:lang w:val="it-IT"/>
              </w:rPr>
            </w:pPr>
            <w:r w:rsidRPr="006F07C8">
              <w:rPr>
                <w:color w:val="000000" w:themeColor="text1"/>
                <w:kern w:val="24"/>
                <w:sz w:val="20"/>
                <w:szCs w:val="20"/>
                <w:lang w:val="it-IT"/>
              </w:rPr>
              <w:t>45</w:t>
            </w:r>
          </w:p>
        </w:tc>
        <w:tc>
          <w:tcPr>
            <w:tcW w:w="850" w:type="dxa"/>
            <w:gridSpan w:val="3"/>
          </w:tcPr>
          <w:p w:rsidR="00343EFC" w:rsidRPr="006F07C8" w:rsidRDefault="00343EFC" w:rsidP="002F52A9">
            <w:pPr>
              <w:pStyle w:val="NormalWeb"/>
              <w:spacing w:before="0" w:beforeAutospacing="0" w:after="0" w:afterAutospacing="0"/>
              <w:jc w:val="center"/>
              <w:textAlignment w:val="bottom"/>
              <w:rPr>
                <w:color w:val="000000" w:themeColor="text1"/>
                <w:kern w:val="24"/>
                <w:sz w:val="20"/>
                <w:szCs w:val="20"/>
                <w:lang w:val="it-IT"/>
              </w:rPr>
            </w:pPr>
            <w:r w:rsidRPr="006F07C8">
              <w:rPr>
                <w:color w:val="000000" w:themeColor="text1"/>
                <w:kern w:val="24"/>
                <w:sz w:val="20"/>
                <w:szCs w:val="20"/>
                <w:lang w:val="it-IT"/>
              </w:rPr>
              <w:t>95</w:t>
            </w:r>
          </w:p>
        </w:tc>
      </w:tr>
      <w:tr w:rsidR="00343EFC" w:rsidRPr="006F07C8" w:rsidTr="006C2813">
        <w:trPr>
          <w:gridAfter w:val="2"/>
          <w:wAfter w:w="18" w:type="dxa"/>
          <w:trHeight w:val="274"/>
          <w:jc w:val="center"/>
        </w:trPr>
        <w:tc>
          <w:tcPr>
            <w:tcW w:w="2197" w:type="dxa"/>
            <w:gridSpan w:val="3"/>
          </w:tcPr>
          <w:p w:rsidR="00343EFC" w:rsidRPr="006F07C8" w:rsidRDefault="00343EFC" w:rsidP="002F52A9">
            <w:pPr>
              <w:pStyle w:val="NormalWeb"/>
              <w:spacing w:before="0" w:beforeAutospacing="0" w:after="0" w:afterAutospacing="0"/>
              <w:textAlignment w:val="bottom"/>
              <w:rPr>
                <w:sz w:val="20"/>
                <w:szCs w:val="20"/>
                <w:lang w:val="it-IT"/>
              </w:rPr>
            </w:pPr>
            <w:r w:rsidRPr="006F07C8">
              <w:rPr>
                <w:bCs/>
                <w:color w:val="000000" w:themeColor="text1"/>
                <w:kern w:val="24"/>
                <w:sz w:val="20"/>
                <w:szCs w:val="20"/>
                <w:lang w:val="it-IT"/>
              </w:rPr>
              <w:t>Polonia</w:t>
            </w:r>
          </w:p>
        </w:tc>
        <w:tc>
          <w:tcPr>
            <w:tcW w:w="993" w:type="dxa"/>
            <w:gridSpan w:val="2"/>
          </w:tcPr>
          <w:p w:rsidR="00343EFC" w:rsidRPr="006F07C8" w:rsidRDefault="00343EFC" w:rsidP="002F52A9">
            <w:pPr>
              <w:pStyle w:val="NormalWeb"/>
              <w:spacing w:before="0" w:beforeAutospacing="0" w:after="0" w:afterAutospacing="0"/>
              <w:jc w:val="center"/>
              <w:textAlignment w:val="bottom"/>
              <w:rPr>
                <w:sz w:val="20"/>
                <w:szCs w:val="20"/>
                <w:lang w:val="it-IT"/>
              </w:rPr>
            </w:pPr>
            <w:r w:rsidRPr="006F07C8">
              <w:rPr>
                <w:color w:val="000000" w:themeColor="text1"/>
                <w:kern w:val="24"/>
                <w:sz w:val="20"/>
                <w:szCs w:val="20"/>
                <w:lang w:val="it-IT"/>
              </w:rPr>
              <w:t>75</w:t>
            </w:r>
          </w:p>
        </w:tc>
        <w:tc>
          <w:tcPr>
            <w:tcW w:w="921" w:type="dxa"/>
          </w:tcPr>
          <w:p w:rsidR="00343EFC" w:rsidRPr="006F07C8" w:rsidRDefault="00343EFC" w:rsidP="002F52A9">
            <w:pPr>
              <w:pStyle w:val="NormalWeb"/>
              <w:spacing w:before="0" w:beforeAutospacing="0" w:after="0" w:afterAutospacing="0"/>
              <w:jc w:val="center"/>
              <w:textAlignment w:val="bottom"/>
              <w:rPr>
                <w:sz w:val="20"/>
                <w:szCs w:val="20"/>
                <w:lang w:val="it-IT"/>
              </w:rPr>
            </w:pPr>
            <w:r w:rsidRPr="006F07C8">
              <w:rPr>
                <w:color w:val="000000" w:themeColor="text1"/>
                <w:kern w:val="24"/>
                <w:sz w:val="20"/>
                <w:szCs w:val="20"/>
                <w:lang w:val="it-IT"/>
              </w:rPr>
              <w:t>96</w:t>
            </w:r>
          </w:p>
        </w:tc>
        <w:tc>
          <w:tcPr>
            <w:tcW w:w="911" w:type="dxa"/>
          </w:tcPr>
          <w:p w:rsidR="00343EFC" w:rsidRPr="006F07C8" w:rsidRDefault="00343EFC" w:rsidP="002F52A9">
            <w:pPr>
              <w:pStyle w:val="NormalWeb"/>
              <w:spacing w:before="0" w:beforeAutospacing="0" w:after="0" w:afterAutospacing="0"/>
              <w:jc w:val="center"/>
              <w:textAlignment w:val="bottom"/>
              <w:rPr>
                <w:color w:val="000000" w:themeColor="text1"/>
                <w:kern w:val="24"/>
                <w:sz w:val="20"/>
                <w:szCs w:val="20"/>
                <w:lang w:val="it-IT"/>
              </w:rPr>
            </w:pPr>
            <w:r w:rsidRPr="006F07C8">
              <w:rPr>
                <w:color w:val="000000" w:themeColor="text1"/>
                <w:kern w:val="24"/>
                <w:sz w:val="20"/>
                <w:szCs w:val="20"/>
                <w:lang w:val="it-IT"/>
              </w:rPr>
              <w:t>62</w:t>
            </w:r>
          </w:p>
        </w:tc>
        <w:tc>
          <w:tcPr>
            <w:tcW w:w="850" w:type="dxa"/>
            <w:gridSpan w:val="3"/>
          </w:tcPr>
          <w:p w:rsidR="00343EFC" w:rsidRPr="006F07C8" w:rsidRDefault="00343EFC" w:rsidP="002F52A9">
            <w:pPr>
              <w:pStyle w:val="NormalWeb"/>
              <w:spacing w:before="0" w:beforeAutospacing="0" w:after="0" w:afterAutospacing="0"/>
              <w:jc w:val="center"/>
              <w:textAlignment w:val="bottom"/>
              <w:rPr>
                <w:color w:val="000000" w:themeColor="text1"/>
                <w:kern w:val="24"/>
                <w:sz w:val="20"/>
                <w:szCs w:val="20"/>
                <w:lang w:val="it-IT"/>
              </w:rPr>
            </w:pPr>
            <w:r w:rsidRPr="006F07C8">
              <w:rPr>
                <w:color w:val="000000" w:themeColor="text1"/>
                <w:kern w:val="24"/>
                <w:sz w:val="20"/>
                <w:szCs w:val="20"/>
                <w:lang w:val="it-IT"/>
              </w:rPr>
              <w:t>95</w:t>
            </w:r>
          </w:p>
        </w:tc>
      </w:tr>
      <w:tr w:rsidR="00343EFC" w:rsidRPr="006F07C8" w:rsidTr="006C2813">
        <w:trPr>
          <w:trHeight w:val="264"/>
          <w:jc w:val="center"/>
        </w:trPr>
        <w:tc>
          <w:tcPr>
            <w:tcW w:w="2197" w:type="dxa"/>
            <w:gridSpan w:val="3"/>
          </w:tcPr>
          <w:p w:rsidR="00343EFC" w:rsidRPr="006F07C8" w:rsidRDefault="00343EFC" w:rsidP="002F52A9">
            <w:pPr>
              <w:pStyle w:val="NormalWeb"/>
              <w:spacing w:before="0" w:beforeAutospacing="0" w:after="0" w:afterAutospacing="0"/>
              <w:textAlignment w:val="bottom"/>
              <w:rPr>
                <w:sz w:val="20"/>
                <w:szCs w:val="20"/>
                <w:lang w:val="it-IT"/>
              </w:rPr>
            </w:pPr>
            <w:r w:rsidRPr="006F07C8">
              <w:rPr>
                <w:bCs/>
                <w:color w:val="000000" w:themeColor="text1"/>
                <w:kern w:val="24"/>
                <w:sz w:val="20"/>
                <w:szCs w:val="20"/>
                <w:lang w:val="it-IT"/>
              </w:rPr>
              <w:t>Portogallo</w:t>
            </w:r>
          </w:p>
        </w:tc>
        <w:tc>
          <w:tcPr>
            <w:tcW w:w="993" w:type="dxa"/>
            <w:gridSpan w:val="2"/>
          </w:tcPr>
          <w:p w:rsidR="00343EFC" w:rsidRPr="006F07C8" w:rsidRDefault="00343EFC" w:rsidP="002F52A9">
            <w:pPr>
              <w:pStyle w:val="NormalWeb"/>
              <w:spacing w:before="0" w:beforeAutospacing="0" w:after="0" w:afterAutospacing="0"/>
              <w:jc w:val="center"/>
              <w:textAlignment w:val="bottom"/>
              <w:rPr>
                <w:sz w:val="20"/>
                <w:szCs w:val="20"/>
                <w:lang w:val="it-IT"/>
              </w:rPr>
            </w:pPr>
            <w:r w:rsidRPr="006F07C8">
              <w:rPr>
                <w:color w:val="000000" w:themeColor="text1"/>
                <w:kern w:val="24"/>
                <w:sz w:val="20"/>
                <w:szCs w:val="20"/>
                <w:lang w:val="it-IT"/>
              </w:rPr>
              <w:t>64</w:t>
            </w:r>
          </w:p>
        </w:tc>
        <w:tc>
          <w:tcPr>
            <w:tcW w:w="921" w:type="dxa"/>
          </w:tcPr>
          <w:p w:rsidR="00343EFC" w:rsidRPr="006F07C8" w:rsidRDefault="00343EFC" w:rsidP="002F52A9">
            <w:pPr>
              <w:pStyle w:val="NormalWeb"/>
              <w:spacing w:before="0" w:beforeAutospacing="0" w:after="0" w:afterAutospacing="0"/>
              <w:jc w:val="center"/>
              <w:textAlignment w:val="bottom"/>
              <w:rPr>
                <w:sz w:val="20"/>
                <w:szCs w:val="20"/>
                <w:lang w:val="it-IT"/>
              </w:rPr>
            </w:pPr>
            <w:r w:rsidRPr="006F07C8">
              <w:rPr>
                <w:color w:val="000000" w:themeColor="text1"/>
                <w:kern w:val="24"/>
                <w:sz w:val="20"/>
                <w:szCs w:val="20"/>
                <w:lang w:val="it-IT"/>
              </w:rPr>
              <w:t>93</w:t>
            </w:r>
          </w:p>
        </w:tc>
        <w:tc>
          <w:tcPr>
            <w:tcW w:w="929" w:type="dxa"/>
            <w:gridSpan w:val="3"/>
          </w:tcPr>
          <w:p w:rsidR="00343EFC" w:rsidRPr="006F07C8" w:rsidRDefault="00343EFC" w:rsidP="002F52A9">
            <w:pPr>
              <w:pStyle w:val="NormalWeb"/>
              <w:spacing w:before="0" w:beforeAutospacing="0" w:after="0" w:afterAutospacing="0"/>
              <w:jc w:val="center"/>
              <w:textAlignment w:val="bottom"/>
              <w:rPr>
                <w:color w:val="000000" w:themeColor="text1"/>
                <w:kern w:val="24"/>
                <w:sz w:val="20"/>
                <w:szCs w:val="20"/>
                <w:lang w:val="it-IT"/>
              </w:rPr>
            </w:pPr>
            <w:r w:rsidRPr="006F07C8">
              <w:rPr>
                <w:color w:val="000000" w:themeColor="text1"/>
                <w:kern w:val="24"/>
                <w:sz w:val="20"/>
                <w:szCs w:val="20"/>
                <w:lang w:val="it-IT"/>
              </w:rPr>
              <w:t>54</w:t>
            </w:r>
          </w:p>
        </w:tc>
        <w:tc>
          <w:tcPr>
            <w:tcW w:w="850" w:type="dxa"/>
            <w:gridSpan w:val="3"/>
          </w:tcPr>
          <w:p w:rsidR="00343EFC" w:rsidRPr="006F07C8" w:rsidRDefault="00343EFC" w:rsidP="002F52A9">
            <w:pPr>
              <w:pStyle w:val="NormalWeb"/>
              <w:spacing w:before="0" w:beforeAutospacing="0" w:after="0" w:afterAutospacing="0"/>
              <w:jc w:val="center"/>
              <w:textAlignment w:val="bottom"/>
              <w:rPr>
                <w:color w:val="000000" w:themeColor="text1"/>
                <w:kern w:val="24"/>
                <w:sz w:val="20"/>
                <w:szCs w:val="20"/>
                <w:lang w:val="it-IT"/>
              </w:rPr>
            </w:pPr>
            <w:r w:rsidRPr="006F07C8">
              <w:rPr>
                <w:color w:val="000000" w:themeColor="text1"/>
                <w:kern w:val="24"/>
                <w:sz w:val="20"/>
                <w:szCs w:val="20"/>
                <w:lang w:val="it-IT"/>
              </w:rPr>
              <w:t>90</w:t>
            </w:r>
          </w:p>
        </w:tc>
      </w:tr>
      <w:tr w:rsidR="00D846DA" w:rsidRPr="006F07C8" w:rsidTr="006C2813">
        <w:trPr>
          <w:gridAfter w:val="1"/>
          <w:wAfter w:w="9" w:type="dxa"/>
          <w:trHeight w:val="282"/>
          <w:jc w:val="center"/>
        </w:trPr>
        <w:tc>
          <w:tcPr>
            <w:tcW w:w="2188" w:type="dxa"/>
            <w:gridSpan w:val="2"/>
          </w:tcPr>
          <w:p w:rsidR="00D846DA" w:rsidRPr="006F07C8" w:rsidRDefault="00D846DA" w:rsidP="002F52A9">
            <w:pPr>
              <w:pStyle w:val="NormalWeb"/>
              <w:spacing w:before="0" w:beforeAutospacing="0" w:after="0" w:afterAutospacing="0"/>
              <w:textAlignment w:val="bottom"/>
              <w:rPr>
                <w:sz w:val="20"/>
                <w:szCs w:val="20"/>
                <w:lang w:val="it-IT"/>
              </w:rPr>
            </w:pPr>
            <w:r w:rsidRPr="006F07C8">
              <w:rPr>
                <w:color w:val="000000" w:themeColor="text1"/>
                <w:kern w:val="24"/>
                <w:sz w:val="20"/>
                <w:szCs w:val="20"/>
                <w:lang w:val="it-IT"/>
              </w:rPr>
              <w:t>Regno Unito</w:t>
            </w:r>
          </w:p>
        </w:tc>
        <w:tc>
          <w:tcPr>
            <w:tcW w:w="993" w:type="dxa"/>
            <w:gridSpan w:val="2"/>
          </w:tcPr>
          <w:p w:rsidR="00D846DA" w:rsidRPr="006F07C8" w:rsidRDefault="00D846DA" w:rsidP="002F52A9">
            <w:pPr>
              <w:pStyle w:val="NormalWeb"/>
              <w:spacing w:before="0" w:beforeAutospacing="0" w:after="0" w:afterAutospacing="0"/>
              <w:jc w:val="center"/>
              <w:textAlignment w:val="bottom"/>
              <w:rPr>
                <w:sz w:val="20"/>
                <w:szCs w:val="20"/>
                <w:lang w:val="it-IT"/>
              </w:rPr>
            </w:pPr>
            <w:r w:rsidRPr="006F07C8">
              <w:rPr>
                <w:color w:val="000000" w:themeColor="text1"/>
                <w:kern w:val="24"/>
                <w:sz w:val="20"/>
                <w:szCs w:val="20"/>
                <w:lang w:val="it-IT"/>
              </w:rPr>
              <w:t>1</w:t>
            </w:r>
          </w:p>
        </w:tc>
        <w:tc>
          <w:tcPr>
            <w:tcW w:w="930" w:type="dxa"/>
            <w:gridSpan w:val="2"/>
          </w:tcPr>
          <w:p w:rsidR="00D846DA" w:rsidRPr="006F07C8" w:rsidRDefault="00D846DA" w:rsidP="002F52A9">
            <w:pPr>
              <w:pStyle w:val="NormalWeb"/>
              <w:spacing w:before="0" w:beforeAutospacing="0" w:after="0" w:afterAutospacing="0"/>
              <w:jc w:val="center"/>
              <w:textAlignment w:val="bottom"/>
              <w:rPr>
                <w:sz w:val="20"/>
                <w:szCs w:val="20"/>
                <w:lang w:val="it-IT"/>
              </w:rPr>
            </w:pPr>
            <w:r w:rsidRPr="006F07C8">
              <w:rPr>
                <w:color w:val="000000" w:themeColor="text1"/>
                <w:kern w:val="24"/>
                <w:sz w:val="20"/>
                <w:szCs w:val="20"/>
                <w:lang w:val="it-IT"/>
              </w:rPr>
              <w:t>3</w:t>
            </w:r>
          </w:p>
        </w:tc>
        <w:tc>
          <w:tcPr>
            <w:tcW w:w="920" w:type="dxa"/>
            <w:gridSpan w:val="2"/>
          </w:tcPr>
          <w:p w:rsidR="00D846DA" w:rsidRPr="006F07C8" w:rsidRDefault="00D541AC" w:rsidP="002F52A9">
            <w:pPr>
              <w:pStyle w:val="NormalWeb"/>
              <w:spacing w:before="0" w:beforeAutospacing="0" w:after="0" w:afterAutospacing="0"/>
              <w:jc w:val="center"/>
              <w:textAlignment w:val="bottom"/>
              <w:rPr>
                <w:color w:val="000000" w:themeColor="text1"/>
                <w:kern w:val="24"/>
                <w:sz w:val="20"/>
                <w:szCs w:val="20"/>
                <w:lang w:val="it-IT"/>
              </w:rPr>
            </w:pPr>
            <w:r w:rsidRPr="006F07C8">
              <w:rPr>
                <w:color w:val="000000" w:themeColor="text1"/>
                <w:kern w:val="24"/>
                <w:sz w:val="20"/>
                <w:szCs w:val="20"/>
                <w:lang w:val="it-IT"/>
              </w:rPr>
              <w:t>0</w:t>
            </w:r>
          </w:p>
        </w:tc>
        <w:tc>
          <w:tcPr>
            <w:tcW w:w="850" w:type="dxa"/>
            <w:gridSpan w:val="3"/>
          </w:tcPr>
          <w:p w:rsidR="00D846DA" w:rsidRPr="006F07C8" w:rsidRDefault="00D541AC" w:rsidP="002F52A9">
            <w:pPr>
              <w:pStyle w:val="NormalWeb"/>
              <w:spacing w:before="0" w:beforeAutospacing="0" w:after="0" w:afterAutospacing="0"/>
              <w:jc w:val="center"/>
              <w:textAlignment w:val="bottom"/>
              <w:rPr>
                <w:color w:val="000000" w:themeColor="text1"/>
                <w:kern w:val="24"/>
                <w:sz w:val="20"/>
                <w:szCs w:val="20"/>
                <w:lang w:val="it-IT"/>
              </w:rPr>
            </w:pPr>
            <w:r w:rsidRPr="006F07C8">
              <w:rPr>
                <w:color w:val="000000" w:themeColor="text1"/>
                <w:kern w:val="24"/>
                <w:sz w:val="20"/>
                <w:szCs w:val="20"/>
                <w:lang w:val="it-IT"/>
              </w:rPr>
              <w:t>3</w:t>
            </w:r>
          </w:p>
        </w:tc>
      </w:tr>
      <w:tr w:rsidR="00D846DA" w:rsidRPr="006F07C8" w:rsidTr="006C2813">
        <w:trPr>
          <w:gridAfter w:val="1"/>
          <w:wAfter w:w="9" w:type="dxa"/>
          <w:trHeight w:val="272"/>
          <w:jc w:val="center"/>
        </w:trPr>
        <w:tc>
          <w:tcPr>
            <w:tcW w:w="2188" w:type="dxa"/>
            <w:gridSpan w:val="2"/>
          </w:tcPr>
          <w:p w:rsidR="00D846DA" w:rsidRPr="006F07C8" w:rsidRDefault="00D846DA" w:rsidP="002F52A9">
            <w:pPr>
              <w:pStyle w:val="NormalWeb"/>
              <w:spacing w:before="0" w:beforeAutospacing="0" w:after="0" w:afterAutospacing="0"/>
              <w:textAlignment w:val="bottom"/>
              <w:rPr>
                <w:sz w:val="20"/>
                <w:szCs w:val="20"/>
                <w:lang w:val="it-IT"/>
              </w:rPr>
            </w:pPr>
            <w:r w:rsidRPr="006F07C8">
              <w:rPr>
                <w:bCs/>
                <w:color w:val="000000" w:themeColor="text1"/>
                <w:kern w:val="24"/>
                <w:sz w:val="20"/>
                <w:szCs w:val="20"/>
                <w:lang w:val="it-IT"/>
              </w:rPr>
              <w:t>Romania</w:t>
            </w:r>
          </w:p>
        </w:tc>
        <w:tc>
          <w:tcPr>
            <w:tcW w:w="993" w:type="dxa"/>
            <w:gridSpan w:val="2"/>
          </w:tcPr>
          <w:p w:rsidR="00D846DA" w:rsidRPr="006F07C8" w:rsidRDefault="00D846DA" w:rsidP="002F52A9">
            <w:pPr>
              <w:pStyle w:val="NormalWeb"/>
              <w:spacing w:before="0" w:beforeAutospacing="0" w:after="0" w:afterAutospacing="0"/>
              <w:jc w:val="center"/>
              <w:textAlignment w:val="bottom"/>
              <w:rPr>
                <w:sz w:val="20"/>
                <w:szCs w:val="20"/>
                <w:lang w:val="it-IT"/>
              </w:rPr>
            </w:pPr>
            <w:r w:rsidRPr="006F07C8">
              <w:rPr>
                <w:color w:val="000000" w:themeColor="text1"/>
                <w:kern w:val="24"/>
                <w:sz w:val="20"/>
                <w:szCs w:val="20"/>
                <w:lang w:val="it-IT"/>
              </w:rPr>
              <w:t>81</w:t>
            </w:r>
          </w:p>
        </w:tc>
        <w:tc>
          <w:tcPr>
            <w:tcW w:w="930" w:type="dxa"/>
            <w:gridSpan w:val="2"/>
          </w:tcPr>
          <w:p w:rsidR="00D846DA" w:rsidRPr="006F07C8" w:rsidRDefault="00D846DA" w:rsidP="002F52A9">
            <w:pPr>
              <w:pStyle w:val="NormalWeb"/>
              <w:spacing w:before="0" w:beforeAutospacing="0" w:after="0" w:afterAutospacing="0"/>
              <w:jc w:val="center"/>
              <w:textAlignment w:val="bottom"/>
              <w:rPr>
                <w:sz w:val="20"/>
                <w:szCs w:val="20"/>
                <w:lang w:val="it-IT"/>
              </w:rPr>
            </w:pPr>
            <w:r w:rsidRPr="006F07C8">
              <w:rPr>
                <w:color w:val="000000" w:themeColor="text1"/>
                <w:kern w:val="24"/>
                <w:sz w:val="20"/>
                <w:szCs w:val="20"/>
                <w:lang w:val="it-IT"/>
              </w:rPr>
              <w:t>96</w:t>
            </w:r>
          </w:p>
        </w:tc>
        <w:tc>
          <w:tcPr>
            <w:tcW w:w="920" w:type="dxa"/>
            <w:gridSpan w:val="2"/>
          </w:tcPr>
          <w:p w:rsidR="00D846DA" w:rsidRPr="006F07C8" w:rsidRDefault="00D541AC" w:rsidP="002F52A9">
            <w:pPr>
              <w:pStyle w:val="NormalWeb"/>
              <w:spacing w:before="0" w:beforeAutospacing="0" w:after="0" w:afterAutospacing="0"/>
              <w:jc w:val="center"/>
              <w:textAlignment w:val="bottom"/>
              <w:rPr>
                <w:color w:val="000000" w:themeColor="text1"/>
                <w:kern w:val="24"/>
                <w:sz w:val="20"/>
                <w:szCs w:val="20"/>
                <w:lang w:val="it-IT"/>
              </w:rPr>
            </w:pPr>
            <w:r w:rsidRPr="006F07C8">
              <w:rPr>
                <w:color w:val="000000" w:themeColor="text1"/>
                <w:kern w:val="24"/>
                <w:sz w:val="20"/>
                <w:szCs w:val="20"/>
                <w:lang w:val="it-IT"/>
              </w:rPr>
              <w:t>74</w:t>
            </w:r>
          </w:p>
        </w:tc>
        <w:tc>
          <w:tcPr>
            <w:tcW w:w="850" w:type="dxa"/>
            <w:gridSpan w:val="3"/>
          </w:tcPr>
          <w:p w:rsidR="00D846DA" w:rsidRPr="006F07C8" w:rsidRDefault="00D541AC" w:rsidP="002F52A9">
            <w:pPr>
              <w:pStyle w:val="NormalWeb"/>
              <w:spacing w:before="0" w:beforeAutospacing="0" w:after="0" w:afterAutospacing="0"/>
              <w:jc w:val="center"/>
              <w:textAlignment w:val="bottom"/>
              <w:rPr>
                <w:color w:val="000000" w:themeColor="text1"/>
                <w:kern w:val="24"/>
                <w:sz w:val="20"/>
                <w:szCs w:val="20"/>
                <w:lang w:val="it-IT"/>
              </w:rPr>
            </w:pPr>
            <w:r w:rsidRPr="006F07C8">
              <w:rPr>
                <w:color w:val="000000" w:themeColor="text1"/>
                <w:kern w:val="24"/>
                <w:sz w:val="20"/>
                <w:szCs w:val="20"/>
                <w:lang w:val="it-IT"/>
              </w:rPr>
              <w:t>96</w:t>
            </w:r>
          </w:p>
        </w:tc>
      </w:tr>
      <w:tr w:rsidR="00D846DA" w:rsidRPr="006F07C8" w:rsidTr="006C2813">
        <w:trPr>
          <w:gridAfter w:val="1"/>
          <w:wAfter w:w="9" w:type="dxa"/>
          <w:trHeight w:val="276"/>
          <w:jc w:val="center"/>
        </w:trPr>
        <w:tc>
          <w:tcPr>
            <w:tcW w:w="2188" w:type="dxa"/>
            <w:gridSpan w:val="2"/>
          </w:tcPr>
          <w:p w:rsidR="00D846DA" w:rsidRPr="006F07C8" w:rsidRDefault="00D846DA" w:rsidP="002F52A9">
            <w:pPr>
              <w:pStyle w:val="NormalWeb"/>
              <w:spacing w:before="0" w:beforeAutospacing="0" w:after="0" w:afterAutospacing="0"/>
              <w:textAlignment w:val="bottom"/>
              <w:rPr>
                <w:sz w:val="20"/>
                <w:szCs w:val="20"/>
                <w:lang w:val="it-IT"/>
              </w:rPr>
            </w:pPr>
            <w:r w:rsidRPr="006F07C8">
              <w:rPr>
                <w:color w:val="000000" w:themeColor="text1"/>
                <w:kern w:val="24"/>
                <w:sz w:val="20"/>
                <w:szCs w:val="20"/>
                <w:lang w:val="it-IT"/>
              </w:rPr>
              <w:t>Slovenia</w:t>
            </w:r>
          </w:p>
        </w:tc>
        <w:tc>
          <w:tcPr>
            <w:tcW w:w="993" w:type="dxa"/>
            <w:gridSpan w:val="2"/>
          </w:tcPr>
          <w:p w:rsidR="00D846DA" w:rsidRPr="006F07C8" w:rsidRDefault="00D846DA" w:rsidP="002F52A9">
            <w:pPr>
              <w:pStyle w:val="NormalWeb"/>
              <w:spacing w:before="0" w:beforeAutospacing="0" w:after="0" w:afterAutospacing="0"/>
              <w:jc w:val="center"/>
              <w:textAlignment w:val="bottom"/>
              <w:rPr>
                <w:sz w:val="20"/>
                <w:szCs w:val="20"/>
                <w:lang w:val="it-IT"/>
              </w:rPr>
            </w:pPr>
            <w:r w:rsidRPr="006F07C8">
              <w:rPr>
                <w:color w:val="000000" w:themeColor="text1"/>
                <w:kern w:val="24"/>
                <w:sz w:val="20"/>
                <w:szCs w:val="20"/>
                <w:lang w:val="it-IT"/>
              </w:rPr>
              <w:t>40</w:t>
            </w:r>
          </w:p>
        </w:tc>
        <w:tc>
          <w:tcPr>
            <w:tcW w:w="930" w:type="dxa"/>
            <w:gridSpan w:val="2"/>
          </w:tcPr>
          <w:p w:rsidR="00D846DA" w:rsidRPr="006F07C8" w:rsidRDefault="00D846DA" w:rsidP="002F52A9">
            <w:pPr>
              <w:pStyle w:val="NormalWeb"/>
              <w:spacing w:before="0" w:beforeAutospacing="0" w:after="0" w:afterAutospacing="0"/>
              <w:jc w:val="center"/>
              <w:textAlignment w:val="bottom"/>
              <w:rPr>
                <w:sz w:val="20"/>
                <w:szCs w:val="20"/>
                <w:lang w:val="it-IT"/>
              </w:rPr>
            </w:pPr>
            <w:r w:rsidRPr="006F07C8">
              <w:rPr>
                <w:color w:val="000000" w:themeColor="text1"/>
                <w:kern w:val="24"/>
                <w:sz w:val="20"/>
                <w:szCs w:val="20"/>
                <w:lang w:val="it-IT"/>
              </w:rPr>
              <w:t>82</w:t>
            </w:r>
          </w:p>
        </w:tc>
        <w:tc>
          <w:tcPr>
            <w:tcW w:w="920" w:type="dxa"/>
            <w:gridSpan w:val="2"/>
          </w:tcPr>
          <w:p w:rsidR="00D846DA" w:rsidRPr="006F07C8" w:rsidRDefault="00D541AC" w:rsidP="002F52A9">
            <w:pPr>
              <w:pStyle w:val="NormalWeb"/>
              <w:spacing w:before="0" w:beforeAutospacing="0" w:after="0" w:afterAutospacing="0"/>
              <w:jc w:val="center"/>
              <w:textAlignment w:val="bottom"/>
              <w:rPr>
                <w:color w:val="000000" w:themeColor="text1"/>
                <w:kern w:val="24"/>
                <w:sz w:val="20"/>
                <w:szCs w:val="20"/>
                <w:lang w:val="it-IT"/>
              </w:rPr>
            </w:pPr>
            <w:r w:rsidRPr="006F07C8">
              <w:rPr>
                <w:color w:val="000000" w:themeColor="text1"/>
                <w:kern w:val="24"/>
                <w:sz w:val="20"/>
                <w:szCs w:val="20"/>
                <w:lang w:val="it-IT"/>
              </w:rPr>
              <w:t>23</w:t>
            </w:r>
          </w:p>
        </w:tc>
        <w:tc>
          <w:tcPr>
            <w:tcW w:w="850" w:type="dxa"/>
            <w:gridSpan w:val="3"/>
          </w:tcPr>
          <w:p w:rsidR="00D846DA" w:rsidRPr="006F07C8" w:rsidRDefault="00D541AC" w:rsidP="002F52A9">
            <w:pPr>
              <w:pStyle w:val="NormalWeb"/>
              <w:spacing w:before="0" w:beforeAutospacing="0" w:after="0" w:afterAutospacing="0"/>
              <w:jc w:val="center"/>
              <w:textAlignment w:val="bottom"/>
              <w:rPr>
                <w:color w:val="000000" w:themeColor="text1"/>
                <w:kern w:val="24"/>
                <w:sz w:val="20"/>
                <w:szCs w:val="20"/>
                <w:lang w:val="it-IT"/>
              </w:rPr>
            </w:pPr>
            <w:r w:rsidRPr="006F07C8">
              <w:rPr>
                <w:color w:val="000000" w:themeColor="text1"/>
                <w:kern w:val="24"/>
                <w:sz w:val="20"/>
                <w:szCs w:val="20"/>
                <w:lang w:val="it-IT"/>
              </w:rPr>
              <w:t>76</w:t>
            </w:r>
          </w:p>
        </w:tc>
      </w:tr>
      <w:tr w:rsidR="00D846DA" w:rsidRPr="006F07C8" w:rsidTr="006C2813">
        <w:trPr>
          <w:gridAfter w:val="1"/>
          <w:wAfter w:w="9" w:type="dxa"/>
          <w:trHeight w:val="266"/>
          <w:jc w:val="center"/>
        </w:trPr>
        <w:tc>
          <w:tcPr>
            <w:tcW w:w="2188" w:type="dxa"/>
            <w:gridSpan w:val="2"/>
          </w:tcPr>
          <w:p w:rsidR="00D846DA" w:rsidRPr="006F07C8" w:rsidRDefault="00D846DA" w:rsidP="002F52A9">
            <w:pPr>
              <w:pStyle w:val="NormalWeb"/>
              <w:spacing w:before="0" w:beforeAutospacing="0" w:after="0" w:afterAutospacing="0"/>
              <w:textAlignment w:val="bottom"/>
              <w:rPr>
                <w:sz w:val="20"/>
                <w:szCs w:val="20"/>
                <w:lang w:val="it-IT"/>
              </w:rPr>
            </w:pPr>
            <w:r w:rsidRPr="006F07C8">
              <w:rPr>
                <w:bCs/>
                <w:color w:val="000000" w:themeColor="text1"/>
                <w:kern w:val="24"/>
                <w:sz w:val="20"/>
                <w:szCs w:val="20"/>
                <w:lang w:val="it-IT"/>
              </w:rPr>
              <w:t>Slovacchia</w:t>
            </w:r>
          </w:p>
        </w:tc>
        <w:tc>
          <w:tcPr>
            <w:tcW w:w="993" w:type="dxa"/>
            <w:gridSpan w:val="2"/>
          </w:tcPr>
          <w:p w:rsidR="00D846DA" w:rsidRPr="006F07C8" w:rsidRDefault="00D846DA" w:rsidP="002F52A9">
            <w:pPr>
              <w:pStyle w:val="NormalWeb"/>
              <w:spacing w:before="0" w:beforeAutospacing="0" w:after="0" w:afterAutospacing="0"/>
              <w:jc w:val="center"/>
              <w:textAlignment w:val="bottom"/>
              <w:rPr>
                <w:sz w:val="20"/>
                <w:szCs w:val="20"/>
                <w:lang w:val="it-IT"/>
              </w:rPr>
            </w:pPr>
            <w:r w:rsidRPr="006F07C8">
              <w:rPr>
                <w:color w:val="000000" w:themeColor="text1"/>
                <w:kern w:val="24"/>
                <w:sz w:val="20"/>
                <w:szCs w:val="20"/>
                <w:lang w:val="it-IT"/>
              </w:rPr>
              <w:t>70</w:t>
            </w:r>
          </w:p>
        </w:tc>
        <w:tc>
          <w:tcPr>
            <w:tcW w:w="930" w:type="dxa"/>
            <w:gridSpan w:val="2"/>
          </w:tcPr>
          <w:p w:rsidR="00D846DA" w:rsidRPr="006F07C8" w:rsidRDefault="00D846DA" w:rsidP="002F52A9">
            <w:pPr>
              <w:pStyle w:val="NormalWeb"/>
              <w:spacing w:before="0" w:beforeAutospacing="0" w:after="0" w:afterAutospacing="0"/>
              <w:jc w:val="center"/>
              <w:textAlignment w:val="bottom"/>
              <w:rPr>
                <w:sz w:val="20"/>
                <w:szCs w:val="20"/>
                <w:lang w:val="it-IT"/>
              </w:rPr>
            </w:pPr>
            <w:r w:rsidRPr="006F07C8">
              <w:rPr>
                <w:color w:val="000000" w:themeColor="text1"/>
                <w:kern w:val="24"/>
                <w:sz w:val="20"/>
                <w:szCs w:val="20"/>
                <w:lang w:val="it-IT"/>
              </w:rPr>
              <w:t>95</w:t>
            </w:r>
          </w:p>
        </w:tc>
        <w:tc>
          <w:tcPr>
            <w:tcW w:w="920" w:type="dxa"/>
            <w:gridSpan w:val="2"/>
          </w:tcPr>
          <w:p w:rsidR="00D846DA" w:rsidRPr="006F07C8" w:rsidRDefault="00BE31EC" w:rsidP="002F52A9">
            <w:pPr>
              <w:pStyle w:val="NormalWeb"/>
              <w:spacing w:before="0" w:beforeAutospacing="0" w:after="0" w:afterAutospacing="0"/>
              <w:jc w:val="center"/>
              <w:textAlignment w:val="bottom"/>
              <w:rPr>
                <w:color w:val="000000" w:themeColor="text1"/>
                <w:kern w:val="24"/>
                <w:sz w:val="20"/>
                <w:szCs w:val="20"/>
                <w:lang w:val="it-IT"/>
              </w:rPr>
            </w:pPr>
            <w:r w:rsidRPr="006F07C8">
              <w:rPr>
                <w:color w:val="000000" w:themeColor="text1"/>
                <w:kern w:val="24"/>
                <w:sz w:val="20"/>
                <w:szCs w:val="20"/>
                <w:lang w:val="it-IT"/>
              </w:rPr>
              <w:t>49</w:t>
            </w:r>
          </w:p>
        </w:tc>
        <w:tc>
          <w:tcPr>
            <w:tcW w:w="850" w:type="dxa"/>
            <w:gridSpan w:val="3"/>
          </w:tcPr>
          <w:p w:rsidR="00D846DA" w:rsidRPr="006F07C8" w:rsidRDefault="00BE31EC" w:rsidP="002F52A9">
            <w:pPr>
              <w:pStyle w:val="NormalWeb"/>
              <w:spacing w:before="0" w:beforeAutospacing="0" w:after="0" w:afterAutospacing="0"/>
              <w:jc w:val="center"/>
              <w:textAlignment w:val="bottom"/>
              <w:rPr>
                <w:color w:val="000000" w:themeColor="text1"/>
                <w:kern w:val="24"/>
                <w:sz w:val="20"/>
                <w:szCs w:val="20"/>
                <w:lang w:val="it-IT"/>
              </w:rPr>
            </w:pPr>
            <w:r w:rsidRPr="006F07C8">
              <w:rPr>
                <w:color w:val="000000" w:themeColor="text1"/>
                <w:kern w:val="24"/>
                <w:sz w:val="20"/>
                <w:szCs w:val="20"/>
                <w:lang w:val="it-IT"/>
              </w:rPr>
              <w:t>92</w:t>
            </w:r>
          </w:p>
        </w:tc>
      </w:tr>
      <w:tr w:rsidR="00D846DA" w:rsidRPr="006F07C8" w:rsidTr="006C2813">
        <w:trPr>
          <w:gridAfter w:val="1"/>
          <w:wAfter w:w="9" w:type="dxa"/>
          <w:trHeight w:val="284"/>
          <w:jc w:val="center"/>
        </w:trPr>
        <w:tc>
          <w:tcPr>
            <w:tcW w:w="2188" w:type="dxa"/>
            <w:gridSpan w:val="2"/>
          </w:tcPr>
          <w:p w:rsidR="00D846DA" w:rsidRPr="006F07C8" w:rsidRDefault="00D846DA" w:rsidP="002F52A9">
            <w:pPr>
              <w:pStyle w:val="NormalWeb"/>
              <w:spacing w:before="0" w:beforeAutospacing="0" w:after="0" w:afterAutospacing="0"/>
              <w:textAlignment w:val="bottom"/>
              <w:rPr>
                <w:sz w:val="20"/>
                <w:szCs w:val="20"/>
                <w:lang w:val="it-IT"/>
              </w:rPr>
            </w:pPr>
            <w:r w:rsidRPr="006F07C8">
              <w:rPr>
                <w:bCs/>
                <w:color w:val="000000" w:themeColor="text1"/>
                <w:kern w:val="24"/>
                <w:sz w:val="20"/>
                <w:szCs w:val="20"/>
                <w:lang w:val="it-IT"/>
              </w:rPr>
              <w:t>Spagna</w:t>
            </w:r>
          </w:p>
        </w:tc>
        <w:tc>
          <w:tcPr>
            <w:tcW w:w="993" w:type="dxa"/>
            <w:gridSpan w:val="2"/>
          </w:tcPr>
          <w:p w:rsidR="00D846DA" w:rsidRPr="006F07C8" w:rsidRDefault="00D846DA" w:rsidP="002F52A9">
            <w:pPr>
              <w:pStyle w:val="NormalWeb"/>
              <w:spacing w:before="0" w:beforeAutospacing="0" w:after="0" w:afterAutospacing="0"/>
              <w:jc w:val="center"/>
              <w:textAlignment w:val="bottom"/>
              <w:rPr>
                <w:sz w:val="20"/>
                <w:szCs w:val="20"/>
                <w:lang w:val="it-IT"/>
              </w:rPr>
            </w:pPr>
            <w:r w:rsidRPr="006F07C8">
              <w:rPr>
                <w:color w:val="000000" w:themeColor="text1"/>
                <w:kern w:val="24"/>
                <w:sz w:val="20"/>
                <w:szCs w:val="20"/>
                <w:lang w:val="it-IT"/>
              </w:rPr>
              <w:t>67</w:t>
            </w:r>
          </w:p>
        </w:tc>
        <w:tc>
          <w:tcPr>
            <w:tcW w:w="930" w:type="dxa"/>
            <w:gridSpan w:val="2"/>
          </w:tcPr>
          <w:p w:rsidR="00D846DA" w:rsidRPr="006F07C8" w:rsidRDefault="00D846DA" w:rsidP="002F52A9">
            <w:pPr>
              <w:pStyle w:val="NormalWeb"/>
              <w:spacing w:before="0" w:beforeAutospacing="0" w:after="0" w:afterAutospacing="0"/>
              <w:jc w:val="center"/>
              <w:textAlignment w:val="bottom"/>
              <w:rPr>
                <w:sz w:val="20"/>
                <w:szCs w:val="20"/>
                <w:lang w:val="it-IT"/>
              </w:rPr>
            </w:pPr>
            <w:r w:rsidRPr="006F07C8">
              <w:rPr>
                <w:color w:val="000000" w:themeColor="text1"/>
                <w:kern w:val="24"/>
                <w:sz w:val="20"/>
                <w:szCs w:val="20"/>
                <w:lang w:val="it-IT"/>
              </w:rPr>
              <w:t>94</w:t>
            </w:r>
          </w:p>
        </w:tc>
        <w:tc>
          <w:tcPr>
            <w:tcW w:w="920" w:type="dxa"/>
            <w:gridSpan w:val="2"/>
          </w:tcPr>
          <w:p w:rsidR="00D846DA" w:rsidRPr="006F07C8" w:rsidRDefault="00BE31EC" w:rsidP="002F52A9">
            <w:pPr>
              <w:pStyle w:val="NormalWeb"/>
              <w:spacing w:before="0" w:beforeAutospacing="0" w:after="0" w:afterAutospacing="0"/>
              <w:jc w:val="center"/>
              <w:textAlignment w:val="bottom"/>
              <w:rPr>
                <w:color w:val="000000" w:themeColor="text1"/>
                <w:kern w:val="24"/>
                <w:sz w:val="20"/>
                <w:szCs w:val="20"/>
                <w:lang w:val="it-IT"/>
              </w:rPr>
            </w:pPr>
            <w:r w:rsidRPr="006F07C8">
              <w:rPr>
                <w:color w:val="000000" w:themeColor="text1"/>
                <w:kern w:val="24"/>
                <w:sz w:val="20"/>
                <w:szCs w:val="20"/>
                <w:lang w:val="it-IT"/>
              </w:rPr>
              <w:t>58</w:t>
            </w:r>
          </w:p>
        </w:tc>
        <w:tc>
          <w:tcPr>
            <w:tcW w:w="850" w:type="dxa"/>
            <w:gridSpan w:val="3"/>
          </w:tcPr>
          <w:p w:rsidR="00D846DA" w:rsidRPr="006F07C8" w:rsidRDefault="00BE31EC" w:rsidP="002F52A9">
            <w:pPr>
              <w:pStyle w:val="NormalWeb"/>
              <w:spacing w:before="0" w:beforeAutospacing="0" w:after="0" w:afterAutospacing="0"/>
              <w:jc w:val="center"/>
              <w:textAlignment w:val="bottom"/>
              <w:rPr>
                <w:color w:val="000000" w:themeColor="text1"/>
                <w:kern w:val="24"/>
                <w:sz w:val="20"/>
                <w:szCs w:val="20"/>
                <w:lang w:val="it-IT"/>
              </w:rPr>
            </w:pPr>
            <w:r w:rsidRPr="006F07C8">
              <w:rPr>
                <w:color w:val="000000" w:themeColor="text1"/>
                <w:kern w:val="24"/>
                <w:sz w:val="20"/>
                <w:szCs w:val="20"/>
                <w:lang w:val="it-IT"/>
              </w:rPr>
              <w:t>92</w:t>
            </w:r>
          </w:p>
        </w:tc>
      </w:tr>
      <w:tr w:rsidR="00D846DA" w:rsidRPr="006F07C8" w:rsidTr="006C2813">
        <w:trPr>
          <w:gridAfter w:val="1"/>
          <w:wAfter w:w="9" w:type="dxa"/>
          <w:trHeight w:val="274"/>
          <w:jc w:val="center"/>
        </w:trPr>
        <w:tc>
          <w:tcPr>
            <w:tcW w:w="2188" w:type="dxa"/>
            <w:gridSpan w:val="2"/>
          </w:tcPr>
          <w:p w:rsidR="00D846DA" w:rsidRPr="006F07C8" w:rsidRDefault="00D846DA" w:rsidP="002F52A9">
            <w:pPr>
              <w:pStyle w:val="NormalWeb"/>
              <w:spacing w:before="0" w:beforeAutospacing="0" w:after="0" w:afterAutospacing="0"/>
              <w:textAlignment w:val="bottom"/>
              <w:rPr>
                <w:sz w:val="20"/>
                <w:szCs w:val="20"/>
                <w:lang w:val="it-IT"/>
              </w:rPr>
            </w:pPr>
            <w:r w:rsidRPr="006F07C8">
              <w:rPr>
                <w:color w:val="000000" w:themeColor="text1"/>
                <w:kern w:val="24"/>
                <w:sz w:val="20"/>
                <w:szCs w:val="20"/>
                <w:lang w:val="it-IT"/>
              </w:rPr>
              <w:t>Svezia</w:t>
            </w:r>
          </w:p>
        </w:tc>
        <w:tc>
          <w:tcPr>
            <w:tcW w:w="993" w:type="dxa"/>
            <w:gridSpan w:val="2"/>
          </w:tcPr>
          <w:p w:rsidR="00D846DA" w:rsidRPr="006F07C8" w:rsidRDefault="00D846DA" w:rsidP="002F52A9">
            <w:pPr>
              <w:pStyle w:val="NormalWeb"/>
              <w:spacing w:before="0" w:beforeAutospacing="0" w:after="0" w:afterAutospacing="0"/>
              <w:jc w:val="center"/>
              <w:textAlignment w:val="bottom"/>
              <w:rPr>
                <w:sz w:val="20"/>
                <w:szCs w:val="20"/>
                <w:lang w:val="it-IT"/>
              </w:rPr>
            </w:pPr>
            <w:r w:rsidRPr="006F07C8">
              <w:rPr>
                <w:color w:val="000000" w:themeColor="text1"/>
                <w:kern w:val="24"/>
                <w:sz w:val="20"/>
                <w:szCs w:val="20"/>
                <w:lang w:val="it-IT"/>
              </w:rPr>
              <w:t>9</w:t>
            </w:r>
          </w:p>
        </w:tc>
        <w:tc>
          <w:tcPr>
            <w:tcW w:w="930" w:type="dxa"/>
            <w:gridSpan w:val="2"/>
          </w:tcPr>
          <w:p w:rsidR="00D846DA" w:rsidRPr="006F07C8" w:rsidRDefault="00D846DA" w:rsidP="002F52A9">
            <w:pPr>
              <w:pStyle w:val="NormalWeb"/>
              <w:spacing w:before="0" w:beforeAutospacing="0" w:after="0" w:afterAutospacing="0"/>
              <w:jc w:val="center"/>
              <w:textAlignment w:val="bottom"/>
              <w:rPr>
                <w:sz w:val="20"/>
                <w:szCs w:val="20"/>
                <w:lang w:val="it-IT"/>
              </w:rPr>
            </w:pPr>
            <w:r w:rsidRPr="006F07C8">
              <w:rPr>
                <w:color w:val="000000" w:themeColor="text1"/>
                <w:kern w:val="24"/>
                <w:sz w:val="20"/>
                <w:szCs w:val="20"/>
                <w:lang w:val="it-IT"/>
              </w:rPr>
              <w:t>68</w:t>
            </w:r>
          </w:p>
        </w:tc>
        <w:tc>
          <w:tcPr>
            <w:tcW w:w="920" w:type="dxa"/>
            <w:gridSpan w:val="2"/>
          </w:tcPr>
          <w:p w:rsidR="00D846DA" w:rsidRPr="006F07C8" w:rsidRDefault="00BE31EC" w:rsidP="002F52A9">
            <w:pPr>
              <w:pStyle w:val="NormalWeb"/>
              <w:spacing w:before="0" w:beforeAutospacing="0" w:after="0" w:afterAutospacing="0"/>
              <w:jc w:val="center"/>
              <w:textAlignment w:val="bottom"/>
              <w:rPr>
                <w:color w:val="000000" w:themeColor="text1"/>
                <w:kern w:val="24"/>
                <w:sz w:val="20"/>
                <w:szCs w:val="20"/>
                <w:lang w:val="it-IT"/>
              </w:rPr>
            </w:pPr>
            <w:r w:rsidRPr="006F07C8">
              <w:rPr>
                <w:color w:val="000000" w:themeColor="text1"/>
                <w:kern w:val="24"/>
                <w:sz w:val="20"/>
                <w:szCs w:val="20"/>
                <w:lang w:val="it-IT"/>
              </w:rPr>
              <w:t>9</w:t>
            </w:r>
          </w:p>
        </w:tc>
        <w:tc>
          <w:tcPr>
            <w:tcW w:w="850" w:type="dxa"/>
            <w:gridSpan w:val="3"/>
          </w:tcPr>
          <w:p w:rsidR="00D846DA" w:rsidRPr="006F07C8" w:rsidRDefault="00BE31EC" w:rsidP="002F52A9">
            <w:pPr>
              <w:pStyle w:val="NormalWeb"/>
              <w:spacing w:before="0" w:beforeAutospacing="0" w:after="0" w:afterAutospacing="0"/>
              <w:jc w:val="center"/>
              <w:textAlignment w:val="bottom"/>
              <w:rPr>
                <w:color w:val="000000" w:themeColor="text1"/>
                <w:kern w:val="24"/>
                <w:sz w:val="20"/>
                <w:szCs w:val="20"/>
                <w:lang w:val="it-IT"/>
              </w:rPr>
            </w:pPr>
            <w:r w:rsidRPr="006F07C8">
              <w:rPr>
                <w:color w:val="000000" w:themeColor="text1"/>
                <w:kern w:val="24"/>
                <w:sz w:val="20"/>
                <w:szCs w:val="20"/>
                <w:lang w:val="it-IT"/>
              </w:rPr>
              <w:t>67</w:t>
            </w:r>
          </w:p>
        </w:tc>
      </w:tr>
      <w:tr w:rsidR="00D846DA" w:rsidRPr="006F07C8" w:rsidTr="006C2813">
        <w:trPr>
          <w:gridAfter w:val="1"/>
          <w:wAfter w:w="9" w:type="dxa"/>
          <w:trHeight w:val="264"/>
          <w:jc w:val="center"/>
        </w:trPr>
        <w:tc>
          <w:tcPr>
            <w:tcW w:w="2188" w:type="dxa"/>
            <w:gridSpan w:val="2"/>
          </w:tcPr>
          <w:p w:rsidR="00D846DA" w:rsidRPr="006F07C8" w:rsidRDefault="00D846DA" w:rsidP="002F52A9">
            <w:pPr>
              <w:pStyle w:val="NormalWeb"/>
              <w:spacing w:before="0" w:beforeAutospacing="0" w:after="0" w:afterAutospacing="0"/>
              <w:textAlignment w:val="bottom"/>
              <w:rPr>
                <w:sz w:val="20"/>
                <w:szCs w:val="20"/>
                <w:lang w:val="it-IT"/>
              </w:rPr>
            </w:pPr>
            <w:r w:rsidRPr="006F07C8">
              <w:rPr>
                <w:bCs/>
                <w:color w:val="000000" w:themeColor="text1"/>
                <w:kern w:val="24"/>
                <w:sz w:val="20"/>
                <w:szCs w:val="20"/>
                <w:lang w:val="it-IT"/>
              </w:rPr>
              <w:t>Ungheria</w:t>
            </w:r>
          </w:p>
        </w:tc>
        <w:tc>
          <w:tcPr>
            <w:tcW w:w="993" w:type="dxa"/>
            <w:gridSpan w:val="2"/>
          </w:tcPr>
          <w:p w:rsidR="00D846DA" w:rsidRPr="006F07C8" w:rsidRDefault="00D846DA" w:rsidP="002F52A9">
            <w:pPr>
              <w:pStyle w:val="NormalWeb"/>
              <w:spacing w:before="0" w:beforeAutospacing="0" w:after="0" w:afterAutospacing="0"/>
              <w:jc w:val="center"/>
              <w:textAlignment w:val="bottom"/>
              <w:rPr>
                <w:sz w:val="20"/>
                <w:szCs w:val="20"/>
                <w:lang w:val="it-IT"/>
              </w:rPr>
            </w:pPr>
            <w:r w:rsidRPr="006F07C8">
              <w:rPr>
                <w:color w:val="000000" w:themeColor="text1"/>
                <w:kern w:val="24"/>
                <w:sz w:val="20"/>
                <w:szCs w:val="20"/>
                <w:lang w:val="it-IT"/>
              </w:rPr>
              <w:t>85</w:t>
            </w:r>
          </w:p>
        </w:tc>
        <w:tc>
          <w:tcPr>
            <w:tcW w:w="930" w:type="dxa"/>
            <w:gridSpan w:val="2"/>
          </w:tcPr>
          <w:p w:rsidR="00D846DA" w:rsidRPr="006F07C8" w:rsidRDefault="00D846DA" w:rsidP="002F52A9">
            <w:pPr>
              <w:pStyle w:val="NormalWeb"/>
              <w:spacing w:before="0" w:beforeAutospacing="0" w:after="0" w:afterAutospacing="0"/>
              <w:jc w:val="center"/>
              <w:textAlignment w:val="bottom"/>
              <w:rPr>
                <w:sz w:val="20"/>
                <w:szCs w:val="20"/>
                <w:lang w:val="it-IT"/>
              </w:rPr>
            </w:pPr>
            <w:r w:rsidRPr="006F07C8">
              <w:rPr>
                <w:color w:val="000000" w:themeColor="text1"/>
                <w:kern w:val="24"/>
                <w:sz w:val="20"/>
                <w:szCs w:val="20"/>
                <w:lang w:val="it-IT"/>
              </w:rPr>
              <w:t>97</w:t>
            </w:r>
          </w:p>
        </w:tc>
        <w:tc>
          <w:tcPr>
            <w:tcW w:w="920" w:type="dxa"/>
            <w:gridSpan w:val="2"/>
          </w:tcPr>
          <w:p w:rsidR="00D846DA" w:rsidRPr="006F07C8" w:rsidRDefault="00BE31EC" w:rsidP="002F52A9">
            <w:pPr>
              <w:pStyle w:val="NormalWeb"/>
              <w:spacing w:before="0" w:beforeAutospacing="0" w:after="0" w:afterAutospacing="0"/>
              <w:jc w:val="center"/>
              <w:textAlignment w:val="bottom"/>
              <w:rPr>
                <w:color w:val="000000" w:themeColor="text1"/>
                <w:kern w:val="24"/>
                <w:sz w:val="20"/>
                <w:szCs w:val="20"/>
                <w:lang w:val="it-IT"/>
              </w:rPr>
            </w:pPr>
            <w:r w:rsidRPr="006F07C8">
              <w:rPr>
                <w:color w:val="000000" w:themeColor="text1"/>
                <w:kern w:val="24"/>
                <w:sz w:val="20"/>
                <w:szCs w:val="20"/>
                <w:lang w:val="it-IT"/>
              </w:rPr>
              <w:t>77</w:t>
            </w:r>
          </w:p>
        </w:tc>
        <w:tc>
          <w:tcPr>
            <w:tcW w:w="850" w:type="dxa"/>
            <w:gridSpan w:val="3"/>
          </w:tcPr>
          <w:p w:rsidR="00D846DA" w:rsidRPr="006F07C8" w:rsidRDefault="00BE31EC" w:rsidP="002F52A9">
            <w:pPr>
              <w:pStyle w:val="NormalWeb"/>
              <w:spacing w:before="0" w:beforeAutospacing="0" w:after="0" w:afterAutospacing="0"/>
              <w:jc w:val="center"/>
              <w:textAlignment w:val="bottom"/>
              <w:rPr>
                <w:color w:val="000000" w:themeColor="text1"/>
                <w:kern w:val="24"/>
                <w:sz w:val="20"/>
                <w:szCs w:val="20"/>
                <w:lang w:val="it-IT"/>
              </w:rPr>
            </w:pPr>
            <w:r w:rsidRPr="006F07C8">
              <w:rPr>
                <w:color w:val="000000" w:themeColor="text1"/>
                <w:kern w:val="24"/>
                <w:sz w:val="20"/>
                <w:szCs w:val="20"/>
                <w:lang w:val="it-IT"/>
              </w:rPr>
              <w:t>95</w:t>
            </w:r>
          </w:p>
        </w:tc>
      </w:tr>
      <w:tr w:rsidR="00D846DA" w:rsidRPr="006F07C8" w:rsidTr="006C2813">
        <w:trPr>
          <w:gridAfter w:val="1"/>
          <w:wAfter w:w="9" w:type="dxa"/>
          <w:trHeight w:val="282"/>
          <w:jc w:val="center"/>
        </w:trPr>
        <w:tc>
          <w:tcPr>
            <w:tcW w:w="2188" w:type="dxa"/>
            <w:gridSpan w:val="2"/>
          </w:tcPr>
          <w:p w:rsidR="00D846DA" w:rsidRPr="006F07C8" w:rsidRDefault="00D846DA" w:rsidP="002F52A9">
            <w:pPr>
              <w:rPr>
                <w:rFonts w:ascii="Times New Roman" w:hAnsi="Times New Roman" w:cs="Times New Roman"/>
                <w:b/>
                <w:iCs/>
                <w:sz w:val="20"/>
                <w:szCs w:val="20"/>
                <w:lang w:val="it-IT"/>
              </w:rPr>
            </w:pPr>
            <w:r w:rsidRPr="006F07C8">
              <w:rPr>
                <w:rFonts w:ascii="Times New Roman" w:hAnsi="Times New Roman" w:cs="Times New Roman"/>
                <w:b/>
                <w:iCs/>
                <w:sz w:val="20"/>
                <w:szCs w:val="20"/>
                <w:lang w:val="it-IT"/>
              </w:rPr>
              <w:t>TOTALE</w:t>
            </w:r>
          </w:p>
        </w:tc>
        <w:tc>
          <w:tcPr>
            <w:tcW w:w="993" w:type="dxa"/>
            <w:gridSpan w:val="2"/>
          </w:tcPr>
          <w:p w:rsidR="00D846DA" w:rsidRPr="006F07C8" w:rsidRDefault="00D846DA" w:rsidP="002F52A9">
            <w:pPr>
              <w:jc w:val="center"/>
              <w:rPr>
                <w:rFonts w:ascii="Times New Roman" w:hAnsi="Times New Roman" w:cs="Times New Roman"/>
                <w:b/>
                <w:sz w:val="20"/>
                <w:szCs w:val="20"/>
                <w:lang w:val="it-IT"/>
              </w:rPr>
            </w:pPr>
            <w:r w:rsidRPr="006F07C8">
              <w:rPr>
                <w:rFonts w:ascii="Times New Roman" w:hAnsi="Times New Roman" w:cs="Times New Roman"/>
                <w:b/>
                <w:sz w:val="20"/>
                <w:szCs w:val="20"/>
                <w:lang w:val="it-IT"/>
              </w:rPr>
              <w:t>49</w:t>
            </w:r>
          </w:p>
        </w:tc>
        <w:tc>
          <w:tcPr>
            <w:tcW w:w="930" w:type="dxa"/>
            <w:gridSpan w:val="2"/>
          </w:tcPr>
          <w:p w:rsidR="00D846DA" w:rsidRPr="006F07C8" w:rsidRDefault="00D846DA" w:rsidP="002F52A9">
            <w:pPr>
              <w:jc w:val="center"/>
              <w:rPr>
                <w:rFonts w:ascii="Times New Roman" w:hAnsi="Times New Roman" w:cs="Times New Roman"/>
                <w:b/>
                <w:sz w:val="20"/>
                <w:szCs w:val="20"/>
                <w:lang w:val="it-IT"/>
              </w:rPr>
            </w:pPr>
            <w:r w:rsidRPr="006F07C8">
              <w:rPr>
                <w:rFonts w:ascii="Times New Roman" w:hAnsi="Times New Roman" w:cs="Times New Roman"/>
                <w:b/>
                <w:sz w:val="20"/>
                <w:szCs w:val="20"/>
                <w:lang w:val="it-IT"/>
              </w:rPr>
              <w:t>81</w:t>
            </w:r>
          </w:p>
        </w:tc>
        <w:tc>
          <w:tcPr>
            <w:tcW w:w="920" w:type="dxa"/>
            <w:gridSpan w:val="2"/>
          </w:tcPr>
          <w:p w:rsidR="00D846DA" w:rsidRPr="006F07C8" w:rsidRDefault="00536024" w:rsidP="002F52A9">
            <w:pPr>
              <w:jc w:val="center"/>
              <w:rPr>
                <w:rFonts w:ascii="Times New Roman" w:hAnsi="Times New Roman" w:cs="Times New Roman"/>
                <w:b/>
                <w:sz w:val="20"/>
                <w:szCs w:val="20"/>
                <w:lang w:val="it-IT"/>
              </w:rPr>
            </w:pPr>
            <w:r w:rsidRPr="006F07C8">
              <w:rPr>
                <w:rFonts w:ascii="Times New Roman" w:hAnsi="Times New Roman" w:cs="Times New Roman"/>
                <w:b/>
                <w:sz w:val="20"/>
                <w:szCs w:val="20"/>
                <w:lang w:val="it-IT"/>
              </w:rPr>
              <w:t>28</w:t>
            </w:r>
          </w:p>
        </w:tc>
        <w:tc>
          <w:tcPr>
            <w:tcW w:w="850" w:type="dxa"/>
            <w:gridSpan w:val="3"/>
          </w:tcPr>
          <w:p w:rsidR="00D846DA" w:rsidRPr="006F07C8" w:rsidRDefault="00536024" w:rsidP="002F52A9">
            <w:pPr>
              <w:jc w:val="center"/>
              <w:rPr>
                <w:rFonts w:ascii="Times New Roman" w:hAnsi="Times New Roman" w:cs="Times New Roman"/>
                <w:b/>
                <w:sz w:val="20"/>
                <w:szCs w:val="20"/>
                <w:lang w:val="it-IT"/>
              </w:rPr>
            </w:pPr>
            <w:r w:rsidRPr="006F07C8">
              <w:rPr>
                <w:rFonts w:ascii="Times New Roman" w:hAnsi="Times New Roman" w:cs="Times New Roman"/>
                <w:b/>
                <w:sz w:val="20"/>
                <w:szCs w:val="20"/>
                <w:lang w:val="it-IT"/>
              </w:rPr>
              <w:t>55</w:t>
            </w:r>
          </w:p>
        </w:tc>
      </w:tr>
    </w:tbl>
    <w:p w:rsidR="00D216BE" w:rsidRPr="006F07C8" w:rsidRDefault="00D216BE" w:rsidP="002F52A9">
      <w:pPr>
        <w:spacing w:after="0" w:line="240" w:lineRule="auto"/>
        <w:jc w:val="both"/>
        <w:rPr>
          <w:rFonts w:ascii="Times New Roman" w:hAnsi="Times New Roman" w:cs="Times New Roman"/>
          <w:i/>
          <w:sz w:val="20"/>
          <w:szCs w:val="20"/>
          <w:lang w:val="it-IT"/>
        </w:rPr>
      </w:pPr>
      <w:r w:rsidRPr="006F07C8">
        <w:rPr>
          <w:rFonts w:ascii="Times New Roman" w:hAnsi="Times New Roman" w:cs="Times New Roman"/>
          <w:i/>
          <w:sz w:val="20"/>
          <w:szCs w:val="20"/>
          <w:lang w:val="it-IT"/>
        </w:rPr>
        <w:t>Fonte: Eurostat, IEA</w:t>
      </w:r>
      <w:r w:rsidR="00C6336A" w:rsidRPr="006F07C8">
        <w:rPr>
          <w:rFonts w:ascii="Times New Roman" w:hAnsi="Times New Roman" w:cs="Times New Roman"/>
          <w:i/>
          <w:sz w:val="20"/>
          <w:szCs w:val="20"/>
          <w:lang w:val="it-IT"/>
        </w:rPr>
        <w:t xml:space="preserve"> 2011</w:t>
      </w:r>
      <w:r w:rsidRPr="006F07C8">
        <w:rPr>
          <w:rFonts w:ascii="Times New Roman" w:hAnsi="Times New Roman" w:cs="Times New Roman"/>
          <w:i/>
          <w:sz w:val="20"/>
          <w:szCs w:val="20"/>
          <w:lang w:val="it-IT"/>
        </w:rPr>
        <w:t>. Tabella elaborata dall’autore</w:t>
      </w:r>
    </w:p>
    <w:p w:rsidR="00D216BE" w:rsidRPr="006F07C8" w:rsidRDefault="001F5D09" w:rsidP="002F52A9">
      <w:pPr>
        <w:spacing w:after="0" w:line="240" w:lineRule="auto"/>
        <w:jc w:val="both"/>
        <w:rPr>
          <w:rFonts w:ascii="Times New Roman" w:hAnsi="Times New Roman" w:cs="Times New Roman"/>
          <w:sz w:val="20"/>
          <w:szCs w:val="20"/>
          <w:lang w:val="it-IT"/>
        </w:rPr>
      </w:pPr>
      <w:r w:rsidRPr="006F07C8">
        <w:rPr>
          <w:rFonts w:ascii="Times New Roman" w:hAnsi="Times New Roman" w:cs="Times New Roman"/>
          <w:i/>
          <w:sz w:val="20"/>
          <w:szCs w:val="20"/>
          <w:vertAlign w:val="superscript"/>
          <w:lang w:val="it-IT"/>
        </w:rPr>
        <w:t>*</w:t>
      </w:r>
      <w:r w:rsidR="00D216BE" w:rsidRPr="006F07C8">
        <w:rPr>
          <w:rFonts w:ascii="Times New Roman" w:hAnsi="Times New Roman" w:cs="Times New Roman"/>
          <w:i/>
          <w:sz w:val="20"/>
          <w:szCs w:val="20"/>
          <w:lang w:val="it-IT"/>
        </w:rPr>
        <w:t xml:space="preserve"> </w:t>
      </w:r>
      <w:r w:rsidR="0041086E" w:rsidRPr="006F07C8">
        <w:rPr>
          <w:rFonts w:ascii="Times New Roman" w:hAnsi="Times New Roman" w:cs="Times New Roman"/>
          <w:i/>
          <w:sz w:val="20"/>
          <w:szCs w:val="20"/>
          <w:lang w:val="it-IT"/>
        </w:rPr>
        <w:t>N</w:t>
      </w:r>
      <w:r w:rsidR="00E21744" w:rsidRPr="006F07C8">
        <w:rPr>
          <w:rFonts w:ascii="Times New Roman" w:hAnsi="Times New Roman" w:cs="Times New Roman"/>
          <w:i/>
          <w:sz w:val="20"/>
          <w:szCs w:val="20"/>
          <w:lang w:val="it-IT"/>
        </w:rPr>
        <w:t xml:space="preserve">.d.= non disponibile. </w:t>
      </w:r>
      <w:r w:rsidR="00E15EA6" w:rsidRPr="006F07C8">
        <w:rPr>
          <w:rFonts w:ascii="Times New Roman" w:hAnsi="Times New Roman" w:cs="Times New Roman"/>
          <w:i/>
          <w:sz w:val="20"/>
          <w:szCs w:val="20"/>
          <w:lang w:val="it-IT"/>
        </w:rPr>
        <w:t>M</w:t>
      </w:r>
      <w:r w:rsidR="00D216BE" w:rsidRPr="006F07C8">
        <w:rPr>
          <w:rFonts w:ascii="Times New Roman" w:hAnsi="Times New Roman" w:cs="Times New Roman"/>
          <w:i/>
          <w:sz w:val="20"/>
          <w:szCs w:val="20"/>
          <w:lang w:val="it-IT"/>
        </w:rPr>
        <w:t xml:space="preserve">ancano i dati per livello competenza </w:t>
      </w:r>
      <w:r w:rsidR="00E15EA6" w:rsidRPr="006F07C8">
        <w:rPr>
          <w:rFonts w:ascii="Times New Roman" w:hAnsi="Times New Roman" w:cs="Times New Roman"/>
          <w:i/>
          <w:sz w:val="20"/>
          <w:szCs w:val="20"/>
          <w:lang w:val="it-IT"/>
        </w:rPr>
        <w:t>nelle</w:t>
      </w:r>
      <w:r w:rsidR="00D216BE" w:rsidRPr="006F07C8">
        <w:rPr>
          <w:rFonts w:ascii="Times New Roman" w:hAnsi="Times New Roman" w:cs="Times New Roman"/>
          <w:i/>
          <w:sz w:val="20"/>
          <w:szCs w:val="20"/>
          <w:lang w:val="it-IT"/>
        </w:rPr>
        <w:t xml:space="preserve"> lingue straniere </w:t>
      </w:r>
      <w:r w:rsidR="00E15EA6" w:rsidRPr="006F07C8">
        <w:rPr>
          <w:rFonts w:ascii="Times New Roman" w:hAnsi="Times New Roman" w:cs="Times New Roman"/>
          <w:i/>
          <w:sz w:val="20"/>
          <w:szCs w:val="20"/>
          <w:lang w:val="it-IT"/>
        </w:rPr>
        <w:t xml:space="preserve">(prima e seconda) </w:t>
      </w:r>
      <w:r w:rsidR="00D216BE" w:rsidRPr="006F07C8">
        <w:rPr>
          <w:rFonts w:ascii="Times New Roman" w:hAnsi="Times New Roman" w:cs="Times New Roman"/>
          <w:i/>
          <w:sz w:val="20"/>
          <w:szCs w:val="20"/>
          <w:lang w:val="it-IT"/>
        </w:rPr>
        <w:t>per la Danimarca e i dati per livello competenza nella seconda lingua straniera per l’Italia</w:t>
      </w:r>
      <w:r w:rsidR="00FA49A8" w:rsidRPr="006F07C8">
        <w:rPr>
          <w:rFonts w:ascii="Times New Roman" w:hAnsi="Times New Roman" w:cs="Times New Roman"/>
          <w:i/>
          <w:sz w:val="20"/>
          <w:szCs w:val="20"/>
          <w:lang w:val="it-IT"/>
        </w:rPr>
        <w:t>.</w:t>
      </w:r>
    </w:p>
    <w:p w:rsidR="008C7581" w:rsidRPr="006F07C8" w:rsidRDefault="008C7581" w:rsidP="002F52A9">
      <w:pPr>
        <w:spacing w:line="240" w:lineRule="auto"/>
        <w:jc w:val="both"/>
        <w:rPr>
          <w:rFonts w:ascii="Times New Roman" w:hAnsi="Times New Roman" w:cs="Times New Roman"/>
          <w:sz w:val="20"/>
          <w:lang w:val="it-IT"/>
        </w:rPr>
      </w:pPr>
    </w:p>
    <w:p w:rsidR="004F649F" w:rsidRPr="006F07C8" w:rsidRDefault="009578D3" w:rsidP="002F52A9">
      <w:pPr>
        <w:spacing w:line="240" w:lineRule="auto"/>
        <w:jc w:val="both"/>
        <w:rPr>
          <w:rFonts w:ascii="Times New Roman" w:hAnsi="Times New Roman" w:cs="Times New Roman"/>
          <w:sz w:val="24"/>
          <w:szCs w:val="24"/>
          <w:lang w:val="it-IT"/>
        </w:rPr>
      </w:pPr>
      <w:r w:rsidRPr="006F07C8">
        <w:rPr>
          <w:rFonts w:ascii="Times New Roman" w:hAnsi="Times New Roman" w:cs="Times New Roman"/>
          <w:sz w:val="24"/>
          <w:szCs w:val="24"/>
          <w:lang w:val="it-IT"/>
        </w:rPr>
        <w:t>Ritorniamo ora alla valutazione dell’efficacia del regime linguistico europeo</w:t>
      </w:r>
      <w:r w:rsidR="003A3B29" w:rsidRPr="006F07C8">
        <w:rPr>
          <w:rFonts w:ascii="Times New Roman" w:hAnsi="Times New Roman" w:cs="Times New Roman"/>
          <w:sz w:val="24"/>
          <w:szCs w:val="24"/>
          <w:lang w:val="it-IT"/>
        </w:rPr>
        <w:t xml:space="preserve"> nel suo insieme</w:t>
      </w:r>
      <w:r w:rsidRPr="006F07C8">
        <w:rPr>
          <w:rFonts w:ascii="Times New Roman" w:hAnsi="Times New Roman" w:cs="Times New Roman"/>
          <w:sz w:val="24"/>
          <w:szCs w:val="24"/>
          <w:lang w:val="it-IT"/>
        </w:rPr>
        <w:t xml:space="preserve">. </w:t>
      </w:r>
      <w:r w:rsidR="00884566" w:rsidRPr="006F07C8">
        <w:rPr>
          <w:rFonts w:ascii="Times New Roman" w:hAnsi="Times New Roman" w:cs="Times New Roman"/>
          <w:sz w:val="24"/>
          <w:szCs w:val="24"/>
          <w:lang w:val="it-IT"/>
        </w:rPr>
        <w:t>Dal r</w:t>
      </w:r>
      <w:r w:rsidR="00616A50" w:rsidRPr="006F07C8">
        <w:rPr>
          <w:rFonts w:ascii="Times New Roman" w:hAnsi="Times New Roman" w:cs="Times New Roman"/>
          <w:sz w:val="24"/>
          <w:szCs w:val="24"/>
          <w:lang w:val="it-IT"/>
        </w:rPr>
        <w:t xml:space="preserve">affronto fra la </w:t>
      </w:r>
      <w:r w:rsidR="00616A50" w:rsidRPr="006F07C8">
        <w:rPr>
          <w:rFonts w:ascii="Times New Roman" w:hAnsi="Times New Roman" w:cs="Times New Roman"/>
          <w:sz w:val="24"/>
          <w:szCs w:val="24"/>
          <w:lang w:val="it-IT"/>
        </w:rPr>
        <w:fldChar w:fldCharType="begin"/>
      </w:r>
      <w:r w:rsidR="00616A50" w:rsidRPr="006F07C8">
        <w:rPr>
          <w:rFonts w:ascii="Times New Roman" w:hAnsi="Times New Roman" w:cs="Times New Roman"/>
          <w:sz w:val="24"/>
          <w:szCs w:val="24"/>
          <w:lang w:val="it-IT"/>
        </w:rPr>
        <w:instrText xml:space="preserve"> REF _Ref378171740 \h  \* MERGEFORMAT </w:instrText>
      </w:r>
      <w:r w:rsidR="00616A50" w:rsidRPr="006F07C8">
        <w:rPr>
          <w:rFonts w:ascii="Times New Roman" w:hAnsi="Times New Roman" w:cs="Times New Roman"/>
          <w:sz w:val="24"/>
          <w:szCs w:val="24"/>
          <w:lang w:val="it-IT"/>
        </w:rPr>
      </w:r>
      <w:r w:rsidR="00616A50" w:rsidRPr="006F07C8">
        <w:rPr>
          <w:rFonts w:ascii="Times New Roman" w:hAnsi="Times New Roman" w:cs="Times New Roman"/>
          <w:sz w:val="24"/>
          <w:szCs w:val="24"/>
          <w:lang w:val="it-IT"/>
        </w:rPr>
        <w:fldChar w:fldCharType="separate"/>
      </w:r>
      <w:r w:rsidR="00087B27" w:rsidRPr="006F07C8">
        <w:rPr>
          <w:rFonts w:ascii="Times New Roman" w:hAnsi="Times New Roman" w:cs="Times New Roman"/>
          <w:sz w:val="24"/>
          <w:szCs w:val="24"/>
          <w:lang w:val="it-IT"/>
        </w:rPr>
        <w:t xml:space="preserve">Tabella </w:t>
      </w:r>
      <w:r w:rsidR="00087B27" w:rsidRPr="006F07C8">
        <w:rPr>
          <w:rFonts w:ascii="Times New Roman" w:hAnsi="Times New Roman" w:cs="Times New Roman"/>
          <w:noProof/>
          <w:sz w:val="24"/>
          <w:szCs w:val="24"/>
          <w:lang w:val="it-IT"/>
        </w:rPr>
        <w:t>1</w:t>
      </w:r>
      <w:r w:rsidR="00616A50" w:rsidRPr="006F07C8">
        <w:rPr>
          <w:rFonts w:ascii="Times New Roman" w:hAnsi="Times New Roman" w:cs="Times New Roman"/>
          <w:sz w:val="24"/>
          <w:szCs w:val="24"/>
          <w:lang w:val="it-IT"/>
        </w:rPr>
        <w:fldChar w:fldCharType="end"/>
      </w:r>
      <w:r w:rsidR="00616A50" w:rsidRPr="006F07C8">
        <w:rPr>
          <w:rFonts w:ascii="Times New Roman" w:hAnsi="Times New Roman" w:cs="Times New Roman"/>
          <w:sz w:val="24"/>
          <w:szCs w:val="24"/>
          <w:lang w:val="it-IT"/>
        </w:rPr>
        <w:t xml:space="preserve"> e la </w:t>
      </w:r>
      <w:r w:rsidR="00616A50" w:rsidRPr="006F07C8">
        <w:rPr>
          <w:rFonts w:ascii="Times New Roman" w:hAnsi="Times New Roman" w:cs="Times New Roman"/>
          <w:sz w:val="24"/>
          <w:szCs w:val="24"/>
          <w:lang w:val="it-IT"/>
        </w:rPr>
        <w:fldChar w:fldCharType="begin"/>
      </w:r>
      <w:r w:rsidR="00616A50" w:rsidRPr="006F07C8">
        <w:rPr>
          <w:rFonts w:ascii="Times New Roman" w:hAnsi="Times New Roman" w:cs="Times New Roman"/>
          <w:sz w:val="24"/>
          <w:szCs w:val="24"/>
          <w:lang w:val="it-IT"/>
        </w:rPr>
        <w:instrText xml:space="preserve"> REF _Ref378177938 \h  \* MERGEFORMAT </w:instrText>
      </w:r>
      <w:r w:rsidR="00616A50" w:rsidRPr="006F07C8">
        <w:rPr>
          <w:rFonts w:ascii="Times New Roman" w:hAnsi="Times New Roman" w:cs="Times New Roman"/>
          <w:sz w:val="24"/>
          <w:szCs w:val="24"/>
          <w:lang w:val="it-IT"/>
        </w:rPr>
      </w:r>
      <w:r w:rsidR="00616A50" w:rsidRPr="006F07C8">
        <w:rPr>
          <w:rFonts w:ascii="Times New Roman" w:hAnsi="Times New Roman" w:cs="Times New Roman"/>
          <w:sz w:val="24"/>
          <w:szCs w:val="24"/>
          <w:lang w:val="it-IT"/>
        </w:rPr>
        <w:fldChar w:fldCharType="separate"/>
      </w:r>
      <w:r w:rsidR="00087B27" w:rsidRPr="006F07C8">
        <w:rPr>
          <w:rFonts w:ascii="Times New Roman" w:hAnsi="Times New Roman" w:cs="Times New Roman"/>
          <w:sz w:val="24"/>
          <w:szCs w:val="24"/>
          <w:lang w:val="it-IT"/>
        </w:rPr>
        <w:t xml:space="preserve">Tabella </w:t>
      </w:r>
      <w:r w:rsidR="00087B27" w:rsidRPr="006F07C8">
        <w:rPr>
          <w:rFonts w:ascii="Times New Roman" w:hAnsi="Times New Roman" w:cs="Times New Roman"/>
          <w:noProof/>
          <w:sz w:val="24"/>
          <w:szCs w:val="24"/>
          <w:lang w:val="it-IT"/>
        </w:rPr>
        <w:t>2</w:t>
      </w:r>
      <w:r w:rsidR="00616A50" w:rsidRPr="006F07C8">
        <w:rPr>
          <w:rFonts w:ascii="Times New Roman" w:hAnsi="Times New Roman" w:cs="Times New Roman"/>
          <w:sz w:val="24"/>
          <w:szCs w:val="24"/>
          <w:lang w:val="it-IT"/>
        </w:rPr>
        <w:fldChar w:fldCharType="end"/>
      </w:r>
      <w:r w:rsidR="00884566" w:rsidRPr="006F07C8">
        <w:rPr>
          <w:rFonts w:ascii="Times New Roman" w:hAnsi="Times New Roman" w:cs="Times New Roman"/>
          <w:sz w:val="24"/>
          <w:szCs w:val="24"/>
          <w:lang w:val="it-IT"/>
        </w:rPr>
        <w:t xml:space="preserve"> si possono trarre diverse conclusioni. </w:t>
      </w:r>
      <w:r w:rsidR="00616A50" w:rsidRPr="006F07C8">
        <w:rPr>
          <w:rFonts w:ascii="Times New Roman" w:hAnsi="Times New Roman" w:cs="Times New Roman"/>
          <w:sz w:val="24"/>
          <w:szCs w:val="24"/>
          <w:lang w:val="it-IT"/>
        </w:rPr>
        <w:t xml:space="preserve">Primo, </w:t>
      </w:r>
      <w:r w:rsidR="004F649F" w:rsidRPr="006F07C8">
        <w:rPr>
          <w:rFonts w:ascii="Times New Roman" w:hAnsi="Times New Roman" w:cs="Times New Roman"/>
          <w:sz w:val="24"/>
          <w:szCs w:val="24"/>
          <w:lang w:val="it-IT"/>
        </w:rPr>
        <w:t xml:space="preserve">i tassi di alienazione linguistica sono distribuiti in modo del tutto asimmetrico fra paesi europei. In alcuni </w:t>
      </w:r>
      <w:r w:rsidR="003A3B29" w:rsidRPr="006F07C8">
        <w:rPr>
          <w:rFonts w:ascii="Times New Roman" w:hAnsi="Times New Roman" w:cs="Times New Roman"/>
          <w:sz w:val="24"/>
          <w:szCs w:val="24"/>
          <w:lang w:val="it-IT"/>
        </w:rPr>
        <w:t>S</w:t>
      </w:r>
      <w:r w:rsidR="004F649F" w:rsidRPr="006F07C8">
        <w:rPr>
          <w:rFonts w:ascii="Times New Roman" w:hAnsi="Times New Roman" w:cs="Times New Roman"/>
          <w:sz w:val="24"/>
          <w:szCs w:val="24"/>
          <w:lang w:val="it-IT"/>
        </w:rPr>
        <w:t xml:space="preserve">tati </w:t>
      </w:r>
      <w:r w:rsidR="003A3B29" w:rsidRPr="006F07C8">
        <w:rPr>
          <w:rFonts w:ascii="Times New Roman" w:hAnsi="Times New Roman" w:cs="Times New Roman"/>
          <w:sz w:val="24"/>
          <w:szCs w:val="24"/>
          <w:lang w:val="it-IT"/>
        </w:rPr>
        <w:t xml:space="preserve">Membri </w:t>
      </w:r>
      <w:r w:rsidR="004F649F" w:rsidRPr="006F07C8">
        <w:rPr>
          <w:rFonts w:ascii="Times New Roman" w:hAnsi="Times New Roman" w:cs="Times New Roman"/>
          <w:sz w:val="24"/>
          <w:szCs w:val="24"/>
          <w:lang w:val="it-IT"/>
        </w:rPr>
        <w:t xml:space="preserve">i tassi di alienazione linguistica </w:t>
      </w:r>
      <w:r w:rsidR="003A3B29" w:rsidRPr="006F07C8">
        <w:rPr>
          <w:rFonts w:ascii="Times New Roman" w:hAnsi="Times New Roman" w:cs="Times New Roman"/>
          <w:sz w:val="24"/>
          <w:szCs w:val="24"/>
          <w:lang w:val="it-IT"/>
        </w:rPr>
        <w:t xml:space="preserve">relativa associati ai regimi monolingue e oligarchico </w:t>
      </w:r>
      <w:r w:rsidR="004F649F" w:rsidRPr="006F07C8">
        <w:rPr>
          <w:rFonts w:ascii="Times New Roman" w:hAnsi="Times New Roman" w:cs="Times New Roman"/>
          <w:sz w:val="24"/>
          <w:szCs w:val="24"/>
          <w:lang w:val="it-IT"/>
        </w:rPr>
        <w:t xml:space="preserve">superano il 90% e quelli di esclusione assoluta il 50%. </w:t>
      </w:r>
      <w:r w:rsidR="003A3B29" w:rsidRPr="006F07C8">
        <w:rPr>
          <w:rFonts w:ascii="Times New Roman" w:hAnsi="Times New Roman" w:cs="Times New Roman"/>
          <w:sz w:val="24"/>
          <w:szCs w:val="24"/>
          <w:lang w:val="it-IT"/>
        </w:rPr>
        <w:t>In altre parole, s</w:t>
      </w:r>
      <w:r w:rsidR="00F97C81" w:rsidRPr="006F07C8">
        <w:rPr>
          <w:rFonts w:ascii="Times New Roman" w:hAnsi="Times New Roman" w:cs="Times New Roman"/>
          <w:sz w:val="24"/>
          <w:szCs w:val="24"/>
          <w:lang w:val="it-IT"/>
        </w:rPr>
        <w:t>e il nu</w:t>
      </w:r>
      <w:r w:rsidR="00F97C81" w:rsidRPr="006F07C8">
        <w:rPr>
          <w:rFonts w:ascii="Times New Roman" w:hAnsi="Times New Roman" w:cs="Times New Roman"/>
          <w:sz w:val="24"/>
          <w:szCs w:val="24"/>
          <w:lang w:val="it-IT"/>
        </w:rPr>
        <w:lastRenderedPageBreak/>
        <w:t>mero di lingue</w:t>
      </w:r>
      <w:r w:rsidR="00343EFC" w:rsidRPr="006F07C8">
        <w:rPr>
          <w:rFonts w:ascii="Times New Roman" w:hAnsi="Times New Roman" w:cs="Times New Roman"/>
          <w:sz w:val="24"/>
          <w:szCs w:val="24"/>
          <w:lang w:val="it-IT"/>
        </w:rPr>
        <w:t xml:space="preserve"> ufficiali scendesse </w:t>
      </w:r>
      <w:r w:rsidRPr="006F07C8">
        <w:rPr>
          <w:rFonts w:ascii="Times New Roman" w:hAnsi="Times New Roman" w:cs="Times New Roman"/>
          <w:sz w:val="24"/>
          <w:szCs w:val="24"/>
          <w:lang w:val="it-IT"/>
        </w:rPr>
        <w:t>a</w:t>
      </w:r>
      <w:r w:rsidR="00343EFC" w:rsidRPr="006F07C8">
        <w:rPr>
          <w:rFonts w:ascii="Times New Roman" w:hAnsi="Times New Roman" w:cs="Times New Roman"/>
          <w:sz w:val="24"/>
          <w:szCs w:val="24"/>
          <w:lang w:val="it-IT"/>
        </w:rPr>
        <w:t xml:space="preserve"> una</w:t>
      </w:r>
      <w:r w:rsidR="003A3B29" w:rsidRPr="006F07C8">
        <w:rPr>
          <w:rFonts w:ascii="Times New Roman" w:hAnsi="Times New Roman" w:cs="Times New Roman"/>
          <w:sz w:val="24"/>
          <w:szCs w:val="24"/>
          <w:lang w:val="it-IT"/>
        </w:rPr>
        <w:t xml:space="preserve"> o a tre</w:t>
      </w:r>
      <w:r w:rsidR="00343EFC" w:rsidRPr="006F07C8">
        <w:rPr>
          <w:rFonts w:ascii="Times New Roman" w:hAnsi="Times New Roman" w:cs="Times New Roman"/>
          <w:sz w:val="24"/>
          <w:szCs w:val="24"/>
          <w:lang w:val="it-IT"/>
        </w:rPr>
        <w:t>,</w:t>
      </w:r>
      <w:r w:rsidR="00F97C81" w:rsidRPr="006F07C8">
        <w:rPr>
          <w:rFonts w:ascii="Times New Roman" w:hAnsi="Times New Roman" w:cs="Times New Roman"/>
          <w:sz w:val="24"/>
          <w:szCs w:val="24"/>
          <w:lang w:val="it-IT"/>
        </w:rPr>
        <w:t xml:space="preserve"> </w:t>
      </w:r>
      <w:r w:rsidR="00343EFC" w:rsidRPr="006F07C8">
        <w:rPr>
          <w:rFonts w:ascii="Times New Roman" w:hAnsi="Times New Roman" w:cs="Times New Roman"/>
          <w:sz w:val="24"/>
          <w:szCs w:val="24"/>
          <w:lang w:val="it-IT"/>
        </w:rPr>
        <w:t xml:space="preserve">intere popolazioni </w:t>
      </w:r>
      <w:r w:rsidR="004F649F" w:rsidRPr="006F07C8">
        <w:rPr>
          <w:rFonts w:ascii="Times New Roman" w:hAnsi="Times New Roman" w:cs="Times New Roman"/>
          <w:sz w:val="24"/>
          <w:szCs w:val="24"/>
          <w:lang w:val="it-IT"/>
        </w:rPr>
        <w:t xml:space="preserve">sarebbero </w:t>
      </w:r>
      <w:r w:rsidR="00343EFC" w:rsidRPr="006F07C8">
        <w:rPr>
          <w:rFonts w:ascii="Times New Roman" w:hAnsi="Times New Roman" w:cs="Times New Roman"/>
          <w:sz w:val="24"/>
          <w:szCs w:val="24"/>
          <w:lang w:val="it-IT"/>
        </w:rPr>
        <w:t xml:space="preserve">di fatto </w:t>
      </w:r>
      <w:r w:rsidR="004F649F" w:rsidRPr="006F07C8">
        <w:rPr>
          <w:rFonts w:ascii="Times New Roman" w:hAnsi="Times New Roman" w:cs="Times New Roman"/>
          <w:sz w:val="24"/>
          <w:szCs w:val="24"/>
          <w:lang w:val="it-IT"/>
        </w:rPr>
        <w:t>taglia</w:t>
      </w:r>
      <w:r w:rsidR="00343EFC" w:rsidRPr="006F07C8">
        <w:rPr>
          <w:rFonts w:ascii="Times New Roman" w:hAnsi="Times New Roman" w:cs="Times New Roman"/>
          <w:sz w:val="24"/>
          <w:szCs w:val="24"/>
          <w:lang w:val="it-IT"/>
        </w:rPr>
        <w:t>te</w:t>
      </w:r>
      <w:r w:rsidR="004F649F" w:rsidRPr="006F07C8">
        <w:rPr>
          <w:rFonts w:ascii="Times New Roman" w:hAnsi="Times New Roman" w:cs="Times New Roman"/>
          <w:sz w:val="24"/>
          <w:szCs w:val="24"/>
          <w:lang w:val="it-IT"/>
        </w:rPr>
        <w:t xml:space="preserve"> fuori dalla comunicazione con le istituzioni che dovrebbe</w:t>
      </w:r>
      <w:r w:rsidR="00F97C81" w:rsidRPr="006F07C8">
        <w:rPr>
          <w:rFonts w:ascii="Times New Roman" w:hAnsi="Times New Roman" w:cs="Times New Roman"/>
          <w:sz w:val="24"/>
          <w:szCs w:val="24"/>
          <w:lang w:val="it-IT"/>
        </w:rPr>
        <w:t xml:space="preserve">ro </w:t>
      </w:r>
      <w:r w:rsidR="00343EFC" w:rsidRPr="006F07C8">
        <w:rPr>
          <w:rFonts w:ascii="Times New Roman" w:hAnsi="Times New Roman" w:cs="Times New Roman"/>
          <w:sz w:val="24"/>
          <w:szCs w:val="24"/>
          <w:lang w:val="it-IT"/>
        </w:rPr>
        <w:t xml:space="preserve">invece </w:t>
      </w:r>
      <w:r w:rsidR="00F97C81" w:rsidRPr="006F07C8">
        <w:rPr>
          <w:rFonts w:ascii="Times New Roman" w:hAnsi="Times New Roman" w:cs="Times New Roman"/>
          <w:sz w:val="24"/>
          <w:szCs w:val="24"/>
          <w:lang w:val="it-IT"/>
        </w:rPr>
        <w:t>rappresentarl</w:t>
      </w:r>
      <w:r w:rsidR="00343EFC" w:rsidRPr="006F07C8">
        <w:rPr>
          <w:rFonts w:ascii="Times New Roman" w:hAnsi="Times New Roman" w:cs="Times New Roman"/>
          <w:sz w:val="24"/>
          <w:szCs w:val="24"/>
          <w:lang w:val="it-IT"/>
        </w:rPr>
        <w:t>e</w:t>
      </w:r>
      <w:r w:rsidR="004F649F" w:rsidRPr="006F07C8">
        <w:rPr>
          <w:rFonts w:ascii="Times New Roman" w:hAnsi="Times New Roman" w:cs="Times New Roman"/>
          <w:sz w:val="24"/>
          <w:szCs w:val="24"/>
          <w:lang w:val="it-IT"/>
        </w:rPr>
        <w:t>.</w:t>
      </w:r>
      <w:r w:rsidR="00F97C81" w:rsidRPr="006F07C8">
        <w:rPr>
          <w:rFonts w:ascii="Times New Roman" w:hAnsi="Times New Roman" w:cs="Times New Roman"/>
          <w:sz w:val="24"/>
          <w:szCs w:val="24"/>
          <w:lang w:val="it-IT"/>
        </w:rPr>
        <w:t xml:space="preserve"> </w:t>
      </w:r>
      <w:r w:rsidR="003A3B29" w:rsidRPr="006F07C8">
        <w:rPr>
          <w:rFonts w:ascii="Times New Roman" w:hAnsi="Times New Roman" w:cs="Times New Roman"/>
          <w:sz w:val="24"/>
          <w:szCs w:val="24"/>
          <w:lang w:val="it-IT"/>
        </w:rPr>
        <w:t>In diversi paesi i</w:t>
      </w:r>
      <w:r w:rsidR="00F97C81" w:rsidRPr="006F07C8">
        <w:rPr>
          <w:rFonts w:ascii="Times New Roman" w:hAnsi="Times New Roman" w:cs="Times New Roman"/>
          <w:sz w:val="24"/>
          <w:szCs w:val="24"/>
          <w:lang w:val="it-IT"/>
        </w:rPr>
        <w:t xml:space="preserve">l regime oligarchico </w:t>
      </w:r>
      <w:r w:rsidR="003A3B29" w:rsidRPr="006F07C8">
        <w:rPr>
          <w:rFonts w:ascii="Times New Roman" w:hAnsi="Times New Roman" w:cs="Times New Roman"/>
          <w:sz w:val="24"/>
          <w:szCs w:val="24"/>
          <w:lang w:val="it-IT"/>
        </w:rPr>
        <w:t xml:space="preserve">permette di ottenere </w:t>
      </w:r>
      <w:r w:rsidR="00F97C81" w:rsidRPr="006F07C8">
        <w:rPr>
          <w:rFonts w:ascii="Times New Roman" w:hAnsi="Times New Roman" w:cs="Times New Roman"/>
          <w:sz w:val="24"/>
          <w:szCs w:val="24"/>
          <w:lang w:val="it-IT"/>
        </w:rPr>
        <w:t>tassi di esclusione assoluta</w:t>
      </w:r>
      <w:r w:rsidR="00AB058C" w:rsidRPr="006F07C8">
        <w:rPr>
          <w:rFonts w:ascii="Times New Roman" w:hAnsi="Times New Roman" w:cs="Times New Roman"/>
          <w:sz w:val="24"/>
          <w:szCs w:val="24"/>
          <w:lang w:val="it-IT"/>
        </w:rPr>
        <w:t xml:space="preserve"> </w:t>
      </w:r>
      <w:r w:rsidR="003A3B29" w:rsidRPr="006F07C8">
        <w:rPr>
          <w:rFonts w:ascii="Times New Roman" w:hAnsi="Times New Roman" w:cs="Times New Roman"/>
          <w:sz w:val="24"/>
          <w:szCs w:val="24"/>
          <w:lang w:val="it-IT"/>
        </w:rPr>
        <w:t xml:space="preserve">più bassi del regime monolingue. </w:t>
      </w:r>
      <w:r w:rsidR="00AB058C" w:rsidRPr="006F07C8">
        <w:rPr>
          <w:rFonts w:ascii="Times New Roman" w:hAnsi="Times New Roman" w:cs="Times New Roman"/>
          <w:sz w:val="24"/>
          <w:szCs w:val="24"/>
          <w:lang w:val="it-IT"/>
        </w:rPr>
        <w:t xml:space="preserve">In seguito alla relativa diffusione del tedesco nell’Europa centrale e del francese nell’Europa meridionale i tassi di esclusione linguistica </w:t>
      </w:r>
      <w:r w:rsidR="003A3B29" w:rsidRPr="006F07C8">
        <w:rPr>
          <w:rFonts w:ascii="Times New Roman" w:hAnsi="Times New Roman" w:cs="Times New Roman"/>
          <w:sz w:val="24"/>
          <w:szCs w:val="24"/>
          <w:lang w:val="it-IT"/>
        </w:rPr>
        <w:t xml:space="preserve">assoluta </w:t>
      </w:r>
      <w:r w:rsidR="00AB058C" w:rsidRPr="006F07C8">
        <w:rPr>
          <w:rFonts w:ascii="Times New Roman" w:hAnsi="Times New Roman" w:cs="Times New Roman"/>
          <w:sz w:val="24"/>
          <w:szCs w:val="24"/>
          <w:lang w:val="it-IT"/>
        </w:rPr>
        <w:t xml:space="preserve">associati al regime oligarchico sono inferiori a quelli del regime monolingue in </w:t>
      </w:r>
      <w:r w:rsidR="00C94D97" w:rsidRPr="006F07C8">
        <w:rPr>
          <w:rFonts w:ascii="Times New Roman" w:hAnsi="Times New Roman" w:cs="Times New Roman"/>
          <w:sz w:val="24"/>
          <w:szCs w:val="24"/>
          <w:lang w:val="it-IT"/>
        </w:rPr>
        <w:t xml:space="preserve">paesi come la Slovenia, la Slovacchia, la Repubblica ceca o </w:t>
      </w:r>
      <w:r w:rsidRPr="006F07C8">
        <w:rPr>
          <w:rFonts w:ascii="Times New Roman" w:hAnsi="Times New Roman" w:cs="Times New Roman"/>
          <w:sz w:val="24"/>
          <w:szCs w:val="24"/>
          <w:lang w:val="it-IT"/>
        </w:rPr>
        <w:t>l’</w:t>
      </w:r>
      <w:r w:rsidR="00C94D97" w:rsidRPr="006F07C8">
        <w:rPr>
          <w:rFonts w:ascii="Times New Roman" w:hAnsi="Times New Roman" w:cs="Times New Roman"/>
          <w:sz w:val="24"/>
          <w:szCs w:val="24"/>
          <w:lang w:val="it-IT"/>
        </w:rPr>
        <w:t xml:space="preserve">Italia, mentre in </w:t>
      </w:r>
      <w:r w:rsidR="00AB058C" w:rsidRPr="006F07C8">
        <w:rPr>
          <w:rFonts w:ascii="Times New Roman" w:hAnsi="Times New Roman" w:cs="Times New Roman"/>
          <w:sz w:val="24"/>
          <w:szCs w:val="24"/>
          <w:lang w:val="it-IT"/>
        </w:rPr>
        <w:t>paesi come la Svezia</w:t>
      </w:r>
      <w:r w:rsidR="00C94D97" w:rsidRPr="006F07C8">
        <w:rPr>
          <w:rFonts w:ascii="Times New Roman" w:hAnsi="Times New Roman" w:cs="Times New Roman"/>
          <w:sz w:val="24"/>
          <w:szCs w:val="24"/>
          <w:lang w:val="it-IT"/>
        </w:rPr>
        <w:t xml:space="preserve"> i cambiamenti sono marginali o nulli</w:t>
      </w:r>
      <w:r w:rsidR="00AB058C" w:rsidRPr="006F07C8">
        <w:rPr>
          <w:rFonts w:ascii="Times New Roman" w:hAnsi="Times New Roman" w:cs="Times New Roman"/>
          <w:sz w:val="24"/>
          <w:szCs w:val="24"/>
          <w:lang w:val="it-IT"/>
        </w:rPr>
        <w:t>.</w:t>
      </w:r>
      <w:r w:rsidR="003A3B29" w:rsidRPr="006F07C8">
        <w:rPr>
          <w:rFonts w:ascii="Times New Roman" w:hAnsi="Times New Roman" w:cs="Times New Roman"/>
          <w:sz w:val="24"/>
          <w:szCs w:val="24"/>
          <w:lang w:val="it-IT"/>
        </w:rPr>
        <w:t xml:space="preserve"> Tuttavia il regime oligarchico non riduce di molto i tassi di esclusione relativa rispetto al regime monolingue.</w:t>
      </w:r>
    </w:p>
    <w:p w:rsidR="008E1280" w:rsidRPr="006F07C8" w:rsidRDefault="004F649F" w:rsidP="002F52A9">
      <w:pPr>
        <w:spacing w:line="240" w:lineRule="auto"/>
        <w:jc w:val="both"/>
        <w:rPr>
          <w:rFonts w:ascii="Times New Roman" w:hAnsi="Times New Roman" w:cs="Times New Roman"/>
          <w:sz w:val="24"/>
          <w:szCs w:val="24"/>
          <w:lang w:val="it-IT"/>
        </w:rPr>
      </w:pPr>
      <w:r w:rsidRPr="006F07C8">
        <w:rPr>
          <w:rFonts w:ascii="Times New Roman" w:hAnsi="Times New Roman" w:cs="Times New Roman"/>
          <w:sz w:val="24"/>
          <w:szCs w:val="24"/>
          <w:lang w:val="it-IT"/>
        </w:rPr>
        <w:t xml:space="preserve">Secondo, </w:t>
      </w:r>
      <w:r w:rsidR="00616A50" w:rsidRPr="006F07C8">
        <w:rPr>
          <w:rFonts w:ascii="Times New Roman" w:hAnsi="Times New Roman" w:cs="Times New Roman"/>
          <w:sz w:val="24"/>
          <w:szCs w:val="24"/>
          <w:lang w:val="it-IT"/>
        </w:rPr>
        <w:t xml:space="preserve">la </w:t>
      </w:r>
      <w:r w:rsidR="00DB660F" w:rsidRPr="006F07C8">
        <w:rPr>
          <w:rFonts w:ascii="Times New Roman" w:hAnsi="Times New Roman" w:cs="Times New Roman"/>
          <w:sz w:val="24"/>
          <w:szCs w:val="24"/>
          <w:lang w:val="it-IT"/>
        </w:rPr>
        <w:t>conoscenza dell’inglese in Europa, contrariamente a un’opinione diffusa, non è una “basic skill” universale.</w:t>
      </w:r>
      <w:r w:rsidR="00047196" w:rsidRPr="006F07C8">
        <w:rPr>
          <w:rFonts w:ascii="Times New Roman" w:hAnsi="Times New Roman" w:cs="Times New Roman"/>
          <w:sz w:val="24"/>
          <w:szCs w:val="24"/>
          <w:lang w:val="it-IT"/>
        </w:rPr>
        <w:t xml:space="preserve"> </w:t>
      </w:r>
      <w:r w:rsidR="00E95E57" w:rsidRPr="006F07C8">
        <w:rPr>
          <w:rFonts w:ascii="Times New Roman" w:hAnsi="Times New Roman" w:cs="Times New Roman"/>
          <w:sz w:val="24"/>
          <w:szCs w:val="24"/>
          <w:lang w:val="it-IT"/>
        </w:rPr>
        <w:t>In diversi paesi europei l’inglese è del tutto sconosciuto ai ⅔ della popolazione, e il tasso di esclusione linguistica relativo supera il 90% per 15 paesi su 24 (non tendendo conto della Danimarca per le ragioni suddette).</w:t>
      </w:r>
      <w:r w:rsidR="00616A50" w:rsidRPr="006F07C8">
        <w:rPr>
          <w:rFonts w:ascii="Times New Roman" w:hAnsi="Times New Roman" w:cs="Times New Roman"/>
          <w:sz w:val="24"/>
          <w:szCs w:val="24"/>
          <w:lang w:val="it-IT"/>
        </w:rPr>
        <w:t xml:space="preserve"> </w:t>
      </w:r>
      <w:r w:rsidR="008E1280" w:rsidRPr="006F07C8">
        <w:rPr>
          <w:rFonts w:ascii="Times New Roman" w:hAnsi="Times New Roman" w:cs="Times New Roman"/>
          <w:sz w:val="24"/>
          <w:szCs w:val="24"/>
          <w:lang w:val="it-IT"/>
        </w:rPr>
        <w:t xml:space="preserve">I dati sulla frequenza di utilizzo dell’inglese sul luogo di lavoro e nel tempo libero rafforzano </w:t>
      </w:r>
      <w:r w:rsidR="00DC5113" w:rsidRPr="006F07C8">
        <w:rPr>
          <w:rFonts w:ascii="Times New Roman" w:hAnsi="Times New Roman" w:cs="Times New Roman"/>
          <w:sz w:val="24"/>
          <w:szCs w:val="24"/>
          <w:lang w:val="it-IT"/>
        </w:rPr>
        <w:t>l’</w:t>
      </w:r>
      <w:r w:rsidR="008E1280" w:rsidRPr="006F07C8">
        <w:rPr>
          <w:rFonts w:ascii="Times New Roman" w:hAnsi="Times New Roman" w:cs="Times New Roman"/>
          <w:sz w:val="24"/>
          <w:szCs w:val="24"/>
          <w:lang w:val="it-IT"/>
        </w:rPr>
        <w:t>immagine</w:t>
      </w:r>
      <w:r w:rsidR="00DC5113" w:rsidRPr="006F07C8">
        <w:rPr>
          <w:rFonts w:ascii="Times New Roman" w:hAnsi="Times New Roman" w:cs="Times New Roman"/>
          <w:sz w:val="24"/>
          <w:szCs w:val="24"/>
          <w:lang w:val="it-IT"/>
        </w:rPr>
        <w:t xml:space="preserve"> di un’Europa </w:t>
      </w:r>
      <w:r w:rsidR="00AB058C" w:rsidRPr="006F07C8">
        <w:rPr>
          <w:rFonts w:ascii="Times New Roman" w:hAnsi="Times New Roman" w:cs="Times New Roman"/>
          <w:sz w:val="24"/>
          <w:szCs w:val="24"/>
          <w:lang w:val="it-IT"/>
        </w:rPr>
        <w:t>prevalentemente</w:t>
      </w:r>
      <w:r w:rsidR="00814BB2" w:rsidRPr="006F07C8">
        <w:rPr>
          <w:rFonts w:ascii="Times New Roman" w:hAnsi="Times New Roman" w:cs="Times New Roman"/>
          <w:sz w:val="24"/>
          <w:szCs w:val="24"/>
          <w:lang w:val="it-IT"/>
        </w:rPr>
        <w:t xml:space="preserve"> </w:t>
      </w:r>
      <w:r w:rsidR="00DC5113" w:rsidRPr="006F07C8">
        <w:rPr>
          <w:rFonts w:ascii="Times New Roman" w:hAnsi="Times New Roman" w:cs="Times New Roman"/>
          <w:sz w:val="24"/>
          <w:szCs w:val="24"/>
          <w:lang w:val="it-IT"/>
        </w:rPr>
        <w:t>legata all’uso delle lingue nazionali</w:t>
      </w:r>
      <w:r w:rsidR="00AB058C" w:rsidRPr="006F07C8">
        <w:rPr>
          <w:rFonts w:ascii="Times New Roman" w:hAnsi="Times New Roman" w:cs="Times New Roman"/>
          <w:sz w:val="24"/>
          <w:szCs w:val="24"/>
          <w:lang w:val="it-IT"/>
        </w:rPr>
        <w:t xml:space="preserve"> nell’ambito professionale e privato</w:t>
      </w:r>
      <w:r w:rsidR="008E1280" w:rsidRPr="006F07C8">
        <w:rPr>
          <w:rFonts w:ascii="Times New Roman" w:hAnsi="Times New Roman" w:cs="Times New Roman"/>
          <w:sz w:val="24"/>
          <w:szCs w:val="24"/>
          <w:lang w:val="it-IT"/>
        </w:rPr>
        <w:t xml:space="preserve">. </w:t>
      </w:r>
      <w:r w:rsidR="00AB058C" w:rsidRPr="006F07C8">
        <w:rPr>
          <w:rFonts w:ascii="Times New Roman" w:hAnsi="Times New Roman" w:cs="Times New Roman"/>
          <w:sz w:val="24"/>
          <w:szCs w:val="24"/>
          <w:lang w:val="it-IT"/>
        </w:rPr>
        <w:t xml:space="preserve">Ad esempio, </w:t>
      </w:r>
      <w:r w:rsidR="00543757" w:rsidRPr="006F07C8">
        <w:rPr>
          <w:rFonts w:ascii="Times New Roman" w:hAnsi="Times New Roman" w:cs="Times New Roman"/>
          <w:sz w:val="24"/>
          <w:szCs w:val="24"/>
          <w:lang w:val="it-IT"/>
        </w:rPr>
        <w:t xml:space="preserve">fra </w:t>
      </w:r>
      <w:r w:rsidR="00AB058C" w:rsidRPr="006F07C8">
        <w:rPr>
          <w:rFonts w:ascii="Times New Roman" w:hAnsi="Times New Roman" w:cs="Times New Roman"/>
          <w:sz w:val="24"/>
          <w:szCs w:val="24"/>
          <w:lang w:val="it-IT"/>
        </w:rPr>
        <w:t xml:space="preserve">chi dichiara di conoscere </w:t>
      </w:r>
      <w:r w:rsidR="008E1280" w:rsidRPr="006F07C8">
        <w:rPr>
          <w:rFonts w:ascii="Times New Roman" w:hAnsi="Times New Roman" w:cs="Times New Roman"/>
          <w:sz w:val="24"/>
          <w:szCs w:val="24"/>
          <w:lang w:val="it-IT"/>
        </w:rPr>
        <w:t xml:space="preserve">l’inglese come prima o seconda lingua straniera </w:t>
      </w:r>
      <w:r w:rsidR="00543757" w:rsidRPr="006F07C8">
        <w:rPr>
          <w:rFonts w:ascii="Times New Roman" w:hAnsi="Times New Roman" w:cs="Times New Roman"/>
          <w:sz w:val="24"/>
          <w:szCs w:val="24"/>
          <w:lang w:val="it-IT"/>
        </w:rPr>
        <w:t xml:space="preserve">il 41% </w:t>
      </w:r>
      <w:r w:rsidR="00AB058C" w:rsidRPr="006F07C8">
        <w:rPr>
          <w:rFonts w:ascii="Times New Roman" w:hAnsi="Times New Roman" w:cs="Times New Roman"/>
          <w:sz w:val="24"/>
          <w:szCs w:val="24"/>
          <w:lang w:val="it-IT"/>
        </w:rPr>
        <w:t>afferma</w:t>
      </w:r>
      <w:r w:rsidR="008E1280" w:rsidRPr="006F07C8">
        <w:rPr>
          <w:rFonts w:ascii="Times New Roman" w:hAnsi="Times New Roman" w:cs="Times New Roman"/>
          <w:sz w:val="24"/>
          <w:szCs w:val="24"/>
          <w:lang w:val="it-IT"/>
        </w:rPr>
        <w:t xml:space="preserve"> di non averla mai usata </w:t>
      </w:r>
      <w:r w:rsidR="00DC5113" w:rsidRPr="006F07C8">
        <w:rPr>
          <w:rFonts w:ascii="Times New Roman" w:hAnsi="Times New Roman" w:cs="Times New Roman"/>
          <w:sz w:val="24"/>
          <w:szCs w:val="24"/>
          <w:lang w:val="it-IT"/>
        </w:rPr>
        <w:t xml:space="preserve">sul </w:t>
      </w:r>
      <w:r w:rsidR="00AB058C" w:rsidRPr="006F07C8">
        <w:rPr>
          <w:rFonts w:ascii="Times New Roman" w:hAnsi="Times New Roman" w:cs="Times New Roman"/>
          <w:sz w:val="24"/>
          <w:szCs w:val="24"/>
          <w:lang w:val="it-IT"/>
        </w:rPr>
        <w:t xml:space="preserve">luogo di </w:t>
      </w:r>
      <w:r w:rsidR="00DC5113" w:rsidRPr="006F07C8">
        <w:rPr>
          <w:rFonts w:ascii="Times New Roman" w:hAnsi="Times New Roman" w:cs="Times New Roman"/>
          <w:sz w:val="24"/>
          <w:szCs w:val="24"/>
          <w:lang w:val="it-IT"/>
        </w:rPr>
        <w:t xml:space="preserve">lavoro </w:t>
      </w:r>
      <w:r w:rsidR="008E1280" w:rsidRPr="006F07C8">
        <w:rPr>
          <w:rFonts w:ascii="Times New Roman" w:hAnsi="Times New Roman" w:cs="Times New Roman"/>
          <w:sz w:val="24"/>
          <w:szCs w:val="24"/>
          <w:lang w:val="it-IT"/>
        </w:rPr>
        <w:t xml:space="preserve">nel corso degli ultimi 12 mesi e il 18% poco più di una volta al mese. </w:t>
      </w:r>
      <w:r w:rsidR="00DC5113" w:rsidRPr="006F07C8">
        <w:rPr>
          <w:rFonts w:ascii="Times New Roman" w:hAnsi="Times New Roman" w:cs="Times New Roman"/>
          <w:sz w:val="24"/>
          <w:szCs w:val="24"/>
          <w:lang w:val="it-IT"/>
        </w:rPr>
        <w:t>Le percentuali salgono rispettivamente al 43% e al 27% se si guarda alla frequenza di utilizzo dell’inglese nel tempo libero. La maggioranza degli europei, insomma, continua a lavorare e a vivere essenzialmente nelle varie lingue nazionali.</w:t>
      </w:r>
    </w:p>
    <w:p w:rsidR="00E95E57" w:rsidRPr="006F07C8" w:rsidRDefault="00616A50" w:rsidP="002F52A9">
      <w:pPr>
        <w:spacing w:line="240" w:lineRule="auto"/>
        <w:jc w:val="both"/>
        <w:rPr>
          <w:rFonts w:ascii="Times New Roman" w:hAnsi="Times New Roman" w:cs="Times New Roman"/>
          <w:sz w:val="24"/>
          <w:szCs w:val="24"/>
          <w:lang w:val="it-IT"/>
        </w:rPr>
      </w:pPr>
      <w:r w:rsidRPr="006F07C8">
        <w:rPr>
          <w:rFonts w:ascii="Times New Roman" w:hAnsi="Times New Roman" w:cs="Times New Roman"/>
          <w:sz w:val="24"/>
          <w:szCs w:val="24"/>
          <w:lang w:val="it-IT"/>
        </w:rPr>
        <w:t>D</w:t>
      </w:r>
      <w:r w:rsidR="00E95E57" w:rsidRPr="006F07C8">
        <w:rPr>
          <w:rFonts w:ascii="Times New Roman" w:hAnsi="Times New Roman" w:cs="Times New Roman"/>
          <w:sz w:val="24"/>
          <w:szCs w:val="24"/>
          <w:lang w:val="it-IT"/>
        </w:rPr>
        <w:t>ate queste condizioni, non certamente mutabili nel breve termine,</w:t>
      </w:r>
      <w:r w:rsidR="00DB660F" w:rsidRPr="006F07C8">
        <w:rPr>
          <w:rFonts w:ascii="Times New Roman" w:hAnsi="Times New Roman" w:cs="Times New Roman"/>
          <w:sz w:val="24"/>
          <w:szCs w:val="24"/>
          <w:lang w:val="it-IT"/>
        </w:rPr>
        <w:t xml:space="preserve"> </w:t>
      </w:r>
      <w:r w:rsidR="00884566" w:rsidRPr="006F07C8">
        <w:rPr>
          <w:rFonts w:ascii="Times New Roman" w:hAnsi="Times New Roman" w:cs="Times New Roman"/>
          <w:sz w:val="24"/>
          <w:szCs w:val="24"/>
          <w:lang w:val="it-IT"/>
        </w:rPr>
        <w:t xml:space="preserve">un regime monolingue </w:t>
      </w:r>
      <w:r w:rsidR="00DC5113" w:rsidRPr="006F07C8">
        <w:rPr>
          <w:rFonts w:ascii="Times New Roman" w:hAnsi="Times New Roman" w:cs="Times New Roman"/>
          <w:sz w:val="24"/>
          <w:szCs w:val="24"/>
          <w:lang w:val="it-IT"/>
        </w:rPr>
        <w:t xml:space="preserve">o </w:t>
      </w:r>
      <w:r w:rsidR="00C771A2" w:rsidRPr="006F07C8">
        <w:rPr>
          <w:rFonts w:ascii="Times New Roman" w:hAnsi="Times New Roman" w:cs="Times New Roman"/>
          <w:sz w:val="24"/>
          <w:szCs w:val="24"/>
          <w:lang w:val="it-IT"/>
        </w:rPr>
        <w:t xml:space="preserve">oligarchico </w:t>
      </w:r>
      <w:r w:rsidR="00884566" w:rsidRPr="006F07C8">
        <w:rPr>
          <w:rFonts w:ascii="Times New Roman" w:hAnsi="Times New Roman" w:cs="Times New Roman"/>
          <w:sz w:val="24"/>
          <w:szCs w:val="24"/>
          <w:lang w:val="it-IT"/>
        </w:rPr>
        <w:t>non rappresenta</w:t>
      </w:r>
      <w:r w:rsidR="00C771A2" w:rsidRPr="006F07C8">
        <w:rPr>
          <w:rFonts w:ascii="Times New Roman" w:hAnsi="Times New Roman" w:cs="Times New Roman"/>
          <w:sz w:val="24"/>
          <w:szCs w:val="24"/>
          <w:lang w:val="it-IT"/>
        </w:rPr>
        <w:t>no</w:t>
      </w:r>
      <w:r w:rsidR="00884566" w:rsidRPr="006F07C8">
        <w:rPr>
          <w:rFonts w:ascii="Times New Roman" w:hAnsi="Times New Roman" w:cs="Times New Roman"/>
          <w:sz w:val="24"/>
          <w:szCs w:val="24"/>
          <w:lang w:val="it-IT"/>
        </w:rPr>
        <w:t xml:space="preserve"> una valida alternativa al regime multilingue</w:t>
      </w:r>
      <w:r w:rsidR="00AB2206" w:rsidRPr="006F07C8">
        <w:rPr>
          <w:rFonts w:ascii="Times New Roman" w:hAnsi="Times New Roman" w:cs="Times New Roman"/>
          <w:sz w:val="24"/>
          <w:szCs w:val="24"/>
          <w:lang w:val="it-IT"/>
        </w:rPr>
        <w:t>, e l</w:t>
      </w:r>
      <w:r w:rsidR="00884566" w:rsidRPr="006F07C8">
        <w:rPr>
          <w:rFonts w:ascii="Times New Roman" w:hAnsi="Times New Roman" w:cs="Times New Roman"/>
          <w:sz w:val="24"/>
          <w:szCs w:val="24"/>
          <w:lang w:val="it-IT"/>
        </w:rPr>
        <w:t xml:space="preserve">’argomento dei costi </w:t>
      </w:r>
      <w:r w:rsidR="00B34DDE" w:rsidRPr="006F07C8">
        <w:rPr>
          <w:rFonts w:ascii="Times New Roman" w:hAnsi="Times New Roman" w:cs="Times New Roman"/>
          <w:sz w:val="24"/>
          <w:szCs w:val="24"/>
          <w:lang w:val="it-IT"/>
        </w:rPr>
        <w:t xml:space="preserve">― e quindi dell’efficacia rispetto ai costi o </w:t>
      </w:r>
      <w:r w:rsidR="00B34DDE" w:rsidRPr="006F07C8">
        <w:rPr>
          <w:rFonts w:ascii="Times New Roman" w:hAnsi="Times New Roman" w:cs="Times New Roman"/>
          <w:i/>
          <w:sz w:val="24"/>
          <w:szCs w:val="24"/>
          <w:lang w:val="it-IT"/>
        </w:rPr>
        <w:t>efficienza</w:t>
      </w:r>
      <w:r w:rsidR="00B34DDE" w:rsidRPr="006F07C8">
        <w:rPr>
          <w:rFonts w:ascii="Times New Roman" w:hAnsi="Times New Roman" w:cs="Times New Roman"/>
          <w:sz w:val="24"/>
          <w:szCs w:val="24"/>
          <w:lang w:val="it-IT"/>
        </w:rPr>
        <w:t xml:space="preserve"> ― </w:t>
      </w:r>
      <w:r w:rsidR="00DB660F" w:rsidRPr="006F07C8">
        <w:rPr>
          <w:rFonts w:ascii="Times New Roman" w:hAnsi="Times New Roman" w:cs="Times New Roman"/>
          <w:sz w:val="24"/>
          <w:szCs w:val="24"/>
          <w:lang w:val="it-IT"/>
        </w:rPr>
        <w:t xml:space="preserve">ad un’attenta analisi non si rivela </w:t>
      </w:r>
      <w:r w:rsidR="00CE3018" w:rsidRPr="006F07C8">
        <w:rPr>
          <w:rFonts w:ascii="Times New Roman" w:hAnsi="Times New Roman" w:cs="Times New Roman"/>
          <w:sz w:val="24"/>
          <w:szCs w:val="24"/>
          <w:lang w:val="it-IT"/>
        </w:rPr>
        <w:t>convincente</w:t>
      </w:r>
      <w:r w:rsidR="00AB2206" w:rsidRPr="006F07C8">
        <w:rPr>
          <w:rFonts w:ascii="Times New Roman" w:hAnsi="Times New Roman" w:cs="Times New Roman"/>
          <w:sz w:val="24"/>
          <w:szCs w:val="24"/>
          <w:lang w:val="it-IT"/>
        </w:rPr>
        <w:t>.</w:t>
      </w:r>
      <w:r w:rsidRPr="006F07C8">
        <w:rPr>
          <w:rFonts w:ascii="Times New Roman" w:hAnsi="Times New Roman" w:cs="Times New Roman"/>
          <w:sz w:val="24"/>
          <w:szCs w:val="24"/>
          <w:lang w:val="it-IT"/>
        </w:rPr>
        <w:t xml:space="preserve"> U</w:t>
      </w:r>
      <w:r w:rsidR="00AB2206" w:rsidRPr="006F07C8">
        <w:rPr>
          <w:rFonts w:ascii="Times New Roman" w:hAnsi="Times New Roman" w:cs="Times New Roman"/>
          <w:sz w:val="24"/>
          <w:szCs w:val="24"/>
          <w:lang w:val="it-IT"/>
        </w:rPr>
        <w:t xml:space="preserve">n regime linguistico monolingue </w:t>
      </w:r>
      <w:r w:rsidR="00F97C81" w:rsidRPr="006F07C8">
        <w:rPr>
          <w:rFonts w:ascii="Times New Roman" w:hAnsi="Times New Roman" w:cs="Times New Roman"/>
          <w:sz w:val="24"/>
          <w:szCs w:val="24"/>
          <w:lang w:val="it-IT"/>
        </w:rPr>
        <w:t xml:space="preserve">o trilingue </w:t>
      </w:r>
      <w:r w:rsidR="00AB2206" w:rsidRPr="006F07C8">
        <w:rPr>
          <w:rFonts w:ascii="Times New Roman" w:hAnsi="Times New Roman" w:cs="Times New Roman"/>
          <w:sz w:val="24"/>
          <w:szCs w:val="24"/>
          <w:lang w:val="it-IT"/>
        </w:rPr>
        <w:t>comporterebbe per le istituzioni della UE dei costi di traduzione e interpretariato</w:t>
      </w:r>
      <w:r w:rsidR="00C254F5" w:rsidRPr="006F07C8">
        <w:rPr>
          <w:rFonts w:ascii="Times New Roman" w:hAnsi="Times New Roman" w:cs="Times New Roman"/>
          <w:sz w:val="24"/>
          <w:szCs w:val="24"/>
          <w:lang w:val="it-IT"/>
        </w:rPr>
        <w:t xml:space="preserve"> inferiori rispetto </w:t>
      </w:r>
      <w:r w:rsidR="0039566F" w:rsidRPr="006F07C8">
        <w:rPr>
          <w:rFonts w:ascii="Times New Roman" w:hAnsi="Times New Roman" w:cs="Times New Roman"/>
          <w:sz w:val="24"/>
          <w:szCs w:val="24"/>
          <w:lang w:val="it-IT"/>
        </w:rPr>
        <w:t>a quelli,</w:t>
      </w:r>
      <w:r w:rsidR="00543757" w:rsidRPr="006F07C8">
        <w:rPr>
          <w:rFonts w:ascii="Times New Roman" w:hAnsi="Times New Roman" w:cs="Times New Roman"/>
          <w:sz w:val="24"/>
          <w:szCs w:val="24"/>
          <w:lang w:val="it-IT"/>
        </w:rPr>
        <w:t xml:space="preserve"> anche </w:t>
      </w:r>
      <w:r w:rsidR="0039566F" w:rsidRPr="006F07C8">
        <w:rPr>
          <w:rFonts w:ascii="Times New Roman" w:hAnsi="Times New Roman" w:cs="Times New Roman"/>
          <w:sz w:val="24"/>
          <w:szCs w:val="24"/>
          <w:lang w:val="it-IT"/>
        </w:rPr>
        <w:t xml:space="preserve">certamente </w:t>
      </w:r>
      <w:r w:rsidR="00543757" w:rsidRPr="006F07C8">
        <w:rPr>
          <w:rFonts w:ascii="Times New Roman" w:hAnsi="Times New Roman" w:cs="Times New Roman"/>
          <w:sz w:val="24"/>
          <w:szCs w:val="24"/>
          <w:lang w:val="it-IT"/>
        </w:rPr>
        <w:t>se</w:t>
      </w:r>
      <w:r w:rsidR="00AB2206" w:rsidRPr="006F07C8">
        <w:rPr>
          <w:rFonts w:ascii="Times New Roman" w:hAnsi="Times New Roman" w:cs="Times New Roman"/>
          <w:sz w:val="24"/>
          <w:szCs w:val="24"/>
          <w:lang w:val="it-IT"/>
        </w:rPr>
        <w:t xml:space="preserve"> non nulli</w:t>
      </w:r>
      <w:r w:rsidR="00C254F5" w:rsidRPr="006F07C8">
        <w:rPr>
          <w:rFonts w:ascii="Times New Roman" w:hAnsi="Times New Roman" w:cs="Times New Roman"/>
          <w:sz w:val="24"/>
          <w:szCs w:val="24"/>
          <w:lang w:val="it-IT"/>
        </w:rPr>
        <w:t>.</w:t>
      </w:r>
      <w:r w:rsidR="00543757" w:rsidRPr="006F07C8">
        <w:rPr>
          <w:rStyle w:val="FootnoteReference"/>
          <w:rFonts w:ascii="Times New Roman" w:hAnsi="Times New Roman" w:cs="Times New Roman"/>
          <w:sz w:val="24"/>
          <w:szCs w:val="24"/>
          <w:lang w:val="it-IT"/>
        </w:rPr>
        <w:footnoteReference w:id="23"/>
      </w:r>
      <w:r w:rsidR="00C254F5" w:rsidRPr="006F07C8">
        <w:rPr>
          <w:rFonts w:ascii="Times New Roman" w:hAnsi="Times New Roman" w:cs="Times New Roman"/>
          <w:sz w:val="24"/>
          <w:szCs w:val="24"/>
          <w:lang w:val="it-IT"/>
        </w:rPr>
        <w:t xml:space="preserve"> </w:t>
      </w:r>
      <w:r w:rsidR="00814BB2" w:rsidRPr="006F07C8">
        <w:rPr>
          <w:rFonts w:ascii="Times New Roman" w:hAnsi="Times New Roman" w:cs="Times New Roman"/>
          <w:sz w:val="24"/>
          <w:szCs w:val="24"/>
          <w:lang w:val="it-IT"/>
        </w:rPr>
        <w:t>Ma</w:t>
      </w:r>
      <w:r w:rsidR="00C254F5" w:rsidRPr="006F07C8">
        <w:rPr>
          <w:rFonts w:ascii="Times New Roman" w:hAnsi="Times New Roman" w:cs="Times New Roman"/>
          <w:sz w:val="24"/>
          <w:szCs w:val="24"/>
          <w:lang w:val="it-IT"/>
        </w:rPr>
        <w:t xml:space="preserve"> un regime </w:t>
      </w:r>
      <w:r w:rsidR="00814BB2" w:rsidRPr="006F07C8">
        <w:rPr>
          <w:rFonts w:ascii="Times New Roman" w:hAnsi="Times New Roman" w:cs="Times New Roman"/>
          <w:sz w:val="24"/>
          <w:szCs w:val="24"/>
          <w:lang w:val="it-IT"/>
        </w:rPr>
        <w:t xml:space="preserve">linguistico </w:t>
      </w:r>
      <w:r w:rsidR="00C254F5" w:rsidRPr="006F07C8">
        <w:rPr>
          <w:rFonts w:ascii="Times New Roman" w:hAnsi="Times New Roman" w:cs="Times New Roman"/>
          <w:sz w:val="24"/>
          <w:szCs w:val="24"/>
          <w:lang w:val="it-IT"/>
        </w:rPr>
        <w:t>monolingue o</w:t>
      </w:r>
      <w:r w:rsidR="00814BB2" w:rsidRPr="006F07C8">
        <w:rPr>
          <w:rFonts w:ascii="Times New Roman" w:hAnsi="Times New Roman" w:cs="Times New Roman"/>
          <w:sz w:val="24"/>
          <w:szCs w:val="24"/>
          <w:lang w:val="it-IT"/>
        </w:rPr>
        <w:t>d</w:t>
      </w:r>
      <w:r w:rsidR="00C254F5" w:rsidRPr="006F07C8">
        <w:rPr>
          <w:rFonts w:ascii="Times New Roman" w:hAnsi="Times New Roman" w:cs="Times New Roman"/>
          <w:sz w:val="24"/>
          <w:szCs w:val="24"/>
          <w:lang w:val="it-IT"/>
        </w:rPr>
        <w:t xml:space="preserve"> oligarchico </w:t>
      </w:r>
      <w:r w:rsidR="00814BB2" w:rsidRPr="006F07C8">
        <w:rPr>
          <w:rFonts w:ascii="Times New Roman" w:hAnsi="Times New Roman" w:cs="Times New Roman"/>
          <w:sz w:val="24"/>
          <w:szCs w:val="24"/>
          <w:lang w:val="it-IT"/>
        </w:rPr>
        <w:t>verrebbe verosimilmente</w:t>
      </w:r>
      <w:r w:rsidR="00DB660F" w:rsidRPr="006F07C8">
        <w:rPr>
          <w:rFonts w:ascii="Times New Roman" w:hAnsi="Times New Roman" w:cs="Times New Roman"/>
          <w:sz w:val="24"/>
          <w:szCs w:val="24"/>
          <w:lang w:val="it-IT"/>
        </w:rPr>
        <w:t xml:space="preserve"> </w:t>
      </w:r>
      <w:r w:rsidR="000C0969" w:rsidRPr="006F07C8">
        <w:rPr>
          <w:rFonts w:ascii="Times New Roman" w:hAnsi="Times New Roman" w:cs="Times New Roman"/>
          <w:sz w:val="24"/>
          <w:szCs w:val="24"/>
          <w:lang w:val="it-IT"/>
        </w:rPr>
        <w:t xml:space="preserve">a costare in media </w:t>
      </w:r>
      <w:r w:rsidR="00DB660F" w:rsidRPr="006F07C8">
        <w:rPr>
          <w:rFonts w:ascii="Times New Roman" w:hAnsi="Times New Roman" w:cs="Times New Roman"/>
          <w:sz w:val="24"/>
          <w:szCs w:val="24"/>
          <w:lang w:val="it-IT"/>
        </w:rPr>
        <w:t xml:space="preserve">mediamente molto di più </w:t>
      </w:r>
      <w:r w:rsidR="000C0969" w:rsidRPr="006F07C8">
        <w:rPr>
          <w:rFonts w:ascii="Times New Roman" w:hAnsi="Times New Roman" w:cs="Times New Roman"/>
          <w:sz w:val="24"/>
          <w:szCs w:val="24"/>
          <w:lang w:val="it-IT"/>
        </w:rPr>
        <w:t xml:space="preserve">di </w:t>
      </w:r>
      <w:r w:rsidR="009366DF" w:rsidRPr="006F07C8">
        <w:rPr>
          <w:rFonts w:ascii="Times New Roman" w:hAnsi="Times New Roman" w:cs="Times New Roman"/>
          <w:sz w:val="24"/>
          <w:szCs w:val="24"/>
          <w:lang w:val="it-IT"/>
        </w:rPr>
        <w:t>€</w:t>
      </w:r>
      <w:r w:rsidR="000C0969" w:rsidRPr="006F07C8">
        <w:rPr>
          <w:rFonts w:ascii="Times New Roman" w:hAnsi="Times New Roman" w:cs="Times New Roman"/>
          <w:sz w:val="24"/>
          <w:szCs w:val="24"/>
          <w:lang w:val="it-IT"/>
        </w:rPr>
        <w:t xml:space="preserve">1,1 miliardi all’anno </w:t>
      </w:r>
      <w:r w:rsidR="00DB660F" w:rsidRPr="006F07C8">
        <w:rPr>
          <w:rFonts w:ascii="Times New Roman" w:hAnsi="Times New Roman" w:cs="Times New Roman"/>
          <w:sz w:val="24"/>
          <w:szCs w:val="24"/>
          <w:lang w:val="it-IT"/>
        </w:rPr>
        <w:t xml:space="preserve">per </w:t>
      </w:r>
      <w:r w:rsidR="00F97C81" w:rsidRPr="006F07C8">
        <w:rPr>
          <w:rFonts w:ascii="Times New Roman" w:hAnsi="Times New Roman" w:cs="Times New Roman"/>
          <w:sz w:val="24"/>
          <w:szCs w:val="24"/>
          <w:lang w:val="it-IT"/>
        </w:rPr>
        <w:t>la maggioranza</w:t>
      </w:r>
      <w:r w:rsidR="00DB660F" w:rsidRPr="006F07C8">
        <w:rPr>
          <w:rFonts w:ascii="Times New Roman" w:hAnsi="Times New Roman" w:cs="Times New Roman"/>
          <w:sz w:val="24"/>
          <w:szCs w:val="24"/>
          <w:lang w:val="it-IT"/>
        </w:rPr>
        <w:t xml:space="preserve"> dei residenti europei</w:t>
      </w:r>
      <w:r w:rsidR="00C254F5" w:rsidRPr="006F07C8">
        <w:rPr>
          <w:rFonts w:ascii="Times New Roman" w:hAnsi="Times New Roman" w:cs="Times New Roman"/>
          <w:sz w:val="24"/>
          <w:szCs w:val="24"/>
          <w:lang w:val="it-IT"/>
        </w:rPr>
        <w:t xml:space="preserve"> o </w:t>
      </w:r>
      <w:r w:rsidR="000C0969" w:rsidRPr="006F07C8">
        <w:rPr>
          <w:rFonts w:ascii="Times New Roman" w:hAnsi="Times New Roman" w:cs="Times New Roman"/>
          <w:sz w:val="24"/>
          <w:szCs w:val="24"/>
          <w:lang w:val="it-IT"/>
        </w:rPr>
        <w:t xml:space="preserve">almeno </w:t>
      </w:r>
      <w:r w:rsidR="00C254F5" w:rsidRPr="006F07C8">
        <w:rPr>
          <w:rFonts w:ascii="Times New Roman" w:hAnsi="Times New Roman" w:cs="Times New Roman"/>
          <w:sz w:val="24"/>
          <w:szCs w:val="24"/>
          <w:lang w:val="it-IT"/>
        </w:rPr>
        <w:t xml:space="preserve">per un’elevata percentuale di </w:t>
      </w:r>
      <w:r w:rsidR="00EC4952" w:rsidRPr="006F07C8">
        <w:rPr>
          <w:rFonts w:ascii="Times New Roman" w:hAnsi="Times New Roman" w:cs="Times New Roman"/>
          <w:sz w:val="24"/>
          <w:szCs w:val="24"/>
          <w:lang w:val="it-IT"/>
        </w:rPr>
        <w:t>individui</w:t>
      </w:r>
      <w:r w:rsidR="000C0969" w:rsidRPr="006F07C8">
        <w:rPr>
          <w:rFonts w:ascii="Times New Roman" w:hAnsi="Times New Roman" w:cs="Times New Roman"/>
          <w:sz w:val="24"/>
          <w:szCs w:val="24"/>
          <w:lang w:val="it-IT"/>
        </w:rPr>
        <w:t xml:space="preserve"> che </w:t>
      </w:r>
      <w:r w:rsidR="0039566F" w:rsidRPr="006F07C8">
        <w:rPr>
          <w:rFonts w:ascii="Times New Roman" w:hAnsi="Times New Roman" w:cs="Times New Roman"/>
          <w:sz w:val="24"/>
          <w:szCs w:val="24"/>
          <w:lang w:val="it-IT"/>
        </w:rPr>
        <w:t xml:space="preserve">probabilmente </w:t>
      </w:r>
      <w:r w:rsidR="00F65322" w:rsidRPr="006F07C8">
        <w:rPr>
          <w:rFonts w:ascii="Times New Roman" w:hAnsi="Times New Roman" w:cs="Times New Roman"/>
          <w:sz w:val="24"/>
          <w:szCs w:val="24"/>
          <w:lang w:val="it-IT"/>
        </w:rPr>
        <w:t xml:space="preserve">dovrebbero fare fronte a dei costi più alti di €2,2 pro capite </w:t>
      </w:r>
      <w:r w:rsidR="000C0969" w:rsidRPr="006F07C8">
        <w:rPr>
          <w:rFonts w:ascii="Times New Roman" w:hAnsi="Times New Roman" w:cs="Times New Roman"/>
          <w:sz w:val="24"/>
          <w:szCs w:val="24"/>
          <w:lang w:val="it-IT"/>
        </w:rPr>
        <w:t xml:space="preserve">all’anno </w:t>
      </w:r>
      <w:r w:rsidR="00DB660F" w:rsidRPr="006F07C8">
        <w:rPr>
          <w:rFonts w:ascii="Times New Roman" w:hAnsi="Times New Roman" w:cs="Times New Roman"/>
          <w:sz w:val="24"/>
          <w:szCs w:val="24"/>
          <w:lang w:val="it-IT"/>
        </w:rPr>
        <w:t xml:space="preserve">per </w:t>
      </w:r>
      <w:r w:rsidRPr="006F07C8">
        <w:rPr>
          <w:rFonts w:ascii="Times New Roman" w:hAnsi="Times New Roman" w:cs="Times New Roman"/>
          <w:sz w:val="24"/>
          <w:szCs w:val="24"/>
          <w:lang w:val="it-IT"/>
        </w:rPr>
        <w:t>avere pieno accesso</w:t>
      </w:r>
      <w:r w:rsidR="00DB660F" w:rsidRPr="006F07C8">
        <w:rPr>
          <w:rFonts w:ascii="Times New Roman" w:hAnsi="Times New Roman" w:cs="Times New Roman"/>
          <w:sz w:val="24"/>
          <w:szCs w:val="24"/>
          <w:lang w:val="it-IT"/>
        </w:rPr>
        <w:t xml:space="preserve"> alla comunicazione europea</w:t>
      </w:r>
      <w:r w:rsidR="00B34DDE" w:rsidRPr="006F07C8">
        <w:rPr>
          <w:rFonts w:ascii="Times New Roman" w:hAnsi="Times New Roman" w:cs="Times New Roman"/>
          <w:sz w:val="24"/>
          <w:szCs w:val="24"/>
          <w:lang w:val="it-IT"/>
        </w:rPr>
        <w:t xml:space="preserve"> (si tratta, </w:t>
      </w:r>
      <w:r w:rsidR="00F65322" w:rsidRPr="006F07C8">
        <w:rPr>
          <w:rFonts w:ascii="Times New Roman" w:hAnsi="Times New Roman" w:cs="Times New Roman"/>
          <w:sz w:val="24"/>
          <w:szCs w:val="24"/>
          <w:lang w:val="it-IT"/>
        </w:rPr>
        <w:t>ad esempio,</w:t>
      </w:r>
      <w:r w:rsidR="00FF0FC7" w:rsidRPr="006F07C8">
        <w:rPr>
          <w:rFonts w:ascii="Times New Roman" w:hAnsi="Times New Roman" w:cs="Times New Roman"/>
          <w:sz w:val="24"/>
          <w:szCs w:val="24"/>
          <w:lang w:val="it-IT"/>
        </w:rPr>
        <w:t xml:space="preserve"> </w:t>
      </w:r>
      <w:r w:rsidR="00B34DDE" w:rsidRPr="006F07C8">
        <w:rPr>
          <w:rFonts w:ascii="Times New Roman" w:hAnsi="Times New Roman" w:cs="Times New Roman"/>
          <w:sz w:val="24"/>
          <w:szCs w:val="24"/>
          <w:lang w:val="it-IT"/>
        </w:rPr>
        <w:t xml:space="preserve">dei </w:t>
      </w:r>
      <w:r w:rsidR="00F65322" w:rsidRPr="006F07C8">
        <w:rPr>
          <w:rFonts w:ascii="Times New Roman" w:hAnsi="Times New Roman" w:cs="Times New Roman"/>
          <w:sz w:val="24"/>
          <w:szCs w:val="24"/>
          <w:lang w:val="it-IT"/>
        </w:rPr>
        <w:t>costi per delle traduzioni private</w:t>
      </w:r>
      <w:r w:rsidR="00FF0FC7" w:rsidRPr="006F07C8">
        <w:rPr>
          <w:rFonts w:ascii="Times New Roman" w:hAnsi="Times New Roman" w:cs="Times New Roman"/>
          <w:sz w:val="24"/>
          <w:szCs w:val="24"/>
          <w:lang w:val="it-IT"/>
        </w:rPr>
        <w:t xml:space="preserve"> </w:t>
      </w:r>
      <w:r w:rsidR="00F65322" w:rsidRPr="006F07C8">
        <w:rPr>
          <w:rFonts w:ascii="Times New Roman" w:hAnsi="Times New Roman" w:cs="Times New Roman"/>
          <w:sz w:val="24"/>
          <w:szCs w:val="24"/>
          <w:lang w:val="it-IT"/>
        </w:rPr>
        <w:t>o del costo</w:t>
      </w:r>
      <w:r w:rsidR="00871972" w:rsidRPr="006F07C8">
        <w:rPr>
          <w:rFonts w:ascii="Times New Roman" w:hAnsi="Times New Roman" w:cs="Times New Roman"/>
          <w:sz w:val="24"/>
          <w:szCs w:val="24"/>
          <w:lang w:val="it-IT"/>
        </w:rPr>
        <w:t>-</w:t>
      </w:r>
      <w:r w:rsidR="00F65322" w:rsidRPr="006F07C8">
        <w:rPr>
          <w:rFonts w:ascii="Times New Roman" w:hAnsi="Times New Roman" w:cs="Times New Roman"/>
          <w:sz w:val="24"/>
          <w:szCs w:val="24"/>
          <w:lang w:val="it-IT"/>
        </w:rPr>
        <w:t xml:space="preserve">opportunità di dover leggere documenti in una lingua che si </w:t>
      </w:r>
      <w:r w:rsidR="00B34DDE" w:rsidRPr="006F07C8">
        <w:rPr>
          <w:rFonts w:ascii="Times New Roman" w:hAnsi="Times New Roman" w:cs="Times New Roman"/>
          <w:sz w:val="24"/>
          <w:szCs w:val="24"/>
          <w:lang w:val="it-IT"/>
        </w:rPr>
        <w:t xml:space="preserve">conosce solo </w:t>
      </w:r>
      <w:r w:rsidR="00F65322" w:rsidRPr="006F07C8">
        <w:rPr>
          <w:rFonts w:ascii="Times New Roman" w:hAnsi="Times New Roman" w:cs="Times New Roman"/>
          <w:sz w:val="24"/>
          <w:szCs w:val="24"/>
          <w:lang w:val="it-IT"/>
        </w:rPr>
        <w:t>parzialmente</w:t>
      </w:r>
      <w:r w:rsidR="00B34DDE" w:rsidRPr="006F07C8">
        <w:rPr>
          <w:rFonts w:ascii="Times New Roman" w:hAnsi="Times New Roman" w:cs="Times New Roman"/>
          <w:sz w:val="24"/>
          <w:szCs w:val="24"/>
          <w:lang w:val="it-IT"/>
        </w:rPr>
        <w:t>)</w:t>
      </w:r>
      <w:r w:rsidR="00DB660F" w:rsidRPr="006F07C8">
        <w:rPr>
          <w:rFonts w:ascii="Times New Roman" w:hAnsi="Times New Roman" w:cs="Times New Roman"/>
          <w:sz w:val="24"/>
          <w:szCs w:val="24"/>
          <w:lang w:val="it-IT"/>
        </w:rPr>
        <w:t>.</w:t>
      </w:r>
      <w:r w:rsidR="00F65322" w:rsidRPr="006F07C8">
        <w:rPr>
          <w:rStyle w:val="FootnoteReference"/>
          <w:rFonts w:ascii="Times New Roman" w:hAnsi="Times New Roman" w:cs="Times New Roman"/>
          <w:sz w:val="24"/>
          <w:szCs w:val="24"/>
          <w:lang w:val="it-IT"/>
        </w:rPr>
        <w:footnoteReference w:id="24"/>
      </w:r>
    </w:p>
    <w:p w:rsidR="00884566" w:rsidRPr="006F07C8" w:rsidRDefault="008E1280" w:rsidP="002F52A9">
      <w:pPr>
        <w:spacing w:line="240" w:lineRule="auto"/>
        <w:jc w:val="both"/>
        <w:rPr>
          <w:rFonts w:ascii="Times New Roman" w:hAnsi="Times New Roman" w:cs="Times New Roman"/>
          <w:sz w:val="24"/>
          <w:szCs w:val="24"/>
          <w:lang w:val="it-IT"/>
        </w:rPr>
      </w:pPr>
      <w:r w:rsidRPr="006F07C8">
        <w:rPr>
          <w:rFonts w:ascii="Times New Roman" w:hAnsi="Times New Roman" w:cs="Times New Roman"/>
          <w:sz w:val="24"/>
          <w:szCs w:val="24"/>
          <w:lang w:val="it-IT"/>
        </w:rPr>
        <w:t>Terzo</w:t>
      </w:r>
      <w:r w:rsidR="00DB660F" w:rsidRPr="006F07C8">
        <w:rPr>
          <w:rFonts w:ascii="Times New Roman" w:hAnsi="Times New Roman" w:cs="Times New Roman"/>
          <w:sz w:val="24"/>
          <w:szCs w:val="24"/>
          <w:lang w:val="it-IT"/>
        </w:rPr>
        <w:t>, le istituzioni europee dovrebbero in</w:t>
      </w:r>
      <w:r w:rsidR="008D4E2E" w:rsidRPr="006F07C8">
        <w:rPr>
          <w:rFonts w:ascii="Times New Roman" w:hAnsi="Times New Roman" w:cs="Times New Roman"/>
          <w:sz w:val="24"/>
          <w:szCs w:val="24"/>
          <w:lang w:val="it-IT"/>
        </w:rPr>
        <w:t xml:space="preserve">terrogarsi sull’efficacia della loro comunicazione esterna quando già oggi </w:t>
      </w:r>
      <w:r w:rsidR="00616A50" w:rsidRPr="006F07C8">
        <w:rPr>
          <w:rFonts w:ascii="Times New Roman" w:hAnsi="Times New Roman" w:cs="Times New Roman"/>
          <w:sz w:val="24"/>
          <w:szCs w:val="24"/>
          <w:lang w:val="it-IT"/>
        </w:rPr>
        <w:t xml:space="preserve">esse </w:t>
      </w:r>
      <w:r w:rsidR="00CE3018" w:rsidRPr="006F07C8">
        <w:rPr>
          <w:rFonts w:ascii="Times New Roman" w:hAnsi="Times New Roman" w:cs="Times New Roman"/>
          <w:sz w:val="24"/>
          <w:szCs w:val="24"/>
          <w:lang w:val="it-IT"/>
        </w:rPr>
        <w:t xml:space="preserve">decidono di </w:t>
      </w:r>
      <w:r w:rsidR="008D4E2E" w:rsidRPr="006F07C8">
        <w:rPr>
          <w:rFonts w:ascii="Times New Roman" w:hAnsi="Times New Roman" w:cs="Times New Roman"/>
          <w:sz w:val="24"/>
          <w:szCs w:val="24"/>
          <w:lang w:val="it-IT"/>
        </w:rPr>
        <w:t>pubblica</w:t>
      </w:r>
      <w:r w:rsidR="00CE3018" w:rsidRPr="006F07C8">
        <w:rPr>
          <w:rFonts w:ascii="Times New Roman" w:hAnsi="Times New Roman" w:cs="Times New Roman"/>
          <w:sz w:val="24"/>
          <w:szCs w:val="24"/>
          <w:lang w:val="it-IT"/>
        </w:rPr>
        <w:t>re</w:t>
      </w:r>
      <w:r w:rsidR="008D4E2E" w:rsidRPr="006F07C8">
        <w:rPr>
          <w:rFonts w:ascii="Times New Roman" w:hAnsi="Times New Roman" w:cs="Times New Roman"/>
          <w:sz w:val="24"/>
          <w:szCs w:val="24"/>
          <w:lang w:val="it-IT"/>
        </w:rPr>
        <w:t xml:space="preserve"> dei documenti di interesse generale solo in inglese</w:t>
      </w:r>
      <w:r w:rsidR="00F97C81" w:rsidRPr="006F07C8">
        <w:rPr>
          <w:rFonts w:ascii="Times New Roman" w:hAnsi="Times New Roman" w:cs="Times New Roman"/>
          <w:sz w:val="24"/>
          <w:szCs w:val="24"/>
          <w:lang w:val="it-IT"/>
        </w:rPr>
        <w:t xml:space="preserve"> o in tre lingue</w:t>
      </w:r>
      <w:r w:rsidR="008D4E2E" w:rsidRPr="006F07C8">
        <w:rPr>
          <w:rFonts w:ascii="Times New Roman" w:hAnsi="Times New Roman" w:cs="Times New Roman"/>
          <w:sz w:val="24"/>
          <w:szCs w:val="24"/>
          <w:lang w:val="it-IT"/>
        </w:rPr>
        <w:t xml:space="preserve">, come ad esempio </w:t>
      </w:r>
      <w:r w:rsidR="00CE3018" w:rsidRPr="006F07C8">
        <w:rPr>
          <w:rFonts w:ascii="Times New Roman" w:hAnsi="Times New Roman" w:cs="Times New Roman"/>
          <w:sz w:val="24"/>
          <w:szCs w:val="24"/>
          <w:lang w:val="it-IT"/>
        </w:rPr>
        <w:t xml:space="preserve">diverse </w:t>
      </w:r>
      <w:r w:rsidR="008D4E2E" w:rsidRPr="006F07C8">
        <w:rPr>
          <w:rFonts w:ascii="Times New Roman" w:hAnsi="Times New Roman" w:cs="Times New Roman"/>
          <w:sz w:val="24"/>
          <w:szCs w:val="24"/>
          <w:lang w:val="it-IT"/>
        </w:rPr>
        <w:t xml:space="preserve">pagine </w:t>
      </w:r>
      <w:r w:rsidR="00CE3018" w:rsidRPr="006F07C8">
        <w:rPr>
          <w:rFonts w:ascii="Times New Roman" w:hAnsi="Times New Roman" w:cs="Times New Roman"/>
          <w:sz w:val="24"/>
          <w:szCs w:val="24"/>
          <w:lang w:val="it-IT"/>
        </w:rPr>
        <w:t xml:space="preserve">del sito </w:t>
      </w:r>
      <w:r w:rsidR="008D4E2E" w:rsidRPr="006F07C8">
        <w:rPr>
          <w:rFonts w:ascii="Times New Roman" w:hAnsi="Times New Roman" w:cs="Times New Roman"/>
          <w:sz w:val="24"/>
          <w:szCs w:val="24"/>
          <w:lang w:val="it-IT"/>
        </w:rPr>
        <w:t>Internet</w:t>
      </w:r>
      <w:r w:rsidR="00CE3018" w:rsidRPr="006F07C8">
        <w:rPr>
          <w:rFonts w:ascii="Times New Roman" w:hAnsi="Times New Roman" w:cs="Times New Roman"/>
          <w:sz w:val="24"/>
          <w:szCs w:val="24"/>
          <w:lang w:val="it-IT"/>
        </w:rPr>
        <w:t xml:space="preserve"> istituzionale (si veda il paragrafo </w:t>
      </w:r>
      <w:r w:rsidR="00CE3018" w:rsidRPr="006F07C8">
        <w:rPr>
          <w:rFonts w:ascii="Times New Roman" w:hAnsi="Times New Roman" w:cs="Times New Roman"/>
          <w:sz w:val="24"/>
          <w:szCs w:val="24"/>
          <w:lang w:val="it-IT"/>
        </w:rPr>
        <w:fldChar w:fldCharType="begin"/>
      </w:r>
      <w:r w:rsidR="00CE3018" w:rsidRPr="006F07C8">
        <w:rPr>
          <w:rFonts w:ascii="Times New Roman" w:hAnsi="Times New Roman" w:cs="Times New Roman"/>
          <w:sz w:val="24"/>
          <w:szCs w:val="24"/>
          <w:lang w:val="it-IT"/>
        </w:rPr>
        <w:instrText xml:space="preserve"> REF _Ref378018188 \r \h </w:instrText>
      </w:r>
      <w:r w:rsidR="006E6E65" w:rsidRPr="006F07C8">
        <w:rPr>
          <w:rFonts w:ascii="Times New Roman" w:hAnsi="Times New Roman" w:cs="Times New Roman"/>
          <w:sz w:val="24"/>
          <w:szCs w:val="24"/>
          <w:lang w:val="it-IT"/>
        </w:rPr>
        <w:instrText xml:space="preserve"> \* MERGEFORMAT </w:instrText>
      </w:r>
      <w:r w:rsidR="00CE3018" w:rsidRPr="006F07C8">
        <w:rPr>
          <w:rFonts w:ascii="Times New Roman" w:hAnsi="Times New Roman" w:cs="Times New Roman"/>
          <w:sz w:val="24"/>
          <w:szCs w:val="24"/>
          <w:lang w:val="it-IT"/>
        </w:rPr>
      </w:r>
      <w:r w:rsidR="00CE3018" w:rsidRPr="006F07C8">
        <w:rPr>
          <w:rFonts w:ascii="Times New Roman" w:hAnsi="Times New Roman" w:cs="Times New Roman"/>
          <w:sz w:val="24"/>
          <w:szCs w:val="24"/>
          <w:lang w:val="it-IT"/>
        </w:rPr>
        <w:fldChar w:fldCharType="separate"/>
      </w:r>
      <w:r w:rsidR="00087B27" w:rsidRPr="006F07C8">
        <w:rPr>
          <w:rFonts w:ascii="Times New Roman" w:hAnsi="Times New Roman" w:cs="Times New Roman"/>
          <w:sz w:val="24"/>
          <w:szCs w:val="24"/>
          <w:lang w:val="it-IT"/>
        </w:rPr>
        <w:t>5</w:t>
      </w:r>
      <w:r w:rsidR="00CE3018" w:rsidRPr="006F07C8">
        <w:rPr>
          <w:rFonts w:ascii="Times New Roman" w:hAnsi="Times New Roman" w:cs="Times New Roman"/>
          <w:sz w:val="24"/>
          <w:szCs w:val="24"/>
          <w:lang w:val="it-IT"/>
        </w:rPr>
        <w:fldChar w:fldCharType="end"/>
      </w:r>
      <w:r w:rsidR="00CE3018" w:rsidRPr="006F07C8">
        <w:rPr>
          <w:rFonts w:ascii="Times New Roman" w:hAnsi="Times New Roman" w:cs="Times New Roman"/>
          <w:sz w:val="24"/>
          <w:szCs w:val="24"/>
          <w:lang w:val="it-IT"/>
        </w:rPr>
        <w:t>)</w:t>
      </w:r>
      <w:r w:rsidR="008D4E2E" w:rsidRPr="006F07C8">
        <w:rPr>
          <w:rFonts w:ascii="Times New Roman" w:hAnsi="Times New Roman" w:cs="Times New Roman"/>
          <w:sz w:val="24"/>
          <w:szCs w:val="24"/>
          <w:lang w:val="it-IT"/>
        </w:rPr>
        <w:t xml:space="preserve">. </w:t>
      </w:r>
      <w:r w:rsidR="00F97C81" w:rsidRPr="006F07C8">
        <w:rPr>
          <w:rFonts w:ascii="Times New Roman" w:hAnsi="Times New Roman" w:cs="Times New Roman"/>
          <w:sz w:val="24"/>
          <w:szCs w:val="24"/>
          <w:lang w:val="it-IT"/>
        </w:rPr>
        <w:t xml:space="preserve">Per esempio, quando si sceglie una comunicazione monolingue </w:t>
      </w:r>
      <w:r w:rsidR="008D4E2E" w:rsidRPr="006F07C8">
        <w:rPr>
          <w:rFonts w:ascii="Times New Roman" w:hAnsi="Times New Roman" w:cs="Times New Roman"/>
          <w:sz w:val="24"/>
          <w:szCs w:val="24"/>
          <w:lang w:val="it-IT"/>
        </w:rPr>
        <w:t xml:space="preserve">questi documenti rischiano di essere incompresi o male </w:t>
      </w:r>
      <w:r w:rsidR="000C0969" w:rsidRPr="006F07C8">
        <w:rPr>
          <w:rFonts w:ascii="Times New Roman" w:hAnsi="Times New Roman" w:cs="Times New Roman"/>
          <w:sz w:val="24"/>
          <w:szCs w:val="24"/>
          <w:lang w:val="it-IT"/>
        </w:rPr>
        <w:t>compresi</w:t>
      </w:r>
      <w:r w:rsidR="008D4E2E" w:rsidRPr="006F07C8">
        <w:rPr>
          <w:rFonts w:ascii="Times New Roman" w:hAnsi="Times New Roman" w:cs="Times New Roman"/>
          <w:sz w:val="24"/>
          <w:szCs w:val="24"/>
          <w:lang w:val="it-IT"/>
        </w:rPr>
        <w:t xml:space="preserve"> da una percentuale </w:t>
      </w:r>
      <w:r w:rsidR="009B0D8D" w:rsidRPr="006F07C8">
        <w:rPr>
          <w:rFonts w:ascii="Times New Roman" w:hAnsi="Times New Roman" w:cs="Times New Roman"/>
          <w:sz w:val="24"/>
          <w:szCs w:val="24"/>
          <w:lang w:val="it-IT"/>
        </w:rPr>
        <w:t>compresa</w:t>
      </w:r>
      <w:r w:rsidR="008D4E2E" w:rsidRPr="006F07C8">
        <w:rPr>
          <w:rFonts w:ascii="Times New Roman" w:hAnsi="Times New Roman" w:cs="Times New Roman"/>
          <w:sz w:val="24"/>
          <w:szCs w:val="24"/>
          <w:lang w:val="it-IT"/>
        </w:rPr>
        <w:t xml:space="preserve"> f</w:t>
      </w:r>
      <w:r w:rsidR="009B0D8D" w:rsidRPr="006F07C8">
        <w:rPr>
          <w:rFonts w:ascii="Times New Roman" w:hAnsi="Times New Roman" w:cs="Times New Roman"/>
          <w:sz w:val="24"/>
          <w:szCs w:val="24"/>
          <w:lang w:val="it-IT"/>
        </w:rPr>
        <w:t>r</w:t>
      </w:r>
      <w:r w:rsidR="008D4E2E" w:rsidRPr="006F07C8">
        <w:rPr>
          <w:rFonts w:ascii="Times New Roman" w:hAnsi="Times New Roman" w:cs="Times New Roman"/>
          <w:sz w:val="24"/>
          <w:szCs w:val="24"/>
          <w:lang w:val="it-IT"/>
        </w:rPr>
        <w:t xml:space="preserve">a il 49% e l’81% dei residenti </w:t>
      </w:r>
      <w:r w:rsidR="008C547E" w:rsidRPr="006F07C8">
        <w:rPr>
          <w:rFonts w:ascii="Times New Roman" w:hAnsi="Times New Roman" w:cs="Times New Roman"/>
          <w:sz w:val="24"/>
          <w:szCs w:val="24"/>
          <w:lang w:val="it-IT"/>
        </w:rPr>
        <w:t>nei 24 paesi considerati</w:t>
      </w:r>
      <w:r w:rsidR="00B34DDE" w:rsidRPr="006F07C8">
        <w:rPr>
          <w:rFonts w:ascii="Times New Roman" w:hAnsi="Times New Roman" w:cs="Times New Roman"/>
          <w:sz w:val="24"/>
          <w:szCs w:val="24"/>
          <w:lang w:val="it-IT"/>
        </w:rPr>
        <w:t xml:space="preserve">. Si </w:t>
      </w:r>
      <w:r w:rsidR="000C0969" w:rsidRPr="006F07C8">
        <w:rPr>
          <w:rFonts w:ascii="Times New Roman" w:hAnsi="Times New Roman" w:cs="Times New Roman"/>
          <w:sz w:val="24"/>
          <w:szCs w:val="24"/>
          <w:lang w:val="it-IT"/>
        </w:rPr>
        <w:t>crea</w:t>
      </w:r>
      <w:r w:rsidR="008D4E2E" w:rsidRPr="006F07C8">
        <w:rPr>
          <w:rFonts w:ascii="Times New Roman" w:hAnsi="Times New Roman" w:cs="Times New Roman"/>
          <w:sz w:val="24"/>
          <w:szCs w:val="24"/>
          <w:lang w:val="it-IT"/>
        </w:rPr>
        <w:t xml:space="preserve"> </w:t>
      </w:r>
      <w:r w:rsidR="00B34DDE" w:rsidRPr="006F07C8">
        <w:rPr>
          <w:rFonts w:ascii="Times New Roman" w:hAnsi="Times New Roman" w:cs="Times New Roman"/>
          <w:sz w:val="24"/>
          <w:szCs w:val="24"/>
          <w:lang w:val="it-IT"/>
        </w:rPr>
        <w:t xml:space="preserve">inoltre </w:t>
      </w:r>
      <w:r w:rsidR="008D4E2E" w:rsidRPr="006F07C8">
        <w:rPr>
          <w:rFonts w:ascii="Times New Roman" w:hAnsi="Times New Roman" w:cs="Times New Roman"/>
          <w:sz w:val="24"/>
          <w:szCs w:val="24"/>
          <w:lang w:val="it-IT"/>
        </w:rPr>
        <w:t xml:space="preserve">una chiara </w:t>
      </w:r>
      <w:r w:rsidR="00CE3018" w:rsidRPr="006F07C8">
        <w:rPr>
          <w:rFonts w:ascii="Times New Roman" w:hAnsi="Times New Roman" w:cs="Times New Roman"/>
          <w:sz w:val="24"/>
          <w:szCs w:val="24"/>
          <w:lang w:val="it-IT"/>
        </w:rPr>
        <w:t>disu</w:t>
      </w:r>
      <w:r w:rsidR="008D4E2E" w:rsidRPr="006F07C8">
        <w:rPr>
          <w:rFonts w:ascii="Times New Roman" w:hAnsi="Times New Roman" w:cs="Times New Roman"/>
          <w:sz w:val="24"/>
          <w:szCs w:val="24"/>
          <w:lang w:val="it-IT"/>
        </w:rPr>
        <w:t>guaglianza fra S</w:t>
      </w:r>
      <w:r w:rsidR="007B575B" w:rsidRPr="006F07C8">
        <w:rPr>
          <w:rFonts w:ascii="Times New Roman" w:hAnsi="Times New Roman" w:cs="Times New Roman"/>
          <w:sz w:val="24"/>
          <w:szCs w:val="24"/>
          <w:lang w:val="it-IT"/>
        </w:rPr>
        <w:t xml:space="preserve">tati Membri e </w:t>
      </w:r>
      <w:r w:rsidR="008D4E2E" w:rsidRPr="006F07C8">
        <w:rPr>
          <w:rFonts w:ascii="Times New Roman" w:hAnsi="Times New Roman" w:cs="Times New Roman"/>
          <w:sz w:val="24"/>
          <w:szCs w:val="24"/>
          <w:lang w:val="it-IT"/>
        </w:rPr>
        <w:t xml:space="preserve">il paradosso per cui </w:t>
      </w:r>
      <w:r w:rsidR="00CE3018" w:rsidRPr="006F07C8">
        <w:rPr>
          <w:rFonts w:ascii="Times New Roman" w:hAnsi="Times New Roman" w:cs="Times New Roman"/>
          <w:sz w:val="24"/>
          <w:szCs w:val="24"/>
          <w:lang w:val="it-IT"/>
        </w:rPr>
        <w:t xml:space="preserve">un cittadino neozelandese può </w:t>
      </w:r>
      <w:r w:rsidR="008D4E2E" w:rsidRPr="006F07C8">
        <w:rPr>
          <w:rFonts w:ascii="Times New Roman" w:hAnsi="Times New Roman" w:cs="Times New Roman"/>
          <w:sz w:val="24"/>
          <w:szCs w:val="24"/>
          <w:lang w:val="it-IT"/>
        </w:rPr>
        <w:t>compren</w:t>
      </w:r>
      <w:r w:rsidR="00CE3018" w:rsidRPr="006F07C8">
        <w:rPr>
          <w:rFonts w:ascii="Times New Roman" w:hAnsi="Times New Roman" w:cs="Times New Roman"/>
          <w:sz w:val="24"/>
          <w:szCs w:val="24"/>
          <w:lang w:val="it-IT"/>
        </w:rPr>
        <w:t>dere</w:t>
      </w:r>
      <w:r w:rsidR="008D4E2E" w:rsidRPr="006F07C8">
        <w:rPr>
          <w:rFonts w:ascii="Times New Roman" w:hAnsi="Times New Roman" w:cs="Times New Roman"/>
          <w:sz w:val="24"/>
          <w:szCs w:val="24"/>
          <w:lang w:val="it-IT"/>
        </w:rPr>
        <w:t xml:space="preserve"> la comunicazione europea </w:t>
      </w:r>
      <w:r w:rsidR="00CE3018" w:rsidRPr="006F07C8">
        <w:rPr>
          <w:rFonts w:ascii="Times New Roman" w:hAnsi="Times New Roman" w:cs="Times New Roman"/>
          <w:sz w:val="24"/>
          <w:szCs w:val="24"/>
          <w:lang w:val="it-IT"/>
        </w:rPr>
        <w:t xml:space="preserve">meglio di </w:t>
      </w:r>
      <w:r w:rsidR="008D4E2E" w:rsidRPr="006F07C8">
        <w:rPr>
          <w:rFonts w:ascii="Times New Roman" w:hAnsi="Times New Roman" w:cs="Times New Roman"/>
          <w:sz w:val="24"/>
          <w:szCs w:val="24"/>
          <w:lang w:val="it-IT"/>
        </w:rPr>
        <w:t>un contribuente bulgaro o un ungherese.</w:t>
      </w:r>
    </w:p>
    <w:p w:rsidR="00811453" w:rsidRPr="006F07C8" w:rsidRDefault="002B455B" w:rsidP="002F52A9">
      <w:pPr>
        <w:spacing w:line="240" w:lineRule="auto"/>
        <w:jc w:val="both"/>
        <w:rPr>
          <w:rFonts w:ascii="Times New Roman" w:hAnsi="Times New Roman" w:cs="Times New Roman"/>
          <w:sz w:val="24"/>
          <w:szCs w:val="24"/>
          <w:lang w:val="it-IT"/>
        </w:rPr>
      </w:pPr>
      <w:r w:rsidRPr="006F07C8">
        <w:rPr>
          <w:rFonts w:ascii="Times New Roman" w:hAnsi="Times New Roman" w:cs="Times New Roman"/>
          <w:sz w:val="24"/>
          <w:szCs w:val="24"/>
          <w:lang w:val="it-IT"/>
        </w:rPr>
        <w:lastRenderedPageBreak/>
        <w:t xml:space="preserve">Si potrebbe </w:t>
      </w:r>
      <w:r w:rsidR="00C11EE0" w:rsidRPr="006F07C8">
        <w:rPr>
          <w:rFonts w:ascii="Times New Roman" w:hAnsi="Times New Roman" w:cs="Times New Roman"/>
          <w:sz w:val="24"/>
          <w:szCs w:val="24"/>
          <w:lang w:val="it-IT"/>
        </w:rPr>
        <w:t>obiettare</w:t>
      </w:r>
      <w:r w:rsidRPr="006F07C8">
        <w:rPr>
          <w:rFonts w:ascii="Times New Roman" w:hAnsi="Times New Roman" w:cs="Times New Roman"/>
          <w:sz w:val="24"/>
          <w:szCs w:val="24"/>
          <w:lang w:val="it-IT"/>
        </w:rPr>
        <w:t xml:space="preserve"> che i risultati presentati nella </w:t>
      </w:r>
      <w:r w:rsidRPr="006F07C8">
        <w:rPr>
          <w:rFonts w:ascii="Times New Roman" w:hAnsi="Times New Roman" w:cs="Times New Roman"/>
          <w:sz w:val="24"/>
          <w:szCs w:val="24"/>
          <w:lang w:val="it-IT"/>
        </w:rPr>
        <w:fldChar w:fldCharType="begin"/>
      </w:r>
      <w:r w:rsidRPr="006F07C8">
        <w:rPr>
          <w:rFonts w:ascii="Times New Roman" w:hAnsi="Times New Roman" w:cs="Times New Roman"/>
          <w:sz w:val="24"/>
          <w:szCs w:val="24"/>
          <w:lang w:val="it-IT"/>
        </w:rPr>
        <w:instrText xml:space="preserve"> REF _Ref378171740 \h  \* MERGEFORMAT </w:instrText>
      </w:r>
      <w:r w:rsidRPr="006F07C8">
        <w:rPr>
          <w:rFonts w:ascii="Times New Roman" w:hAnsi="Times New Roman" w:cs="Times New Roman"/>
          <w:sz w:val="24"/>
          <w:szCs w:val="24"/>
          <w:lang w:val="it-IT"/>
        </w:rPr>
      </w:r>
      <w:r w:rsidRPr="006F07C8">
        <w:rPr>
          <w:rFonts w:ascii="Times New Roman" w:hAnsi="Times New Roman" w:cs="Times New Roman"/>
          <w:sz w:val="24"/>
          <w:szCs w:val="24"/>
          <w:lang w:val="it-IT"/>
        </w:rPr>
        <w:fldChar w:fldCharType="separate"/>
      </w:r>
      <w:r w:rsidR="00087B27" w:rsidRPr="006F07C8">
        <w:rPr>
          <w:rFonts w:ascii="Times New Roman" w:hAnsi="Times New Roman" w:cs="Times New Roman"/>
          <w:sz w:val="24"/>
          <w:szCs w:val="24"/>
          <w:lang w:val="it-IT"/>
        </w:rPr>
        <w:t xml:space="preserve">Tabella </w:t>
      </w:r>
      <w:r w:rsidR="00087B27" w:rsidRPr="006F07C8">
        <w:rPr>
          <w:rFonts w:ascii="Times New Roman" w:hAnsi="Times New Roman" w:cs="Times New Roman"/>
          <w:noProof/>
          <w:sz w:val="24"/>
          <w:szCs w:val="24"/>
          <w:lang w:val="it-IT"/>
        </w:rPr>
        <w:t>1</w:t>
      </w:r>
      <w:r w:rsidRPr="006F07C8">
        <w:rPr>
          <w:rFonts w:ascii="Times New Roman" w:hAnsi="Times New Roman" w:cs="Times New Roman"/>
          <w:sz w:val="24"/>
          <w:szCs w:val="24"/>
          <w:lang w:val="it-IT"/>
        </w:rPr>
        <w:fldChar w:fldCharType="end"/>
      </w:r>
      <w:r w:rsidRPr="006F07C8">
        <w:rPr>
          <w:rFonts w:ascii="Times New Roman" w:hAnsi="Times New Roman" w:cs="Times New Roman"/>
          <w:sz w:val="24"/>
          <w:szCs w:val="24"/>
          <w:lang w:val="it-IT"/>
        </w:rPr>
        <w:t xml:space="preserve"> e nella </w:t>
      </w:r>
      <w:r w:rsidRPr="006F07C8">
        <w:rPr>
          <w:rFonts w:ascii="Times New Roman" w:hAnsi="Times New Roman" w:cs="Times New Roman"/>
          <w:sz w:val="24"/>
          <w:szCs w:val="24"/>
          <w:lang w:val="it-IT"/>
        </w:rPr>
        <w:fldChar w:fldCharType="begin"/>
      </w:r>
      <w:r w:rsidRPr="006F07C8">
        <w:rPr>
          <w:rFonts w:ascii="Times New Roman" w:hAnsi="Times New Roman" w:cs="Times New Roman"/>
          <w:sz w:val="24"/>
          <w:szCs w:val="24"/>
          <w:lang w:val="it-IT"/>
        </w:rPr>
        <w:instrText xml:space="preserve"> REF _Ref378177938 \h  \* MERGEFORMAT </w:instrText>
      </w:r>
      <w:r w:rsidRPr="006F07C8">
        <w:rPr>
          <w:rFonts w:ascii="Times New Roman" w:hAnsi="Times New Roman" w:cs="Times New Roman"/>
          <w:sz w:val="24"/>
          <w:szCs w:val="24"/>
          <w:lang w:val="it-IT"/>
        </w:rPr>
      </w:r>
      <w:r w:rsidRPr="006F07C8">
        <w:rPr>
          <w:rFonts w:ascii="Times New Roman" w:hAnsi="Times New Roman" w:cs="Times New Roman"/>
          <w:sz w:val="24"/>
          <w:szCs w:val="24"/>
          <w:lang w:val="it-IT"/>
        </w:rPr>
        <w:fldChar w:fldCharType="separate"/>
      </w:r>
      <w:r w:rsidR="00087B27" w:rsidRPr="006F07C8">
        <w:rPr>
          <w:rFonts w:ascii="Times New Roman" w:hAnsi="Times New Roman" w:cs="Times New Roman"/>
          <w:sz w:val="24"/>
          <w:szCs w:val="24"/>
          <w:lang w:val="it-IT"/>
        </w:rPr>
        <w:t xml:space="preserve">Tabella </w:t>
      </w:r>
      <w:r w:rsidR="00087B27" w:rsidRPr="006F07C8">
        <w:rPr>
          <w:rFonts w:ascii="Times New Roman" w:hAnsi="Times New Roman" w:cs="Times New Roman"/>
          <w:noProof/>
          <w:sz w:val="24"/>
          <w:szCs w:val="24"/>
          <w:lang w:val="it-IT"/>
        </w:rPr>
        <w:t>2</w:t>
      </w:r>
      <w:r w:rsidRPr="006F07C8">
        <w:rPr>
          <w:rFonts w:ascii="Times New Roman" w:hAnsi="Times New Roman" w:cs="Times New Roman"/>
          <w:sz w:val="24"/>
          <w:szCs w:val="24"/>
          <w:lang w:val="it-IT"/>
        </w:rPr>
        <w:fldChar w:fldCharType="end"/>
      </w:r>
      <w:r w:rsidRPr="006F07C8">
        <w:rPr>
          <w:rFonts w:ascii="Times New Roman" w:hAnsi="Times New Roman" w:cs="Times New Roman"/>
          <w:sz w:val="24"/>
          <w:szCs w:val="24"/>
          <w:lang w:val="it-IT"/>
        </w:rPr>
        <w:t xml:space="preserve"> rappresentano una fotografia in un dato momento storico e che </w:t>
      </w:r>
      <w:r w:rsidR="003B075A" w:rsidRPr="006F07C8">
        <w:rPr>
          <w:rFonts w:ascii="Times New Roman" w:hAnsi="Times New Roman" w:cs="Times New Roman"/>
          <w:sz w:val="24"/>
          <w:szCs w:val="24"/>
          <w:lang w:val="it-IT"/>
        </w:rPr>
        <w:t xml:space="preserve">i tassi di esclusione linguistica sono destinati a diminuire drasticamente nel futuro in seguito alle politiche di insegnamento delle lingue </w:t>
      </w:r>
      <w:r w:rsidR="00E0014E" w:rsidRPr="006F07C8">
        <w:rPr>
          <w:rFonts w:ascii="Times New Roman" w:hAnsi="Times New Roman" w:cs="Times New Roman"/>
          <w:sz w:val="24"/>
          <w:szCs w:val="24"/>
          <w:lang w:val="it-IT"/>
        </w:rPr>
        <w:t>straniere nelle scuole europee</w:t>
      </w:r>
      <w:r w:rsidR="00940D98" w:rsidRPr="006F07C8">
        <w:rPr>
          <w:rFonts w:ascii="Times New Roman" w:hAnsi="Times New Roman" w:cs="Times New Roman"/>
          <w:sz w:val="24"/>
          <w:szCs w:val="24"/>
          <w:lang w:val="it-IT"/>
        </w:rPr>
        <w:t xml:space="preserve">. </w:t>
      </w:r>
      <w:r w:rsidR="003B075A" w:rsidRPr="006F07C8">
        <w:rPr>
          <w:rFonts w:ascii="Times New Roman" w:hAnsi="Times New Roman" w:cs="Times New Roman"/>
          <w:sz w:val="24"/>
          <w:szCs w:val="24"/>
          <w:lang w:val="it-IT"/>
        </w:rPr>
        <w:t xml:space="preserve">I risultati illustrati nella </w:t>
      </w:r>
      <w:r w:rsidR="003B075A" w:rsidRPr="006F07C8">
        <w:rPr>
          <w:rFonts w:ascii="Times New Roman" w:hAnsi="Times New Roman" w:cs="Times New Roman"/>
          <w:sz w:val="24"/>
          <w:szCs w:val="24"/>
          <w:lang w:val="it-IT"/>
        </w:rPr>
        <w:fldChar w:fldCharType="begin"/>
      </w:r>
      <w:r w:rsidR="003B075A" w:rsidRPr="006F07C8">
        <w:rPr>
          <w:rFonts w:ascii="Times New Roman" w:hAnsi="Times New Roman" w:cs="Times New Roman"/>
          <w:sz w:val="24"/>
          <w:szCs w:val="24"/>
          <w:lang w:val="it-IT"/>
        </w:rPr>
        <w:instrText xml:space="preserve"> REF _Ref378251784 \h  \* MERGEFORMAT </w:instrText>
      </w:r>
      <w:r w:rsidR="003B075A" w:rsidRPr="006F07C8">
        <w:rPr>
          <w:rFonts w:ascii="Times New Roman" w:hAnsi="Times New Roman" w:cs="Times New Roman"/>
          <w:sz w:val="24"/>
          <w:szCs w:val="24"/>
          <w:lang w:val="it-IT"/>
        </w:rPr>
      </w:r>
      <w:r w:rsidR="003B075A" w:rsidRPr="006F07C8">
        <w:rPr>
          <w:rFonts w:ascii="Times New Roman" w:hAnsi="Times New Roman" w:cs="Times New Roman"/>
          <w:sz w:val="24"/>
          <w:szCs w:val="24"/>
          <w:lang w:val="it-IT"/>
        </w:rPr>
        <w:fldChar w:fldCharType="separate"/>
      </w:r>
      <w:r w:rsidR="00087B27" w:rsidRPr="006F07C8">
        <w:rPr>
          <w:rFonts w:ascii="Times New Roman" w:hAnsi="Times New Roman" w:cs="Times New Roman"/>
          <w:sz w:val="24"/>
          <w:szCs w:val="24"/>
          <w:lang w:val="it-IT"/>
        </w:rPr>
        <w:t xml:space="preserve">Tabella </w:t>
      </w:r>
      <w:r w:rsidR="00087B27" w:rsidRPr="006F07C8">
        <w:rPr>
          <w:rFonts w:ascii="Times New Roman" w:hAnsi="Times New Roman" w:cs="Times New Roman"/>
          <w:noProof/>
          <w:sz w:val="24"/>
          <w:szCs w:val="24"/>
          <w:lang w:val="it-IT"/>
        </w:rPr>
        <w:t>3</w:t>
      </w:r>
      <w:r w:rsidR="003B075A" w:rsidRPr="006F07C8">
        <w:rPr>
          <w:rFonts w:ascii="Times New Roman" w:hAnsi="Times New Roman" w:cs="Times New Roman"/>
          <w:sz w:val="24"/>
          <w:szCs w:val="24"/>
          <w:lang w:val="it-IT"/>
        </w:rPr>
        <w:fldChar w:fldCharType="end"/>
      </w:r>
      <w:r w:rsidR="003B075A" w:rsidRPr="006F07C8">
        <w:rPr>
          <w:rFonts w:ascii="Times New Roman" w:hAnsi="Times New Roman" w:cs="Times New Roman"/>
          <w:sz w:val="24"/>
          <w:szCs w:val="24"/>
          <w:lang w:val="it-IT"/>
        </w:rPr>
        <w:t>, tuttavia, suggeriscono una certa prudenza</w:t>
      </w:r>
      <w:r w:rsidR="00B34DDE" w:rsidRPr="006F07C8">
        <w:rPr>
          <w:rFonts w:ascii="Times New Roman" w:hAnsi="Times New Roman" w:cs="Times New Roman"/>
          <w:sz w:val="24"/>
          <w:szCs w:val="24"/>
          <w:lang w:val="it-IT"/>
        </w:rPr>
        <w:t xml:space="preserve"> a riguardo</w:t>
      </w:r>
      <w:r w:rsidR="003B075A" w:rsidRPr="006F07C8">
        <w:rPr>
          <w:rFonts w:ascii="Times New Roman" w:hAnsi="Times New Roman" w:cs="Times New Roman"/>
          <w:sz w:val="24"/>
          <w:szCs w:val="24"/>
          <w:lang w:val="it-IT"/>
        </w:rPr>
        <w:t xml:space="preserve">. </w:t>
      </w:r>
      <w:r w:rsidR="00E83156" w:rsidRPr="006F07C8">
        <w:rPr>
          <w:rFonts w:ascii="Times New Roman" w:hAnsi="Times New Roman" w:cs="Times New Roman"/>
          <w:sz w:val="24"/>
          <w:szCs w:val="24"/>
          <w:lang w:val="it-IT"/>
        </w:rPr>
        <w:t xml:space="preserve">La </w:t>
      </w:r>
      <w:r w:rsidR="001667F4" w:rsidRPr="006F07C8">
        <w:rPr>
          <w:rFonts w:ascii="Times New Roman" w:hAnsi="Times New Roman" w:cs="Times New Roman"/>
          <w:sz w:val="24"/>
          <w:szCs w:val="24"/>
          <w:lang w:val="it-IT"/>
        </w:rPr>
        <w:fldChar w:fldCharType="begin"/>
      </w:r>
      <w:r w:rsidR="001667F4" w:rsidRPr="006F07C8">
        <w:rPr>
          <w:rFonts w:ascii="Times New Roman" w:hAnsi="Times New Roman" w:cs="Times New Roman"/>
          <w:sz w:val="24"/>
          <w:szCs w:val="24"/>
          <w:lang w:val="it-IT"/>
        </w:rPr>
        <w:instrText xml:space="preserve"> REF _Ref378251784 \h </w:instrText>
      </w:r>
      <w:r w:rsidR="00372802" w:rsidRPr="006F07C8">
        <w:rPr>
          <w:rFonts w:ascii="Times New Roman" w:hAnsi="Times New Roman" w:cs="Times New Roman"/>
          <w:sz w:val="24"/>
          <w:szCs w:val="24"/>
          <w:lang w:val="it-IT"/>
        </w:rPr>
        <w:instrText xml:space="preserve"> \* MERGEFORMAT </w:instrText>
      </w:r>
      <w:r w:rsidR="001667F4" w:rsidRPr="006F07C8">
        <w:rPr>
          <w:rFonts w:ascii="Times New Roman" w:hAnsi="Times New Roman" w:cs="Times New Roman"/>
          <w:sz w:val="24"/>
          <w:szCs w:val="24"/>
          <w:lang w:val="it-IT"/>
        </w:rPr>
      </w:r>
      <w:r w:rsidR="001667F4" w:rsidRPr="006F07C8">
        <w:rPr>
          <w:rFonts w:ascii="Times New Roman" w:hAnsi="Times New Roman" w:cs="Times New Roman"/>
          <w:sz w:val="24"/>
          <w:szCs w:val="24"/>
          <w:lang w:val="it-IT"/>
        </w:rPr>
        <w:fldChar w:fldCharType="separate"/>
      </w:r>
      <w:r w:rsidR="00087B27" w:rsidRPr="006F07C8">
        <w:rPr>
          <w:rFonts w:ascii="Times New Roman" w:hAnsi="Times New Roman" w:cs="Times New Roman"/>
          <w:sz w:val="24"/>
          <w:szCs w:val="24"/>
          <w:lang w:val="it-IT"/>
        </w:rPr>
        <w:t xml:space="preserve">Tabella </w:t>
      </w:r>
      <w:r w:rsidR="00087B27" w:rsidRPr="006F07C8">
        <w:rPr>
          <w:rFonts w:ascii="Times New Roman" w:hAnsi="Times New Roman" w:cs="Times New Roman"/>
          <w:noProof/>
          <w:sz w:val="24"/>
          <w:szCs w:val="24"/>
          <w:lang w:val="it-IT"/>
        </w:rPr>
        <w:t>3</w:t>
      </w:r>
      <w:r w:rsidR="001667F4" w:rsidRPr="006F07C8">
        <w:rPr>
          <w:rFonts w:ascii="Times New Roman" w:hAnsi="Times New Roman" w:cs="Times New Roman"/>
          <w:sz w:val="24"/>
          <w:szCs w:val="24"/>
          <w:lang w:val="it-IT"/>
        </w:rPr>
        <w:fldChar w:fldCharType="end"/>
      </w:r>
      <w:r w:rsidR="001667F4" w:rsidRPr="006F07C8">
        <w:rPr>
          <w:rFonts w:ascii="Times New Roman" w:hAnsi="Times New Roman" w:cs="Times New Roman"/>
          <w:sz w:val="24"/>
          <w:szCs w:val="24"/>
          <w:lang w:val="it-IT"/>
        </w:rPr>
        <w:t xml:space="preserve"> mostra la distribuzione dei tassi di esclusione linguistica associati a</w:t>
      </w:r>
      <w:r w:rsidR="000C0969" w:rsidRPr="006F07C8">
        <w:rPr>
          <w:rFonts w:ascii="Times New Roman" w:hAnsi="Times New Roman" w:cs="Times New Roman"/>
          <w:sz w:val="24"/>
          <w:szCs w:val="24"/>
          <w:lang w:val="it-IT"/>
        </w:rPr>
        <w:t>l regime</w:t>
      </w:r>
      <w:r w:rsidR="001667F4" w:rsidRPr="006F07C8">
        <w:rPr>
          <w:rFonts w:ascii="Times New Roman" w:hAnsi="Times New Roman" w:cs="Times New Roman"/>
          <w:sz w:val="24"/>
          <w:szCs w:val="24"/>
          <w:lang w:val="it-IT"/>
        </w:rPr>
        <w:t xml:space="preserve"> monolingue </w:t>
      </w:r>
      <w:r w:rsidR="003B075A" w:rsidRPr="006F07C8">
        <w:rPr>
          <w:rFonts w:ascii="Times New Roman" w:hAnsi="Times New Roman" w:cs="Times New Roman"/>
          <w:sz w:val="24"/>
          <w:szCs w:val="24"/>
          <w:lang w:val="it-IT"/>
        </w:rPr>
        <w:t xml:space="preserve">e </w:t>
      </w:r>
      <w:r w:rsidR="000C0969" w:rsidRPr="006F07C8">
        <w:rPr>
          <w:rFonts w:ascii="Times New Roman" w:hAnsi="Times New Roman" w:cs="Times New Roman"/>
          <w:sz w:val="24"/>
          <w:szCs w:val="24"/>
          <w:lang w:val="it-IT"/>
        </w:rPr>
        <w:t xml:space="preserve">a quello </w:t>
      </w:r>
      <w:r w:rsidR="003B075A" w:rsidRPr="006F07C8">
        <w:rPr>
          <w:rFonts w:ascii="Times New Roman" w:hAnsi="Times New Roman" w:cs="Times New Roman"/>
          <w:sz w:val="24"/>
          <w:szCs w:val="24"/>
          <w:lang w:val="it-IT"/>
        </w:rPr>
        <w:t xml:space="preserve">oligarchico </w:t>
      </w:r>
      <w:r w:rsidR="001667F4" w:rsidRPr="006F07C8">
        <w:rPr>
          <w:rFonts w:ascii="Times New Roman" w:hAnsi="Times New Roman" w:cs="Times New Roman"/>
          <w:sz w:val="24"/>
          <w:szCs w:val="24"/>
          <w:lang w:val="it-IT"/>
        </w:rPr>
        <w:t>per fascia d’età</w:t>
      </w:r>
      <w:r w:rsidR="003B075A" w:rsidRPr="006F07C8">
        <w:rPr>
          <w:rFonts w:ascii="Times New Roman" w:hAnsi="Times New Roman" w:cs="Times New Roman"/>
          <w:sz w:val="24"/>
          <w:szCs w:val="24"/>
          <w:lang w:val="it-IT"/>
        </w:rPr>
        <w:t xml:space="preserve"> anagrafica degli intervistati. In questo modo è possibile introdurre la variabile tempo nella nostra analisi anche senza avere una base dati più </w:t>
      </w:r>
      <w:r w:rsidR="00C11EE0" w:rsidRPr="006F07C8">
        <w:rPr>
          <w:rFonts w:ascii="Times New Roman" w:hAnsi="Times New Roman" w:cs="Times New Roman"/>
          <w:sz w:val="24"/>
          <w:szCs w:val="24"/>
          <w:lang w:val="it-IT"/>
        </w:rPr>
        <w:t>aggiornata</w:t>
      </w:r>
      <w:r w:rsidR="00543757" w:rsidRPr="006F07C8">
        <w:rPr>
          <w:rFonts w:ascii="Times New Roman" w:hAnsi="Times New Roman" w:cs="Times New Roman"/>
          <w:sz w:val="24"/>
          <w:szCs w:val="24"/>
          <w:lang w:val="it-IT"/>
        </w:rPr>
        <w:t xml:space="preserve"> che permette un raffronto intertemporale</w:t>
      </w:r>
      <w:r w:rsidR="003B075A" w:rsidRPr="006F07C8">
        <w:rPr>
          <w:rFonts w:ascii="Times New Roman" w:hAnsi="Times New Roman" w:cs="Times New Roman"/>
          <w:sz w:val="24"/>
          <w:szCs w:val="24"/>
          <w:lang w:val="it-IT"/>
        </w:rPr>
        <w:t>.</w:t>
      </w:r>
    </w:p>
    <w:p w:rsidR="00E83156" w:rsidRPr="006F07C8" w:rsidRDefault="00E83156" w:rsidP="002F52A9">
      <w:pPr>
        <w:pStyle w:val="Caption"/>
        <w:rPr>
          <w:rFonts w:ascii="Times New Roman" w:hAnsi="Times New Roman" w:cs="Times New Roman"/>
          <w:sz w:val="20"/>
          <w:szCs w:val="20"/>
          <w:lang w:val="it-IT"/>
        </w:rPr>
      </w:pPr>
      <w:bookmarkStart w:id="13" w:name="_Ref378251784"/>
      <w:r w:rsidRPr="006F07C8">
        <w:rPr>
          <w:rFonts w:ascii="Times New Roman" w:hAnsi="Times New Roman" w:cs="Times New Roman"/>
          <w:sz w:val="20"/>
          <w:szCs w:val="20"/>
          <w:lang w:val="it-IT"/>
        </w:rPr>
        <w:t xml:space="preserve">Tabella </w:t>
      </w:r>
      <w:r w:rsidRPr="006F07C8">
        <w:rPr>
          <w:rFonts w:ascii="Times New Roman" w:hAnsi="Times New Roman" w:cs="Times New Roman"/>
          <w:sz w:val="20"/>
          <w:szCs w:val="20"/>
          <w:lang w:val="it-IT"/>
        </w:rPr>
        <w:fldChar w:fldCharType="begin"/>
      </w:r>
      <w:r w:rsidRPr="006F07C8">
        <w:rPr>
          <w:rFonts w:ascii="Times New Roman" w:hAnsi="Times New Roman" w:cs="Times New Roman"/>
          <w:sz w:val="20"/>
          <w:szCs w:val="20"/>
          <w:lang w:val="it-IT"/>
        </w:rPr>
        <w:instrText xml:space="preserve"> SEQ Tabella \* ARABIC </w:instrText>
      </w:r>
      <w:r w:rsidRPr="006F07C8">
        <w:rPr>
          <w:rFonts w:ascii="Times New Roman" w:hAnsi="Times New Roman" w:cs="Times New Roman"/>
          <w:sz w:val="20"/>
          <w:szCs w:val="20"/>
          <w:lang w:val="it-IT"/>
        </w:rPr>
        <w:fldChar w:fldCharType="separate"/>
      </w:r>
      <w:r w:rsidR="00087B27" w:rsidRPr="006F07C8">
        <w:rPr>
          <w:rFonts w:ascii="Times New Roman" w:hAnsi="Times New Roman" w:cs="Times New Roman"/>
          <w:noProof/>
          <w:sz w:val="20"/>
          <w:szCs w:val="20"/>
          <w:lang w:val="it-IT"/>
        </w:rPr>
        <w:t>3</w:t>
      </w:r>
      <w:r w:rsidRPr="006F07C8">
        <w:rPr>
          <w:rFonts w:ascii="Times New Roman" w:hAnsi="Times New Roman" w:cs="Times New Roman"/>
          <w:sz w:val="20"/>
          <w:szCs w:val="20"/>
          <w:lang w:val="it-IT"/>
        </w:rPr>
        <w:fldChar w:fldCharType="end"/>
      </w:r>
      <w:bookmarkEnd w:id="13"/>
      <w:r w:rsidRPr="006F07C8">
        <w:rPr>
          <w:rFonts w:ascii="Times New Roman" w:hAnsi="Times New Roman" w:cs="Times New Roman"/>
          <w:sz w:val="20"/>
          <w:szCs w:val="20"/>
          <w:lang w:val="it-IT"/>
        </w:rPr>
        <w:t> : Tassi di esclusione linguistica per fascia d’età</w:t>
      </w:r>
      <w:r w:rsidR="003B075A" w:rsidRPr="006F07C8">
        <w:rPr>
          <w:rFonts w:ascii="Times New Roman" w:hAnsi="Times New Roman" w:cs="Times New Roman"/>
          <w:sz w:val="20"/>
          <w:szCs w:val="20"/>
          <w:lang w:val="it-IT"/>
        </w:rPr>
        <w:t xml:space="preserve"> e regime linguistico</w:t>
      </w:r>
      <w:r w:rsidRPr="006F07C8">
        <w:rPr>
          <w:rFonts w:ascii="Times New Roman" w:hAnsi="Times New Roman" w:cs="Times New Roman"/>
          <w:sz w:val="20"/>
          <w:szCs w:val="20"/>
          <w:lang w:val="it-IT"/>
        </w:rPr>
        <w:t>, UE-24. Dati in percentuale</w:t>
      </w:r>
    </w:p>
    <w:tbl>
      <w:tblPr>
        <w:tblStyle w:val="LightShading"/>
        <w:tblW w:w="5000" w:type="pct"/>
        <w:tblLook w:val="0600" w:firstRow="0" w:lastRow="0" w:firstColumn="0" w:lastColumn="0" w:noHBand="1" w:noVBand="1"/>
      </w:tblPr>
      <w:tblGrid>
        <w:gridCol w:w="1974"/>
        <w:gridCol w:w="1399"/>
        <w:gridCol w:w="1397"/>
        <w:gridCol w:w="1397"/>
        <w:gridCol w:w="1397"/>
        <w:gridCol w:w="1724"/>
      </w:tblGrid>
      <w:tr w:rsidR="00811453" w:rsidRPr="006F07C8" w:rsidTr="00E83156">
        <w:trPr>
          <w:trHeight w:val="191"/>
        </w:trPr>
        <w:tc>
          <w:tcPr>
            <w:tcW w:w="1063" w:type="pct"/>
            <w:hideMark/>
          </w:tcPr>
          <w:p w:rsidR="00066FD3" w:rsidRPr="006F07C8" w:rsidRDefault="00811453" w:rsidP="002F52A9">
            <w:pPr>
              <w:jc w:val="right"/>
              <w:rPr>
                <w:rFonts w:ascii="Times New Roman" w:hAnsi="Times New Roman" w:cs="Times New Roman"/>
                <w:b/>
                <w:sz w:val="20"/>
                <w:szCs w:val="20"/>
                <w:lang w:val="it-IT"/>
              </w:rPr>
            </w:pPr>
            <w:r w:rsidRPr="006F07C8">
              <w:rPr>
                <w:rFonts w:ascii="Times New Roman" w:hAnsi="Times New Roman" w:cs="Times New Roman"/>
                <w:b/>
                <w:sz w:val="20"/>
                <w:szCs w:val="20"/>
                <w:lang w:val="it-IT"/>
              </w:rPr>
              <w:t>Età</w:t>
            </w:r>
          </w:p>
        </w:tc>
        <w:tc>
          <w:tcPr>
            <w:tcW w:w="753" w:type="pct"/>
            <w:hideMark/>
          </w:tcPr>
          <w:p w:rsidR="00066FD3" w:rsidRPr="006F07C8" w:rsidRDefault="00811453" w:rsidP="002F52A9">
            <w:pPr>
              <w:jc w:val="center"/>
              <w:rPr>
                <w:rFonts w:ascii="Times New Roman" w:hAnsi="Times New Roman" w:cs="Times New Roman"/>
                <w:sz w:val="20"/>
                <w:szCs w:val="20"/>
                <w:lang w:val="it-IT"/>
              </w:rPr>
            </w:pPr>
            <w:r w:rsidRPr="006F07C8">
              <w:rPr>
                <w:rFonts w:ascii="Times New Roman" w:hAnsi="Times New Roman" w:cs="Times New Roman"/>
                <w:b/>
                <w:bCs/>
                <w:sz w:val="20"/>
                <w:szCs w:val="20"/>
                <w:lang w:val="it-IT"/>
              </w:rPr>
              <w:t>55-64</w:t>
            </w:r>
          </w:p>
        </w:tc>
        <w:tc>
          <w:tcPr>
            <w:tcW w:w="752" w:type="pct"/>
            <w:hideMark/>
          </w:tcPr>
          <w:p w:rsidR="00066FD3" w:rsidRPr="006F07C8" w:rsidRDefault="00811453" w:rsidP="002F52A9">
            <w:pPr>
              <w:jc w:val="center"/>
              <w:rPr>
                <w:rFonts w:ascii="Times New Roman" w:hAnsi="Times New Roman" w:cs="Times New Roman"/>
                <w:sz w:val="20"/>
                <w:szCs w:val="20"/>
                <w:lang w:val="it-IT"/>
              </w:rPr>
            </w:pPr>
            <w:r w:rsidRPr="006F07C8">
              <w:rPr>
                <w:rFonts w:ascii="Times New Roman" w:hAnsi="Times New Roman" w:cs="Times New Roman"/>
                <w:b/>
                <w:bCs/>
                <w:sz w:val="20"/>
                <w:szCs w:val="20"/>
                <w:lang w:val="it-IT"/>
              </w:rPr>
              <w:t>45-54</w:t>
            </w:r>
          </w:p>
        </w:tc>
        <w:tc>
          <w:tcPr>
            <w:tcW w:w="752" w:type="pct"/>
            <w:hideMark/>
          </w:tcPr>
          <w:p w:rsidR="00066FD3" w:rsidRPr="006F07C8" w:rsidRDefault="00811453" w:rsidP="002F52A9">
            <w:pPr>
              <w:jc w:val="center"/>
              <w:rPr>
                <w:rFonts w:ascii="Times New Roman" w:hAnsi="Times New Roman" w:cs="Times New Roman"/>
                <w:sz w:val="20"/>
                <w:szCs w:val="20"/>
                <w:lang w:val="it-IT"/>
              </w:rPr>
            </w:pPr>
            <w:r w:rsidRPr="006F07C8">
              <w:rPr>
                <w:rFonts w:ascii="Times New Roman" w:hAnsi="Times New Roman" w:cs="Times New Roman"/>
                <w:b/>
                <w:bCs/>
                <w:sz w:val="20"/>
                <w:szCs w:val="20"/>
                <w:lang w:val="it-IT"/>
              </w:rPr>
              <w:t>35-44</w:t>
            </w:r>
          </w:p>
        </w:tc>
        <w:tc>
          <w:tcPr>
            <w:tcW w:w="752" w:type="pct"/>
            <w:hideMark/>
          </w:tcPr>
          <w:p w:rsidR="00066FD3" w:rsidRPr="006F07C8" w:rsidRDefault="00811453" w:rsidP="002F52A9">
            <w:pPr>
              <w:jc w:val="center"/>
              <w:rPr>
                <w:rFonts w:ascii="Times New Roman" w:hAnsi="Times New Roman" w:cs="Times New Roman"/>
                <w:sz w:val="20"/>
                <w:szCs w:val="20"/>
                <w:lang w:val="it-IT"/>
              </w:rPr>
            </w:pPr>
            <w:r w:rsidRPr="006F07C8">
              <w:rPr>
                <w:rFonts w:ascii="Times New Roman" w:hAnsi="Times New Roman" w:cs="Times New Roman"/>
                <w:b/>
                <w:bCs/>
                <w:sz w:val="20"/>
                <w:szCs w:val="20"/>
                <w:lang w:val="it-IT"/>
              </w:rPr>
              <w:t>25-34</w:t>
            </w:r>
          </w:p>
        </w:tc>
        <w:tc>
          <w:tcPr>
            <w:tcW w:w="928" w:type="pct"/>
            <w:hideMark/>
          </w:tcPr>
          <w:p w:rsidR="00066FD3" w:rsidRPr="006F07C8" w:rsidRDefault="00811453" w:rsidP="002F52A9">
            <w:pPr>
              <w:jc w:val="center"/>
              <w:rPr>
                <w:rFonts w:ascii="Times New Roman" w:hAnsi="Times New Roman" w:cs="Times New Roman"/>
                <w:sz w:val="20"/>
                <w:szCs w:val="20"/>
                <w:lang w:val="it-IT"/>
              </w:rPr>
            </w:pPr>
            <w:r w:rsidRPr="006F07C8">
              <w:rPr>
                <w:rFonts w:ascii="Times New Roman" w:hAnsi="Times New Roman" w:cs="Times New Roman"/>
                <w:b/>
                <w:bCs/>
                <w:iCs/>
                <w:sz w:val="20"/>
                <w:szCs w:val="20"/>
                <w:lang w:val="it-IT"/>
              </w:rPr>
              <w:t>Media</w:t>
            </w:r>
          </w:p>
        </w:tc>
      </w:tr>
      <w:tr w:rsidR="00811453" w:rsidRPr="006F07C8" w:rsidTr="00E83156">
        <w:trPr>
          <w:trHeight w:val="223"/>
        </w:trPr>
        <w:tc>
          <w:tcPr>
            <w:tcW w:w="1063" w:type="pct"/>
            <w:hideMark/>
          </w:tcPr>
          <w:p w:rsidR="00811453" w:rsidRPr="006F07C8" w:rsidRDefault="003B075A" w:rsidP="002F52A9">
            <w:pPr>
              <w:jc w:val="center"/>
              <w:rPr>
                <w:rFonts w:ascii="Times New Roman" w:hAnsi="Times New Roman" w:cs="Times New Roman"/>
                <w:b/>
                <w:i/>
                <w:sz w:val="20"/>
                <w:szCs w:val="20"/>
                <w:lang w:val="it-IT"/>
              </w:rPr>
            </w:pPr>
            <w:r w:rsidRPr="006F07C8">
              <w:rPr>
                <w:rFonts w:ascii="Times New Roman" w:hAnsi="Times New Roman" w:cs="Times New Roman"/>
                <w:b/>
                <w:i/>
                <w:sz w:val="20"/>
                <w:szCs w:val="20"/>
                <w:lang w:val="it-IT"/>
              </w:rPr>
              <w:t>Monoli</w:t>
            </w:r>
            <w:r w:rsidR="00543757" w:rsidRPr="006F07C8">
              <w:rPr>
                <w:rFonts w:ascii="Times New Roman" w:hAnsi="Times New Roman" w:cs="Times New Roman"/>
                <w:b/>
                <w:i/>
                <w:sz w:val="20"/>
                <w:szCs w:val="20"/>
                <w:lang w:val="it-IT"/>
              </w:rPr>
              <w:t>n</w:t>
            </w:r>
            <w:r w:rsidRPr="006F07C8">
              <w:rPr>
                <w:rFonts w:ascii="Times New Roman" w:hAnsi="Times New Roman" w:cs="Times New Roman"/>
                <w:b/>
                <w:i/>
                <w:sz w:val="20"/>
                <w:szCs w:val="20"/>
                <w:lang w:val="it-IT"/>
              </w:rPr>
              <w:t>gue</w:t>
            </w:r>
          </w:p>
        </w:tc>
        <w:tc>
          <w:tcPr>
            <w:tcW w:w="753" w:type="pct"/>
            <w:hideMark/>
          </w:tcPr>
          <w:p w:rsidR="00811453" w:rsidRPr="006F07C8" w:rsidRDefault="00811453" w:rsidP="002F52A9">
            <w:pPr>
              <w:jc w:val="center"/>
              <w:rPr>
                <w:rFonts w:ascii="Times New Roman" w:hAnsi="Times New Roman" w:cs="Times New Roman"/>
                <w:i/>
                <w:sz w:val="20"/>
                <w:szCs w:val="20"/>
                <w:vertAlign w:val="subscript"/>
                <w:lang w:val="it-IT"/>
              </w:rPr>
            </w:pPr>
          </w:p>
        </w:tc>
        <w:tc>
          <w:tcPr>
            <w:tcW w:w="752" w:type="pct"/>
            <w:hideMark/>
          </w:tcPr>
          <w:p w:rsidR="00811453" w:rsidRPr="006F07C8" w:rsidRDefault="00811453" w:rsidP="002F52A9">
            <w:pPr>
              <w:jc w:val="center"/>
              <w:rPr>
                <w:rFonts w:ascii="Times New Roman" w:hAnsi="Times New Roman" w:cs="Times New Roman"/>
                <w:i/>
                <w:sz w:val="20"/>
                <w:szCs w:val="20"/>
                <w:vertAlign w:val="subscript"/>
                <w:lang w:val="it-IT"/>
              </w:rPr>
            </w:pPr>
          </w:p>
        </w:tc>
        <w:tc>
          <w:tcPr>
            <w:tcW w:w="752" w:type="pct"/>
            <w:hideMark/>
          </w:tcPr>
          <w:p w:rsidR="00811453" w:rsidRPr="006F07C8" w:rsidRDefault="00811453" w:rsidP="002F52A9">
            <w:pPr>
              <w:jc w:val="center"/>
              <w:rPr>
                <w:rFonts w:ascii="Times New Roman" w:hAnsi="Times New Roman" w:cs="Times New Roman"/>
                <w:sz w:val="20"/>
                <w:szCs w:val="20"/>
                <w:lang w:val="it-IT"/>
              </w:rPr>
            </w:pPr>
          </w:p>
        </w:tc>
        <w:tc>
          <w:tcPr>
            <w:tcW w:w="752" w:type="pct"/>
            <w:hideMark/>
          </w:tcPr>
          <w:p w:rsidR="00811453" w:rsidRPr="006F07C8" w:rsidRDefault="00811453" w:rsidP="002F52A9">
            <w:pPr>
              <w:jc w:val="center"/>
              <w:rPr>
                <w:rFonts w:ascii="Times New Roman" w:hAnsi="Times New Roman" w:cs="Times New Roman"/>
                <w:sz w:val="20"/>
                <w:szCs w:val="20"/>
                <w:lang w:val="it-IT"/>
              </w:rPr>
            </w:pPr>
          </w:p>
        </w:tc>
        <w:tc>
          <w:tcPr>
            <w:tcW w:w="928" w:type="pct"/>
            <w:hideMark/>
          </w:tcPr>
          <w:p w:rsidR="00811453" w:rsidRPr="006F07C8" w:rsidRDefault="00811453" w:rsidP="002F52A9">
            <w:pPr>
              <w:jc w:val="center"/>
              <w:rPr>
                <w:rFonts w:ascii="Times New Roman" w:hAnsi="Times New Roman" w:cs="Times New Roman"/>
                <w:sz w:val="20"/>
                <w:szCs w:val="20"/>
                <w:lang w:val="it-IT"/>
              </w:rPr>
            </w:pPr>
          </w:p>
        </w:tc>
      </w:tr>
      <w:tr w:rsidR="00811453" w:rsidRPr="006F07C8" w:rsidTr="00E83156">
        <w:trPr>
          <w:trHeight w:val="255"/>
        </w:trPr>
        <w:tc>
          <w:tcPr>
            <w:tcW w:w="1063" w:type="pct"/>
          </w:tcPr>
          <w:p w:rsidR="00811453" w:rsidRPr="006F07C8" w:rsidRDefault="00811453" w:rsidP="002F52A9">
            <w:pPr>
              <w:jc w:val="center"/>
              <w:rPr>
                <w:rFonts w:ascii="Times New Roman" w:hAnsi="Times New Roman" w:cs="Times New Roman"/>
                <w:i/>
                <w:sz w:val="20"/>
                <w:szCs w:val="20"/>
                <w:lang w:val="it-IT"/>
              </w:rPr>
            </w:pPr>
            <w:r w:rsidRPr="006F07C8">
              <w:rPr>
                <w:rFonts w:ascii="Times New Roman" w:hAnsi="Times New Roman" w:cs="Times New Roman"/>
                <w:bCs/>
                <w:i/>
                <w:sz w:val="20"/>
                <w:szCs w:val="20"/>
                <w:lang w:val="it-IT"/>
              </w:rPr>
              <w:t>E</w:t>
            </w:r>
            <w:r w:rsidRPr="006F07C8">
              <w:rPr>
                <w:rFonts w:ascii="Times New Roman" w:hAnsi="Times New Roman" w:cs="Times New Roman"/>
                <w:bCs/>
                <w:i/>
                <w:sz w:val="20"/>
                <w:szCs w:val="20"/>
                <w:vertAlign w:val="subscript"/>
                <w:lang w:val="it-IT"/>
              </w:rPr>
              <w:t>a</w:t>
            </w:r>
          </w:p>
        </w:tc>
        <w:tc>
          <w:tcPr>
            <w:tcW w:w="753" w:type="pct"/>
            <w:hideMark/>
          </w:tcPr>
          <w:p w:rsidR="00811453" w:rsidRPr="006F07C8" w:rsidRDefault="00811453" w:rsidP="002F52A9">
            <w:pPr>
              <w:jc w:val="center"/>
              <w:rPr>
                <w:rFonts w:ascii="Times New Roman" w:hAnsi="Times New Roman" w:cs="Times New Roman"/>
                <w:sz w:val="20"/>
                <w:szCs w:val="20"/>
                <w:lang w:val="it-IT"/>
              </w:rPr>
            </w:pPr>
            <w:r w:rsidRPr="006F07C8">
              <w:rPr>
                <w:rFonts w:ascii="Times New Roman" w:hAnsi="Times New Roman" w:cs="Times New Roman"/>
                <w:sz w:val="20"/>
                <w:szCs w:val="20"/>
                <w:lang w:val="it-IT"/>
              </w:rPr>
              <w:t>63</w:t>
            </w:r>
          </w:p>
        </w:tc>
        <w:tc>
          <w:tcPr>
            <w:tcW w:w="752" w:type="pct"/>
            <w:hideMark/>
          </w:tcPr>
          <w:p w:rsidR="00811453" w:rsidRPr="006F07C8" w:rsidRDefault="00811453" w:rsidP="002F52A9">
            <w:pPr>
              <w:jc w:val="center"/>
              <w:rPr>
                <w:rFonts w:ascii="Times New Roman" w:hAnsi="Times New Roman" w:cs="Times New Roman"/>
                <w:sz w:val="20"/>
                <w:szCs w:val="20"/>
                <w:lang w:val="it-IT"/>
              </w:rPr>
            </w:pPr>
            <w:r w:rsidRPr="006F07C8">
              <w:rPr>
                <w:rFonts w:ascii="Times New Roman" w:hAnsi="Times New Roman" w:cs="Times New Roman"/>
                <w:sz w:val="20"/>
                <w:szCs w:val="20"/>
                <w:lang w:val="it-IT"/>
              </w:rPr>
              <w:t>55</w:t>
            </w:r>
          </w:p>
        </w:tc>
        <w:tc>
          <w:tcPr>
            <w:tcW w:w="752" w:type="pct"/>
            <w:hideMark/>
          </w:tcPr>
          <w:p w:rsidR="00811453" w:rsidRPr="006F07C8" w:rsidRDefault="00811453" w:rsidP="002F52A9">
            <w:pPr>
              <w:jc w:val="center"/>
              <w:rPr>
                <w:rFonts w:ascii="Times New Roman" w:hAnsi="Times New Roman" w:cs="Times New Roman"/>
                <w:sz w:val="20"/>
                <w:szCs w:val="20"/>
                <w:lang w:val="it-IT"/>
              </w:rPr>
            </w:pPr>
            <w:r w:rsidRPr="006F07C8">
              <w:rPr>
                <w:rFonts w:ascii="Times New Roman" w:hAnsi="Times New Roman" w:cs="Times New Roman"/>
                <w:sz w:val="20"/>
                <w:szCs w:val="20"/>
                <w:lang w:val="it-IT"/>
              </w:rPr>
              <w:t>44</w:t>
            </w:r>
          </w:p>
        </w:tc>
        <w:tc>
          <w:tcPr>
            <w:tcW w:w="752" w:type="pct"/>
            <w:hideMark/>
          </w:tcPr>
          <w:p w:rsidR="00811453" w:rsidRPr="006F07C8" w:rsidRDefault="00811453" w:rsidP="002F52A9">
            <w:pPr>
              <w:jc w:val="center"/>
              <w:rPr>
                <w:rFonts w:ascii="Times New Roman" w:hAnsi="Times New Roman" w:cs="Times New Roman"/>
                <w:sz w:val="20"/>
                <w:szCs w:val="20"/>
                <w:lang w:val="it-IT"/>
              </w:rPr>
            </w:pPr>
            <w:r w:rsidRPr="006F07C8">
              <w:rPr>
                <w:rFonts w:ascii="Times New Roman" w:hAnsi="Times New Roman" w:cs="Times New Roman"/>
                <w:sz w:val="20"/>
                <w:szCs w:val="20"/>
                <w:lang w:val="it-IT"/>
              </w:rPr>
              <w:t>37</w:t>
            </w:r>
          </w:p>
        </w:tc>
        <w:tc>
          <w:tcPr>
            <w:tcW w:w="928" w:type="pct"/>
            <w:hideMark/>
          </w:tcPr>
          <w:p w:rsidR="00811453" w:rsidRPr="006F07C8" w:rsidRDefault="00811453" w:rsidP="002F52A9">
            <w:pPr>
              <w:jc w:val="center"/>
              <w:rPr>
                <w:rFonts w:ascii="Times New Roman" w:hAnsi="Times New Roman" w:cs="Times New Roman"/>
                <w:sz w:val="20"/>
                <w:szCs w:val="20"/>
                <w:lang w:val="it-IT"/>
              </w:rPr>
            </w:pPr>
            <w:r w:rsidRPr="006F07C8">
              <w:rPr>
                <w:rFonts w:ascii="Times New Roman" w:hAnsi="Times New Roman" w:cs="Times New Roman"/>
                <w:b/>
                <w:bCs/>
                <w:iCs/>
                <w:sz w:val="20"/>
                <w:szCs w:val="20"/>
                <w:lang w:val="it-IT"/>
              </w:rPr>
              <w:t>49</w:t>
            </w:r>
          </w:p>
        </w:tc>
      </w:tr>
      <w:tr w:rsidR="00811453" w:rsidRPr="006F07C8" w:rsidTr="00E83156">
        <w:trPr>
          <w:trHeight w:val="273"/>
        </w:trPr>
        <w:tc>
          <w:tcPr>
            <w:tcW w:w="1063" w:type="pct"/>
            <w:hideMark/>
          </w:tcPr>
          <w:p w:rsidR="00811453" w:rsidRPr="006F07C8" w:rsidRDefault="00811453" w:rsidP="001F5D09">
            <w:pPr>
              <w:jc w:val="center"/>
              <w:rPr>
                <w:rFonts w:ascii="Times New Roman" w:hAnsi="Times New Roman" w:cs="Times New Roman"/>
                <w:i/>
                <w:sz w:val="20"/>
                <w:szCs w:val="20"/>
                <w:lang w:val="it-IT"/>
              </w:rPr>
            </w:pPr>
            <w:r w:rsidRPr="006F07C8">
              <w:rPr>
                <w:rFonts w:ascii="Times New Roman" w:hAnsi="Times New Roman" w:cs="Times New Roman"/>
                <w:bCs/>
                <w:i/>
                <w:sz w:val="20"/>
                <w:szCs w:val="20"/>
                <w:lang w:val="it-IT"/>
              </w:rPr>
              <w:t>E</w:t>
            </w:r>
            <w:r w:rsidRPr="006F07C8">
              <w:rPr>
                <w:rFonts w:ascii="Times New Roman" w:hAnsi="Times New Roman" w:cs="Times New Roman"/>
                <w:bCs/>
                <w:i/>
                <w:sz w:val="20"/>
                <w:szCs w:val="20"/>
                <w:vertAlign w:val="subscript"/>
                <w:lang w:val="it-IT"/>
              </w:rPr>
              <w:t>r</w:t>
            </w:r>
            <w:r w:rsidR="001667F4" w:rsidRPr="006F07C8">
              <w:rPr>
                <w:rFonts w:ascii="Times New Roman" w:hAnsi="Times New Roman" w:cs="Times New Roman"/>
                <w:bCs/>
                <w:i/>
                <w:sz w:val="20"/>
                <w:szCs w:val="20"/>
                <w:vertAlign w:val="subscript"/>
                <w:lang w:val="it-IT"/>
              </w:rPr>
              <w:t xml:space="preserve"> </w:t>
            </w:r>
            <w:r w:rsidR="001F5D09" w:rsidRPr="006F07C8">
              <w:rPr>
                <w:rFonts w:ascii="Times New Roman" w:hAnsi="Times New Roman" w:cs="Times New Roman"/>
                <w:i/>
                <w:sz w:val="20"/>
                <w:szCs w:val="20"/>
                <w:vertAlign w:val="superscript"/>
                <w:lang w:val="it-IT"/>
              </w:rPr>
              <w:t>*</w:t>
            </w:r>
          </w:p>
        </w:tc>
        <w:tc>
          <w:tcPr>
            <w:tcW w:w="753" w:type="pct"/>
          </w:tcPr>
          <w:p w:rsidR="00811453" w:rsidRPr="006F07C8" w:rsidRDefault="00811453" w:rsidP="002F52A9">
            <w:pPr>
              <w:pStyle w:val="NormalWeb"/>
              <w:spacing w:before="0" w:beforeAutospacing="0" w:after="0" w:afterAutospacing="0"/>
              <w:jc w:val="center"/>
              <w:textAlignment w:val="bottom"/>
              <w:rPr>
                <w:sz w:val="20"/>
                <w:szCs w:val="20"/>
                <w:lang w:val="it-IT"/>
              </w:rPr>
            </w:pPr>
            <w:r w:rsidRPr="006F07C8">
              <w:rPr>
                <w:color w:val="000000"/>
                <w:kern w:val="24"/>
                <w:sz w:val="20"/>
                <w:szCs w:val="20"/>
                <w:lang w:val="it-IT"/>
              </w:rPr>
              <w:t>82</w:t>
            </w:r>
          </w:p>
        </w:tc>
        <w:tc>
          <w:tcPr>
            <w:tcW w:w="752" w:type="pct"/>
          </w:tcPr>
          <w:p w:rsidR="00811453" w:rsidRPr="006F07C8" w:rsidRDefault="00811453" w:rsidP="002F52A9">
            <w:pPr>
              <w:pStyle w:val="NormalWeb"/>
              <w:spacing w:before="0" w:beforeAutospacing="0" w:after="0" w:afterAutospacing="0"/>
              <w:jc w:val="center"/>
              <w:textAlignment w:val="bottom"/>
              <w:rPr>
                <w:sz w:val="20"/>
                <w:szCs w:val="20"/>
                <w:lang w:val="it-IT"/>
              </w:rPr>
            </w:pPr>
            <w:r w:rsidRPr="006F07C8">
              <w:rPr>
                <w:color w:val="000000"/>
                <w:kern w:val="24"/>
                <w:sz w:val="20"/>
                <w:szCs w:val="20"/>
                <w:lang w:val="it-IT"/>
              </w:rPr>
              <w:t>82</w:t>
            </w:r>
          </w:p>
        </w:tc>
        <w:tc>
          <w:tcPr>
            <w:tcW w:w="752" w:type="pct"/>
          </w:tcPr>
          <w:p w:rsidR="00811453" w:rsidRPr="006F07C8" w:rsidRDefault="00811453" w:rsidP="002F52A9">
            <w:pPr>
              <w:pStyle w:val="NormalWeb"/>
              <w:spacing w:before="0" w:beforeAutospacing="0" w:after="0" w:afterAutospacing="0"/>
              <w:jc w:val="center"/>
              <w:textAlignment w:val="bottom"/>
              <w:rPr>
                <w:sz w:val="20"/>
                <w:szCs w:val="20"/>
                <w:lang w:val="it-IT"/>
              </w:rPr>
            </w:pPr>
            <w:r w:rsidRPr="006F07C8">
              <w:rPr>
                <w:color w:val="000000"/>
                <w:kern w:val="24"/>
                <w:sz w:val="20"/>
                <w:szCs w:val="20"/>
                <w:lang w:val="it-IT"/>
              </w:rPr>
              <w:t>79</w:t>
            </w:r>
          </w:p>
        </w:tc>
        <w:tc>
          <w:tcPr>
            <w:tcW w:w="752" w:type="pct"/>
          </w:tcPr>
          <w:p w:rsidR="00811453" w:rsidRPr="006F07C8" w:rsidRDefault="00811453" w:rsidP="002F52A9">
            <w:pPr>
              <w:pStyle w:val="NormalWeb"/>
              <w:spacing w:before="0" w:beforeAutospacing="0" w:after="0" w:afterAutospacing="0"/>
              <w:jc w:val="center"/>
              <w:textAlignment w:val="bottom"/>
              <w:rPr>
                <w:sz w:val="20"/>
                <w:szCs w:val="20"/>
                <w:lang w:val="it-IT"/>
              </w:rPr>
            </w:pPr>
            <w:r w:rsidRPr="006F07C8">
              <w:rPr>
                <w:color w:val="000000"/>
                <w:kern w:val="24"/>
                <w:sz w:val="20"/>
                <w:szCs w:val="20"/>
                <w:lang w:val="it-IT"/>
              </w:rPr>
              <w:t>79</w:t>
            </w:r>
          </w:p>
        </w:tc>
        <w:tc>
          <w:tcPr>
            <w:tcW w:w="928" w:type="pct"/>
          </w:tcPr>
          <w:p w:rsidR="00811453" w:rsidRPr="006F07C8" w:rsidRDefault="00811453" w:rsidP="002F52A9">
            <w:pPr>
              <w:pStyle w:val="NormalWeb"/>
              <w:spacing w:before="0" w:beforeAutospacing="0" w:after="0" w:afterAutospacing="0"/>
              <w:jc w:val="center"/>
              <w:textAlignment w:val="bottom"/>
              <w:rPr>
                <w:sz w:val="20"/>
                <w:szCs w:val="20"/>
                <w:lang w:val="it-IT"/>
              </w:rPr>
            </w:pPr>
            <w:r w:rsidRPr="006F07C8">
              <w:rPr>
                <w:b/>
                <w:bCs/>
                <w:iCs/>
                <w:kern w:val="24"/>
                <w:sz w:val="20"/>
                <w:szCs w:val="20"/>
                <w:lang w:val="it-IT"/>
              </w:rPr>
              <w:t>81</w:t>
            </w:r>
          </w:p>
        </w:tc>
      </w:tr>
      <w:tr w:rsidR="003B075A" w:rsidRPr="006F07C8" w:rsidTr="00E83156">
        <w:trPr>
          <w:trHeight w:val="273"/>
        </w:trPr>
        <w:tc>
          <w:tcPr>
            <w:tcW w:w="1063" w:type="pct"/>
          </w:tcPr>
          <w:p w:rsidR="003B075A" w:rsidRPr="006F07C8" w:rsidRDefault="003B075A" w:rsidP="002F52A9">
            <w:pPr>
              <w:jc w:val="center"/>
              <w:rPr>
                <w:rFonts w:ascii="Times New Roman" w:hAnsi="Times New Roman" w:cs="Times New Roman"/>
                <w:b/>
                <w:bCs/>
                <w:i/>
                <w:sz w:val="20"/>
                <w:szCs w:val="20"/>
                <w:lang w:val="it-IT"/>
              </w:rPr>
            </w:pPr>
            <w:r w:rsidRPr="006F07C8">
              <w:rPr>
                <w:rFonts w:ascii="Times New Roman" w:hAnsi="Times New Roman" w:cs="Times New Roman"/>
                <w:b/>
                <w:bCs/>
                <w:i/>
                <w:sz w:val="20"/>
                <w:szCs w:val="20"/>
                <w:lang w:val="it-IT"/>
              </w:rPr>
              <w:t xml:space="preserve">Oligarchico </w:t>
            </w:r>
          </w:p>
        </w:tc>
        <w:tc>
          <w:tcPr>
            <w:tcW w:w="753" w:type="pct"/>
          </w:tcPr>
          <w:p w:rsidR="003B075A" w:rsidRPr="006F07C8" w:rsidRDefault="003B075A" w:rsidP="002F52A9">
            <w:pPr>
              <w:pStyle w:val="NormalWeb"/>
              <w:spacing w:before="0" w:beforeAutospacing="0" w:after="0" w:afterAutospacing="0"/>
              <w:jc w:val="center"/>
              <w:textAlignment w:val="bottom"/>
              <w:rPr>
                <w:color w:val="000000"/>
                <w:kern w:val="24"/>
                <w:sz w:val="20"/>
                <w:szCs w:val="20"/>
                <w:lang w:val="it-IT"/>
              </w:rPr>
            </w:pPr>
          </w:p>
        </w:tc>
        <w:tc>
          <w:tcPr>
            <w:tcW w:w="752" w:type="pct"/>
          </w:tcPr>
          <w:p w:rsidR="003B075A" w:rsidRPr="006F07C8" w:rsidRDefault="003B075A" w:rsidP="002F52A9">
            <w:pPr>
              <w:pStyle w:val="NormalWeb"/>
              <w:spacing w:before="0" w:beforeAutospacing="0" w:after="0" w:afterAutospacing="0"/>
              <w:jc w:val="center"/>
              <w:textAlignment w:val="bottom"/>
              <w:rPr>
                <w:color w:val="000000"/>
                <w:kern w:val="24"/>
                <w:sz w:val="20"/>
                <w:szCs w:val="20"/>
                <w:lang w:val="it-IT"/>
              </w:rPr>
            </w:pPr>
          </w:p>
        </w:tc>
        <w:tc>
          <w:tcPr>
            <w:tcW w:w="752" w:type="pct"/>
          </w:tcPr>
          <w:p w:rsidR="003B075A" w:rsidRPr="006F07C8" w:rsidRDefault="003B075A" w:rsidP="002F52A9">
            <w:pPr>
              <w:pStyle w:val="NormalWeb"/>
              <w:spacing w:before="0" w:beforeAutospacing="0" w:after="0" w:afterAutospacing="0"/>
              <w:jc w:val="center"/>
              <w:textAlignment w:val="bottom"/>
              <w:rPr>
                <w:color w:val="000000"/>
                <w:kern w:val="24"/>
                <w:sz w:val="20"/>
                <w:szCs w:val="20"/>
                <w:lang w:val="it-IT"/>
              </w:rPr>
            </w:pPr>
          </w:p>
        </w:tc>
        <w:tc>
          <w:tcPr>
            <w:tcW w:w="752" w:type="pct"/>
          </w:tcPr>
          <w:p w:rsidR="003B075A" w:rsidRPr="006F07C8" w:rsidRDefault="003B075A" w:rsidP="002F52A9">
            <w:pPr>
              <w:pStyle w:val="NormalWeb"/>
              <w:spacing w:before="0" w:beforeAutospacing="0" w:after="0" w:afterAutospacing="0"/>
              <w:jc w:val="center"/>
              <w:textAlignment w:val="bottom"/>
              <w:rPr>
                <w:color w:val="000000"/>
                <w:kern w:val="24"/>
                <w:sz w:val="20"/>
                <w:szCs w:val="20"/>
                <w:lang w:val="it-IT"/>
              </w:rPr>
            </w:pPr>
          </w:p>
        </w:tc>
        <w:tc>
          <w:tcPr>
            <w:tcW w:w="928" w:type="pct"/>
          </w:tcPr>
          <w:p w:rsidR="003B075A" w:rsidRPr="006F07C8" w:rsidRDefault="003B075A" w:rsidP="002F52A9">
            <w:pPr>
              <w:pStyle w:val="NormalWeb"/>
              <w:spacing w:before="0" w:beforeAutospacing="0" w:after="0" w:afterAutospacing="0"/>
              <w:jc w:val="center"/>
              <w:textAlignment w:val="bottom"/>
              <w:rPr>
                <w:b/>
                <w:bCs/>
                <w:iCs/>
                <w:kern w:val="24"/>
                <w:sz w:val="20"/>
                <w:szCs w:val="20"/>
                <w:lang w:val="it-IT"/>
              </w:rPr>
            </w:pPr>
          </w:p>
        </w:tc>
      </w:tr>
      <w:tr w:rsidR="00424992" w:rsidRPr="006F07C8" w:rsidTr="00E83156">
        <w:trPr>
          <w:trHeight w:val="273"/>
        </w:trPr>
        <w:tc>
          <w:tcPr>
            <w:tcW w:w="1063" w:type="pct"/>
          </w:tcPr>
          <w:p w:rsidR="00424992" w:rsidRPr="006F07C8" w:rsidRDefault="00424992" w:rsidP="002F52A9">
            <w:pPr>
              <w:jc w:val="center"/>
              <w:rPr>
                <w:rFonts w:ascii="Times New Roman" w:hAnsi="Times New Roman" w:cs="Times New Roman"/>
                <w:i/>
                <w:sz w:val="20"/>
                <w:szCs w:val="20"/>
                <w:lang w:val="it-IT"/>
              </w:rPr>
            </w:pPr>
            <w:r w:rsidRPr="006F07C8">
              <w:rPr>
                <w:rFonts w:ascii="Times New Roman" w:hAnsi="Times New Roman" w:cs="Times New Roman"/>
                <w:bCs/>
                <w:i/>
                <w:sz w:val="20"/>
                <w:szCs w:val="20"/>
                <w:lang w:val="it-IT"/>
              </w:rPr>
              <w:t>E</w:t>
            </w:r>
            <w:r w:rsidRPr="006F07C8">
              <w:rPr>
                <w:rFonts w:ascii="Times New Roman" w:hAnsi="Times New Roman" w:cs="Times New Roman"/>
                <w:bCs/>
                <w:i/>
                <w:sz w:val="20"/>
                <w:szCs w:val="20"/>
                <w:vertAlign w:val="subscript"/>
                <w:lang w:val="it-IT"/>
              </w:rPr>
              <w:t>a</w:t>
            </w:r>
          </w:p>
        </w:tc>
        <w:tc>
          <w:tcPr>
            <w:tcW w:w="753" w:type="pct"/>
          </w:tcPr>
          <w:p w:rsidR="00424992" w:rsidRPr="006F07C8" w:rsidRDefault="00424992" w:rsidP="002F52A9">
            <w:pPr>
              <w:jc w:val="center"/>
              <w:rPr>
                <w:rFonts w:ascii="Times New Roman" w:hAnsi="Times New Roman" w:cs="Times New Roman"/>
                <w:sz w:val="20"/>
                <w:szCs w:val="20"/>
                <w:lang w:val="it-IT"/>
              </w:rPr>
            </w:pPr>
            <w:r w:rsidRPr="006F07C8">
              <w:rPr>
                <w:rFonts w:ascii="Times New Roman" w:hAnsi="Times New Roman" w:cs="Times New Roman"/>
                <w:sz w:val="20"/>
                <w:szCs w:val="20"/>
                <w:lang w:val="it-IT"/>
              </w:rPr>
              <w:t>36</w:t>
            </w:r>
          </w:p>
        </w:tc>
        <w:tc>
          <w:tcPr>
            <w:tcW w:w="752" w:type="pct"/>
          </w:tcPr>
          <w:p w:rsidR="00424992" w:rsidRPr="006F07C8" w:rsidRDefault="00424992" w:rsidP="002F52A9">
            <w:pPr>
              <w:jc w:val="center"/>
              <w:rPr>
                <w:rFonts w:ascii="Times New Roman" w:hAnsi="Times New Roman" w:cs="Times New Roman"/>
                <w:sz w:val="20"/>
                <w:szCs w:val="20"/>
                <w:lang w:val="it-IT"/>
              </w:rPr>
            </w:pPr>
            <w:r w:rsidRPr="006F07C8">
              <w:rPr>
                <w:rFonts w:ascii="Times New Roman" w:hAnsi="Times New Roman" w:cs="Times New Roman"/>
                <w:sz w:val="20"/>
                <w:szCs w:val="20"/>
                <w:lang w:val="it-IT"/>
              </w:rPr>
              <w:t>31</w:t>
            </w:r>
          </w:p>
        </w:tc>
        <w:tc>
          <w:tcPr>
            <w:tcW w:w="752" w:type="pct"/>
          </w:tcPr>
          <w:p w:rsidR="00424992" w:rsidRPr="006F07C8" w:rsidRDefault="00424992" w:rsidP="002F52A9">
            <w:pPr>
              <w:jc w:val="center"/>
              <w:rPr>
                <w:rFonts w:ascii="Times New Roman" w:hAnsi="Times New Roman" w:cs="Times New Roman"/>
                <w:sz w:val="20"/>
                <w:szCs w:val="20"/>
                <w:lang w:val="it-IT"/>
              </w:rPr>
            </w:pPr>
            <w:r w:rsidRPr="006F07C8">
              <w:rPr>
                <w:rFonts w:ascii="Times New Roman" w:hAnsi="Times New Roman" w:cs="Times New Roman"/>
                <w:sz w:val="20"/>
                <w:szCs w:val="20"/>
                <w:lang w:val="it-IT"/>
              </w:rPr>
              <w:t>25</w:t>
            </w:r>
          </w:p>
        </w:tc>
        <w:tc>
          <w:tcPr>
            <w:tcW w:w="752" w:type="pct"/>
          </w:tcPr>
          <w:p w:rsidR="00424992" w:rsidRPr="006F07C8" w:rsidRDefault="00424992" w:rsidP="002F52A9">
            <w:pPr>
              <w:jc w:val="center"/>
              <w:rPr>
                <w:rFonts w:ascii="Times New Roman" w:hAnsi="Times New Roman" w:cs="Times New Roman"/>
                <w:sz w:val="20"/>
                <w:szCs w:val="20"/>
                <w:lang w:val="it-IT"/>
              </w:rPr>
            </w:pPr>
            <w:r w:rsidRPr="006F07C8">
              <w:rPr>
                <w:rFonts w:ascii="Times New Roman" w:hAnsi="Times New Roman" w:cs="Times New Roman"/>
                <w:sz w:val="20"/>
                <w:szCs w:val="20"/>
                <w:lang w:val="it-IT"/>
              </w:rPr>
              <w:t>22</w:t>
            </w:r>
          </w:p>
        </w:tc>
        <w:tc>
          <w:tcPr>
            <w:tcW w:w="928" w:type="pct"/>
          </w:tcPr>
          <w:p w:rsidR="00424992" w:rsidRPr="006F07C8" w:rsidRDefault="00424992" w:rsidP="002F52A9">
            <w:pPr>
              <w:jc w:val="center"/>
              <w:rPr>
                <w:rFonts w:ascii="Times New Roman" w:hAnsi="Times New Roman" w:cs="Times New Roman"/>
                <w:sz w:val="20"/>
                <w:szCs w:val="20"/>
                <w:lang w:val="it-IT"/>
              </w:rPr>
            </w:pPr>
            <w:r w:rsidRPr="006F07C8">
              <w:rPr>
                <w:rFonts w:ascii="Times New Roman" w:hAnsi="Times New Roman" w:cs="Times New Roman"/>
                <w:b/>
                <w:bCs/>
                <w:iCs/>
                <w:sz w:val="20"/>
                <w:szCs w:val="20"/>
                <w:lang w:val="it-IT"/>
              </w:rPr>
              <w:t>28</w:t>
            </w:r>
          </w:p>
        </w:tc>
      </w:tr>
      <w:tr w:rsidR="00424992" w:rsidRPr="006F07C8" w:rsidTr="00E83156">
        <w:trPr>
          <w:trHeight w:val="273"/>
        </w:trPr>
        <w:tc>
          <w:tcPr>
            <w:tcW w:w="1063" w:type="pct"/>
          </w:tcPr>
          <w:p w:rsidR="00424992" w:rsidRPr="006F07C8" w:rsidRDefault="006C2813" w:rsidP="001F5D09">
            <w:pPr>
              <w:jc w:val="center"/>
              <w:rPr>
                <w:rFonts w:ascii="Times New Roman" w:hAnsi="Times New Roman" w:cs="Times New Roman"/>
                <w:i/>
                <w:sz w:val="20"/>
                <w:szCs w:val="20"/>
                <w:lang w:val="it-IT"/>
              </w:rPr>
            </w:pPr>
            <w:r w:rsidRPr="006F07C8">
              <w:rPr>
                <w:rFonts w:ascii="Times New Roman" w:hAnsi="Times New Roman" w:cs="Times New Roman"/>
                <w:bCs/>
                <w:i/>
                <w:sz w:val="20"/>
                <w:szCs w:val="20"/>
                <w:lang w:val="it-IT"/>
              </w:rPr>
              <w:t>E</w:t>
            </w:r>
            <w:r w:rsidRPr="006F07C8">
              <w:rPr>
                <w:rFonts w:ascii="Times New Roman" w:hAnsi="Times New Roman" w:cs="Times New Roman"/>
                <w:bCs/>
                <w:i/>
                <w:sz w:val="20"/>
                <w:szCs w:val="20"/>
                <w:vertAlign w:val="subscript"/>
                <w:lang w:val="it-IT"/>
              </w:rPr>
              <w:t xml:space="preserve">r </w:t>
            </w:r>
            <w:r w:rsidR="001F5D09" w:rsidRPr="006F07C8">
              <w:rPr>
                <w:rFonts w:ascii="Times New Roman" w:hAnsi="Times New Roman" w:cs="Times New Roman"/>
                <w:i/>
                <w:sz w:val="20"/>
                <w:szCs w:val="20"/>
                <w:vertAlign w:val="superscript"/>
                <w:lang w:val="it-IT"/>
              </w:rPr>
              <w:t>*</w:t>
            </w:r>
          </w:p>
        </w:tc>
        <w:tc>
          <w:tcPr>
            <w:tcW w:w="753" w:type="pct"/>
          </w:tcPr>
          <w:p w:rsidR="00424992" w:rsidRPr="006F07C8" w:rsidRDefault="00424992" w:rsidP="002F52A9">
            <w:pPr>
              <w:pStyle w:val="NormalWeb"/>
              <w:spacing w:before="0" w:beforeAutospacing="0" w:after="0" w:afterAutospacing="0"/>
              <w:jc w:val="center"/>
              <w:textAlignment w:val="bottom"/>
              <w:rPr>
                <w:sz w:val="20"/>
                <w:szCs w:val="20"/>
                <w:lang w:val="it-IT"/>
              </w:rPr>
            </w:pPr>
            <w:r w:rsidRPr="006F07C8">
              <w:rPr>
                <w:color w:val="000000"/>
                <w:kern w:val="24"/>
                <w:sz w:val="20"/>
                <w:szCs w:val="20"/>
                <w:lang w:val="it-IT"/>
              </w:rPr>
              <w:t>54</w:t>
            </w:r>
          </w:p>
        </w:tc>
        <w:tc>
          <w:tcPr>
            <w:tcW w:w="752" w:type="pct"/>
          </w:tcPr>
          <w:p w:rsidR="00424992" w:rsidRPr="006F07C8" w:rsidRDefault="00424992" w:rsidP="002F52A9">
            <w:pPr>
              <w:pStyle w:val="NormalWeb"/>
              <w:spacing w:before="0" w:beforeAutospacing="0" w:after="0" w:afterAutospacing="0"/>
              <w:jc w:val="center"/>
              <w:textAlignment w:val="bottom"/>
              <w:rPr>
                <w:sz w:val="20"/>
                <w:szCs w:val="20"/>
                <w:lang w:val="it-IT"/>
              </w:rPr>
            </w:pPr>
            <w:r w:rsidRPr="006F07C8">
              <w:rPr>
                <w:sz w:val="20"/>
                <w:szCs w:val="20"/>
                <w:lang w:val="it-IT"/>
              </w:rPr>
              <w:t>54</w:t>
            </w:r>
          </w:p>
        </w:tc>
        <w:tc>
          <w:tcPr>
            <w:tcW w:w="752" w:type="pct"/>
          </w:tcPr>
          <w:p w:rsidR="00424992" w:rsidRPr="006F07C8" w:rsidRDefault="00424992" w:rsidP="002F52A9">
            <w:pPr>
              <w:pStyle w:val="NormalWeb"/>
              <w:spacing w:before="0" w:beforeAutospacing="0" w:after="0" w:afterAutospacing="0"/>
              <w:jc w:val="center"/>
              <w:textAlignment w:val="bottom"/>
              <w:rPr>
                <w:sz w:val="20"/>
                <w:szCs w:val="20"/>
                <w:lang w:val="it-IT"/>
              </w:rPr>
            </w:pPr>
            <w:r w:rsidRPr="006F07C8">
              <w:rPr>
                <w:sz w:val="20"/>
                <w:szCs w:val="20"/>
                <w:lang w:val="it-IT"/>
              </w:rPr>
              <w:t>53</w:t>
            </w:r>
          </w:p>
        </w:tc>
        <w:tc>
          <w:tcPr>
            <w:tcW w:w="752" w:type="pct"/>
          </w:tcPr>
          <w:p w:rsidR="00424992" w:rsidRPr="006F07C8" w:rsidRDefault="00424992" w:rsidP="002F52A9">
            <w:pPr>
              <w:pStyle w:val="NormalWeb"/>
              <w:spacing w:before="0" w:beforeAutospacing="0" w:after="0" w:afterAutospacing="0"/>
              <w:jc w:val="center"/>
              <w:textAlignment w:val="bottom"/>
              <w:rPr>
                <w:sz w:val="20"/>
                <w:szCs w:val="20"/>
                <w:lang w:val="it-IT"/>
              </w:rPr>
            </w:pPr>
            <w:r w:rsidRPr="006F07C8">
              <w:rPr>
                <w:color w:val="000000"/>
                <w:kern w:val="24"/>
                <w:sz w:val="20"/>
                <w:szCs w:val="20"/>
                <w:lang w:val="it-IT"/>
              </w:rPr>
              <w:t>56</w:t>
            </w:r>
          </w:p>
        </w:tc>
        <w:tc>
          <w:tcPr>
            <w:tcW w:w="928" w:type="pct"/>
          </w:tcPr>
          <w:p w:rsidR="00424992" w:rsidRPr="006F07C8" w:rsidRDefault="00424992" w:rsidP="002F52A9">
            <w:pPr>
              <w:pStyle w:val="NormalWeb"/>
              <w:spacing w:before="0" w:beforeAutospacing="0" w:after="0" w:afterAutospacing="0"/>
              <w:jc w:val="center"/>
              <w:textAlignment w:val="bottom"/>
              <w:rPr>
                <w:sz w:val="20"/>
                <w:szCs w:val="20"/>
                <w:lang w:val="it-IT"/>
              </w:rPr>
            </w:pPr>
            <w:r w:rsidRPr="006F07C8">
              <w:rPr>
                <w:b/>
                <w:bCs/>
                <w:iCs/>
                <w:kern w:val="24"/>
                <w:sz w:val="20"/>
                <w:szCs w:val="20"/>
                <w:lang w:val="it-IT"/>
              </w:rPr>
              <w:t>81</w:t>
            </w:r>
          </w:p>
        </w:tc>
      </w:tr>
    </w:tbl>
    <w:p w:rsidR="001667F4" w:rsidRPr="006F07C8" w:rsidRDefault="001667F4" w:rsidP="002F52A9">
      <w:pPr>
        <w:spacing w:after="0" w:line="240" w:lineRule="auto"/>
        <w:jc w:val="both"/>
        <w:rPr>
          <w:rFonts w:ascii="Times New Roman" w:hAnsi="Times New Roman" w:cs="Times New Roman"/>
          <w:i/>
          <w:sz w:val="20"/>
          <w:szCs w:val="20"/>
          <w:lang w:val="it-IT"/>
        </w:rPr>
      </w:pPr>
      <w:r w:rsidRPr="006F07C8">
        <w:rPr>
          <w:rFonts w:ascii="Times New Roman" w:hAnsi="Times New Roman" w:cs="Times New Roman"/>
          <w:i/>
          <w:sz w:val="20"/>
          <w:szCs w:val="20"/>
          <w:lang w:val="it-IT"/>
        </w:rPr>
        <w:t>Fonte: Eurostat, IEA</w:t>
      </w:r>
      <w:r w:rsidR="00C6336A" w:rsidRPr="006F07C8">
        <w:rPr>
          <w:rFonts w:ascii="Times New Roman" w:hAnsi="Times New Roman" w:cs="Times New Roman"/>
          <w:i/>
          <w:sz w:val="20"/>
          <w:szCs w:val="20"/>
          <w:lang w:val="it-IT"/>
        </w:rPr>
        <w:t xml:space="preserve"> 2011</w:t>
      </w:r>
      <w:r w:rsidRPr="006F07C8">
        <w:rPr>
          <w:rFonts w:ascii="Times New Roman" w:hAnsi="Times New Roman" w:cs="Times New Roman"/>
          <w:i/>
          <w:sz w:val="20"/>
          <w:szCs w:val="20"/>
          <w:lang w:val="it-IT"/>
        </w:rPr>
        <w:t>. Tabella elaborata dall’autore</w:t>
      </w:r>
    </w:p>
    <w:p w:rsidR="001667F4" w:rsidRPr="006F07C8" w:rsidRDefault="001F5D09" w:rsidP="002F52A9">
      <w:pPr>
        <w:spacing w:after="0" w:line="240" w:lineRule="auto"/>
        <w:jc w:val="both"/>
        <w:rPr>
          <w:rFonts w:ascii="Times New Roman" w:hAnsi="Times New Roman" w:cs="Times New Roman"/>
          <w:sz w:val="20"/>
          <w:szCs w:val="20"/>
          <w:lang w:val="it-IT"/>
        </w:rPr>
      </w:pPr>
      <w:r w:rsidRPr="006F07C8">
        <w:rPr>
          <w:rFonts w:ascii="Times New Roman" w:hAnsi="Times New Roman" w:cs="Times New Roman"/>
          <w:i/>
          <w:sz w:val="20"/>
          <w:szCs w:val="20"/>
          <w:vertAlign w:val="superscript"/>
          <w:lang w:val="it-IT"/>
        </w:rPr>
        <w:t>*</w:t>
      </w:r>
      <w:r w:rsidR="001667F4" w:rsidRPr="006F07C8">
        <w:rPr>
          <w:rFonts w:ascii="Times New Roman" w:hAnsi="Times New Roman" w:cs="Times New Roman"/>
          <w:i/>
          <w:sz w:val="20"/>
          <w:szCs w:val="20"/>
          <w:vertAlign w:val="superscript"/>
          <w:lang w:val="it-IT"/>
        </w:rPr>
        <w:t>.</w:t>
      </w:r>
      <w:r w:rsidR="001667F4" w:rsidRPr="006F07C8">
        <w:rPr>
          <w:rFonts w:ascii="Times New Roman" w:hAnsi="Times New Roman" w:cs="Times New Roman"/>
          <w:i/>
          <w:sz w:val="20"/>
          <w:szCs w:val="20"/>
          <w:lang w:val="it-IT"/>
        </w:rPr>
        <w:t xml:space="preserve"> Mancano i dati per livello competenza nelle lingue straniere (prima e seconda) per la Danimarca e i dati per livello competenza nella seconda lingua straniera per l’Italia.</w:t>
      </w:r>
    </w:p>
    <w:p w:rsidR="00B43CFE" w:rsidRPr="006F07C8" w:rsidRDefault="00B43CFE" w:rsidP="002F52A9">
      <w:pPr>
        <w:spacing w:line="240" w:lineRule="auto"/>
        <w:jc w:val="both"/>
        <w:rPr>
          <w:rFonts w:ascii="Times New Roman" w:hAnsi="Times New Roman" w:cs="Times New Roman"/>
          <w:sz w:val="20"/>
          <w:lang w:val="it-IT"/>
        </w:rPr>
      </w:pPr>
    </w:p>
    <w:p w:rsidR="009F7064" w:rsidRPr="006F07C8" w:rsidRDefault="001667F4" w:rsidP="002F52A9">
      <w:pPr>
        <w:spacing w:line="240" w:lineRule="auto"/>
        <w:jc w:val="both"/>
        <w:rPr>
          <w:rFonts w:ascii="Times New Roman" w:hAnsi="Times New Roman" w:cs="Times New Roman"/>
          <w:sz w:val="24"/>
          <w:szCs w:val="24"/>
          <w:lang w:val="it-IT"/>
        </w:rPr>
      </w:pPr>
      <w:r w:rsidRPr="006F07C8">
        <w:rPr>
          <w:rFonts w:ascii="Times New Roman" w:hAnsi="Times New Roman" w:cs="Times New Roman"/>
          <w:sz w:val="24"/>
          <w:szCs w:val="24"/>
          <w:lang w:val="it-IT"/>
        </w:rPr>
        <w:t xml:space="preserve">Mentre il tasso di esclusione </w:t>
      </w:r>
      <w:r w:rsidR="00DC7610" w:rsidRPr="006F07C8">
        <w:rPr>
          <w:rFonts w:ascii="Times New Roman" w:hAnsi="Times New Roman" w:cs="Times New Roman"/>
          <w:sz w:val="24"/>
          <w:szCs w:val="24"/>
          <w:lang w:val="it-IT"/>
        </w:rPr>
        <w:t>linguistica assoluta</w:t>
      </w:r>
      <w:r w:rsidRPr="006F07C8">
        <w:rPr>
          <w:rFonts w:ascii="Times New Roman" w:hAnsi="Times New Roman" w:cs="Times New Roman"/>
          <w:sz w:val="24"/>
          <w:szCs w:val="24"/>
          <w:lang w:val="it-IT"/>
        </w:rPr>
        <w:t xml:space="preserve"> varia fra generazioni, lo stesso non si può dire per il tasso di esclusione </w:t>
      </w:r>
      <w:r w:rsidR="00DC7610" w:rsidRPr="006F07C8">
        <w:rPr>
          <w:rFonts w:ascii="Times New Roman" w:hAnsi="Times New Roman" w:cs="Times New Roman"/>
          <w:sz w:val="24"/>
          <w:szCs w:val="24"/>
          <w:lang w:val="it-IT"/>
        </w:rPr>
        <w:t>linguistica relativa</w:t>
      </w:r>
      <w:r w:rsidRPr="006F07C8">
        <w:rPr>
          <w:rFonts w:ascii="Times New Roman" w:hAnsi="Times New Roman" w:cs="Times New Roman"/>
          <w:sz w:val="24"/>
          <w:szCs w:val="24"/>
          <w:lang w:val="it-IT"/>
        </w:rPr>
        <w:t xml:space="preserve">. </w:t>
      </w:r>
      <w:r w:rsidR="00372802" w:rsidRPr="006F07C8">
        <w:rPr>
          <w:rFonts w:ascii="Times New Roman" w:hAnsi="Times New Roman" w:cs="Times New Roman"/>
          <w:sz w:val="24"/>
          <w:szCs w:val="24"/>
          <w:lang w:val="it-IT"/>
        </w:rPr>
        <w:t xml:space="preserve">La </w:t>
      </w:r>
      <w:r w:rsidR="00372802" w:rsidRPr="006F07C8">
        <w:rPr>
          <w:rFonts w:ascii="Times New Roman" w:hAnsi="Times New Roman" w:cs="Times New Roman"/>
          <w:sz w:val="24"/>
          <w:szCs w:val="24"/>
          <w:lang w:val="it-IT"/>
        </w:rPr>
        <w:fldChar w:fldCharType="begin"/>
      </w:r>
      <w:r w:rsidR="00372802" w:rsidRPr="006F07C8">
        <w:rPr>
          <w:rFonts w:ascii="Times New Roman" w:hAnsi="Times New Roman" w:cs="Times New Roman"/>
          <w:sz w:val="24"/>
          <w:szCs w:val="24"/>
          <w:lang w:val="it-IT"/>
        </w:rPr>
        <w:instrText xml:space="preserve"> REF _Ref378251784 \h  \* MERGEFORMAT </w:instrText>
      </w:r>
      <w:r w:rsidR="00372802" w:rsidRPr="006F07C8">
        <w:rPr>
          <w:rFonts w:ascii="Times New Roman" w:hAnsi="Times New Roman" w:cs="Times New Roman"/>
          <w:sz w:val="24"/>
          <w:szCs w:val="24"/>
          <w:lang w:val="it-IT"/>
        </w:rPr>
      </w:r>
      <w:r w:rsidR="00372802" w:rsidRPr="006F07C8">
        <w:rPr>
          <w:rFonts w:ascii="Times New Roman" w:hAnsi="Times New Roman" w:cs="Times New Roman"/>
          <w:sz w:val="24"/>
          <w:szCs w:val="24"/>
          <w:lang w:val="it-IT"/>
        </w:rPr>
        <w:fldChar w:fldCharType="separate"/>
      </w:r>
      <w:r w:rsidR="00087B27" w:rsidRPr="006F07C8">
        <w:rPr>
          <w:rFonts w:ascii="Times New Roman" w:hAnsi="Times New Roman" w:cs="Times New Roman"/>
          <w:sz w:val="24"/>
          <w:szCs w:val="24"/>
          <w:lang w:val="it-IT"/>
        </w:rPr>
        <w:t xml:space="preserve">Tabella </w:t>
      </w:r>
      <w:r w:rsidR="00087B27" w:rsidRPr="006F07C8">
        <w:rPr>
          <w:rFonts w:ascii="Times New Roman" w:hAnsi="Times New Roman" w:cs="Times New Roman"/>
          <w:noProof/>
          <w:sz w:val="24"/>
          <w:szCs w:val="24"/>
          <w:lang w:val="it-IT"/>
        </w:rPr>
        <w:t>3</w:t>
      </w:r>
      <w:r w:rsidR="00372802" w:rsidRPr="006F07C8">
        <w:rPr>
          <w:rFonts w:ascii="Times New Roman" w:hAnsi="Times New Roman" w:cs="Times New Roman"/>
          <w:sz w:val="24"/>
          <w:szCs w:val="24"/>
          <w:lang w:val="it-IT"/>
        </w:rPr>
        <w:fldChar w:fldCharType="end"/>
      </w:r>
      <w:r w:rsidR="00372802" w:rsidRPr="006F07C8">
        <w:rPr>
          <w:rFonts w:ascii="Times New Roman" w:hAnsi="Times New Roman" w:cs="Times New Roman"/>
          <w:sz w:val="24"/>
          <w:szCs w:val="24"/>
          <w:lang w:val="it-IT"/>
        </w:rPr>
        <w:t xml:space="preserve"> mostra che </w:t>
      </w:r>
      <w:r w:rsidRPr="006F07C8">
        <w:rPr>
          <w:rFonts w:ascii="Times New Roman" w:hAnsi="Times New Roman" w:cs="Times New Roman"/>
          <w:sz w:val="24"/>
          <w:szCs w:val="24"/>
          <w:lang w:val="it-IT"/>
        </w:rPr>
        <w:t xml:space="preserve">il tasso </w:t>
      </w:r>
      <w:r w:rsidRPr="006F07C8">
        <w:rPr>
          <w:rFonts w:ascii="Times New Roman" w:hAnsi="Times New Roman" w:cs="Times New Roman"/>
          <w:bCs/>
          <w:i/>
          <w:sz w:val="24"/>
          <w:szCs w:val="24"/>
          <w:lang w:val="it-IT"/>
        </w:rPr>
        <w:t>E</w:t>
      </w:r>
      <w:r w:rsidRPr="006F07C8">
        <w:rPr>
          <w:rFonts w:ascii="Times New Roman" w:hAnsi="Times New Roman" w:cs="Times New Roman"/>
          <w:bCs/>
          <w:i/>
          <w:sz w:val="24"/>
          <w:szCs w:val="24"/>
          <w:vertAlign w:val="subscript"/>
          <w:lang w:val="it-IT"/>
        </w:rPr>
        <w:t>r</w:t>
      </w:r>
      <w:r w:rsidRPr="006F07C8">
        <w:rPr>
          <w:rFonts w:ascii="Times New Roman" w:hAnsi="Times New Roman" w:cs="Times New Roman"/>
          <w:sz w:val="24"/>
          <w:szCs w:val="24"/>
          <w:lang w:val="it-IT"/>
        </w:rPr>
        <w:t xml:space="preserve"> non subisce variazioni intergenerazionali importanti</w:t>
      </w:r>
      <w:r w:rsidR="00B43CFE" w:rsidRPr="006F07C8">
        <w:rPr>
          <w:rFonts w:ascii="Times New Roman" w:hAnsi="Times New Roman" w:cs="Times New Roman"/>
          <w:sz w:val="24"/>
          <w:szCs w:val="24"/>
          <w:lang w:val="it-IT"/>
        </w:rPr>
        <w:t xml:space="preserve"> né nel </w:t>
      </w:r>
      <w:r w:rsidR="000C0969" w:rsidRPr="006F07C8">
        <w:rPr>
          <w:rFonts w:ascii="Times New Roman" w:hAnsi="Times New Roman" w:cs="Times New Roman"/>
          <w:sz w:val="24"/>
          <w:szCs w:val="24"/>
          <w:lang w:val="it-IT"/>
        </w:rPr>
        <w:t xml:space="preserve">caso del </w:t>
      </w:r>
      <w:r w:rsidR="00B43CFE" w:rsidRPr="006F07C8">
        <w:rPr>
          <w:rFonts w:ascii="Times New Roman" w:hAnsi="Times New Roman" w:cs="Times New Roman"/>
          <w:sz w:val="24"/>
          <w:szCs w:val="24"/>
          <w:lang w:val="it-IT"/>
        </w:rPr>
        <w:t xml:space="preserve">regime linguistico monolingue né </w:t>
      </w:r>
      <w:r w:rsidR="000C0969" w:rsidRPr="006F07C8">
        <w:rPr>
          <w:rFonts w:ascii="Times New Roman" w:hAnsi="Times New Roman" w:cs="Times New Roman"/>
          <w:sz w:val="24"/>
          <w:szCs w:val="24"/>
          <w:lang w:val="it-IT"/>
        </w:rPr>
        <w:t xml:space="preserve">di </w:t>
      </w:r>
      <w:r w:rsidR="00B43CFE" w:rsidRPr="006F07C8">
        <w:rPr>
          <w:rFonts w:ascii="Times New Roman" w:hAnsi="Times New Roman" w:cs="Times New Roman"/>
          <w:sz w:val="24"/>
          <w:szCs w:val="24"/>
          <w:lang w:val="it-IT"/>
        </w:rPr>
        <w:t xml:space="preserve">quello oligarchico. </w:t>
      </w:r>
      <w:r w:rsidR="0039566F" w:rsidRPr="006F07C8">
        <w:rPr>
          <w:rFonts w:ascii="Times New Roman" w:hAnsi="Times New Roman" w:cs="Times New Roman"/>
          <w:sz w:val="24"/>
          <w:szCs w:val="24"/>
          <w:lang w:val="it-IT"/>
        </w:rPr>
        <w:t>In altri termini, i più giovani</w:t>
      </w:r>
      <w:r w:rsidR="009578D3" w:rsidRPr="006F07C8">
        <w:rPr>
          <w:rFonts w:ascii="Times New Roman" w:hAnsi="Times New Roman" w:cs="Times New Roman"/>
          <w:sz w:val="24"/>
          <w:szCs w:val="24"/>
          <w:lang w:val="it-IT"/>
        </w:rPr>
        <w:t xml:space="preserve"> </w:t>
      </w:r>
      <w:r w:rsidR="00F052C5" w:rsidRPr="006F07C8">
        <w:rPr>
          <w:rFonts w:ascii="Times New Roman" w:hAnsi="Times New Roman" w:cs="Times New Roman"/>
          <w:sz w:val="24"/>
          <w:szCs w:val="24"/>
          <w:lang w:val="it-IT"/>
        </w:rPr>
        <w:t xml:space="preserve">in media </w:t>
      </w:r>
      <w:r w:rsidR="009578D3" w:rsidRPr="006F07C8">
        <w:rPr>
          <w:rFonts w:ascii="Times New Roman" w:hAnsi="Times New Roman" w:cs="Times New Roman"/>
          <w:sz w:val="24"/>
          <w:szCs w:val="24"/>
          <w:lang w:val="it-IT"/>
        </w:rPr>
        <w:t>hanno</w:t>
      </w:r>
      <w:r w:rsidR="0039566F" w:rsidRPr="006F07C8">
        <w:rPr>
          <w:rFonts w:ascii="Times New Roman" w:hAnsi="Times New Roman" w:cs="Times New Roman"/>
          <w:sz w:val="24"/>
          <w:szCs w:val="24"/>
          <w:lang w:val="it-IT"/>
        </w:rPr>
        <w:t xml:space="preserve"> impara</w:t>
      </w:r>
      <w:r w:rsidR="009578D3" w:rsidRPr="006F07C8">
        <w:rPr>
          <w:rFonts w:ascii="Times New Roman" w:hAnsi="Times New Roman" w:cs="Times New Roman"/>
          <w:sz w:val="24"/>
          <w:szCs w:val="24"/>
          <w:lang w:val="it-IT"/>
        </w:rPr>
        <w:t>t</w:t>
      </w:r>
      <w:r w:rsidR="0039566F" w:rsidRPr="006F07C8">
        <w:rPr>
          <w:rFonts w:ascii="Times New Roman" w:hAnsi="Times New Roman" w:cs="Times New Roman"/>
          <w:sz w:val="24"/>
          <w:szCs w:val="24"/>
          <w:lang w:val="it-IT"/>
        </w:rPr>
        <w:t>o le lingue straniere più spesso de</w:t>
      </w:r>
      <w:r w:rsidR="00085BA6" w:rsidRPr="006F07C8">
        <w:rPr>
          <w:rFonts w:ascii="Times New Roman" w:hAnsi="Times New Roman" w:cs="Times New Roman"/>
          <w:sz w:val="24"/>
          <w:szCs w:val="24"/>
          <w:lang w:val="it-IT"/>
        </w:rPr>
        <w:t xml:space="preserve">i </w:t>
      </w:r>
      <w:r w:rsidR="00F052C5" w:rsidRPr="006F07C8">
        <w:rPr>
          <w:rFonts w:ascii="Times New Roman" w:hAnsi="Times New Roman" w:cs="Times New Roman"/>
          <w:sz w:val="24"/>
          <w:szCs w:val="24"/>
          <w:lang w:val="it-IT"/>
        </w:rPr>
        <w:t xml:space="preserve">più anziani </w:t>
      </w:r>
      <w:r w:rsidR="0039566F" w:rsidRPr="006F07C8">
        <w:rPr>
          <w:rFonts w:ascii="Times New Roman" w:hAnsi="Times New Roman" w:cs="Times New Roman"/>
          <w:sz w:val="24"/>
          <w:szCs w:val="24"/>
          <w:lang w:val="it-IT"/>
        </w:rPr>
        <w:t xml:space="preserve">ma </w:t>
      </w:r>
      <w:r w:rsidR="009578D3" w:rsidRPr="006F07C8">
        <w:rPr>
          <w:rFonts w:ascii="Times New Roman" w:hAnsi="Times New Roman" w:cs="Times New Roman"/>
          <w:sz w:val="24"/>
          <w:szCs w:val="24"/>
          <w:lang w:val="it-IT"/>
        </w:rPr>
        <w:t xml:space="preserve">non </w:t>
      </w:r>
      <w:r w:rsidR="00F052C5" w:rsidRPr="006F07C8">
        <w:rPr>
          <w:rFonts w:ascii="Times New Roman" w:hAnsi="Times New Roman" w:cs="Times New Roman"/>
          <w:sz w:val="24"/>
          <w:szCs w:val="24"/>
          <w:lang w:val="it-IT"/>
        </w:rPr>
        <w:t xml:space="preserve">le conoscono necessariamente molto </w:t>
      </w:r>
      <w:r w:rsidR="009578D3" w:rsidRPr="006F07C8">
        <w:rPr>
          <w:rFonts w:ascii="Times New Roman" w:hAnsi="Times New Roman" w:cs="Times New Roman"/>
          <w:sz w:val="24"/>
          <w:szCs w:val="24"/>
          <w:lang w:val="it-IT"/>
        </w:rPr>
        <w:t>meglio</w:t>
      </w:r>
      <w:r w:rsidR="009578D3" w:rsidRPr="006F07C8">
        <w:rPr>
          <w:rFonts w:ascii="Times New Roman" w:hAnsi="Times New Roman" w:cs="Times New Roman"/>
          <w:i/>
          <w:sz w:val="24"/>
          <w:szCs w:val="24"/>
          <w:lang w:val="it-IT"/>
        </w:rPr>
        <w:t>.</w:t>
      </w:r>
      <w:r w:rsidR="00085BA6" w:rsidRPr="006F07C8">
        <w:rPr>
          <w:rStyle w:val="FootnoteReference"/>
          <w:rFonts w:ascii="Times New Roman" w:hAnsi="Times New Roman" w:cs="Times New Roman"/>
          <w:sz w:val="24"/>
          <w:szCs w:val="24"/>
          <w:lang w:val="it-IT"/>
        </w:rPr>
        <w:footnoteReference w:id="25"/>
      </w:r>
      <w:r w:rsidR="00F052C5" w:rsidRPr="006F07C8">
        <w:rPr>
          <w:rFonts w:ascii="Times New Roman" w:hAnsi="Times New Roman" w:cs="Times New Roman"/>
          <w:i/>
          <w:sz w:val="24"/>
          <w:szCs w:val="24"/>
          <w:lang w:val="it-IT"/>
        </w:rPr>
        <w:t xml:space="preserve"> </w:t>
      </w:r>
      <w:r w:rsidR="009F7064" w:rsidRPr="006F07C8">
        <w:rPr>
          <w:rFonts w:ascii="Times New Roman" w:hAnsi="Times New Roman" w:cs="Times New Roman"/>
          <w:sz w:val="24"/>
          <w:szCs w:val="24"/>
          <w:lang w:val="it-IT"/>
        </w:rPr>
        <w:t xml:space="preserve">In termini di politica linguistica i risultati della </w:t>
      </w:r>
      <w:r w:rsidR="009F7064" w:rsidRPr="006F07C8">
        <w:rPr>
          <w:rFonts w:ascii="Times New Roman" w:hAnsi="Times New Roman" w:cs="Times New Roman"/>
          <w:sz w:val="24"/>
          <w:szCs w:val="24"/>
          <w:lang w:val="it-IT"/>
        </w:rPr>
        <w:fldChar w:fldCharType="begin"/>
      </w:r>
      <w:r w:rsidR="009F7064" w:rsidRPr="006F07C8">
        <w:rPr>
          <w:rFonts w:ascii="Times New Roman" w:hAnsi="Times New Roman" w:cs="Times New Roman"/>
          <w:sz w:val="24"/>
          <w:szCs w:val="24"/>
          <w:lang w:val="it-IT"/>
        </w:rPr>
        <w:instrText xml:space="preserve"> REF _Ref378251784 \h  \* MERGEFORMAT </w:instrText>
      </w:r>
      <w:r w:rsidR="009F7064" w:rsidRPr="006F07C8">
        <w:rPr>
          <w:rFonts w:ascii="Times New Roman" w:hAnsi="Times New Roman" w:cs="Times New Roman"/>
          <w:sz w:val="24"/>
          <w:szCs w:val="24"/>
          <w:lang w:val="it-IT"/>
        </w:rPr>
      </w:r>
      <w:r w:rsidR="009F7064" w:rsidRPr="006F07C8">
        <w:rPr>
          <w:rFonts w:ascii="Times New Roman" w:hAnsi="Times New Roman" w:cs="Times New Roman"/>
          <w:sz w:val="24"/>
          <w:szCs w:val="24"/>
          <w:lang w:val="it-IT"/>
        </w:rPr>
        <w:fldChar w:fldCharType="separate"/>
      </w:r>
      <w:r w:rsidR="00087B27" w:rsidRPr="006F07C8">
        <w:rPr>
          <w:rFonts w:ascii="Times New Roman" w:hAnsi="Times New Roman" w:cs="Times New Roman"/>
          <w:sz w:val="24"/>
          <w:szCs w:val="24"/>
          <w:lang w:val="it-IT"/>
        </w:rPr>
        <w:t xml:space="preserve">Tabella </w:t>
      </w:r>
      <w:r w:rsidR="00087B27" w:rsidRPr="006F07C8">
        <w:rPr>
          <w:rFonts w:ascii="Times New Roman" w:hAnsi="Times New Roman" w:cs="Times New Roman"/>
          <w:noProof/>
          <w:sz w:val="24"/>
          <w:szCs w:val="24"/>
          <w:lang w:val="it-IT"/>
        </w:rPr>
        <w:t>3</w:t>
      </w:r>
      <w:r w:rsidR="009F7064" w:rsidRPr="006F07C8">
        <w:rPr>
          <w:rFonts w:ascii="Times New Roman" w:hAnsi="Times New Roman" w:cs="Times New Roman"/>
          <w:sz w:val="24"/>
          <w:szCs w:val="24"/>
          <w:lang w:val="it-IT"/>
        </w:rPr>
        <w:fldChar w:fldCharType="end"/>
      </w:r>
      <w:r w:rsidR="009F7064" w:rsidRPr="006F07C8">
        <w:rPr>
          <w:rFonts w:ascii="Times New Roman" w:hAnsi="Times New Roman" w:cs="Times New Roman"/>
          <w:sz w:val="24"/>
          <w:szCs w:val="24"/>
          <w:lang w:val="it-IT"/>
        </w:rPr>
        <w:t xml:space="preserve"> significano che, verosimilmente, il fabbisogno di traduzione e interpretazione dell’UE non cambierà radicalmente nel prossimo futuro. Un regime linguistico monolingue, per esempio, genererebbe un tasso di esclusione relativa pari al 79% dei residenti in età compresa fra i 25 e i 34 anni ed escluderebbe del tutto più di un terzo dei residenti in quella fascia d’età (si ricordi che ci si riferisce all’insieme dei residenti, includendo quindi i nativi dell’inglese).</w:t>
      </w:r>
    </w:p>
    <w:p w:rsidR="001A75E1" w:rsidRPr="006F07C8" w:rsidRDefault="00C05A2A" w:rsidP="002F52A9">
      <w:pPr>
        <w:spacing w:line="240" w:lineRule="auto"/>
        <w:jc w:val="both"/>
        <w:rPr>
          <w:rFonts w:ascii="Times New Roman" w:hAnsi="Times New Roman" w:cs="Times New Roman"/>
          <w:sz w:val="24"/>
          <w:szCs w:val="24"/>
          <w:lang w:val="it-IT"/>
        </w:rPr>
      </w:pPr>
      <w:r w:rsidRPr="006F07C8">
        <w:rPr>
          <w:rFonts w:ascii="Times New Roman" w:hAnsi="Times New Roman" w:cs="Times New Roman"/>
          <w:sz w:val="24"/>
          <w:szCs w:val="24"/>
          <w:lang w:val="it-IT"/>
        </w:rPr>
        <w:t xml:space="preserve">A riprova di quanto appena </w:t>
      </w:r>
      <w:r w:rsidR="00F052C5" w:rsidRPr="006F07C8">
        <w:rPr>
          <w:rFonts w:ascii="Times New Roman" w:hAnsi="Times New Roman" w:cs="Times New Roman"/>
          <w:sz w:val="24"/>
          <w:szCs w:val="24"/>
          <w:lang w:val="it-IT"/>
        </w:rPr>
        <w:t>evidenziato</w:t>
      </w:r>
      <w:r w:rsidRPr="006F07C8">
        <w:rPr>
          <w:rFonts w:ascii="Times New Roman" w:hAnsi="Times New Roman" w:cs="Times New Roman"/>
          <w:sz w:val="24"/>
          <w:szCs w:val="24"/>
          <w:lang w:val="it-IT"/>
        </w:rPr>
        <w:t xml:space="preserve"> vale la pena citare l’esito</w:t>
      </w:r>
      <w:r w:rsidR="00493604" w:rsidRPr="006F07C8">
        <w:rPr>
          <w:rFonts w:ascii="Times New Roman" w:hAnsi="Times New Roman" w:cs="Times New Roman"/>
          <w:sz w:val="24"/>
          <w:szCs w:val="24"/>
          <w:lang w:val="it-IT"/>
        </w:rPr>
        <w:t xml:space="preserve"> della prima </w:t>
      </w:r>
      <w:r w:rsidR="00493604" w:rsidRPr="006F07C8">
        <w:rPr>
          <w:rFonts w:ascii="Times New Roman" w:hAnsi="Times New Roman" w:cs="Times New Roman"/>
          <w:i/>
          <w:sz w:val="24"/>
          <w:szCs w:val="24"/>
          <w:lang w:val="it-IT"/>
        </w:rPr>
        <w:t>Indagine europea sulle competenze linguistiche</w:t>
      </w:r>
      <w:r w:rsidR="00493604" w:rsidRPr="006F07C8">
        <w:rPr>
          <w:rFonts w:ascii="Times New Roman" w:hAnsi="Times New Roman" w:cs="Times New Roman"/>
          <w:sz w:val="24"/>
          <w:szCs w:val="24"/>
          <w:lang w:val="it-IT"/>
        </w:rPr>
        <w:t xml:space="preserve"> (Commissione europea </w:t>
      </w:r>
      <w:hyperlink w:anchor="_ENREF_16" w:tooltip="Commissione europea, 2012 #925" w:history="1">
        <w:r w:rsidR="00101624" w:rsidRPr="006F07C8">
          <w:rPr>
            <w:rFonts w:ascii="Times New Roman" w:hAnsi="Times New Roman" w:cs="Times New Roman"/>
            <w:sz w:val="24"/>
            <w:szCs w:val="24"/>
            <w:lang w:val="it-IT"/>
          </w:rPr>
          <w:fldChar w:fldCharType="begin"/>
        </w:r>
        <w:r w:rsidR="00101624" w:rsidRPr="006F07C8">
          <w:rPr>
            <w:rFonts w:ascii="Times New Roman" w:hAnsi="Times New Roman" w:cs="Times New Roman"/>
            <w:sz w:val="24"/>
            <w:szCs w:val="24"/>
            <w:lang w:val="it-IT"/>
          </w:rPr>
          <w:instrText xml:space="preserve"> ADDIN EN.CITE &lt;EndNote&gt;&lt;Cite ExcludeAuth="1"&gt;&lt;Author&gt;Commissione europea&lt;/Author&gt;&lt;Year&gt;2012&lt;/Year&gt;&lt;RecNum&gt;925&lt;/RecNum&gt;&lt;DisplayText&gt;2012b&lt;/DisplayText&gt;&lt;record&gt;&lt;rec-number&gt;925&lt;/rec-number&gt;&lt;foreign-keys&gt;&lt;key app="EN" db-id="wvvszzd93a0z5wesdfpvdv9z5wrra5p05axp"&gt;925&lt;/key&gt;&lt;/foreign-keys&gt;&lt;ref-type name="Report"&gt;27&lt;/ref-type&gt;&lt;contributors&gt;&lt;authors&gt;&lt;author&gt;Commissione europea,&lt;/author&gt;&lt;/authors&gt;&lt;/contributors&gt;&lt;titles&gt;&lt;title&gt;First European survey on language competences&lt;/title&gt;&lt;/titles&gt;&lt;dates&gt;&lt;year&gt;2012&lt;/year&gt;&lt;/dates&gt;&lt;pub-location&gt;Bruxelles&lt;/pub-location&gt;&lt;publisher&gt;Commissione europea&lt;/publisher&gt;&lt;urls&gt;&lt;/urls&gt;&lt;/record&gt;&lt;/Cite&gt;&lt;/EndNote&gt;</w:instrText>
        </w:r>
        <w:r w:rsidR="00101624" w:rsidRPr="006F07C8">
          <w:rPr>
            <w:rFonts w:ascii="Times New Roman" w:hAnsi="Times New Roman" w:cs="Times New Roman"/>
            <w:sz w:val="24"/>
            <w:szCs w:val="24"/>
            <w:lang w:val="it-IT"/>
          </w:rPr>
          <w:fldChar w:fldCharType="separate"/>
        </w:r>
        <w:r w:rsidR="00101624" w:rsidRPr="006F07C8">
          <w:rPr>
            <w:rFonts w:ascii="Times New Roman" w:hAnsi="Times New Roman" w:cs="Times New Roman"/>
            <w:noProof/>
            <w:sz w:val="24"/>
            <w:szCs w:val="24"/>
            <w:lang w:val="it-IT"/>
          </w:rPr>
          <w:t>2012b</w:t>
        </w:r>
        <w:r w:rsidR="00101624" w:rsidRPr="006F07C8">
          <w:rPr>
            <w:rFonts w:ascii="Times New Roman" w:hAnsi="Times New Roman" w:cs="Times New Roman"/>
            <w:sz w:val="24"/>
            <w:szCs w:val="24"/>
            <w:lang w:val="it-IT"/>
          </w:rPr>
          <w:fldChar w:fldCharType="end"/>
        </w:r>
      </w:hyperlink>
      <w:r w:rsidR="00493604" w:rsidRPr="006F07C8">
        <w:rPr>
          <w:rFonts w:ascii="Times New Roman" w:hAnsi="Times New Roman" w:cs="Times New Roman"/>
          <w:sz w:val="24"/>
          <w:szCs w:val="24"/>
          <w:lang w:val="it-IT"/>
        </w:rPr>
        <w:t>)</w:t>
      </w:r>
      <w:r w:rsidRPr="006F07C8">
        <w:rPr>
          <w:rFonts w:ascii="Times New Roman" w:hAnsi="Times New Roman" w:cs="Times New Roman"/>
          <w:sz w:val="24"/>
          <w:szCs w:val="24"/>
          <w:lang w:val="it-IT"/>
        </w:rPr>
        <w:t>. Questa indagine</w:t>
      </w:r>
      <w:r w:rsidR="00493604" w:rsidRPr="006F07C8">
        <w:rPr>
          <w:rFonts w:ascii="Times New Roman" w:hAnsi="Times New Roman" w:cs="Times New Roman"/>
          <w:sz w:val="24"/>
          <w:szCs w:val="24"/>
          <w:lang w:val="it-IT"/>
        </w:rPr>
        <w:t xml:space="preserve"> tend</w:t>
      </w:r>
      <w:r w:rsidRPr="006F07C8">
        <w:rPr>
          <w:rFonts w:ascii="Times New Roman" w:hAnsi="Times New Roman" w:cs="Times New Roman"/>
          <w:sz w:val="24"/>
          <w:szCs w:val="24"/>
          <w:lang w:val="it-IT"/>
        </w:rPr>
        <w:t xml:space="preserve">e </w:t>
      </w:r>
      <w:r w:rsidR="00493604" w:rsidRPr="006F07C8">
        <w:rPr>
          <w:rFonts w:ascii="Times New Roman" w:hAnsi="Times New Roman" w:cs="Times New Roman"/>
          <w:sz w:val="24"/>
          <w:szCs w:val="24"/>
          <w:lang w:val="it-IT"/>
        </w:rPr>
        <w:t>a confermare indirettamente i risultati fin qui esposti</w:t>
      </w:r>
      <w:r w:rsidR="00625ECE" w:rsidRPr="006F07C8">
        <w:rPr>
          <w:rFonts w:ascii="Times New Roman" w:hAnsi="Times New Roman" w:cs="Times New Roman"/>
          <w:sz w:val="24"/>
          <w:szCs w:val="24"/>
          <w:lang w:val="it-IT"/>
        </w:rPr>
        <w:t xml:space="preserve"> e a suggerire prudenza </w:t>
      </w:r>
      <w:r w:rsidRPr="006F07C8">
        <w:rPr>
          <w:rFonts w:ascii="Times New Roman" w:hAnsi="Times New Roman" w:cs="Times New Roman"/>
          <w:sz w:val="24"/>
          <w:szCs w:val="24"/>
          <w:lang w:val="it-IT"/>
        </w:rPr>
        <w:t xml:space="preserve">riguardo alle </w:t>
      </w:r>
      <w:r w:rsidR="00625ECE" w:rsidRPr="006F07C8">
        <w:rPr>
          <w:rFonts w:ascii="Times New Roman" w:hAnsi="Times New Roman" w:cs="Times New Roman"/>
          <w:sz w:val="24"/>
          <w:szCs w:val="24"/>
          <w:lang w:val="it-IT"/>
        </w:rPr>
        <w:t xml:space="preserve">competenze linguistiche </w:t>
      </w:r>
      <w:r w:rsidRPr="006F07C8">
        <w:rPr>
          <w:rFonts w:ascii="Times New Roman" w:hAnsi="Times New Roman" w:cs="Times New Roman"/>
          <w:sz w:val="24"/>
          <w:szCs w:val="24"/>
          <w:lang w:val="it-IT"/>
        </w:rPr>
        <w:t xml:space="preserve">presenti e future degli </w:t>
      </w:r>
      <w:r w:rsidR="00625ECE" w:rsidRPr="006F07C8">
        <w:rPr>
          <w:rFonts w:ascii="Times New Roman" w:hAnsi="Times New Roman" w:cs="Times New Roman"/>
          <w:sz w:val="24"/>
          <w:szCs w:val="24"/>
          <w:lang w:val="it-IT"/>
        </w:rPr>
        <w:t>europei</w:t>
      </w:r>
      <w:r w:rsidR="00493604" w:rsidRPr="006F07C8">
        <w:rPr>
          <w:rFonts w:ascii="Times New Roman" w:hAnsi="Times New Roman" w:cs="Times New Roman"/>
          <w:sz w:val="24"/>
          <w:szCs w:val="24"/>
          <w:lang w:val="it-IT"/>
        </w:rPr>
        <w:t xml:space="preserve">. L’indagine </w:t>
      </w:r>
      <w:r w:rsidR="00625ECE" w:rsidRPr="006F07C8">
        <w:rPr>
          <w:rFonts w:ascii="Times New Roman" w:hAnsi="Times New Roman" w:cs="Times New Roman"/>
          <w:sz w:val="24"/>
          <w:szCs w:val="24"/>
          <w:lang w:val="it-IT"/>
        </w:rPr>
        <w:t xml:space="preserve">ha misurato l’apprendimento delle due lingue straniere maggiormente studiate (tra inglese, francese, tedesco, italiano e spagnolo) </w:t>
      </w:r>
      <w:r w:rsidR="00085BA6" w:rsidRPr="006F07C8">
        <w:rPr>
          <w:rFonts w:ascii="Times New Roman" w:hAnsi="Times New Roman" w:cs="Times New Roman"/>
          <w:sz w:val="24"/>
          <w:szCs w:val="24"/>
          <w:lang w:val="it-IT"/>
        </w:rPr>
        <w:t xml:space="preserve">in 16 sistemi di istruzione europei e </w:t>
      </w:r>
      <w:r w:rsidR="00625ECE" w:rsidRPr="006F07C8">
        <w:rPr>
          <w:rFonts w:ascii="Times New Roman" w:hAnsi="Times New Roman" w:cs="Times New Roman"/>
          <w:sz w:val="24"/>
          <w:szCs w:val="24"/>
          <w:lang w:val="it-IT"/>
        </w:rPr>
        <w:t xml:space="preserve">su un campione rappresentativo di studenti all’ultimo anno della scuola secondaria inferiore o al secondo anno della scuola secondaria superiore </w:t>
      </w:r>
      <w:r w:rsidRPr="006F07C8">
        <w:rPr>
          <w:rFonts w:ascii="Times New Roman" w:hAnsi="Times New Roman" w:cs="Times New Roman"/>
          <w:sz w:val="24"/>
          <w:szCs w:val="24"/>
          <w:lang w:val="it-IT"/>
        </w:rPr>
        <w:t xml:space="preserve">per un totale di </w:t>
      </w:r>
      <w:r w:rsidR="00625ECE" w:rsidRPr="006F07C8">
        <w:rPr>
          <w:rFonts w:ascii="Times New Roman" w:hAnsi="Times New Roman" w:cs="Times New Roman"/>
          <w:sz w:val="24"/>
          <w:szCs w:val="24"/>
          <w:lang w:val="it-IT"/>
        </w:rPr>
        <w:t>5</w:t>
      </w:r>
      <w:r w:rsidR="00096018" w:rsidRPr="006F07C8">
        <w:rPr>
          <w:rFonts w:ascii="Times New Roman" w:hAnsi="Times New Roman" w:cs="Times New Roman"/>
          <w:sz w:val="24"/>
          <w:szCs w:val="24"/>
          <w:lang w:val="it-IT"/>
        </w:rPr>
        <w:t>3</w:t>
      </w:r>
      <w:r w:rsidR="00625ECE" w:rsidRPr="006F07C8">
        <w:rPr>
          <w:rFonts w:ascii="Times New Roman" w:hAnsi="Times New Roman" w:cs="Times New Roman"/>
          <w:sz w:val="24"/>
          <w:szCs w:val="24"/>
          <w:lang w:val="it-IT"/>
        </w:rPr>
        <w:t>'000 osserva</w:t>
      </w:r>
      <w:r w:rsidR="001A75E1" w:rsidRPr="006F07C8">
        <w:rPr>
          <w:rFonts w:ascii="Times New Roman" w:hAnsi="Times New Roman" w:cs="Times New Roman"/>
          <w:sz w:val="24"/>
          <w:szCs w:val="24"/>
          <w:lang w:val="it-IT"/>
        </w:rPr>
        <w:t>zioni</w:t>
      </w:r>
      <w:r w:rsidR="00085BA6" w:rsidRPr="006F07C8">
        <w:rPr>
          <w:rFonts w:ascii="Times New Roman" w:hAnsi="Times New Roman" w:cs="Times New Roman"/>
          <w:sz w:val="24"/>
          <w:szCs w:val="24"/>
          <w:lang w:val="it-IT"/>
        </w:rPr>
        <w:t xml:space="preserve"> statistiche</w:t>
      </w:r>
      <w:r w:rsidR="001A75E1" w:rsidRPr="006F07C8">
        <w:rPr>
          <w:rFonts w:ascii="Times New Roman" w:hAnsi="Times New Roman" w:cs="Times New Roman"/>
          <w:sz w:val="24"/>
          <w:szCs w:val="24"/>
          <w:lang w:val="it-IT"/>
        </w:rPr>
        <w:t>.</w:t>
      </w:r>
    </w:p>
    <w:p w:rsidR="00493604" w:rsidRPr="006F07C8" w:rsidRDefault="00C05A2A" w:rsidP="002F52A9">
      <w:pPr>
        <w:spacing w:line="240" w:lineRule="auto"/>
        <w:jc w:val="both"/>
        <w:rPr>
          <w:rFonts w:ascii="Times New Roman" w:hAnsi="Times New Roman" w:cs="Times New Roman"/>
          <w:sz w:val="24"/>
          <w:szCs w:val="24"/>
          <w:lang w:val="it-IT"/>
        </w:rPr>
      </w:pPr>
      <w:r w:rsidRPr="006F07C8">
        <w:rPr>
          <w:rFonts w:ascii="Times New Roman" w:hAnsi="Times New Roman" w:cs="Times New Roman"/>
          <w:sz w:val="24"/>
          <w:szCs w:val="24"/>
          <w:lang w:val="it-IT"/>
        </w:rPr>
        <w:t>L’i</w:t>
      </w:r>
      <w:r w:rsidR="00625ECE" w:rsidRPr="006F07C8">
        <w:rPr>
          <w:rFonts w:ascii="Times New Roman" w:hAnsi="Times New Roman" w:cs="Times New Roman"/>
          <w:sz w:val="24"/>
          <w:szCs w:val="24"/>
          <w:lang w:val="it-IT"/>
        </w:rPr>
        <w:t xml:space="preserve">ndagine ha verificato la competenza degli studenti per quanto concerne le abilità di ascolto, lettura e scrittura utilizzando il Quadro Comune Europeo di Riferimento per le Lingue (QCER). La principale conclusione dell’indagine è che le competenze linguistiche </w:t>
      </w:r>
      <w:r w:rsidR="005E1C3A" w:rsidRPr="006F07C8">
        <w:rPr>
          <w:rFonts w:ascii="Times New Roman" w:hAnsi="Times New Roman" w:cs="Times New Roman"/>
          <w:sz w:val="24"/>
          <w:szCs w:val="24"/>
          <w:lang w:val="it-IT"/>
        </w:rPr>
        <w:t xml:space="preserve">trasmesse </w:t>
      </w:r>
      <w:r w:rsidR="005E1C3A" w:rsidRPr="006F07C8">
        <w:rPr>
          <w:rFonts w:ascii="Times New Roman" w:hAnsi="Times New Roman" w:cs="Times New Roman"/>
          <w:sz w:val="24"/>
          <w:szCs w:val="24"/>
          <w:lang w:val="it-IT"/>
        </w:rPr>
        <w:lastRenderedPageBreak/>
        <w:t xml:space="preserve">dai sistemi di istruzione europei </w:t>
      </w:r>
      <w:r w:rsidR="00F052C5" w:rsidRPr="006F07C8">
        <w:rPr>
          <w:rFonts w:ascii="Times New Roman" w:hAnsi="Times New Roman" w:cs="Times New Roman"/>
          <w:sz w:val="24"/>
          <w:szCs w:val="24"/>
          <w:lang w:val="it-IT"/>
        </w:rPr>
        <w:t>“</w:t>
      </w:r>
      <w:r w:rsidR="005E1C3A" w:rsidRPr="006F07C8">
        <w:rPr>
          <w:rFonts w:ascii="Times New Roman" w:hAnsi="Times New Roman" w:cs="Times New Roman"/>
          <w:sz w:val="24"/>
          <w:szCs w:val="24"/>
          <w:lang w:val="it-IT"/>
        </w:rPr>
        <w:t xml:space="preserve">devono essere </w:t>
      </w:r>
      <w:r w:rsidR="001A75E1" w:rsidRPr="006F07C8">
        <w:rPr>
          <w:rFonts w:ascii="Times New Roman" w:hAnsi="Times New Roman" w:cs="Times New Roman"/>
          <w:sz w:val="24"/>
          <w:szCs w:val="24"/>
          <w:lang w:val="it-IT"/>
        </w:rPr>
        <w:t xml:space="preserve">significativamente </w:t>
      </w:r>
      <w:r w:rsidR="005E1C3A" w:rsidRPr="006F07C8">
        <w:rPr>
          <w:rFonts w:ascii="Times New Roman" w:hAnsi="Times New Roman" w:cs="Times New Roman"/>
          <w:sz w:val="24"/>
          <w:szCs w:val="24"/>
          <w:lang w:val="it-IT"/>
        </w:rPr>
        <w:t>migliorate</w:t>
      </w:r>
      <w:r w:rsidR="00F052C5" w:rsidRPr="006F07C8">
        <w:rPr>
          <w:rFonts w:ascii="Times New Roman" w:hAnsi="Times New Roman" w:cs="Times New Roman"/>
          <w:sz w:val="24"/>
          <w:szCs w:val="24"/>
          <w:lang w:val="it-IT"/>
        </w:rPr>
        <w:t>”</w:t>
      </w:r>
      <w:r w:rsidR="005E1C3A" w:rsidRPr="006F07C8">
        <w:rPr>
          <w:rFonts w:ascii="Times New Roman" w:hAnsi="Times New Roman" w:cs="Times New Roman"/>
          <w:sz w:val="24"/>
          <w:szCs w:val="24"/>
          <w:lang w:val="it-IT"/>
        </w:rPr>
        <w:t xml:space="preserve"> </w:t>
      </w:r>
      <w:r w:rsidR="001A75E1" w:rsidRPr="006F07C8">
        <w:rPr>
          <w:rFonts w:ascii="Times New Roman" w:hAnsi="Times New Roman" w:cs="Times New Roman"/>
          <w:sz w:val="24"/>
          <w:szCs w:val="24"/>
          <w:lang w:val="it-IT"/>
        </w:rPr>
        <w:t xml:space="preserve">(Commissione europea </w:t>
      </w:r>
      <w:hyperlink w:anchor="_ENREF_16" w:tooltip="Commissione europea, 2012 #925" w:history="1">
        <w:r w:rsidR="00101624" w:rsidRPr="006F07C8">
          <w:rPr>
            <w:rFonts w:ascii="Times New Roman" w:hAnsi="Times New Roman" w:cs="Times New Roman"/>
            <w:sz w:val="24"/>
            <w:szCs w:val="24"/>
            <w:lang w:val="it-IT"/>
          </w:rPr>
          <w:fldChar w:fldCharType="begin"/>
        </w:r>
        <w:r w:rsidR="00101624" w:rsidRPr="006F07C8">
          <w:rPr>
            <w:rFonts w:ascii="Times New Roman" w:hAnsi="Times New Roman" w:cs="Times New Roman"/>
            <w:sz w:val="24"/>
            <w:szCs w:val="24"/>
            <w:lang w:val="it-IT"/>
          </w:rPr>
          <w:instrText xml:space="preserve"> ADDIN EN.CITE &lt;EndNote&gt;&lt;Cite ExcludeAuth="1"&gt;&lt;Author&gt;Commissione europea&lt;/Author&gt;&lt;Year&gt;2012&lt;/Year&gt;&lt;RecNum&gt;925&lt;/RecNum&gt;&lt;Pages&gt;5&lt;/Pages&gt;&lt;DisplayText&gt;2012b: 5&lt;/DisplayText&gt;&lt;record&gt;&lt;rec-number&gt;925&lt;/rec-number&gt;&lt;foreign-keys&gt;&lt;key app="EN" db-id="wvvszzd93a0z5wesdfpvdv9z5wrra5p05axp"&gt;925&lt;/key&gt;&lt;/foreign-keys&gt;&lt;ref-type name="Report"&gt;27&lt;/ref-type&gt;&lt;contributors&gt;&lt;authors&gt;&lt;author&gt;Commissione europea,&lt;/author&gt;&lt;/authors&gt;&lt;/contributors&gt;&lt;titles&gt;&lt;title&gt;First European survey on language competences&lt;/title&gt;&lt;/titles&gt;&lt;dates&gt;&lt;year&gt;2012&lt;/year&gt;&lt;/dates&gt;&lt;pub-location&gt;Bruxelles&lt;/pub-location&gt;&lt;publisher&gt;Commissione europea&lt;/publisher&gt;&lt;urls&gt;&lt;/urls&gt;&lt;/record&gt;&lt;/Cite&gt;&lt;/EndNote&gt;</w:instrText>
        </w:r>
        <w:r w:rsidR="00101624" w:rsidRPr="006F07C8">
          <w:rPr>
            <w:rFonts w:ascii="Times New Roman" w:hAnsi="Times New Roman" w:cs="Times New Roman"/>
            <w:sz w:val="24"/>
            <w:szCs w:val="24"/>
            <w:lang w:val="it-IT"/>
          </w:rPr>
          <w:fldChar w:fldCharType="separate"/>
        </w:r>
        <w:r w:rsidR="00101624" w:rsidRPr="006F07C8">
          <w:rPr>
            <w:rFonts w:ascii="Times New Roman" w:hAnsi="Times New Roman" w:cs="Times New Roman"/>
            <w:noProof/>
            <w:sz w:val="24"/>
            <w:szCs w:val="24"/>
            <w:lang w:val="it-IT"/>
          </w:rPr>
          <w:t>2012b: 5</w:t>
        </w:r>
        <w:r w:rsidR="00101624" w:rsidRPr="006F07C8">
          <w:rPr>
            <w:rFonts w:ascii="Times New Roman" w:hAnsi="Times New Roman" w:cs="Times New Roman"/>
            <w:sz w:val="24"/>
            <w:szCs w:val="24"/>
            <w:lang w:val="it-IT"/>
          </w:rPr>
          <w:fldChar w:fldCharType="end"/>
        </w:r>
      </w:hyperlink>
      <w:r w:rsidR="001A75E1" w:rsidRPr="006F07C8">
        <w:rPr>
          <w:rFonts w:ascii="Times New Roman" w:hAnsi="Times New Roman" w:cs="Times New Roman"/>
          <w:sz w:val="24"/>
          <w:szCs w:val="24"/>
          <w:lang w:val="it-IT"/>
        </w:rPr>
        <w:t>)</w:t>
      </w:r>
      <w:r w:rsidR="005E1C3A" w:rsidRPr="006F07C8">
        <w:rPr>
          <w:rFonts w:ascii="Times New Roman" w:hAnsi="Times New Roman" w:cs="Times New Roman"/>
          <w:sz w:val="24"/>
          <w:szCs w:val="24"/>
          <w:lang w:val="it-IT"/>
        </w:rPr>
        <w:t xml:space="preserve">. </w:t>
      </w:r>
      <w:r w:rsidR="001A75E1" w:rsidRPr="006F07C8">
        <w:rPr>
          <w:rFonts w:ascii="Times New Roman" w:hAnsi="Times New Roman" w:cs="Times New Roman"/>
          <w:sz w:val="24"/>
          <w:szCs w:val="24"/>
          <w:lang w:val="it-IT"/>
        </w:rPr>
        <w:t>Ad esempio, s</w:t>
      </w:r>
      <w:r w:rsidR="005E1C3A" w:rsidRPr="006F07C8">
        <w:rPr>
          <w:rFonts w:ascii="Times New Roman" w:hAnsi="Times New Roman" w:cs="Times New Roman"/>
          <w:sz w:val="24"/>
          <w:szCs w:val="24"/>
          <w:lang w:val="it-IT"/>
        </w:rPr>
        <w:t>olo il 28% dei ragazzi testati ottiene un risultato pari al B2 del QCER per la lingua inglese, un livello intermedio superiore corrispondente all’incirca alla categorie “buono” della griglia per l’autovalutazione usata nella IEA. Percentuali inferiori sono registrate per il tedesco (9%) e francese (8%).</w:t>
      </w:r>
      <w:r w:rsidRPr="006F07C8">
        <w:rPr>
          <w:rFonts w:ascii="Times New Roman" w:hAnsi="Times New Roman" w:cs="Times New Roman"/>
          <w:sz w:val="24"/>
          <w:szCs w:val="24"/>
          <w:lang w:val="it-IT"/>
        </w:rPr>
        <w:t xml:space="preserve"> Vi sono ampi margini di miglioramento, ovviamente, ma l’acquisizione generalizzata di competenze eccellenti nelle maggiori lingue europee da parte di tutti non è attesa per </w:t>
      </w:r>
      <w:r w:rsidR="001A75E1" w:rsidRPr="006F07C8">
        <w:rPr>
          <w:rFonts w:ascii="Times New Roman" w:hAnsi="Times New Roman" w:cs="Times New Roman"/>
          <w:sz w:val="24"/>
          <w:szCs w:val="24"/>
          <w:lang w:val="it-IT"/>
        </w:rPr>
        <w:t>l’immediato futuro</w:t>
      </w:r>
      <w:r w:rsidR="00085BA6" w:rsidRPr="006F07C8">
        <w:rPr>
          <w:rFonts w:ascii="Times New Roman" w:hAnsi="Times New Roman" w:cs="Times New Roman"/>
          <w:sz w:val="24"/>
          <w:szCs w:val="24"/>
          <w:lang w:val="it-IT"/>
        </w:rPr>
        <w:t>, quantomeno non in tutti i paesi europei</w:t>
      </w:r>
      <w:r w:rsidRPr="006F07C8">
        <w:rPr>
          <w:rFonts w:ascii="Times New Roman" w:hAnsi="Times New Roman" w:cs="Times New Roman"/>
          <w:sz w:val="24"/>
          <w:szCs w:val="24"/>
          <w:lang w:val="it-IT"/>
        </w:rPr>
        <w:t>.</w:t>
      </w:r>
    </w:p>
    <w:p w:rsidR="00372993" w:rsidRPr="006F07C8" w:rsidRDefault="00062662" w:rsidP="002F52A9">
      <w:pPr>
        <w:spacing w:line="240" w:lineRule="auto"/>
        <w:jc w:val="both"/>
        <w:rPr>
          <w:rFonts w:ascii="Times New Roman" w:hAnsi="Times New Roman" w:cs="Times New Roman"/>
          <w:sz w:val="24"/>
          <w:szCs w:val="24"/>
          <w:lang w:val="it-IT"/>
        </w:rPr>
      </w:pPr>
      <w:r w:rsidRPr="006F07C8">
        <w:rPr>
          <w:rFonts w:ascii="Times New Roman" w:hAnsi="Times New Roman" w:cs="Times New Roman"/>
          <w:sz w:val="24"/>
          <w:szCs w:val="24"/>
          <w:lang w:val="it-IT"/>
        </w:rPr>
        <w:t>Si noti inoltre che l</w:t>
      </w:r>
      <w:r w:rsidR="0093617E" w:rsidRPr="006F07C8">
        <w:rPr>
          <w:rFonts w:ascii="Times New Roman" w:hAnsi="Times New Roman" w:cs="Times New Roman"/>
          <w:sz w:val="24"/>
          <w:szCs w:val="24"/>
          <w:lang w:val="it-IT"/>
        </w:rPr>
        <w:t xml:space="preserve">’insegnamento delle lingue </w:t>
      </w:r>
      <w:r w:rsidR="00E85945" w:rsidRPr="006F07C8">
        <w:rPr>
          <w:rFonts w:ascii="Times New Roman" w:hAnsi="Times New Roman" w:cs="Times New Roman"/>
          <w:sz w:val="24"/>
          <w:szCs w:val="24"/>
          <w:lang w:val="it-IT"/>
        </w:rPr>
        <w:t>seconde nei sistemi scolastici</w:t>
      </w:r>
      <w:r w:rsidR="0093617E" w:rsidRPr="006F07C8">
        <w:rPr>
          <w:rFonts w:ascii="Times New Roman" w:hAnsi="Times New Roman" w:cs="Times New Roman"/>
          <w:sz w:val="24"/>
          <w:szCs w:val="24"/>
          <w:lang w:val="it-IT"/>
        </w:rPr>
        <w:t xml:space="preserve"> richiede un </w:t>
      </w:r>
      <w:r w:rsidR="00E85945" w:rsidRPr="006F07C8">
        <w:rPr>
          <w:rFonts w:ascii="Times New Roman" w:hAnsi="Times New Roman" w:cs="Times New Roman"/>
          <w:sz w:val="24"/>
          <w:szCs w:val="24"/>
          <w:lang w:val="it-IT"/>
        </w:rPr>
        <w:t xml:space="preserve">notevole </w:t>
      </w:r>
      <w:r w:rsidR="0093617E" w:rsidRPr="006F07C8">
        <w:rPr>
          <w:rFonts w:ascii="Times New Roman" w:hAnsi="Times New Roman" w:cs="Times New Roman"/>
          <w:sz w:val="24"/>
          <w:szCs w:val="24"/>
          <w:lang w:val="it-IT"/>
        </w:rPr>
        <w:t xml:space="preserve">investimento di risorse per un </w:t>
      </w:r>
      <w:r w:rsidR="00E85945" w:rsidRPr="006F07C8">
        <w:rPr>
          <w:rFonts w:ascii="Times New Roman" w:hAnsi="Times New Roman" w:cs="Times New Roman"/>
          <w:sz w:val="24"/>
          <w:szCs w:val="24"/>
          <w:lang w:val="it-IT"/>
        </w:rPr>
        <w:t xml:space="preserve">lungo </w:t>
      </w:r>
      <w:r w:rsidR="0093617E" w:rsidRPr="006F07C8">
        <w:rPr>
          <w:rFonts w:ascii="Times New Roman" w:hAnsi="Times New Roman" w:cs="Times New Roman"/>
          <w:sz w:val="24"/>
          <w:szCs w:val="24"/>
          <w:lang w:val="it-IT"/>
        </w:rPr>
        <w:t xml:space="preserve">periodo di tempo per portare dei risultati. A mia conoscenza non esistono stime comparate dei costi di insegnamento delle lingue straniere nei vari paesi Europa; esistono tuttavia alcune stime per certi paesi. </w:t>
      </w:r>
      <w:r w:rsidR="00202FDA" w:rsidRPr="006F07C8">
        <w:rPr>
          <w:rFonts w:ascii="Times New Roman" w:hAnsi="Times New Roman" w:cs="Times New Roman"/>
          <w:sz w:val="24"/>
          <w:szCs w:val="24"/>
          <w:lang w:val="it-IT"/>
        </w:rPr>
        <w:t>In</w:t>
      </w:r>
      <w:r w:rsidR="00940D98" w:rsidRPr="006F07C8">
        <w:rPr>
          <w:rFonts w:ascii="Times New Roman" w:hAnsi="Times New Roman" w:cs="Times New Roman"/>
          <w:sz w:val="24"/>
          <w:szCs w:val="24"/>
          <w:lang w:val="it-IT"/>
        </w:rPr>
        <w:t xml:space="preserve"> Italia, ad esempio, </w:t>
      </w:r>
      <w:r w:rsidR="00202FDA" w:rsidRPr="006F07C8">
        <w:rPr>
          <w:rFonts w:ascii="Times New Roman" w:hAnsi="Times New Roman" w:cs="Times New Roman"/>
          <w:sz w:val="24"/>
          <w:szCs w:val="24"/>
          <w:lang w:val="it-IT"/>
        </w:rPr>
        <w:t xml:space="preserve">le spese </w:t>
      </w:r>
      <w:r w:rsidR="0049544F" w:rsidRPr="006F07C8">
        <w:rPr>
          <w:rFonts w:ascii="Times New Roman" w:hAnsi="Times New Roman" w:cs="Times New Roman"/>
          <w:sz w:val="24"/>
          <w:szCs w:val="24"/>
          <w:lang w:val="it-IT"/>
        </w:rPr>
        <w:t>a carico dello Stato destinate all</w:t>
      </w:r>
      <w:r w:rsidR="00202FDA" w:rsidRPr="006F07C8">
        <w:rPr>
          <w:rFonts w:ascii="Times New Roman" w:hAnsi="Times New Roman" w:cs="Times New Roman"/>
          <w:sz w:val="24"/>
          <w:szCs w:val="24"/>
          <w:lang w:val="it-IT"/>
        </w:rPr>
        <w:t xml:space="preserve">’insegnamento delle lingue straniere nella scuola pubblica </w:t>
      </w:r>
      <w:r w:rsidR="00BC2342" w:rsidRPr="006F07C8">
        <w:rPr>
          <w:rFonts w:ascii="Times New Roman" w:hAnsi="Times New Roman" w:cs="Times New Roman"/>
          <w:sz w:val="24"/>
          <w:szCs w:val="24"/>
          <w:lang w:val="it-IT"/>
        </w:rPr>
        <w:t xml:space="preserve">(elementari, medie e superiori) </w:t>
      </w:r>
      <w:r w:rsidR="00202FDA" w:rsidRPr="006F07C8">
        <w:rPr>
          <w:rFonts w:ascii="Times New Roman" w:hAnsi="Times New Roman" w:cs="Times New Roman"/>
          <w:sz w:val="24"/>
          <w:szCs w:val="24"/>
          <w:lang w:val="it-IT"/>
        </w:rPr>
        <w:t xml:space="preserve">nell’anno scolastico 2006/07 ammontavano a </w:t>
      </w:r>
      <w:r w:rsidR="00FA088C" w:rsidRPr="006F07C8">
        <w:rPr>
          <w:rFonts w:ascii="Times New Roman" w:hAnsi="Times New Roman" w:cs="Times New Roman"/>
          <w:sz w:val="24"/>
          <w:szCs w:val="24"/>
          <w:lang w:val="it-IT"/>
        </w:rPr>
        <w:t>€5,01 miliardi</w:t>
      </w:r>
      <w:r w:rsidR="0093617E" w:rsidRPr="006F07C8">
        <w:rPr>
          <w:rFonts w:ascii="Times New Roman" w:hAnsi="Times New Roman" w:cs="Times New Roman"/>
          <w:sz w:val="24"/>
          <w:szCs w:val="24"/>
          <w:lang w:val="it-IT"/>
        </w:rPr>
        <w:t>,</w:t>
      </w:r>
      <w:r w:rsidR="00FA088C" w:rsidRPr="006F07C8">
        <w:rPr>
          <w:rFonts w:ascii="Times New Roman" w:hAnsi="Times New Roman" w:cs="Times New Roman"/>
          <w:sz w:val="24"/>
          <w:szCs w:val="24"/>
          <w:lang w:val="it-IT"/>
        </w:rPr>
        <w:t xml:space="preserve"> cioè una cifra</w:t>
      </w:r>
      <w:r w:rsidR="0049544F" w:rsidRPr="006F07C8">
        <w:rPr>
          <w:rFonts w:ascii="Times New Roman" w:hAnsi="Times New Roman" w:cs="Times New Roman"/>
          <w:sz w:val="24"/>
          <w:szCs w:val="24"/>
          <w:lang w:val="it-IT"/>
        </w:rPr>
        <w:t xml:space="preserve"> pari allo 0,34% del PIL </w:t>
      </w:r>
      <w:r w:rsidR="00FA088C" w:rsidRPr="006F07C8">
        <w:rPr>
          <w:rFonts w:ascii="Times New Roman" w:hAnsi="Times New Roman" w:cs="Times New Roman"/>
          <w:sz w:val="24"/>
          <w:szCs w:val="24"/>
          <w:lang w:val="it-IT"/>
        </w:rPr>
        <w:t>nel 2006 o a €84,8 per cittadino</w:t>
      </w:r>
      <w:r w:rsidR="0093617E" w:rsidRPr="006F07C8">
        <w:rPr>
          <w:rFonts w:ascii="Times New Roman" w:hAnsi="Times New Roman" w:cs="Times New Roman"/>
          <w:sz w:val="24"/>
          <w:szCs w:val="24"/>
          <w:lang w:val="it-IT"/>
        </w:rPr>
        <w:t xml:space="preserve"> (</w:t>
      </w:r>
      <w:r w:rsidR="0093617E" w:rsidRPr="006F07C8">
        <w:rPr>
          <w:rFonts w:ascii="Times New Roman" w:hAnsi="Times New Roman" w:cs="Times New Roman"/>
          <w:noProof/>
          <w:sz w:val="24"/>
          <w:szCs w:val="24"/>
          <w:lang w:val="it-IT"/>
        </w:rPr>
        <w:t>Di Pietrantonio</w:t>
      </w:r>
      <w:r w:rsidR="0093617E" w:rsidRPr="006F07C8">
        <w:rPr>
          <w:rFonts w:ascii="Times New Roman" w:hAnsi="Times New Roman" w:cs="Times New Roman"/>
          <w:sz w:val="24"/>
          <w:szCs w:val="24"/>
          <w:lang w:val="it-IT"/>
        </w:rPr>
        <w:t xml:space="preserve"> </w:t>
      </w:r>
      <w:hyperlink w:anchor="_ENREF_24" w:tooltip="Di Pietrantonio, 2012 #812" w:history="1">
        <w:r w:rsidR="00101624" w:rsidRPr="006F07C8">
          <w:rPr>
            <w:rFonts w:ascii="Times New Roman" w:hAnsi="Times New Roman" w:cs="Times New Roman"/>
            <w:sz w:val="24"/>
            <w:szCs w:val="24"/>
            <w:lang w:val="it-IT"/>
          </w:rPr>
          <w:fldChar w:fldCharType="begin"/>
        </w:r>
        <w:r w:rsidR="00101624" w:rsidRPr="006F07C8">
          <w:rPr>
            <w:rFonts w:ascii="Times New Roman" w:hAnsi="Times New Roman" w:cs="Times New Roman"/>
            <w:sz w:val="24"/>
            <w:szCs w:val="24"/>
            <w:lang w:val="it-IT"/>
          </w:rPr>
          <w:instrText xml:space="preserve"> ADDIN EN.CITE &lt;EndNote&gt;&lt;Cite ExcludeAuth="1"&gt;&lt;Author&gt;Di Pietrantonio&lt;/Author&gt;&lt;Year&gt;2012&lt;/Year&gt;&lt;RecNum&gt;812&lt;/RecNum&gt;&lt;DisplayText&gt;2012&lt;/DisplayText&gt;&lt;record&gt;&lt;rec-number&gt;812&lt;/rec-number&gt;&lt;foreign-keys&gt;&lt;key app="EN" db-id="wvvszzd93a0z5wesdfpvdv9z5wrra5p05axp"&gt;812&lt;/key&gt;&lt;/foreign-keys&gt;&lt;ref-type name="Thesis"&gt;32&lt;/ref-type&gt;&lt;contributors&gt;&lt;authors&gt;&lt;author&gt;Di Pietrantonio, Sara&lt;/author&gt;&lt;/authors&gt;&lt;/contributors&gt;&lt;titles&gt;&lt;title&gt;L’insegnamento delle lingue straniere come politica pubblica: il caso italiano&lt;/title&gt;&lt;secondary-title&gt;Facoltà di Lettere e filosofia &lt;/secondary-title&gt;&lt;/titles&gt;&lt;dates&gt;&lt;year&gt;2012&lt;/year&gt;&lt;/dates&gt;&lt;pub-location&gt;L&amp;apos;Aquila&lt;/pub-location&gt;&lt;publisher&gt;Università degli Studi dell’Aquila&lt;/publisher&gt;&lt;work-type&gt;Master dissertation&lt;/work-type&gt;&lt;urls&gt;&lt;/urls&gt;&lt;/record&gt;&lt;/Cite&gt;&lt;/EndNote&gt;</w:instrText>
        </w:r>
        <w:r w:rsidR="00101624" w:rsidRPr="006F07C8">
          <w:rPr>
            <w:rFonts w:ascii="Times New Roman" w:hAnsi="Times New Roman" w:cs="Times New Roman"/>
            <w:sz w:val="24"/>
            <w:szCs w:val="24"/>
            <w:lang w:val="it-IT"/>
          </w:rPr>
          <w:fldChar w:fldCharType="separate"/>
        </w:r>
        <w:r w:rsidR="00101624" w:rsidRPr="006F07C8">
          <w:rPr>
            <w:rFonts w:ascii="Times New Roman" w:hAnsi="Times New Roman" w:cs="Times New Roman"/>
            <w:noProof/>
            <w:sz w:val="24"/>
            <w:szCs w:val="24"/>
            <w:lang w:val="it-IT"/>
          </w:rPr>
          <w:t>2012</w:t>
        </w:r>
        <w:r w:rsidR="00101624" w:rsidRPr="006F07C8">
          <w:rPr>
            <w:rFonts w:ascii="Times New Roman" w:hAnsi="Times New Roman" w:cs="Times New Roman"/>
            <w:sz w:val="24"/>
            <w:szCs w:val="24"/>
            <w:lang w:val="it-IT"/>
          </w:rPr>
          <w:fldChar w:fldCharType="end"/>
        </w:r>
      </w:hyperlink>
      <w:r w:rsidR="0093617E" w:rsidRPr="006F07C8">
        <w:rPr>
          <w:rFonts w:ascii="Times New Roman" w:hAnsi="Times New Roman" w:cs="Times New Roman"/>
          <w:sz w:val="24"/>
          <w:szCs w:val="24"/>
          <w:lang w:val="it-IT"/>
        </w:rPr>
        <w:t>)</w:t>
      </w:r>
      <w:r w:rsidR="007E53EF" w:rsidRPr="006F07C8">
        <w:rPr>
          <w:rFonts w:ascii="Times New Roman" w:hAnsi="Times New Roman" w:cs="Times New Roman"/>
          <w:sz w:val="24"/>
          <w:szCs w:val="24"/>
          <w:lang w:val="it-IT"/>
        </w:rPr>
        <w:t xml:space="preserve">. Il 76% della </w:t>
      </w:r>
      <w:r w:rsidR="00FA088C" w:rsidRPr="006F07C8">
        <w:rPr>
          <w:rFonts w:ascii="Times New Roman" w:hAnsi="Times New Roman" w:cs="Times New Roman"/>
          <w:sz w:val="24"/>
          <w:szCs w:val="24"/>
          <w:lang w:val="it-IT"/>
        </w:rPr>
        <w:t xml:space="preserve">spesa </w:t>
      </w:r>
      <w:r w:rsidR="007E53EF" w:rsidRPr="006F07C8">
        <w:rPr>
          <w:rFonts w:ascii="Times New Roman" w:hAnsi="Times New Roman" w:cs="Times New Roman"/>
          <w:sz w:val="24"/>
          <w:szCs w:val="24"/>
          <w:lang w:val="it-IT"/>
        </w:rPr>
        <w:t xml:space="preserve">scolastica per le lingue straniere </w:t>
      </w:r>
      <w:r w:rsidR="00FA088C" w:rsidRPr="006F07C8">
        <w:rPr>
          <w:rFonts w:ascii="Times New Roman" w:hAnsi="Times New Roman" w:cs="Times New Roman"/>
          <w:sz w:val="24"/>
          <w:szCs w:val="24"/>
          <w:lang w:val="it-IT"/>
        </w:rPr>
        <w:t xml:space="preserve">è destinata all’insegnamento dell’inglese, per un valore di €3,81 miliardi all’anno, pari allo </w:t>
      </w:r>
      <w:r w:rsidR="0049544F" w:rsidRPr="006F07C8">
        <w:rPr>
          <w:rFonts w:ascii="Times New Roman" w:hAnsi="Times New Roman" w:cs="Times New Roman"/>
          <w:sz w:val="24"/>
          <w:szCs w:val="24"/>
          <w:lang w:val="it-IT"/>
        </w:rPr>
        <w:t xml:space="preserve">0,26% del PIL </w:t>
      </w:r>
      <w:r w:rsidR="00FA088C" w:rsidRPr="006F07C8">
        <w:rPr>
          <w:rFonts w:ascii="Times New Roman" w:hAnsi="Times New Roman" w:cs="Times New Roman"/>
          <w:sz w:val="24"/>
          <w:szCs w:val="24"/>
          <w:lang w:val="it-IT"/>
        </w:rPr>
        <w:t>o €64,4 a cittadino</w:t>
      </w:r>
      <w:r w:rsidR="007E53EF" w:rsidRPr="006F07C8">
        <w:rPr>
          <w:rFonts w:ascii="Times New Roman" w:hAnsi="Times New Roman" w:cs="Times New Roman"/>
          <w:sz w:val="24"/>
          <w:szCs w:val="24"/>
          <w:lang w:val="it-IT"/>
        </w:rPr>
        <w:t>, e questa percentuale è destinata ad aumentare in seguito all’introduzione del cosiddetto “inglese potenziato”, cioè la possibilità di utilizzare per l’inglese anche il monte ore destinato alla seconda lingua comunitaria</w:t>
      </w:r>
      <w:r w:rsidR="00FA088C" w:rsidRPr="006F07C8">
        <w:rPr>
          <w:rFonts w:ascii="Times New Roman" w:hAnsi="Times New Roman" w:cs="Times New Roman"/>
          <w:sz w:val="24"/>
          <w:szCs w:val="24"/>
          <w:lang w:val="it-IT"/>
        </w:rPr>
        <w:t xml:space="preserve">. </w:t>
      </w:r>
      <w:r w:rsidR="0093617E" w:rsidRPr="006F07C8">
        <w:rPr>
          <w:rFonts w:ascii="Times New Roman" w:hAnsi="Times New Roman" w:cs="Times New Roman"/>
          <w:sz w:val="24"/>
          <w:szCs w:val="24"/>
          <w:lang w:val="it-IT"/>
        </w:rPr>
        <w:t>In Francia, n</w:t>
      </w:r>
      <w:r w:rsidR="00BC2342" w:rsidRPr="006F07C8">
        <w:rPr>
          <w:rFonts w:ascii="Times New Roman" w:hAnsi="Times New Roman" w:cs="Times New Roman"/>
          <w:sz w:val="24"/>
          <w:szCs w:val="24"/>
          <w:lang w:val="it-IT"/>
        </w:rPr>
        <w:t xml:space="preserve">el 2004, </w:t>
      </w:r>
      <w:r w:rsidR="00FA088C" w:rsidRPr="006F07C8">
        <w:rPr>
          <w:rFonts w:ascii="Times New Roman" w:hAnsi="Times New Roman" w:cs="Times New Roman"/>
          <w:sz w:val="24"/>
          <w:szCs w:val="24"/>
          <w:lang w:val="it-IT"/>
        </w:rPr>
        <w:t xml:space="preserve">le spese </w:t>
      </w:r>
      <w:r w:rsidR="00BC2342" w:rsidRPr="006F07C8">
        <w:rPr>
          <w:rFonts w:ascii="Times New Roman" w:hAnsi="Times New Roman" w:cs="Times New Roman"/>
          <w:sz w:val="24"/>
          <w:szCs w:val="24"/>
          <w:lang w:val="it-IT"/>
        </w:rPr>
        <w:t>per l’insegnamento delle lingue straniere nelle scuole pubbliche ammontava</w:t>
      </w:r>
      <w:r w:rsidR="0093617E" w:rsidRPr="006F07C8">
        <w:rPr>
          <w:rFonts w:ascii="Times New Roman" w:hAnsi="Times New Roman" w:cs="Times New Roman"/>
          <w:sz w:val="24"/>
          <w:szCs w:val="24"/>
          <w:lang w:val="it-IT"/>
        </w:rPr>
        <w:t>no</w:t>
      </w:r>
      <w:r w:rsidR="00BC2342" w:rsidRPr="006F07C8">
        <w:rPr>
          <w:rFonts w:ascii="Times New Roman" w:hAnsi="Times New Roman" w:cs="Times New Roman"/>
          <w:sz w:val="24"/>
          <w:szCs w:val="24"/>
          <w:lang w:val="it-IT"/>
        </w:rPr>
        <w:t xml:space="preserve"> a €8,23 miliardi (il 10% della spesa totale per l’istruzione nazionale, esclusa quella terziaria), pari a €137</w:t>
      </w:r>
      <w:r w:rsidR="003B2C1A" w:rsidRPr="006F07C8">
        <w:rPr>
          <w:rFonts w:ascii="Times New Roman" w:hAnsi="Times New Roman" w:cs="Times New Roman"/>
          <w:sz w:val="24"/>
          <w:szCs w:val="24"/>
          <w:lang w:val="it-IT"/>
        </w:rPr>
        <w:t xml:space="preserve"> per</w:t>
      </w:r>
      <w:r w:rsidR="00BC2342" w:rsidRPr="006F07C8">
        <w:rPr>
          <w:rFonts w:ascii="Times New Roman" w:hAnsi="Times New Roman" w:cs="Times New Roman"/>
          <w:sz w:val="24"/>
          <w:szCs w:val="24"/>
          <w:lang w:val="it-IT"/>
        </w:rPr>
        <w:t xml:space="preserve"> cittadino o </w:t>
      </w:r>
      <w:r w:rsidR="003B2C1A" w:rsidRPr="006F07C8">
        <w:rPr>
          <w:rFonts w:ascii="Times New Roman" w:hAnsi="Times New Roman" w:cs="Times New Roman"/>
          <w:sz w:val="24"/>
          <w:szCs w:val="24"/>
          <w:lang w:val="it-IT"/>
        </w:rPr>
        <w:t xml:space="preserve">0,5% del PIL (Grin </w:t>
      </w:r>
      <w:hyperlink w:anchor="_ENREF_42" w:tooltip="Grin, 2009 #471" w:history="1">
        <w:r w:rsidR="00101624" w:rsidRPr="006F07C8">
          <w:rPr>
            <w:rFonts w:ascii="Times New Roman" w:hAnsi="Times New Roman" w:cs="Times New Roman"/>
            <w:sz w:val="24"/>
            <w:szCs w:val="24"/>
            <w:lang w:val="it-IT"/>
          </w:rPr>
          <w:fldChar w:fldCharType="begin"/>
        </w:r>
        <w:r w:rsidR="00101624" w:rsidRPr="006F07C8">
          <w:rPr>
            <w:rFonts w:ascii="Times New Roman" w:hAnsi="Times New Roman" w:cs="Times New Roman"/>
            <w:sz w:val="24"/>
            <w:szCs w:val="24"/>
            <w:lang w:val="it-IT"/>
          </w:rPr>
          <w:instrText xml:space="preserve"> ADDIN EN.CITE &lt;EndNote&gt;&lt;Cite ExcludeAuth="1"&gt;&lt;Author&gt;Grin&lt;/Author&gt;&lt;Year&gt;2009&lt;/Year&gt;&lt;RecNum&gt;471&lt;/RecNum&gt;&lt;Pages&gt;87&lt;/Pages&gt;&lt;DisplayText&gt;2009: 87&lt;/DisplayText&gt;&lt;record&gt;&lt;rec-number&gt;471&lt;/rec-number&gt;&lt;foreign-keys&gt;&lt;key app="EN" db-id="wvvszzd93a0z5wesdfpvdv9z5wrra5p05axp"&gt;471&lt;/key&gt;&lt;/foreign-keys&gt;&lt;ref-type name="Book"&gt;6&lt;/ref-type&gt;&lt;contributors&gt;&lt;authors&gt;&lt;author&gt;Grin, François&lt;/author&gt;&lt;/authors&gt;&lt;/contributors&gt;&lt;titles&gt;&lt;title&gt;L’insegnamento delle lingue straniere come politica pubblica&lt;/title&gt;&lt;translated-title&gt;trad. italiana di &amp;quot;L’enseignement des langues étrangères comme politique publique&amp;quot;. Parigi: Haut Conseil de l’Évaluation de l’École, 2005&lt;/translated-title&gt;&lt;/titles&gt;&lt;dates&gt;&lt;year&gt;2009&lt;/year&gt;&lt;/dates&gt;&lt;pub-location&gt;Roma&lt;/pub-location&gt;&lt;publisher&gt;“Esperanto” Radikala Asocio (ERA) Onlus &lt;/publisher&gt;&lt;urls&gt;&lt;/urls&gt;&lt;/record&gt;&lt;/Cite&gt;&lt;/EndNote&gt;</w:instrText>
        </w:r>
        <w:r w:rsidR="00101624" w:rsidRPr="006F07C8">
          <w:rPr>
            <w:rFonts w:ascii="Times New Roman" w:hAnsi="Times New Roman" w:cs="Times New Roman"/>
            <w:sz w:val="24"/>
            <w:szCs w:val="24"/>
            <w:lang w:val="it-IT"/>
          </w:rPr>
          <w:fldChar w:fldCharType="separate"/>
        </w:r>
        <w:r w:rsidR="00101624" w:rsidRPr="006F07C8">
          <w:rPr>
            <w:rFonts w:ascii="Times New Roman" w:hAnsi="Times New Roman" w:cs="Times New Roman"/>
            <w:noProof/>
            <w:sz w:val="24"/>
            <w:szCs w:val="24"/>
            <w:lang w:val="it-IT"/>
          </w:rPr>
          <w:t>2009: 87</w:t>
        </w:r>
        <w:r w:rsidR="00101624" w:rsidRPr="006F07C8">
          <w:rPr>
            <w:rFonts w:ascii="Times New Roman" w:hAnsi="Times New Roman" w:cs="Times New Roman"/>
            <w:sz w:val="24"/>
            <w:szCs w:val="24"/>
            <w:lang w:val="it-IT"/>
          </w:rPr>
          <w:fldChar w:fldCharType="end"/>
        </w:r>
      </w:hyperlink>
      <w:r w:rsidR="003B2C1A" w:rsidRPr="006F07C8">
        <w:rPr>
          <w:rFonts w:ascii="Times New Roman" w:hAnsi="Times New Roman" w:cs="Times New Roman"/>
          <w:sz w:val="24"/>
          <w:szCs w:val="24"/>
          <w:lang w:val="it-IT"/>
        </w:rPr>
        <w:t xml:space="preserve"> [</w:t>
      </w:r>
      <w:hyperlink w:anchor="_ENREF_40" w:tooltip="Grin, 2005 #242" w:history="1">
        <w:r w:rsidR="00101624" w:rsidRPr="006F07C8">
          <w:rPr>
            <w:rFonts w:ascii="Times New Roman" w:hAnsi="Times New Roman" w:cs="Times New Roman"/>
            <w:sz w:val="24"/>
            <w:szCs w:val="24"/>
            <w:lang w:val="it-IT"/>
          </w:rPr>
          <w:fldChar w:fldCharType="begin"/>
        </w:r>
        <w:r w:rsidR="00101624" w:rsidRPr="006F07C8">
          <w:rPr>
            <w:rFonts w:ascii="Times New Roman" w:hAnsi="Times New Roman" w:cs="Times New Roman"/>
            <w:sz w:val="24"/>
            <w:szCs w:val="24"/>
            <w:lang w:val="it-IT"/>
          </w:rPr>
          <w:instrText xml:space="preserve"> ADDIN EN.CITE &lt;EndNote&gt;&lt;Cite ExcludeAuth="1"&gt;&lt;Author&gt;Grin&lt;/Author&gt;&lt;Year&gt;2005&lt;/Year&gt;&lt;RecNum&gt;242&lt;/RecNum&gt;&lt;DisplayText&gt;2005&lt;/DisplayText&gt;&lt;record&gt;&lt;rec-number&gt;242&lt;/rec-number&gt;&lt;foreign-keys&gt;&lt;key app="EN" db-id="wvvszzd93a0z5wesdfpvdv9z5wrra5p05axp"&gt;242&lt;/key&gt;&lt;/foreign-keys&gt;&lt;ref-type name="Report"&gt;27&lt;/ref-type&gt;&lt;contributors&gt;&lt;authors&gt;&lt;author&gt;Grin, François&lt;/author&gt;&lt;/authors&gt;&lt;/contributors&gt;&lt;titles&gt;&lt;title&gt;L&amp;apos;enseignement des langues étrangères comme politique publique&lt;/title&gt;&lt;secondary-title&gt;19&lt;/secondary-title&gt;&lt;/titles&gt;&lt;dates&gt;&lt;year&gt;2005&lt;/year&gt;&lt;/dates&gt;&lt;pub-location&gt;Paris&lt;/pub-location&gt;&lt;publisher&gt;Rapport au Haut Conseil de l&amp;apos;évaluation de l&amp;apos;école&lt;/publisher&gt;&lt;urls&gt;&lt;/urls&gt;&lt;/record&gt;&lt;/Cite&gt;&lt;/EndNote&gt;</w:instrText>
        </w:r>
        <w:r w:rsidR="00101624" w:rsidRPr="006F07C8">
          <w:rPr>
            <w:rFonts w:ascii="Times New Roman" w:hAnsi="Times New Roman" w:cs="Times New Roman"/>
            <w:sz w:val="24"/>
            <w:szCs w:val="24"/>
            <w:lang w:val="it-IT"/>
          </w:rPr>
          <w:fldChar w:fldCharType="separate"/>
        </w:r>
        <w:r w:rsidR="00101624" w:rsidRPr="006F07C8">
          <w:rPr>
            <w:rFonts w:ascii="Times New Roman" w:hAnsi="Times New Roman" w:cs="Times New Roman"/>
            <w:noProof/>
            <w:sz w:val="24"/>
            <w:szCs w:val="24"/>
            <w:lang w:val="it-IT"/>
          </w:rPr>
          <w:t>2005</w:t>
        </w:r>
        <w:r w:rsidR="00101624" w:rsidRPr="006F07C8">
          <w:rPr>
            <w:rFonts w:ascii="Times New Roman" w:hAnsi="Times New Roman" w:cs="Times New Roman"/>
            <w:sz w:val="24"/>
            <w:szCs w:val="24"/>
            <w:lang w:val="it-IT"/>
          </w:rPr>
          <w:fldChar w:fldCharType="end"/>
        </w:r>
      </w:hyperlink>
      <w:r w:rsidR="003B2C1A" w:rsidRPr="006F07C8">
        <w:rPr>
          <w:rFonts w:ascii="Times New Roman" w:hAnsi="Times New Roman" w:cs="Times New Roman"/>
          <w:sz w:val="24"/>
          <w:szCs w:val="24"/>
          <w:lang w:val="it-IT"/>
        </w:rPr>
        <w:t>])</w:t>
      </w:r>
      <w:r w:rsidR="007E53EF" w:rsidRPr="006F07C8">
        <w:rPr>
          <w:rFonts w:ascii="Times New Roman" w:hAnsi="Times New Roman" w:cs="Times New Roman"/>
          <w:sz w:val="24"/>
          <w:szCs w:val="24"/>
          <w:lang w:val="it-IT"/>
        </w:rPr>
        <w:t xml:space="preserve">. Nel Regno Unito, </w:t>
      </w:r>
      <w:r w:rsidR="00372993" w:rsidRPr="006F07C8">
        <w:rPr>
          <w:rFonts w:ascii="Times New Roman" w:hAnsi="Times New Roman" w:cs="Times New Roman"/>
          <w:sz w:val="24"/>
          <w:szCs w:val="24"/>
          <w:lang w:val="it-IT"/>
        </w:rPr>
        <w:t xml:space="preserve">anche </w:t>
      </w:r>
      <w:r w:rsidR="007E53EF" w:rsidRPr="006F07C8">
        <w:rPr>
          <w:rFonts w:ascii="Times New Roman" w:hAnsi="Times New Roman" w:cs="Times New Roman"/>
          <w:sz w:val="24"/>
          <w:szCs w:val="24"/>
          <w:lang w:val="it-IT"/>
        </w:rPr>
        <w:t>grazie alla diffusione internazionale dell’inglese, l</w:t>
      </w:r>
      <w:r w:rsidR="00372993" w:rsidRPr="006F07C8">
        <w:rPr>
          <w:rFonts w:ascii="Times New Roman" w:hAnsi="Times New Roman" w:cs="Times New Roman"/>
          <w:sz w:val="24"/>
          <w:szCs w:val="24"/>
          <w:lang w:val="it-IT"/>
        </w:rPr>
        <w:t>a</w:t>
      </w:r>
      <w:r w:rsidR="007E53EF" w:rsidRPr="006F07C8">
        <w:rPr>
          <w:rFonts w:ascii="Times New Roman" w:hAnsi="Times New Roman" w:cs="Times New Roman"/>
          <w:sz w:val="24"/>
          <w:szCs w:val="24"/>
          <w:lang w:val="it-IT"/>
        </w:rPr>
        <w:t xml:space="preserve"> spes</w:t>
      </w:r>
      <w:r w:rsidR="00372993" w:rsidRPr="006F07C8">
        <w:rPr>
          <w:rFonts w:ascii="Times New Roman" w:hAnsi="Times New Roman" w:cs="Times New Roman"/>
          <w:sz w:val="24"/>
          <w:szCs w:val="24"/>
          <w:lang w:val="it-IT"/>
        </w:rPr>
        <w:t>a pubblica</w:t>
      </w:r>
      <w:r w:rsidR="007E53EF" w:rsidRPr="006F07C8">
        <w:rPr>
          <w:rFonts w:ascii="Times New Roman" w:hAnsi="Times New Roman" w:cs="Times New Roman"/>
          <w:sz w:val="24"/>
          <w:szCs w:val="24"/>
          <w:lang w:val="it-IT"/>
        </w:rPr>
        <w:t xml:space="preserve"> per l’insegnamento delle lingue straniere è molto inferiore a quella italiana o francese</w:t>
      </w:r>
      <w:r w:rsidR="00E85945" w:rsidRPr="006F07C8">
        <w:rPr>
          <w:rFonts w:ascii="Times New Roman" w:hAnsi="Times New Roman" w:cs="Times New Roman"/>
          <w:sz w:val="24"/>
          <w:szCs w:val="24"/>
          <w:lang w:val="it-IT"/>
        </w:rPr>
        <w:t xml:space="preserve">; si tratta di </w:t>
      </w:r>
      <w:r w:rsidR="007E53EF" w:rsidRPr="006F07C8">
        <w:rPr>
          <w:rFonts w:ascii="Times New Roman" w:hAnsi="Times New Roman" w:cs="Times New Roman"/>
          <w:sz w:val="24"/>
          <w:szCs w:val="24"/>
          <w:lang w:val="it-IT"/>
        </w:rPr>
        <w:t>€2,</w:t>
      </w:r>
      <w:r w:rsidR="00E85945" w:rsidRPr="006F07C8">
        <w:rPr>
          <w:rFonts w:ascii="Times New Roman" w:hAnsi="Times New Roman" w:cs="Times New Roman"/>
          <w:sz w:val="24"/>
          <w:szCs w:val="24"/>
          <w:lang w:val="it-IT"/>
        </w:rPr>
        <w:t>16 miliardi all’anno (dati per il 2003), pari a €36,25 per cittadino</w:t>
      </w:r>
      <w:r w:rsidR="007E53EF" w:rsidRPr="006F07C8">
        <w:rPr>
          <w:rFonts w:ascii="Times New Roman" w:hAnsi="Times New Roman" w:cs="Times New Roman"/>
          <w:sz w:val="24"/>
          <w:szCs w:val="24"/>
          <w:lang w:val="it-IT"/>
        </w:rPr>
        <w:t xml:space="preserve"> </w:t>
      </w:r>
      <w:r w:rsidR="00E85945" w:rsidRPr="006F07C8">
        <w:rPr>
          <w:rFonts w:ascii="Times New Roman" w:hAnsi="Times New Roman" w:cs="Times New Roman"/>
          <w:sz w:val="24"/>
          <w:szCs w:val="24"/>
          <w:lang w:val="it-IT"/>
        </w:rPr>
        <w:t xml:space="preserve">(Grin </w:t>
      </w:r>
      <w:hyperlink w:anchor="_ENREF_42" w:tooltip="Grin, 2009 #471" w:history="1">
        <w:r w:rsidR="00101624" w:rsidRPr="006F07C8">
          <w:rPr>
            <w:rFonts w:ascii="Times New Roman" w:hAnsi="Times New Roman" w:cs="Times New Roman"/>
            <w:sz w:val="24"/>
            <w:szCs w:val="24"/>
            <w:lang w:val="it-IT"/>
          </w:rPr>
          <w:fldChar w:fldCharType="begin"/>
        </w:r>
        <w:r w:rsidR="00101624" w:rsidRPr="006F07C8">
          <w:rPr>
            <w:rFonts w:ascii="Times New Roman" w:hAnsi="Times New Roman" w:cs="Times New Roman"/>
            <w:sz w:val="24"/>
            <w:szCs w:val="24"/>
            <w:lang w:val="it-IT"/>
          </w:rPr>
          <w:instrText xml:space="preserve"> ADDIN EN.CITE &lt;EndNote&gt;&lt;Cite ExcludeAuth="1"&gt;&lt;Author&gt;Grin&lt;/Author&gt;&lt;Year&gt;2009&lt;/Year&gt;&lt;RecNum&gt;471&lt;/RecNum&gt;&lt;Pages&gt;89&lt;/Pages&gt;&lt;DisplayText&gt;2009: 89&lt;/DisplayText&gt;&lt;record&gt;&lt;rec-number&gt;471&lt;/rec-number&gt;&lt;foreign-keys&gt;&lt;key app="EN" db-id="wvvszzd93a0z5wesdfpvdv9z5wrra5p05axp"&gt;471&lt;/key&gt;&lt;/foreign-keys&gt;&lt;ref-type name="Book"&gt;6&lt;/ref-type&gt;&lt;contributors&gt;&lt;authors&gt;&lt;author&gt;Grin, François&lt;/author&gt;&lt;/authors&gt;&lt;/contributors&gt;&lt;titles&gt;&lt;title&gt;L’insegnamento delle lingue straniere come politica pubblica&lt;/title&gt;&lt;translated-title&gt;trad. italiana di &amp;quot;L’enseignement des langues étrangères comme politique publique&amp;quot;. Parigi: Haut Conseil de l’Évaluation de l’École, 2005&lt;/translated-title&gt;&lt;/titles&gt;&lt;dates&gt;&lt;year&gt;2009&lt;/year&gt;&lt;/dates&gt;&lt;pub-location&gt;Roma&lt;/pub-location&gt;&lt;publisher&gt;“Esperanto” Radikala Asocio (ERA) Onlus &lt;/publisher&gt;&lt;urls&gt;&lt;/urls&gt;&lt;/record&gt;&lt;/Cite&gt;&lt;/EndNote&gt;</w:instrText>
        </w:r>
        <w:r w:rsidR="00101624" w:rsidRPr="006F07C8">
          <w:rPr>
            <w:rFonts w:ascii="Times New Roman" w:hAnsi="Times New Roman" w:cs="Times New Roman"/>
            <w:sz w:val="24"/>
            <w:szCs w:val="24"/>
            <w:lang w:val="it-IT"/>
          </w:rPr>
          <w:fldChar w:fldCharType="separate"/>
        </w:r>
        <w:r w:rsidR="00101624" w:rsidRPr="006F07C8">
          <w:rPr>
            <w:rFonts w:ascii="Times New Roman" w:hAnsi="Times New Roman" w:cs="Times New Roman"/>
            <w:noProof/>
            <w:sz w:val="24"/>
            <w:szCs w:val="24"/>
            <w:lang w:val="it-IT"/>
          </w:rPr>
          <w:t>2009: 89</w:t>
        </w:r>
        <w:r w:rsidR="00101624" w:rsidRPr="006F07C8">
          <w:rPr>
            <w:rFonts w:ascii="Times New Roman" w:hAnsi="Times New Roman" w:cs="Times New Roman"/>
            <w:sz w:val="24"/>
            <w:szCs w:val="24"/>
            <w:lang w:val="it-IT"/>
          </w:rPr>
          <w:fldChar w:fldCharType="end"/>
        </w:r>
      </w:hyperlink>
      <w:r w:rsidR="00E85945" w:rsidRPr="006F07C8">
        <w:rPr>
          <w:rFonts w:ascii="Times New Roman" w:hAnsi="Times New Roman" w:cs="Times New Roman"/>
          <w:sz w:val="24"/>
          <w:szCs w:val="24"/>
          <w:lang w:val="it-IT"/>
        </w:rPr>
        <w:t xml:space="preserve"> [</w:t>
      </w:r>
      <w:hyperlink w:anchor="_ENREF_40" w:tooltip="Grin, 2005 #242" w:history="1">
        <w:r w:rsidR="00101624" w:rsidRPr="006F07C8">
          <w:rPr>
            <w:rFonts w:ascii="Times New Roman" w:hAnsi="Times New Roman" w:cs="Times New Roman"/>
            <w:sz w:val="24"/>
            <w:szCs w:val="24"/>
            <w:lang w:val="it-IT"/>
          </w:rPr>
          <w:fldChar w:fldCharType="begin"/>
        </w:r>
        <w:r w:rsidR="00101624" w:rsidRPr="006F07C8">
          <w:rPr>
            <w:rFonts w:ascii="Times New Roman" w:hAnsi="Times New Roman" w:cs="Times New Roman"/>
            <w:sz w:val="24"/>
            <w:szCs w:val="24"/>
            <w:lang w:val="it-IT"/>
          </w:rPr>
          <w:instrText xml:space="preserve"> ADDIN EN.CITE &lt;EndNote&gt;&lt;Cite ExcludeAuth="1"&gt;&lt;Author&gt;Grin&lt;/Author&gt;&lt;Year&gt;2005&lt;/Year&gt;&lt;RecNum&gt;242&lt;/RecNum&gt;&lt;DisplayText&gt;2005&lt;/DisplayText&gt;&lt;record&gt;&lt;rec-number&gt;242&lt;/rec-number&gt;&lt;foreign-keys&gt;&lt;key app="EN" db-id="wvvszzd93a0z5wesdfpvdv9z5wrra5p05axp"&gt;242&lt;/key&gt;&lt;/foreign-keys&gt;&lt;ref-type name="Report"&gt;27&lt;/ref-type&gt;&lt;contributors&gt;&lt;authors&gt;&lt;author&gt;Grin, François&lt;/author&gt;&lt;/authors&gt;&lt;/contributors&gt;&lt;titles&gt;&lt;title&gt;L&amp;apos;enseignement des langues étrangères comme politique publique&lt;/title&gt;&lt;secondary-title&gt;19&lt;/secondary-title&gt;&lt;/titles&gt;&lt;dates&gt;&lt;year&gt;2005&lt;/year&gt;&lt;/dates&gt;&lt;pub-location&gt;Paris&lt;/pub-location&gt;&lt;publisher&gt;Rapport au Haut Conseil de l&amp;apos;évaluation de l&amp;apos;école&lt;/publisher&gt;&lt;urls&gt;&lt;/urls&gt;&lt;/record&gt;&lt;/Cite&gt;&lt;/EndNote&gt;</w:instrText>
        </w:r>
        <w:r w:rsidR="00101624" w:rsidRPr="006F07C8">
          <w:rPr>
            <w:rFonts w:ascii="Times New Roman" w:hAnsi="Times New Roman" w:cs="Times New Roman"/>
            <w:sz w:val="24"/>
            <w:szCs w:val="24"/>
            <w:lang w:val="it-IT"/>
          </w:rPr>
          <w:fldChar w:fldCharType="separate"/>
        </w:r>
        <w:r w:rsidR="00101624" w:rsidRPr="006F07C8">
          <w:rPr>
            <w:rFonts w:ascii="Times New Roman" w:hAnsi="Times New Roman" w:cs="Times New Roman"/>
            <w:noProof/>
            <w:sz w:val="24"/>
            <w:szCs w:val="24"/>
            <w:lang w:val="it-IT"/>
          </w:rPr>
          <w:t>2005</w:t>
        </w:r>
        <w:r w:rsidR="00101624" w:rsidRPr="006F07C8">
          <w:rPr>
            <w:rFonts w:ascii="Times New Roman" w:hAnsi="Times New Roman" w:cs="Times New Roman"/>
            <w:sz w:val="24"/>
            <w:szCs w:val="24"/>
            <w:lang w:val="it-IT"/>
          </w:rPr>
          <w:fldChar w:fldCharType="end"/>
        </w:r>
      </w:hyperlink>
      <w:r w:rsidR="00E85945" w:rsidRPr="006F07C8">
        <w:rPr>
          <w:rFonts w:ascii="Times New Roman" w:hAnsi="Times New Roman" w:cs="Times New Roman"/>
          <w:sz w:val="24"/>
          <w:szCs w:val="24"/>
          <w:lang w:val="it-IT"/>
        </w:rPr>
        <w:t>])</w:t>
      </w:r>
      <w:r w:rsidR="003B2C1A" w:rsidRPr="006F07C8">
        <w:rPr>
          <w:rFonts w:ascii="Times New Roman" w:hAnsi="Times New Roman" w:cs="Times New Roman"/>
          <w:sz w:val="24"/>
          <w:szCs w:val="24"/>
          <w:lang w:val="it-IT"/>
        </w:rPr>
        <w:t>.</w:t>
      </w:r>
      <w:r w:rsidR="00372993" w:rsidRPr="006F07C8">
        <w:rPr>
          <w:rFonts w:ascii="Times New Roman" w:hAnsi="Times New Roman" w:cs="Times New Roman"/>
          <w:sz w:val="24"/>
          <w:szCs w:val="24"/>
          <w:lang w:val="it-IT"/>
        </w:rPr>
        <w:t xml:space="preserve"> </w:t>
      </w:r>
    </w:p>
    <w:p w:rsidR="00940D98" w:rsidRPr="006F07C8" w:rsidRDefault="00062662" w:rsidP="002F52A9">
      <w:pPr>
        <w:spacing w:line="240" w:lineRule="auto"/>
        <w:jc w:val="both"/>
        <w:rPr>
          <w:rFonts w:ascii="Times New Roman" w:hAnsi="Times New Roman" w:cs="Times New Roman"/>
          <w:b/>
          <w:sz w:val="24"/>
          <w:szCs w:val="24"/>
          <w:lang w:val="it-IT"/>
        </w:rPr>
      </w:pPr>
      <w:r w:rsidRPr="006F07C8">
        <w:rPr>
          <w:rFonts w:ascii="Times New Roman" w:hAnsi="Times New Roman" w:cs="Times New Roman"/>
          <w:sz w:val="24"/>
          <w:szCs w:val="24"/>
          <w:lang w:val="it-IT"/>
        </w:rPr>
        <w:t>E</w:t>
      </w:r>
      <w:r w:rsidR="00793C7A" w:rsidRPr="006F07C8">
        <w:rPr>
          <w:rFonts w:ascii="Times New Roman" w:hAnsi="Times New Roman" w:cs="Times New Roman"/>
          <w:sz w:val="24"/>
          <w:szCs w:val="24"/>
          <w:lang w:val="it-IT"/>
        </w:rPr>
        <w:t xml:space="preserve">merge </w:t>
      </w:r>
      <w:r w:rsidRPr="006F07C8">
        <w:rPr>
          <w:rFonts w:ascii="Times New Roman" w:hAnsi="Times New Roman" w:cs="Times New Roman"/>
          <w:sz w:val="24"/>
          <w:szCs w:val="24"/>
          <w:lang w:val="it-IT"/>
        </w:rPr>
        <w:t>quindi che</w:t>
      </w:r>
      <w:r w:rsidR="00372993" w:rsidRPr="006F07C8">
        <w:rPr>
          <w:rFonts w:ascii="Times New Roman" w:hAnsi="Times New Roman" w:cs="Times New Roman"/>
          <w:sz w:val="24"/>
          <w:szCs w:val="24"/>
          <w:lang w:val="it-IT"/>
        </w:rPr>
        <w:t xml:space="preserve"> gli Stati Membri della UE </w:t>
      </w:r>
      <w:r w:rsidRPr="006F07C8">
        <w:rPr>
          <w:rFonts w:ascii="Times New Roman" w:hAnsi="Times New Roman" w:cs="Times New Roman"/>
          <w:sz w:val="24"/>
          <w:szCs w:val="24"/>
          <w:lang w:val="it-IT"/>
        </w:rPr>
        <w:t xml:space="preserve">già oggi </w:t>
      </w:r>
      <w:r w:rsidR="00372993" w:rsidRPr="006F07C8">
        <w:rPr>
          <w:rFonts w:ascii="Times New Roman" w:hAnsi="Times New Roman" w:cs="Times New Roman"/>
          <w:sz w:val="24"/>
          <w:szCs w:val="24"/>
          <w:lang w:val="it-IT"/>
        </w:rPr>
        <w:t>spendono diversi miliardi di euro all’anno per insegnare le lingue straniere nelle proprie scuole</w:t>
      </w:r>
      <w:r w:rsidRPr="006F07C8">
        <w:rPr>
          <w:rFonts w:ascii="Times New Roman" w:hAnsi="Times New Roman" w:cs="Times New Roman"/>
          <w:sz w:val="24"/>
          <w:szCs w:val="24"/>
          <w:lang w:val="it-IT"/>
        </w:rPr>
        <w:t xml:space="preserve">, ma </w:t>
      </w:r>
      <w:r w:rsidR="00372993" w:rsidRPr="006F07C8">
        <w:rPr>
          <w:rFonts w:ascii="Times New Roman" w:hAnsi="Times New Roman" w:cs="Times New Roman"/>
          <w:sz w:val="24"/>
          <w:szCs w:val="24"/>
          <w:lang w:val="it-IT"/>
        </w:rPr>
        <w:t xml:space="preserve">i risultati di apprendimento, nella maggior parte dei casi, restano ancora </w:t>
      </w:r>
      <w:r w:rsidR="001F4057" w:rsidRPr="006F07C8">
        <w:rPr>
          <w:rFonts w:ascii="Times New Roman" w:hAnsi="Times New Roman" w:cs="Times New Roman"/>
          <w:sz w:val="24"/>
          <w:szCs w:val="24"/>
          <w:lang w:val="it-IT"/>
        </w:rPr>
        <w:t>modesti</w:t>
      </w:r>
      <w:r w:rsidR="00312B97" w:rsidRPr="006F07C8">
        <w:rPr>
          <w:rFonts w:ascii="Times New Roman" w:hAnsi="Times New Roman" w:cs="Times New Roman"/>
          <w:sz w:val="24"/>
          <w:szCs w:val="24"/>
          <w:lang w:val="it-IT"/>
        </w:rPr>
        <w:t xml:space="preserve"> o quanto meno </w:t>
      </w:r>
      <w:r w:rsidR="00372993" w:rsidRPr="006F07C8">
        <w:rPr>
          <w:rFonts w:ascii="Times New Roman" w:hAnsi="Times New Roman" w:cs="Times New Roman"/>
          <w:sz w:val="24"/>
          <w:szCs w:val="24"/>
          <w:lang w:val="it-IT"/>
        </w:rPr>
        <w:t xml:space="preserve">lontani da un </w:t>
      </w:r>
      <w:r w:rsidR="001F4057" w:rsidRPr="006F07C8">
        <w:rPr>
          <w:rFonts w:ascii="Times New Roman" w:hAnsi="Times New Roman" w:cs="Times New Roman"/>
          <w:sz w:val="24"/>
          <w:szCs w:val="24"/>
          <w:lang w:val="it-IT"/>
        </w:rPr>
        <w:t xml:space="preserve">generalizzato </w:t>
      </w:r>
      <w:r w:rsidR="00372993" w:rsidRPr="006F07C8">
        <w:rPr>
          <w:rFonts w:ascii="Times New Roman" w:hAnsi="Times New Roman" w:cs="Times New Roman"/>
          <w:sz w:val="24"/>
          <w:szCs w:val="24"/>
          <w:lang w:val="it-IT"/>
        </w:rPr>
        <w:t xml:space="preserve">livello </w:t>
      </w:r>
      <w:r w:rsidR="00312B97" w:rsidRPr="006F07C8">
        <w:rPr>
          <w:rFonts w:ascii="Times New Roman" w:hAnsi="Times New Roman" w:cs="Times New Roman"/>
          <w:sz w:val="24"/>
          <w:szCs w:val="24"/>
          <w:lang w:val="it-IT"/>
        </w:rPr>
        <w:t xml:space="preserve">elevato di competenza linguistica. </w:t>
      </w:r>
      <w:r w:rsidR="0093617E" w:rsidRPr="006F07C8">
        <w:rPr>
          <w:rFonts w:ascii="Times New Roman" w:hAnsi="Times New Roman" w:cs="Times New Roman"/>
          <w:sz w:val="24"/>
          <w:szCs w:val="24"/>
          <w:lang w:val="it-IT"/>
        </w:rPr>
        <w:t xml:space="preserve">Non sarebbe metodologicamente corretto confrontare le spese per il multilinguismo della UE </w:t>
      </w:r>
      <w:r w:rsidR="00E85945" w:rsidRPr="006F07C8">
        <w:rPr>
          <w:rFonts w:ascii="Times New Roman" w:hAnsi="Times New Roman" w:cs="Times New Roman"/>
          <w:sz w:val="24"/>
          <w:szCs w:val="24"/>
          <w:lang w:val="it-IT"/>
        </w:rPr>
        <w:t xml:space="preserve">(€2,2 a cittadino per anno) </w:t>
      </w:r>
      <w:r w:rsidR="0093617E" w:rsidRPr="006F07C8">
        <w:rPr>
          <w:rFonts w:ascii="Times New Roman" w:hAnsi="Times New Roman" w:cs="Times New Roman"/>
          <w:sz w:val="24"/>
          <w:szCs w:val="24"/>
          <w:lang w:val="it-IT"/>
        </w:rPr>
        <w:t xml:space="preserve">con le spese per l’insegnamento delle lingue straniere nei vari stati membri. </w:t>
      </w:r>
      <w:r w:rsidR="007E53EF" w:rsidRPr="006F07C8">
        <w:rPr>
          <w:rFonts w:ascii="Times New Roman" w:hAnsi="Times New Roman" w:cs="Times New Roman"/>
          <w:sz w:val="24"/>
          <w:szCs w:val="24"/>
          <w:lang w:val="it-IT"/>
        </w:rPr>
        <w:t xml:space="preserve">L’insegnamento delle lingue straniere nei vari paesi </w:t>
      </w:r>
      <w:r w:rsidR="00E85945" w:rsidRPr="006F07C8">
        <w:rPr>
          <w:rFonts w:ascii="Times New Roman" w:hAnsi="Times New Roman" w:cs="Times New Roman"/>
          <w:sz w:val="24"/>
          <w:szCs w:val="24"/>
          <w:lang w:val="it-IT"/>
        </w:rPr>
        <w:t xml:space="preserve">europei risponde a esigenze che vanno oltre la comunicazione con le istituzioni europee. Tuttavia, è evidente </w:t>
      </w:r>
      <w:r w:rsidR="009C33DA" w:rsidRPr="006F07C8">
        <w:rPr>
          <w:rFonts w:ascii="Times New Roman" w:hAnsi="Times New Roman" w:cs="Times New Roman"/>
          <w:sz w:val="24"/>
          <w:szCs w:val="24"/>
          <w:lang w:val="it-IT"/>
        </w:rPr>
        <w:t xml:space="preserve">che </w:t>
      </w:r>
      <w:r w:rsidR="00E85945" w:rsidRPr="006F07C8">
        <w:rPr>
          <w:rFonts w:ascii="Times New Roman" w:hAnsi="Times New Roman" w:cs="Times New Roman"/>
          <w:sz w:val="24"/>
          <w:szCs w:val="24"/>
          <w:lang w:val="it-IT"/>
        </w:rPr>
        <w:t xml:space="preserve">una riduzione del numero delle lingue ufficiali della UE avrebbe come </w:t>
      </w:r>
      <w:r w:rsidR="00372993" w:rsidRPr="006F07C8">
        <w:rPr>
          <w:rFonts w:ascii="Times New Roman" w:hAnsi="Times New Roman" w:cs="Times New Roman"/>
          <w:sz w:val="24"/>
          <w:szCs w:val="24"/>
          <w:lang w:val="it-IT"/>
        </w:rPr>
        <w:t xml:space="preserve">probabile </w:t>
      </w:r>
      <w:r w:rsidR="00E85945" w:rsidRPr="006F07C8">
        <w:rPr>
          <w:rFonts w:ascii="Times New Roman" w:hAnsi="Times New Roman" w:cs="Times New Roman"/>
          <w:sz w:val="24"/>
          <w:szCs w:val="24"/>
          <w:lang w:val="it-IT"/>
        </w:rPr>
        <w:t>conseguenza un aumento della pressione su</w:t>
      </w:r>
      <w:r w:rsidR="006A2443" w:rsidRPr="006F07C8">
        <w:rPr>
          <w:rFonts w:ascii="Times New Roman" w:hAnsi="Times New Roman" w:cs="Times New Roman"/>
          <w:sz w:val="24"/>
          <w:szCs w:val="24"/>
          <w:lang w:val="it-IT"/>
        </w:rPr>
        <w:t xml:space="preserve"> diversi </w:t>
      </w:r>
      <w:r w:rsidR="00E85945" w:rsidRPr="006F07C8">
        <w:rPr>
          <w:rFonts w:ascii="Times New Roman" w:hAnsi="Times New Roman" w:cs="Times New Roman"/>
          <w:sz w:val="24"/>
          <w:szCs w:val="24"/>
          <w:lang w:val="it-IT"/>
        </w:rPr>
        <w:t xml:space="preserve">sistemi nazionali di istruzione e un conseguente aumento </w:t>
      </w:r>
      <w:r w:rsidR="00312B97" w:rsidRPr="006F07C8">
        <w:rPr>
          <w:rFonts w:ascii="Times New Roman" w:hAnsi="Times New Roman" w:cs="Times New Roman"/>
          <w:sz w:val="24"/>
          <w:szCs w:val="24"/>
          <w:lang w:val="it-IT"/>
        </w:rPr>
        <w:t>generale delle spese</w:t>
      </w:r>
      <w:r w:rsidR="006A2443" w:rsidRPr="006F07C8">
        <w:rPr>
          <w:rFonts w:ascii="Times New Roman" w:hAnsi="Times New Roman" w:cs="Times New Roman"/>
          <w:sz w:val="24"/>
          <w:szCs w:val="24"/>
          <w:lang w:val="it-IT"/>
        </w:rPr>
        <w:t xml:space="preserve"> collettive per l’insegnamento delle lingue straniere</w:t>
      </w:r>
      <w:r w:rsidR="00E85945" w:rsidRPr="006F07C8">
        <w:rPr>
          <w:rFonts w:ascii="Times New Roman" w:hAnsi="Times New Roman" w:cs="Times New Roman"/>
          <w:sz w:val="24"/>
          <w:szCs w:val="24"/>
          <w:lang w:val="it-IT"/>
        </w:rPr>
        <w:t xml:space="preserve">. </w:t>
      </w:r>
      <w:r w:rsidR="006A2443" w:rsidRPr="006F07C8">
        <w:rPr>
          <w:rFonts w:ascii="Times New Roman" w:hAnsi="Times New Roman" w:cs="Times New Roman"/>
          <w:sz w:val="24"/>
          <w:szCs w:val="24"/>
          <w:lang w:val="it-IT"/>
        </w:rPr>
        <w:t>Non è detto che la diminuzione dei costi del multilinguismo europeo derivante da una riduzione del numero d</w:t>
      </w:r>
      <w:r w:rsidR="001F4057" w:rsidRPr="006F07C8">
        <w:rPr>
          <w:rFonts w:ascii="Times New Roman" w:hAnsi="Times New Roman" w:cs="Times New Roman"/>
          <w:sz w:val="24"/>
          <w:szCs w:val="24"/>
          <w:lang w:val="it-IT"/>
        </w:rPr>
        <w:t>elle</w:t>
      </w:r>
      <w:r w:rsidR="006A2443" w:rsidRPr="006F07C8">
        <w:rPr>
          <w:rFonts w:ascii="Times New Roman" w:hAnsi="Times New Roman" w:cs="Times New Roman"/>
          <w:sz w:val="24"/>
          <w:szCs w:val="24"/>
          <w:lang w:val="it-IT"/>
        </w:rPr>
        <w:t xml:space="preserve"> lingue ufficiali </w:t>
      </w:r>
      <w:r w:rsidR="001F4057" w:rsidRPr="006F07C8">
        <w:rPr>
          <w:rFonts w:ascii="Times New Roman" w:hAnsi="Times New Roman" w:cs="Times New Roman"/>
          <w:sz w:val="24"/>
          <w:szCs w:val="24"/>
          <w:lang w:val="it-IT"/>
        </w:rPr>
        <w:t xml:space="preserve">della UE </w:t>
      </w:r>
      <w:r w:rsidR="006A2443" w:rsidRPr="006F07C8">
        <w:rPr>
          <w:rFonts w:ascii="Times New Roman" w:hAnsi="Times New Roman" w:cs="Times New Roman"/>
          <w:sz w:val="24"/>
          <w:szCs w:val="24"/>
          <w:lang w:val="it-IT"/>
        </w:rPr>
        <w:t>sarebbe sufficiente a compensare un probabile aumento delle spese pubbliche e private per le lingue straniere in diversi Stati Membri.</w:t>
      </w:r>
      <w:r w:rsidR="00745858" w:rsidRPr="006F07C8">
        <w:rPr>
          <w:rFonts w:ascii="Times New Roman" w:hAnsi="Times New Roman" w:cs="Times New Roman"/>
          <w:sz w:val="24"/>
          <w:szCs w:val="24"/>
          <w:lang w:val="it-IT"/>
        </w:rPr>
        <w:t xml:space="preserve"> In altri termini, si tratterebbe </w:t>
      </w:r>
      <w:r w:rsidR="001F4057" w:rsidRPr="006F07C8">
        <w:rPr>
          <w:rFonts w:ascii="Times New Roman" w:hAnsi="Times New Roman" w:cs="Times New Roman"/>
          <w:sz w:val="24"/>
          <w:szCs w:val="24"/>
          <w:lang w:val="it-IT"/>
        </w:rPr>
        <w:t xml:space="preserve">nella migliore delle ipotesi </w:t>
      </w:r>
      <w:r w:rsidR="00745858" w:rsidRPr="006F07C8">
        <w:rPr>
          <w:rFonts w:ascii="Times New Roman" w:hAnsi="Times New Roman" w:cs="Times New Roman"/>
          <w:sz w:val="24"/>
          <w:szCs w:val="24"/>
          <w:lang w:val="it-IT"/>
        </w:rPr>
        <w:t>di un semplice trasferimento di costi dal bilancio europeo ai bilanci nazionali (</w:t>
      </w:r>
      <w:r w:rsidR="00745858" w:rsidRPr="006F07C8">
        <w:rPr>
          <w:rFonts w:ascii="Times New Roman" w:hAnsi="Times New Roman" w:cs="Times New Roman"/>
          <w:noProof/>
          <w:sz w:val="24"/>
          <w:szCs w:val="24"/>
          <w:lang w:val="it-IT"/>
        </w:rPr>
        <w:t xml:space="preserve">Gazzola e Grin </w:t>
      </w:r>
      <w:hyperlink w:anchor="_ENREF_31" w:tooltip="Gazzola, 2013 #880" w:history="1">
        <w:r w:rsidR="00101624" w:rsidRPr="006F07C8">
          <w:rPr>
            <w:rFonts w:ascii="Times New Roman" w:hAnsi="Times New Roman" w:cs="Times New Roman"/>
            <w:noProof/>
            <w:sz w:val="24"/>
            <w:szCs w:val="24"/>
            <w:lang w:val="en-GB"/>
          </w:rPr>
          <w:fldChar w:fldCharType="begin"/>
        </w:r>
        <w:r w:rsidR="00101624" w:rsidRPr="006F07C8">
          <w:rPr>
            <w:rFonts w:ascii="Times New Roman" w:hAnsi="Times New Roman" w:cs="Times New Roman"/>
            <w:noProof/>
            <w:sz w:val="24"/>
            <w:szCs w:val="24"/>
            <w:lang w:val="it-IT"/>
          </w:rPr>
          <w:instrText xml:space="preserve"> ADDIN EN.CITE &lt;EndNote&gt;&lt;Cite ExcludeAuth="1"&gt;&lt;Author&gt;Gazzola&lt;/Author&gt;&lt;Year&gt;2013&lt;/Year&gt;&lt;RecNum&gt;880&lt;/RecNum&gt;&lt;DisplayText&gt;2013&lt;/DisplayText&gt;&lt;record&gt;&lt;rec-number&gt;880&lt;/rec-number&gt;&lt;foreign-keys&gt;&lt;key app="EN" db-id="wvvszzd93a0z5wesdfpvdv9z5wrra5p05axp"&gt;880&lt;/key&gt;&lt;/foreign-keys&gt;&lt;ref-type name="Journal Article"&gt;17&lt;/ref-type&gt;&lt;contributors&gt;&lt;authors&gt;&lt;author&gt;Gazzola, Michele&lt;/author&gt;&lt;author&gt;Grin, François&lt;/author&gt;&lt;/authors&gt;&lt;/contributors&gt;&lt;titles&gt;&lt;title&gt;Is ELF more effective and fair than translation? An evaluation of the EU’s multilingual regime&lt;/title&gt;&lt;secondary-title&gt;International Journal of Applied Linguistics&lt;/secondary-title&gt;&lt;/titles&gt;&lt;periodical&gt;&lt;full-title&gt;International Journal of Applied Linguistics&lt;/full-title&gt;&lt;/periodical&gt;&lt;pages&gt;93-107&lt;/pages&gt;&lt;volume&gt;23&lt;/volume&gt;&lt;number&gt;1&lt;/number&gt;&lt;dates&gt;&lt;year&gt;2013&lt;/year&gt;&lt;/dates&gt;&lt;urls&gt;&lt;/urls&gt;&lt;/record&gt;&lt;/Cite&gt;&lt;/EndNote&gt;</w:instrText>
        </w:r>
        <w:r w:rsidR="00101624" w:rsidRPr="006F07C8">
          <w:rPr>
            <w:rFonts w:ascii="Times New Roman" w:hAnsi="Times New Roman" w:cs="Times New Roman"/>
            <w:noProof/>
            <w:sz w:val="24"/>
            <w:szCs w:val="24"/>
            <w:lang w:val="en-GB"/>
          </w:rPr>
          <w:fldChar w:fldCharType="separate"/>
        </w:r>
        <w:r w:rsidR="00101624" w:rsidRPr="006F07C8">
          <w:rPr>
            <w:rFonts w:ascii="Times New Roman" w:hAnsi="Times New Roman" w:cs="Times New Roman"/>
            <w:noProof/>
            <w:sz w:val="24"/>
            <w:szCs w:val="24"/>
            <w:lang w:val="it-IT"/>
          </w:rPr>
          <w:t>2013</w:t>
        </w:r>
        <w:r w:rsidR="00101624" w:rsidRPr="006F07C8">
          <w:rPr>
            <w:rFonts w:ascii="Times New Roman" w:hAnsi="Times New Roman" w:cs="Times New Roman"/>
            <w:noProof/>
            <w:sz w:val="24"/>
            <w:szCs w:val="24"/>
            <w:lang w:val="it-IT"/>
          </w:rPr>
          <w:fldChar w:fldCharType="end"/>
        </w:r>
      </w:hyperlink>
      <w:r w:rsidR="00745858" w:rsidRPr="006F07C8">
        <w:rPr>
          <w:rFonts w:ascii="Times New Roman" w:hAnsi="Times New Roman" w:cs="Times New Roman"/>
          <w:noProof/>
          <w:sz w:val="24"/>
          <w:szCs w:val="24"/>
          <w:lang w:val="it-IT"/>
        </w:rPr>
        <w:t>).</w:t>
      </w:r>
    </w:p>
    <w:p w:rsidR="0011066F" w:rsidRPr="006F07C8" w:rsidRDefault="00182F1D" w:rsidP="002F52A9">
      <w:pPr>
        <w:pStyle w:val="Heading3"/>
        <w:spacing w:line="240" w:lineRule="auto"/>
        <w:ind w:firstLine="708"/>
        <w:rPr>
          <w:rFonts w:ascii="Times New Roman" w:hAnsi="Times New Roman" w:cs="Times New Roman"/>
          <w:i/>
          <w:sz w:val="24"/>
          <w:lang w:val="it-IT"/>
        </w:rPr>
      </w:pPr>
      <w:bookmarkStart w:id="14" w:name="_Ref378693379"/>
      <w:bookmarkStart w:id="15" w:name="_Toc384652927"/>
      <w:r w:rsidRPr="006F07C8">
        <w:rPr>
          <w:rFonts w:ascii="Times New Roman" w:hAnsi="Times New Roman" w:cs="Times New Roman"/>
          <w:i/>
          <w:sz w:val="24"/>
          <w:lang w:val="it-IT"/>
        </w:rPr>
        <w:t xml:space="preserve">4.2 </w:t>
      </w:r>
      <w:r w:rsidR="009F6E93" w:rsidRPr="006F07C8">
        <w:rPr>
          <w:rFonts w:ascii="Times New Roman" w:hAnsi="Times New Roman" w:cs="Times New Roman"/>
          <w:i/>
          <w:sz w:val="24"/>
          <w:lang w:val="it-IT"/>
        </w:rPr>
        <w:t>L</w:t>
      </w:r>
      <w:r w:rsidR="0011066F" w:rsidRPr="006F07C8">
        <w:rPr>
          <w:rFonts w:ascii="Times New Roman" w:hAnsi="Times New Roman" w:cs="Times New Roman"/>
          <w:i/>
          <w:sz w:val="24"/>
          <w:lang w:val="it-IT"/>
        </w:rPr>
        <w:t>’equità del regime linguistico della UE</w:t>
      </w:r>
      <w:bookmarkEnd w:id="14"/>
      <w:bookmarkEnd w:id="15"/>
    </w:p>
    <w:p w:rsidR="00E771D1" w:rsidRPr="006F07C8" w:rsidRDefault="004A2740" w:rsidP="002F52A9">
      <w:pPr>
        <w:spacing w:line="240" w:lineRule="auto"/>
        <w:jc w:val="both"/>
        <w:rPr>
          <w:rFonts w:ascii="Times New Roman" w:hAnsi="Times New Roman" w:cs="Times New Roman"/>
          <w:sz w:val="24"/>
          <w:szCs w:val="24"/>
          <w:lang w:val="it-IT"/>
        </w:rPr>
      </w:pPr>
      <w:r w:rsidRPr="006F07C8">
        <w:rPr>
          <w:rFonts w:ascii="Times New Roman" w:hAnsi="Times New Roman" w:cs="Times New Roman"/>
          <w:sz w:val="24"/>
          <w:szCs w:val="24"/>
          <w:lang w:val="it-IT"/>
        </w:rPr>
        <w:t xml:space="preserve">In un certo senso </w:t>
      </w:r>
      <w:r w:rsidR="00331CF8" w:rsidRPr="006F07C8">
        <w:rPr>
          <w:rFonts w:ascii="Times New Roman" w:hAnsi="Times New Roman" w:cs="Times New Roman"/>
          <w:sz w:val="24"/>
          <w:szCs w:val="24"/>
          <w:lang w:val="it-IT"/>
        </w:rPr>
        <w:t>sia la</w:t>
      </w:r>
      <w:r w:rsidR="00DD7414" w:rsidRPr="006F07C8">
        <w:rPr>
          <w:rFonts w:ascii="Times New Roman" w:hAnsi="Times New Roman" w:cs="Times New Roman"/>
          <w:sz w:val="24"/>
          <w:szCs w:val="24"/>
          <w:lang w:val="it-IT"/>
        </w:rPr>
        <w:t xml:space="preserve"> </w:t>
      </w:r>
      <w:r w:rsidR="00DD7414" w:rsidRPr="006F07C8">
        <w:rPr>
          <w:rFonts w:ascii="Times New Roman" w:hAnsi="Times New Roman" w:cs="Times New Roman"/>
          <w:sz w:val="24"/>
          <w:szCs w:val="24"/>
          <w:lang w:val="it-IT"/>
        </w:rPr>
        <w:fldChar w:fldCharType="begin"/>
      </w:r>
      <w:r w:rsidR="00DD7414" w:rsidRPr="006F07C8">
        <w:rPr>
          <w:rFonts w:ascii="Times New Roman" w:hAnsi="Times New Roman" w:cs="Times New Roman"/>
          <w:sz w:val="24"/>
          <w:szCs w:val="24"/>
          <w:lang w:val="it-IT"/>
        </w:rPr>
        <w:instrText xml:space="preserve"> REF _Ref378177938 \h  \* MERGEFORMAT </w:instrText>
      </w:r>
      <w:r w:rsidR="00DD7414" w:rsidRPr="006F07C8">
        <w:rPr>
          <w:rFonts w:ascii="Times New Roman" w:hAnsi="Times New Roman" w:cs="Times New Roman"/>
          <w:sz w:val="24"/>
          <w:szCs w:val="24"/>
          <w:lang w:val="it-IT"/>
        </w:rPr>
      </w:r>
      <w:r w:rsidR="00DD7414" w:rsidRPr="006F07C8">
        <w:rPr>
          <w:rFonts w:ascii="Times New Roman" w:hAnsi="Times New Roman" w:cs="Times New Roman"/>
          <w:sz w:val="24"/>
          <w:szCs w:val="24"/>
          <w:lang w:val="it-IT"/>
        </w:rPr>
        <w:fldChar w:fldCharType="separate"/>
      </w:r>
      <w:r w:rsidR="00087B27" w:rsidRPr="006F07C8">
        <w:rPr>
          <w:rFonts w:ascii="Times New Roman" w:hAnsi="Times New Roman" w:cs="Times New Roman"/>
          <w:sz w:val="24"/>
          <w:szCs w:val="24"/>
          <w:lang w:val="it-IT"/>
        </w:rPr>
        <w:t xml:space="preserve">Tabella </w:t>
      </w:r>
      <w:r w:rsidR="00087B27" w:rsidRPr="006F07C8">
        <w:rPr>
          <w:rFonts w:ascii="Times New Roman" w:hAnsi="Times New Roman" w:cs="Times New Roman"/>
          <w:noProof/>
          <w:sz w:val="24"/>
          <w:szCs w:val="24"/>
          <w:lang w:val="it-IT"/>
        </w:rPr>
        <w:t>2</w:t>
      </w:r>
      <w:r w:rsidR="00DD7414" w:rsidRPr="006F07C8">
        <w:rPr>
          <w:rFonts w:ascii="Times New Roman" w:hAnsi="Times New Roman" w:cs="Times New Roman"/>
          <w:sz w:val="24"/>
          <w:szCs w:val="24"/>
          <w:lang w:val="it-IT"/>
        </w:rPr>
        <w:fldChar w:fldCharType="end"/>
      </w:r>
      <w:r w:rsidR="00DD7414" w:rsidRPr="006F07C8">
        <w:rPr>
          <w:rFonts w:ascii="Times New Roman" w:hAnsi="Times New Roman" w:cs="Times New Roman"/>
          <w:sz w:val="24"/>
          <w:szCs w:val="24"/>
          <w:lang w:val="it-IT"/>
        </w:rPr>
        <w:t xml:space="preserve"> che la </w:t>
      </w:r>
      <w:r w:rsidR="00DD7414" w:rsidRPr="006F07C8">
        <w:rPr>
          <w:rFonts w:ascii="Times New Roman" w:hAnsi="Times New Roman" w:cs="Times New Roman"/>
          <w:sz w:val="24"/>
          <w:szCs w:val="24"/>
          <w:lang w:val="it-IT"/>
        </w:rPr>
        <w:fldChar w:fldCharType="begin"/>
      </w:r>
      <w:r w:rsidR="00DD7414" w:rsidRPr="006F07C8">
        <w:rPr>
          <w:rFonts w:ascii="Times New Roman" w:hAnsi="Times New Roman" w:cs="Times New Roman"/>
          <w:sz w:val="24"/>
          <w:szCs w:val="24"/>
          <w:lang w:val="it-IT"/>
        </w:rPr>
        <w:instrText xml:space="preserve"> REF _Ref378251784 \h  \* MERGEFORMAT </w:instrText>
      </w:r>
      <w:r w:rsidR="00DD7414" w:rsidRPr="006F07C8">
        <w:rPr>
          <w:rFonts w:ascii="Times New Roman" w:hAnsi="Times New Roman" w:cs="Times New Roman"/>
          <w:sz w:val="24"/>
          <w:szCs w:val="24"/>
          <w:lang w:val="it-IT"/>
        </w:rPr>
      </w:r>
      <w:r w:rsidR="00DD7414" w:rsidRPr="006F07C8">
        <w:rPr>
          <w:rFonts w:ascii="Times New Roman" w:hAnsi="Times New Roman" w:cs="Times New Roman"/>
          <w:sz w:val="24"/>
          <w:szCs w:val="24"/>
          <w:lang w:val="it-IT"/>
        </w:rPr>
        <w:fldChar w:fldCharType="separate"/>
      </w:r>
      <w:r w:rsidR="00087B27" w:rsidRPr="006F07C8">
        <w:rPr>
          <w:rFonts w:ascii="Times New Roman" w:hAnsi="Times New Roman" w:cs="Times New Roman"/>
          <w:sz w:val="24"/>
          <w:szCs w:val="24"/>
          <w:lang w:val="it-IT"/>
        </w:rPr>
        <w:t xml:space="preserve">Tabella </w:t>
      </w:r>
      <w:r w:rsidR="00087B27" w:rsidRPr="006F07C8">
        <w:rPr>
          <w:rFonts w:ascii="Times New Roman" w:hAnsi="Times New Roman" w:cs="Times New Roman"/>
          <w:noProof/>
          <w:sz w:val="24"/>
          <w:szCs w:val="24"/>
          <w:lang w:val="it-IT"/>
        </w:rPr>
        <w:t>3</w:t>
      </w:r>
      <w:r w:rsidR="00DD7414" w:rsidRPr="006F07C8">
        <w:rPr>
          <w:rFonts w:ascii="Times New Roman" w:hAnsi="Times New Roman" w:cs="Times New Roman"/>
          <w:sz w:val="24"/>
          <w:szCs w:val="24"/>
          <w:lang w:val="it-IT"/>
        </w:rPr>
        <w:fldChar w:fldCharType="end"/>
      </w:r>
      <w:r w:rsidR="00DD7414" w:rsidRPr="006F07C8">
        <w:rPr>
          <w:rFonts w:ascii="Times New Roman" w:hAnsi="Times New Roman" w:cs="Times New Roman"/>
          <w:sz w:val="24"/>
          <w:szCs w:val="24"/>
          <w:lang w:val="it-IT"/>
        </w:rPr>
        <w:t xml:space="preserve"> </w:t>
      </w:r>
      <w:r w:rsidRPr="006F07C8">
        <w:rPr>
          <w:rFonts w:ascii="Times New Roman" w:hAnsi="Times New Roman" w:cs="Times New Roman"/>
          <w:sz w:val="24"/>
          <w:szCs w:val="24"/>
          <w:lang w:val="it-IT"/>
        </w:rPr>
        <w:t xml:space="preserve">possono </w:t>
      </w:r>
      <w:r w:rsidR="00DD7414" w:rsidRPr="006F07C8">
        <w:rPr>
          <w:rFonts w:ascii="Times New Roman" w:hAnsi="Times New Roman" w:cs="Times New Roman"/>
          <w:sz w:val="24"/>
          <w:szCs w:val="24"/>
          <w:lang w:val="it-IT"/>
        </w:rPr>
        <w:t xml:space="preserve">essere </w:t>
      </w:r>
      <w:r w:rsidRPr="006F07C8">
        <w:rPr>
          <w:rFonts w:ascii="Times New Roman" w:hAnsi="Times New Roman" w:cs="Times New Roman"/>
          <w:sz w:val="24"/>
          <w:szCs w:val="24"/>
          <w:lang w:val="it-IT"/>
        </w:rPr>
        <w:t>lette</w:t>
      </w:r>
      <w:r w:rsidR="00DD7414" w:rsidRPr="006F07C8">
        <w:rPr>
          <w:rFonts w:ascii="Times New Roman" w:hAnsi="Times New Roman" w:cs="Times New Roman"/>
          <w:sz w:val="24"/>
          <w:szCs w:val="24"/>
          <w:lang w:val="it-IT"/>
        </w:rPr>
        <w:t xml:space="preserve"> alla luce del concetto di equità</w:t>
      </w:r>
      <w:r w:rsidR="00C11AE7" w:rsidRPr="006F07C8">
        <w:rPr>
          <w:rFonts w:ascii="Times New Roman" w:hAnsi="Times New Roman" w:cs="Times New Roman"/>
          <w:sz w:val="24"/>
          <w:szCs w:val="24"/>
          <w:lang w:val="it-IT"/>
        </w:rPr>
        <w:t xml:space="preserve"> oltre a quello di efficacia</w:t>
      </w:r>
      <w:r w:rsidR="00DD7414" w:rsidRPr="006F07C8">
        <w:rPr>
          <w:rFonts w:ascii="Times New Roman" w:hAnsi="Times New Roman" w:cs="Times New Roman"/>
          <w:sz w:val="24"/>
          <w:szCs w:val="24"/>
          <w:lang w:val="it-IT"/>
        </w:rPr>
        <w:t xml:space="preserve">. Il regime </w:t>
      </w:r>
      <w:r w:rsidR="00C11AE7" w:rsidRPr="006F07C8">
        <w:rPr>
          <w:rFonts w:ascii="Times New Roman" w:hAnsi="Times New Roman" w:cs="Times New Roman"/>
          <w:sz w:val="24"/>
          <w:szCs w:val="24"/>
          <w:lang w:val="it-IT"/>
        </w:rPr>
        <w:t xml:space="preserve">multilingue, infatti, </w:t>
      </w:r>
      <w:r w:rsidR="00DD7414" w:rsidRPr="006F07C8">
        <w:rPr>
          <w:rFonts w:ascii="Times New Roman" w:hAnsi="Times New Roman" w:cs="Times New Roman"/>
          <w:sz w:val="24"/>
          <w:szCs w:val="24"/>
          <w:lang w:val="it-IT"/>
        </w:rPr>
        <w:t xml:space="preserve">non crea alcuna diseguaglianza né fra Stati Membri né fra generazioni. È </w:t>
      </w:r>
      <w:r w:rsidR="00C11AE7" w:rsidRPr="006F07C8">
        <w:rPr>
          <w:rFonts w:ascii="Times New Roman" w:hAnsi="Times New Roman" w:cs="Times New Roman"/>
          <w:sz w:val="24"/>
          <w:szCs w:val="24"/>
          <w:lang w:val="it-IT"/>
        </w:rPr>
        <w:t xml:space="preserve">tuttavia </w:t>
      </w:r>
      <w:r w:rsidR="00DD7414" w:rsidRPr="006F07C8">
        <w:rPr>
          <w:rFonts w:ascii="Times New Roman" w:hAnsi="Times New Roman" w:cs="Times New Roman"/>
          <w:sz w:val="24"/>
          <w:szCs w:val="24"/>
          <w:lang w:val="it-IT"/>
        </w:rPr>
        <w:t xml:space="preserve">possibile </w:t>
      </w:r>
      <w:r w:rsidR="00C11AE7" w:rsidRPr="006F07C8">
        <w:rPr>
          <w:rFonts w:ascii="Times New Roman" w:hAnsi="Times New Roman" w:cs="Times New Roman"/>
          <w:sz w:val="24"/>
          <w:szCs w:val="24"/>
          <w:lang w:val="it-IT"/>
        </w:rPr>
        <w:t xml:space="preserve">spingere l’analisi più in profondità e </w:t>
      </w:r>
      <w:r w:rsidR="00DD7414" w:rsidRPr="006F07C8">
        <w:rPr>
          <w:rFonts w:ascii="Times New Roman" w:hAnsi="Times New Roman" w:cs="Times New Roman"/>
          <w:sz w:val="24"/>
          <w:szCs w:val="24"/>
          <w:lang w:val="it-IT"/>
        </w:rPr>
        <w:t xml:space="preserve">scomporre i tassi di </w:t>
      </w:r>
      <w:r w:rsidR="00C11AE7" w:rsidRPr="006F07C8">
        <w:rPr>
          <w:rFonts w:ascii="Times New Roman" w:hAnsi="Times New Roman" w:cs="Times New Roman"/>
          <w:sz w:val="24"/>
          <w:szCs w:val="24"/>
          <w:lang w:val="it-IT"/>
        </w:rPr>
        <w:t>esclusione</w:t>
      </w:r>
      <w:r w:rsidR="00DD7414" w:rsidRPr="006F07C8">
        <w:rPr>
          <w:rFonts w:ascii="Times New Roman" w:hAnsi="Times New Roman" w:cs="Times New Roman"/>
          <w:sz w:val="24"/>
          <w:szCs w:val="24"/>
          <w:lang w:val="it-IT"/>
        </w:rPr>
        <w:t xml:space="preserve"> linguistica </w:t>
      </w:r>
      <w:r w:rsidR="0041703A" w:rsidRPr="006F07C8">
        <w:rPr>
          <w:rFonts w:ascii="Times New Roman" w:hAnsi="Times New Roman" w:cs="Times New Roman"/>
          <w:sz w:val="24"/>
          <w:szCs w:val="24"/>
          <w:lang w:val="it-IT"/>
        </w:rPr>
        <w:t xml:space="preserve">descritti nella </w:t>
      </w:r>
      <w:r w:rsidR="0041703A" w:rsidRPr="006F07C8">
        <w:rPr>
          <w:rFonts w:ascii="Times New Roman" w:hAnsi="Times New Roman" w:cs="Times New Roman"/>
          <w:sz w:val="24"/>
          <w:szCs w:val="24"/>
          <w:lang w:val="it-IT"/>
        </w:rPr>
        <w:fldChar w:fldCharType="begin"/>
      </w:r>
      <w:r w:rsidR="0041703A" w:rsidRPr="006F07C8">
        <w:rPr>
          <w:rFonts w:ascii="Times New Roman" w:hAnsi="Times New Roman" w:cs="Times New Roman"/>
          <w:sz w:val="24"/>
          <w:szCs w:val="24"/>
          <w:lang w:val="it-IT"/>
        </w:rPr>
        <w:instrText xml:space="preserve"> REF _Ref378171740 \h  \* MERGEFORMAT </w:instrText>
      </w:r>
      <w:r w:rsidR="0041703A" w:rsidRPr="006F07C8">
        <w:rPr>
          <w:rFonts w:ascii="Times New Roman" w:hAnsi="Times New Roman" w:cs="Times New Roman"/>
          <w:sz w:val="24"/>
          <w:szCs w:val="24"/>
          <w:lang w:val="it-IT"/>
        </w:rPr>
      </w:r>
      <w:r w:rsidR="0041703A" w:rsidRPr="006F07C8">
        <w:rPr>
          <w:rFonts w:ascii="Times New Roman" w:hAnsi="Times New Roman" w:cs="Times New Roman"/>
          <w:sz w:val="24"/>
          <w:szCs w:val="24"/>
          <w:lang w:val="it-IT"/>
        </w:rPr>
        <w:fldChar w:fldCharType="separate"/>
      </w:r>
      <w:r w:rsidR="00087B27" w:rsidRPr="006F07C8">
        <w:rPr>
          <w:rFonts w:ascii="Times New Roman" w:hAnsi="Times New Roman" w:cs="Times New Roman"/>
          <w:sz w:val="24"/>
          <w:szCs w:val="24"/>
          <w:lang w:val="it-IT"/>
        </w:rPr>
        <w:t xml:space="preserve">Tabella </w:t>
      </w:r>
      <w:r w:rsidR="00087B27" w:rsidRPr="006F07C8">
        <w:rPr>
          <w:rFonts w:ascii="Times New Roman" w:hAnsi="Times New Roman" w:cs="Times New Roman"/>
          <w:noProof/>
          <w:sz w:val="24"/>
          <w:szCs w:val="24"/>
          <w:lang w:val="it-IT"/>
        </w:rPr>
        <w:t>1</w:t>
      </w:r>
      <w:r w:rsidR="0041703A" w:rsidRPr="006F07C8">
        <w:rPr>
          <w:rFonts w:ascii="Times New Roman" w:hAnsi="Times New Roman" w:cs="Times New Roman"/>
          <w:sz w:val="24"/>
          <w:szCs w:val="24"/>
          <w:lang w:val="it-IT"/>
        </w:rPr>
        <w:fldChar w:fldCharType="end"/>
      </w:r>
      <w:r w:rsidR="0041703A" w:rsidRPr="006F07C8">
        <w:rPr>
          <w:rFonts w:ascii="Times New Roman" w:hAnsi="Times New Roman" w:cs="Times New Roman"/>
          <w:sz w:val="24"/>
          <w:szCs w:val="24"/>
          <w:lang w:val="it-IT"/>
        </w:rPr>
        <w:t xml:space="preserve"> in </w:t>
      </w:r>
      <w:r w:rsidR="005861C1" w:rsidRPr="006F07C8">
        <w:rPr>
          <w:rFonts w:ascii="Times New Roman" w:hAnsi="Times New Roman" w:cs="Times New Roman"/>
          <w:sz w:val="24"/>
          <w:szCs w:val="24"/>
          <w:lang w:val="it-IT"/>
        </w:rPr>
        <w:t>indicatori più comples</w:t>
      </w:r>
      <w:r w:rsidR="005861C1" w:rsidRPr="006F07C8">
        <w:rPr>
          <w:rFonts w:ascii="Times New Roman" w:hAnsi="Times New Roman" w:cs="Times New Roman"/>
          <w:sz w:val="24"/>
          <w:szCs w:val="24"/>
          <w:lang w:val="it-IT"/>
        </w:rPr>
        <w:lastRenderedPageBreak/>
        <w:t xml:space="preserve">si che danno una rappresentazione più fine degli effetti </w:t>
      </w:r>
      <w:r w:rsidR="00085BA6" w:rsidRPr="006F07C8">
        <w:rPr>
          <w:rFonts w:ascii="Times New Roman" w:hAnsi="Times New Roman" w:cs="Times New Roman"/>
          <w:sz w:val="24"/>
          <w:szCs w:val="24"/>
          <w:lang w:val="it-IT"/>
        </w:rPr>
        <w:t xml:space="preserve">sociali </w:t>
      </w:r>
      <w:r w:rsidR="005861C1" w:rsidRPr="006F07C8">
        <w:rPr>
          <w:rFonts w:ascii="Times New Roman" w:hAnsi="Times New Roman" w:cs="Times New Roman"/>
          <w:sz w:val="24"/>
          <w:szCs w:val="24"/>
          <w:lang w:val="it-IT"/>
        </w:rPr>
        <w:t>d</w:t>
      </w:r>
      <w:r w:rsidR="0041703A" w:rsidRPr="006F07C8">
        <w:rPr>
          <w:rFonts w:ascii="Times New Roman" w:hAnsi="Times New Roman" w:cs="Times New Roman"/>
          <w:sz w:val="24"/>
          <w:szCs w:val="24"/>
          <w:lang w:val="it-IT"/>
        </w:rPr>
        <w:t xml:space="preserve">ei </w:t>
      </w:r>
      <w:r w:rsidR="001A75E1" w:rsidRPr="006F07C8">
        <w:rPr>
          <w:rFonts w:ascii="Times New Roman" w:hAnsi="Times New Roman" w:cs="Times New Roman"/>
          <w:sz w:val="24"/>
          <w:szCs w:val="24"/>
          <w:lang w:val="it-IT"/>
        </w:rPr>
        <w:t>tre</w:t>
      </w:r>
      <w:r w:rsidR="0041703A" w:rsidRPr="006F07C8">
        <w:rPr>
          <w:rFonts w:ascii="Times New Roman" w:hAnsi="Times New Roman" w:cs="Times New Roman"/>
          <w:sz w:val="24"/>
          <w:szCs w:val="24"/>
          <w:lang w:val="it-IT"/>
        </w:rPr>
        <w:t xml:space="preserve"> </w:t>
      </w:r>
      <w:r w:rsidR="005861C1" w:rsidRPr="006F07C8">
        <w:rPr>
          <w:rFonts w:ascii="Times New Roman" w:hAnsi="Times New Roman" w:cs="Times New Roman"/>
          <w:sz w:val="24"/>
          <w:szCs w:val="24"/>
          <w:lang w:val="it-IT"/>
        </w:rPr>
        <w:t>regimi linguistici</w:t>
      </w:r>
      <w:r w:rsidR="0041703A" w:rsidRPr="006F07C8">
        <w:rPr>
          <w:rFonts w:ascii="Times New Roman" w:hAnsi="Times New Roman" w:cs="Times New Roman"/>
          <w:sz w:val="24"/>
          <w:szCs w:val="24"/>
          <w:lang w:val="it-IT"/>
        </w:rPr>
        <w:t xml:space="preserve"> qui presi in considerazione</w:t>
      </w:r>
      <w:r w:rsidR="005861C1" w:rsidRPr="006F07C8">
        <w:rPr>
          <w:rFonts w:ascii="Times New Roman" w:hAnsi="Times New Roman" w:cs="Times New Roman"/>
          <w:sz w:val="24"/>
          <w:szCs w:val="24"/>
          <w:lang w:val="it-IT"/>
        </w:rPr>
        <w:t>.</w:t>
      </w:r>
    </w:p>
    <w:p w:rsidR="0041703A" w:rsidRPr="006F07C8" w:rsidRDefault="0041703A" w:rsidP="002F52A9">
      <w:pPr>
        <w:spacing w:line="240" w:lineRule="auto"/>
        <w:jc w:val="both"/>
        <w:rPr>
          <w:rFonts w:ascii="Times New Roman" w:hAnsi="Times New Roman" w:cs="Times New Roman"/>
          <w:sz w:val="24"/>
          <w:szCs w:val="24"/>
          <w:lang w:val="it-IT"/>
        </w:rPr>
      </w:pPr>
      <w:r w:rsidRPr="006F07C8">
        <w:rPr>
          <w:rFonts w:ascii="Times New Roman" w:hAnsi="Times New Roman" w:cs="Times New Roman"/>
          <w:sz w:val="24"/>
          <w:szCs w:val="24"/>
          <w:lang w:val="it-IT"/>
        </w:rPr>
        <w:t xml:space="preserve">La </w:t>
      </w:r>
      <w:r w:rsidR="00243EF4" w:rsidRPr="006F07C8">
        <w:rPr>
          <w:rFonts w:ascii="Times New Roman" w:hAnsi="Times New Roman" w:cs="Times New Roman"/>
          <w:sz w:val="24"/>
          <w:szCs w:val="24"/>
          <w:lang w:val="it-IT"/>
        </w:rPr>
        <w:fldChar w:fldCharType="begin"/>
      </w:r>
      <w:r w:rsidR="00243EF4" w:rsidRPr="006F07C8">
        <w:rPr>
          <w:rFonts w:ascii="Times New Roman" w:hAnsi="Times New Roman" w:cs="Times New Roman"/>
          <w:sz w:val="24"/>
          <w:szCs w:val="24"/>
          <w:lang w:val="it-IT"/>
        </w:rPr>
        <w:instrText xml:space="preserve"> REF _Ref378262617 \h </w:instrText>
      </w:r>
      <w:r w:rsidR="00486AD8" w:rsidRPr="006F07C8">
        <w:rPr>
          <w:rFonts w:ascii="Times New Roman" w:hAnsi="Times New Roman" w:cs="Times New Roman"/>
          <w:sz w:val="24"/>
          <w:szCs w:val="24"/>
          <w:lang w:val="it-IT"/>
        </w:rPr>
        <w:instrText xml:space="preserve"> \* MERGEFORMAT </w:instrText>
      </w:r>
      <w:r w:rsidR="00243EF4" w:rsidRPr="006F07C8">
        <w:rPr>
          <w:rFonts w:ascii="Times New Roman" w:hAnsi="Times New Roman" w:cs="Times New Roman"/>
          <w:sz w:val="24"/>
          <w:szCs w:val="24"/>
          <w:lang w:val="it-IT"/>
        </w:rPr>
      </w:r>
      <w:r w:rsidR="00243EF4" w:rsidRPr="006F07C8">
        <w:rPr>
          <w:rFonts w:ascii="Times New Roman" w:hAnsi="Times New Roman" w:cs="Times New Roman"/>
          <w:sz w:val="24"/>
          <w:szCs w:val="24"/>
          <w:lang w:val="it-IT"/>
        </w:rPr>
        <w:fldChar w:fldCharType="separate"/>
      </w:r>
      <w:r w:rsidR="00087B27" w:rsidRPr="006F07C8">
        <w:rPr>
          <w:rFonts w:ascii="Times New Roman" w:hAnsi="Times New Roman" w:cs="Times New Roman"/>
          <w:sz w:val="24"/>
          <w:szCs w:val="24"/>
          <w:lang w:val="it-IT"/>
        </w:rPr>
        <w:t xml:space="preserve">Tabella </w:t>
      </w:r>
      <w:r w:rsidR="00087B27" w:rsidRPr="006F07C8">
        <w:rPr>
          <w:rFonts w:ascii="Times New Roman" w:hAnsi="Times New Roman" w:cs="Times New Roman"/>
          <w:noProof/>
          <w:sz w:val="24"/>
          <w:szCs w:val="24"/>
          <w:lang w:val="it-IT"/>
        </w:rPr>
        <w:t>4</w:t>
      </w:r>
      <w:r w:rsidR="00243EF4" w:rsidRPr="006F07C8">
        <w:rPr>
          <w:rFonts w:ascii="Times New Roman" w:hAnsi="Times New Roman" w:cs="Times New Roman"/>
          <w:sz w:val="24"/>
          <w:szCs w:val="24"/>
          <w:lang w:val="it-IT"/>
        </w:rPr>
        <w:fldChar w:fldCharType="end"/>
      </w:r>
      <w:r w:rsidR="00243EF4" w:rsidRPr="006F07C8">
        <w:rPr>
          <w:rFonts w:ascii="Times New Roman" w:hAnsi="Times New Roman" w:cs="Times New Roman"/>
          <w:sz w:val="24"/>
          <w:szCs w:val="24"/>
          <w:lang w:val="it-IT"/>
        </w:rPr>
        <w:t xml:space="preserve"> mostra </w:t>
      </w:r>
      <w:r w:rsidR="00486AD8" w:rsidRPr="006F07C8">
        <w:rPr>
          <w:rFonts w:ascii="Times New Roman" w:hAnsi="Times New Roman" w:cs="Times New Roman"/>
          <w:sz w:val="24"/>
          <w:szCs w:val="24"/>
          <w:lang w:val="it-IT"/>
        </w:rPr>
        <w:t>la distribuzione dei tassi di esclusione linguistica per fascia di reddi</w:t>
      </w:r>
      <w:r w:rsidR="00C11AE7" w:rsidRPr="006F07C8">
        <w:rPr>
          <w:rFonts w:ascii="Times New Roman" w:hAnsi="Times New Roman" w:cs="Times New Roman"/>
          <w:sz w:val="24"/>
          <w:szCs w:val="24"/>
          <w:lang w:val="it-IT"/>
        </w:rPr>
        <w:t>to</w:t>
      </w:r>
      <w:r w:rsidR="00486AD8" w:rsidRPr="006F07C8">
        <w:rPr>
          <w:rFonts w:ascii="Times New Roman" w:hAnsi="Times New Roman" w:cs="Times New Roman"/>
          <w:sz w:val="24"/>
          <w:szCs w:val="24"/>
          <w:lang w:val="it-IT"/>
        </w:rPr>
        <w:t xml:space="preserve">. </w:t>
      </w:r>
      <w:r w:rsidR="00E771D1" w:rsidRPr="006F07C8">
        <w:rPr>
          <w:rFonts w:ascii="Times New Roman" w:hAnsi="Times New Roman" w:cs="Times New Roman"/>
          <w:sz w:val="24"/>
          <w:szCs w:val="24"/>
          <w:lang w:val="it-IT"/>
        </w:rPr>
        <w:t xml:space="preserve">Sono esclusi i residenti che non lavorano </w:t>
      </w:r>
      <w:r w:rsidR="00331CF8" w:rsidRPr="006F07C8">
        <w:rPr>
          <w:rFonts w:ascii="Times New Roman" w:hAnsi="Times New Roman" w:cs="Times New Roman"/>
          <w:sz w:val="24"/>
          <w:szCs w:val="24"/>
          <w:lang w:val="it-IT"/>
        </w:rPr>
        <w:t xml:space="preserve">come ad </w:t>
      </w:r>
      <w:r w:rsidR="001A75E1" w:rsidRPr="006F07C8">
        <w:rPr>
          <w:rFonts w:ascii="Times New Roman" w:hAnsi="Times New Roman" w:cs="Times New Roman"/>
          <w:sz w:val="24"/>
          <w:szCs w:val="24"/>
          <w:lang w:val="it-IT"/>
        </w:rPr>
        <w:t>esempio</w:t>
      </w:r>
      <w:r w:rsidR="00E771D1" w:rsidRPr="006F07C8">
        <w:rPr>
          <w:rFonts w:ascii="Times New Roman" w:hAnsi="Times New Roman" w:cs="Times New Roman"/>
          <w:sz w:val="24"/>
          <w:szCs w:val="24"/>
          <w:lang w:val="it-IT"/>
        </w:rPr>
        <w:t xml:space="preserve"> </w:t>
      </w:r>
      <w:r w:rsidR="00C11AE7" w:rsidRPr="006F07C8">
        <w:rPr>
          <w:rFonts w:ascii="Times New Roman" w:hAnsi="Times New Roman" w:cs="Times New Roman"/>
          <w:sz w:val="24"/>
          <w:szCs w:val="24"/>
          <w:lang w:val="it-IT"/>
        </w:rPr>
        <w:t xml:space="preserve">i </w:t>
      </w:r>
      <w:r w:rsidR="00E771D1" w:rsidRPr="006F07C8">
        <w:rPr>
          <w:rFonts w:ascii="Times New Roman" w:hAnsi="Times New Roman" w:cs="Times New Roman"/>
          <w:sz w:val="24"/>
          <w:szCs w:val="24"/>
          <w:lang w:val="it-IT"/>
        </w:rPr>
        <w:t xml:space="preserve">disoccupati, </w:t>
      </w:r>
      <w:r w:rsidR="00C11AE7" w:rsidRPr="006F07C8">
        <w:rPr>
          <w:rFonts w:ascii="Times New Roman" w:hAnsi="Times New Roman" w:cs="Times New Roman"/>
          <w:sz w:val="24"/>
          <w:szCs w:val="24"/>
          <w:lang w:val="it-IT"/>
        </w:rPr>
        <w:t xml:space="preserve">i </w:t>
      </w:r>
      <w:r w:rsidR="00E771D1" w:rsidRPr="006F07C8">
        <w:rPr>
          <w:rFonts w:ascii="Times New Roman" w:hAnsi="Times New Roman" w:cs="Times New Roman"/>
          <w:sz w:val="24"/>
          <w:szCs w:val="24"/>
          <w:lang w:val="it-IT"/>
        </w:rPr>
        <w:t>pensionati</w:t>
      </w:r>
      <w:r w:rsidR="00C11AE7" w:rsidRPr="006F07C8">
        <w:rPr>
          <w:rFonts w:ascii="Times New Roman" w:hAnsi="Times New Roman" w:cs="Times New Roman"/>
          <w:sz w:val="24"/>
          <w:szCs w:val="24"/>
          <w:lang w:val="it-IT"/>
        </w:rPr>
        <w:t xml:space="preserve"> e gli</w:t>
      </w:r>
      <w:r w:rsidR="00E771D1" w:rsidRPr="006F07C8">
        <w:rPr>
          <w:rFonts w:ascii="Times New Roman" w:hAnsi="Times New Roman" w:cs="Times New Roman"/>
          <w:sz w:val="24"/>
          <w:szCs w:val="24"/>
          <w:lang w:val="it-IT"/>
        </w:rPr>
        <w:t xml:space="preserve"> studenti. </w:t>
      </w:r>
      <w:r w:rsidR="00C11AE7" w:rsidRPr="006F07C8">
        <w:rPr>
          <w:rFonts w:ascii="Times New Roman" w:hAnsi="Times New Roman" w:cs="Times New Roman"/>
          <w:sz w:val="24"/>
          <w:szCs w:val="24"/>
          <w:lang w:val="it-IT"/>
        </w:rPr>
        <w:t>La distribuzione del reddito è misurata in qu</w:t>
      </w:r>
      <w:r w:rsidR="007A2340" w:rsidRPr="006F07C8">
        <w:rPr>
          <w:rFonts w:ascii="Times New Roman" w:hAnsi="Times New Roman" w:cs="Times New Roman"/>
          <w:sz w:val="24"/>
          <w:szCs w:val="24"/>
          <w:lang w:val="it-IT"/>
        </w:rPr>
        <w:t>i</w:t>
      </w:r>
      <w:r w:rsidR="00C11AE7" w:rsidRPr="006F07C8">
        <w:rPr>
          <w:rFonts w:ascii="Times New Roman" w:hAnsi="Times New Roman" w:cs="Times New Roman"/>
          <w:sz w:val="24"/>
          <w:szCs w:val="24"/>
          <w:lang w:val="it-IT"/>
        </w:rPr>
        <w:t>ntili</w:t>
      </w:r>
      <w:r w:rsidR="00B55608" w:rsidRPr="006F07C8">
        <w:rPr>
          <w:rFonts w:ascii="Times New Roman" w:hAnsi="Times New Roman" w:cs="Times New Roman"/>
          <w:sz w:val="24"/>
          <w:szCs w:val="24"/>
          <w:lang w:val="it-IT"/>
        </w:rPr>
        <w:t>.</w:t>
      </w:r>
      <w:r w:rsidR="00B55608" w:rsidRPr="006F07C8">
        <w:rPr>
          <w:rStyle w:val="FootnoteReference"/>
          <w:rFonts w:ascii="Times New Roman" w:hAnsi="Times New Roman" w:cs="Times New Roman"/>
          <w:sz w:val="24"/>
          <w:szCs w:val="24"/>
          <w:lang w:val="it-IT"/>
        </w:rPr>
        <w:footnoteReference w:id="26"/>
      </w:r>
      <w:r w:rsidR="00B55608" w:rsidRPr="006F07C8">
        <w:rPr>
          <w:rFonts w:ascii="Times New Roman" w:hAnsi="Times New Roman" w:cs="Times New Roman"/>
          <w:sz w:val="24"/>
          <w:szCs w:val="24"/>
          <w:lang w:val="it-IT"/>
        </w:rPr>
        <w:t xml:space="preserve"> </w:t>
      </w:r>
      <w:r w:rsidR="00486AD8" w:rsidRPr="006F07C8">
        <w:rPr>
          <w:rFonts w:ascii="Times New Roman" w:hAnsi="Times New Roman" w:cs="Times New Roman"/>
          <w:sz w:val="24"/>
          <w:szCs w:val="24"/>
          <w:lang w:val="it-IT"/>
        </w:rPr>
        <w:t xml:space="preserve">I risultati si riferiscono ai 24 paesi considerati meno il Regno Unito per il quale </w:t>
      </w:r>
      <w:r w:rsidR="00482796" w:rsidRPr="006F07C8">
        <w:rPr>
          <w:rFonts w:ascii="Times New Roman" w:hAnsi="Times New Roman" w:cs="Times New Roman"/>
          <w:sz w:val="24"/>
          <w:szCs w:val="24"/>
          <w:lang w:val="it-IT"/>
        </w:rPr>
        <w:t xml:space="preserve">purtroppo </w:t>
      </w:r>
      <w:r w:rsidR="001F4057" w:rsidRPr="006F07C8">
        <w:rPr>
          <w:rFonts w:ascii="Times New Roman" w:hAnsi="Times New Roman" w:cs="Times New Roman"/>
          <w:sz w:val="24"/>
          <w:szCs w:val="24"/>
          <w:lang w:val="it-IT"/>
        </w:rPr>
        <w:t xml:space="preserve">la IEA non mette a disposizione </w:t>
      </w:r>
      <w:r w:rsidR="000D3811" w:rsidRPr="006F07C8">
        <w:rPr>
          <w:rFonts w:ascii="Times New Roman" w:hAnsi="Times New Roman" w:cs="Times New Roman"/>
          <w:sz w:val="24"/>
          <w:szCs w:val="24"/>
          <w:lang w:val="it-IT"/>
        </w:rPr>
        <w:t>i dati sul reddito da lavoro.</w:t>
      </w:r>
    </w:p>
    <w:p w:rsidR="0041703A" w:rsidRPr="006F07C8" w:rsidRDefault="0041703A" w:rsidP="002F52A9">
      <w:pPr>
        <w:pStyle w:val="Caption"/>
        <w:rPr>
          <w:rFonts w:ascii="Times New Roman" w:hAnsi="Times New Roman" w:cs="Times New Roman"/>
          <w:sz w:val="20"/>
          <w:szCs w:val="20"/>
          <w:lang w:val="it-IT"/>
        </w:rPr>
      </w:pPr>
      <w:bookmarkStart w:id="16" w:name="_Ref378262617"/>
      <w:r w:rsidRPr="006F07C8">
        <w:rPr>
          <w:rFonts w:ascii="Times New Roman" w:hAnsi="Times New Roman" w:cs="Times New Roman"/>
          <w:sz w:val="20"/>
          <w:szCs w:val="20"/>
          <w:lang w:val="it-IT"/>
        </w:rPr>
        <w:t xml:space="preserve">Tabella </w:t>
      </w:r>
      <w:r w:rsidRPr="006F07C8">
        <w:rPr>
          <w:rFonts w:ascii="Times New Roman" w:hAnsi="Times New Roman" w:cs="Times New Roman"/>
          <w:sz w:val="20"/>
          <w:szCs w:val="20"/>
          <w:lang w:val="it-IT"/>
        </w:rPr>
        <w:fldChar w:fldCharType="begin"/>
      </w:r>
      <w:r w:rsidRPr="006F07C8">
        <w:rPr>
          <w:rFonts w:ascii="Times New Roman" w:hAnsi="Times New Roman" w:cs="Times New Roman"/>
          <w:sz w:val="20"/>
          <w:szCs w:val="20"/>
          <w:lang w:val="it-IT"/>
        </w:rPr>
        <w:instrText xml:space="preserve"> SEQ Tabella \* ARABIC </w:instrText>
      </w:r>
      <w:r w:rsidRPr="006F07C8">
        <w:rPr>
          <w:rFonts w:ascii="Times New Roman" w:hAnsi="Times New Roman" w:cs="Times New Roman"/>
          <w:sz w:val="20"/>
          <w:szCs w:val="20"/>
          <w:lang w:val="it-IT"/>
        </w:rPr>
        <w:fldChar w:fldCharType="separate"/>
      </w:r>
      <w:r w:rsidR="00087B27" w:rsidRPr="006F07C8">
        <w:rPr>
          <w:rFonts w:ascii="Times New Roman" w:hAnsi="Times New Roman" w:cs="Times New Roman"/>
          <w:noProof/>
          <w:sz w:val="20"/>
          <w:szCs w:val="20"/>
          <w:lang w:val="it-IT"/>
        </w:rPr>
        <w:t>4</w:t>
      </w:r>
      <w:r w:rsidRPr="006F07C8">
        <w:rPr>
          <w:rFonts w:ascii="Times New Roman" w:hAnsi="Times New Roman" w:cs="Times New Roman"/>
          <w:sz w:val="20"/>
          <w:szCs w:val="20"/>
          <w:lang w:val="it-IT"/>
        </w:rPr>
        <w:fldChar w:fldCharType="end"/>
      </w:r>
      <w:bookmarkEnd w:id="16"/>
      <w:r w:rsidRPr="006F07C8">
        <w:rPr>
          <w:rFonts w:ascii="Times New Roman" w:hAnsi="Times New Roman" w:cs="Times New Roman"/>
          <w:sz w:val="20"/>
          <w:szCs w:val="20"/>
          <w:lang w:val="it-IT"/>
        </w:rPr>
        <w:t> : Tassi di esclusione linguistica assolut</w:t>
      </w:r>
      <w:r w:rsidR="00062662" w:rsidRPr="006F07C8">
        <w:rPr>
          <w:rFonts w:ascii="Times New Roman" w:hAnsi="Times New Roman" w:cs="Times New Roman"/>
          <w:sz w:val="20"/>
          <w:szCs w:val="20"/>
          <w:lang w:val="it-IT"/>
        </w:rPr>
        <w:t>a</w:t>
      </w:r>
      <w:r w:rsidRPr="006F07C8">
        <w:rPr>
          <w:rFonts w:ascii="Times New Roman" w:hAnsi="Times New Roman" w:cs="Times New Roman"/>
          <w:sz w:val="20"/>
          <w:szCs w:val="20"/>
          <w:lang w:val="it-IT"/>
        </w:rPr>
        <w:t xml:space="preserve"> per </w:t>
      </w:r>
      <w:r w:rsidR="00E771D1" w:rsidRPr="006F07C8">
        <w:rPr>
          <w:rFonts w:ascii="Times New Roman" w:hAnsi="Times New Roman" w:cs="Times New Roman"/>
          <w:sz w:val="20"/>
          <w:szCs w:val="20"/>
          <w:lang w:val="it-IT"/>
        </w:rPr>
        <w:t>fascia di reddito da lavoro</w:t>
      </w:r>
      <w:r w:rsidR="007A2340" w:rsidRPr="006F07C8">
        <w:rPr>
          <w:rFonts w:ascii="Times New Roman" w:hAnsi="Times New Roman" w:cs="Times New Roman"/>
          <w:sz w:val="20"/>
          <w:szCs w:val="20"/>
          <w:lang w:val="it-IT"/>
        </w:rPr>
        <w:t xml:space="preserve"> e per regime linguistico</w:t>
      </w:r>
      <w:r w:rsidRPr="006F07C8">
        <w:rPr>
          <w:rFonts w:ascii="Times New Roman" w:hAnsi="Times New Roman" w:cs="Times New Roman"/>
          <w:sz w:val="20"/>
          <w:szCs w:val="20"/>
          <w:lang w:val="it-IT"/>
        </w:rPr>
        <w:t>, UE-2</w:t>
      </w:r>
      <w:r w:rsidR="00C40D61" w:rsidRPr="006F07C8">
        <w:rPr>
          <w:rFonts w:ascii="Times New Roman" w:hAnsi="Times New Roman" w:cs="Times New Roman"/>
          <w:sz w:val="20"/>
          <w:szCs w:val="20"/>
          <w:lang w:val="it-IT"/>
        </w:rPr>
        <w:t>3</w:t>
      </w:r>
      <w:r w:rsidRPr="006F07C8">
        <w:rPr>
          <w:rFonts w:ascii="Times New Roman" w:hAnsi="Times New Roman" w:cs="Times New Roman"/>
          <w:sz w:val="20"/>
          <w:szCs w:val="20"/>
          <w:lang w:val="it-IT"/>
        </w:rPr>
        <w:t>. Dati in percentuale</w:t>
      </w:r>
    </w:p>
    <w:tbl>
      <w:tblPr>
        <w:tblStyle w:val="LightShading"/>
        <w:tblW w:w="3977" w:type="pct"/>
        <w:jc w:val="center"/>
        <w:tblLook w:val="0600" w:firstRow="0" w:lastRow="0" w:firstColumn="0" w:lastColumn="0" w:noHBand="1" w:noVBand="1"/>
      </w:tblPr>
      <w:tblGrid>
        <w:gridCol w:w="1958"/>
        <w:gridCol w:w="1086"/>
        <w:gridCol w:w="1086"/>
        <w:gridCol w:w="1086"/>
        <w:gridCol w:w="1086"/>
        <w:gridCol w:w="1086"/>
      </w:tblGrid>
      <w:tr w:rsidR="00045315" w:rsidRPr="006F07C8" w:rsidTr="00045315">
        <w:trPr>
          <w:trHeight w:val="191"/>
          <w:jc w:val="center"/>
        </w:trPr>
        <w:tc>
          <w:tcPr>
            <w:tcW w:w="1325" w:type="pct"/>
            <w:hideMark/>
          </w:tcPr>
          <w:p w:rsidR="00045315" w:rsidRPr="006F07C8" w:rsidRDefault="00045315" w:rsidP="002F52A9">
            <w:pPr>
              <w:jc w:val="right"/>
              <w:rPr>
                <w:rFonts w:ascii="Times New Roman" w:hAnsi="Times New Roman" w:cs="Times New Roman"/>
                <w:b/>
                <w:sz w:val="20"/>
                <w:szCs w:val="20"/>
                <w:lang w:val="it-IT"/>
              </w:rPr>
            </w:pPr>
            <w:r w:rsidRPr="006F07C8">
              <w:rPr>
                <w:rFonts w:ascii="Times New Roman" w:hAnsi="Times New Roman" w:cs="Times New Roman"/>
                <w:b/>
                <w:sz w:val="20"/>
                <w:szCs w:val="20"/>
                <w:lang w:val="it-IT"/>
              </w:rPr>
              <w:t>Quintile</w:t>
            </w:r>
          </w:p>
        </w:tc>
        <w:tc>
          <w:tcPr>
            <w:tcW w:w="735" w:type="pct"/>
            <w:hideMark/>
          </w:tcPr>
          <w:p w:rsidR="00045315" w:rsidRPr="006F07C8" w:rsidRDefault="00045315" w:rsidP="002F52A9">
            <w:pPr>
              <w:jc w:val="center"/>
              <w:rPr>
                <w:rFonts w:ascii="Times New Roman" w:hAnsi="Times New Roman" w:cs="Times New Roman"/>
                <w:sz w:val="20"/>
                <w:szCs w:val="20"/>
                <w:lang w:val="it-IT"/>
              </w:rPr>
            </w:pPr>
            <w:r w:rsidRPr="006F07C8">
              <w:rPr>
                <w:rFonts w:ascii="Times New Roman" w:hAnsi="Times New Roman" w:cs="Times New Roman"/>
                <w:b/>
                <w:bCs/>
                <w:sz w:val="20"/>
                <w:szCs w:val="20"/>
                <w:lang w:val="it-IT"/>
              </w:rPr>
              <w:t>I</w:t>
            </w:r>
          </w:p>
        </w:tc>
        <w:tc>
          <w:tcPr>
            <w:tcW w:w="735" w:type="pct"/>
            <w:hideMark/>
          </w:tcPr>
          <w:p w:rsidR="00045315" w:rsidRPr="006F07C8" w:rsidRDefault="00045315" w:rsidP="002F52A9">
            <w:pPr>
              <w:jc w:val="center"/>
              <w:rPr>
                <w:rFonts w:ascii="Times New Roman" w:hAnsi="Times New Roman" w:cs="Times New Roman"/>
                <w:sz w:val="20"/>
                <w:szCs w:val="20"/>
                <w:lang w:val="it-IT"/>
              </w:rPr>
            </w:pPr>
            <w:r w:rsidRPr="006F07C8">
              <w:rPr>
                <w:rFonts w:ascii="Times New Roman" w:hAnsi="Times New Roman" w:cs="Times New Roman"/>
                <w:b/>
                <w:bCs/>
                <w:sz w:val="20"/>
                <w:szCs w:val="20"/>
                <w:lang w:val="it-IT"/>
              </w:rPr>
              <w:t>II</w:t>
            </w:r>
          </w:p>
        </w:tc>
        <w:tc>
          <w:tcPr>
            <w:tcW w:w="735" w:type="pct"/>
            <w:hideMark/>
          </w:tcPr>
          <w:p w:rsidR="00045315" w:rsidRPr="006F07C8" w:rsidRDefault="00045315" w:rsidP="002F52A9">
            <w:pPr>
              <w:jc w:val="center"/>
              <w:rPr>
                <w:rFonts w:ascii="Times New Roman" w:hAnsi="Times New Roman" w:cs="Times New Roman"/>
                <w:sz w:val="20"/>
                <w:szCs w:val="20"/>
                <w:lang w:val="it-IT"/>
              </w:rPr>
            </w:pPr>
            <w:r w:rsidRPr="006F07C8">
              <w:rPr>
                <w:rFonts w:ascii="Times New Roman" w:hAnsi="Times New Roman" w:cs="Times New Roman"/>
                <w:b/>
                <w:bCs/>
                <w:sz w:val="20"/>
                <w:szCs w:val="20"/>
                <w:lang w:val="it-IT"/>
              </w:rPr>
              <w:t>III</w:t>
            </w:r>
          </w:p>
        </w:tc>
        <w:tc>
          <w:tcPr>
            <w:tcW w:w="735" w:type="pct"/>
            <w:hideMark/>
          </w:tcPr>
          <w:p w:rsidR="00045315" w:rsidRPr="006F07C8" w:rsidRDefault="00045315" w:rsidP="002F52A9">
            <w:pPr>
              <w:jc w:val="center"/>
              <w:rPr>
                <w:rFonts w:ascii="Times New Roman" w:hAnsi="Times New Roman" w:cs="Times New Roman"/>
                <w:sz w:val="20"/>
                <w:szCs w:val="20"/>
                <w:lang w:val="it-IT"/>
              </w:rPr>
            </w:pPr>
            <w:r w:rsidRPr="006F07C8">
              <w:rPr>
                <w:rFonts w:ascii="Times New Roman" w:hAnsi="Times New Roman" w:cs="Times New Roman"/>
                <w:b/>
                <w:bCs/>
                <w:sz w:val="20"/>
                <w:szCs w:val="20"/>
                <w:lang w:val="it-IT"/>
              </w:rPr>
              <w:t>IV</w:t>
            </w:r>
          </w:p>
        </w:tc>
        <w:tc>
          <w:tcPr>
            <w:tcW w:w="735" w:type="pct"/>
          </w:tcPr>
          <w:p w:rsidR="00045315" w:rsidRPr="006F07C8" w:rsidRDefault="00045315" w:rsidP="002F52A9">
            <w:pPr>
              <w:jc w:val="center"/>
              <w:rPr>
                <w:rFonts w:ascii="Times New Roman" w:hAnsi="Times New Roman" w:cs="Times New Roman"/>
                <w:b/>
                <w:bCs/>
                <w:iCs/>
                <w:sz w:val="20"/>
                <w:szCs w:val="20"/>
                <w:lang w:val="it-IT"/>
              </w:rPr>
            </w:pPr>
            <w:r w:rsidRPr="006F07C8">
              <w:rPr>
                <w:rFonts w:ascii="Times New Roman" w:hAnsi="Times New Roman" w:cs="Times New Roman"/>
                <w:b/>
                <w:bCs/>
                <w:iCs/>
                <w:sz w:val="20"/>
                <w:szCs w:val="20"/>
                <w:lang w:val="it-IT"/>
              </w:rPr>
              <w:t>V</w:t>
            </w:r>
          </w:p>
        </w:tc>
      </w:tr>
      <w:tr w:rsidR="00045315" w:rsidRPr="006F07C8" w:rsidTr="00045315">
        <w:trPr>
          <w:trHeight w:val="223"/>
          <w:jc w:val="center"/>
        </w:trPr>
        <w:tc>
          <w:tcPr>
            <w:tcW w:w="1325" w:type="pct"/>
            <w:hideMark/>
          </w:tcPr>
          <w:p w:rsidR="00045315" w:rsidRPr="006F07C8" w:rsidRDefault="00045315" w:rsidP="002F52A9">
            <w:pPr>
              <w:rPr>
                <w:rFonts w:ascii="Times New Roman" w:hAnsi="Times New Roman" w:cs="Times New Roman"/>
                <w:b/>
                <w:sz w:val="20"/>
                <w:szCs w:val="20"/>
                <w:lang w:val="it-IT"/>
              </w:rPr>
            </w:pPr>
            <w:r w:rsidRPr="006F07C8">
              <w:rPr>
                <w:rFonts w:ascii="Times New Roman" w:hAnsi="Times New Roman" w:cs="Times New Roman"/>
                <w:b/>
                <w:sz w:val="20"/>
                <w:szCs w:val="20"/>
                <w:lang w:val="it-IT"/>
              </w:rPr>
              <w:t>Regime linguistico</w:t>
            </w:r>
          </w:p>
        </w:tc>
        <w:tc>
          <w:tcPr>
            <w:tcW w:w="735" w:type="pct"/>
            <w:hideMark/>
          </w:tcPr>
          <w:p w:rsidR="00045315" w:rsidRPr="006F07C8" w:rsidRDefault="00045315" w:rsidP="002F52A9">
            <w:pPr>
              <w:jc w:val="center"/>
              <w:rPr>
                <w:rFonts w:ascii="Times New Roman" w:hAnsi="Times New Roman" w:cs="Times New Roman"/>
                <w:i/>
                <w:sz w:val="20"/>
                <w:szCs w:val="20"/>
                <w:vertAlign w:val="subscript"/>
                <w:lang w:val="it-IT"/>
              </w:rPr>
            </w:pPr>
          </w:p>
        </w:tc>
        <w:tc>
          <w:tcPr>
            <w:tcW w:w="735" w:type="pct"/>
            <w:hideMark/>
          </w:tcPr>
          <w:p w:rsidR="00045315" w:rsidRPr="006F07C8" w:rsidRDefault="00045315" w:rsidP="002F52A9">
            <w:pPr>
              <w:jc w:val="center"/>
              <w:rPr>
                <w:rFonts w:ascii="Times New Roman" w:hAnsi="Times New Roman" w:cs="Times New Roman"/>
                <w:i/>
                <w:sz w:val="20"/>
                <w:szCs w:val="20"/>
                <w:vertAlign w:val="subscript"/>
                <w:lang w:val="it-IT"/>
              </w:rPr>
            </w:pPr>
          </w:p>
        </w:tc>
        <w:tc>
          <w:tcPr>
            <w:tcW w:w="735" w:type="pct"/>
            <w:hideMark/>
          </w:tcPr>
          <w:p w:rsidR="00045315" w:rsidRPr="006F07C8" w:rsidRDefault="00045315" w:rsidP="002F52A9">
            <w:pPr>
              <w:jc w:val="center"/>
              <w:rPr>
                <w:rFonts w:ascii="Times New Roman" w:hAnsi="Times New Roman" w:cs="Times New Roman"/>
                <w:sz w:val="20"/>
                <w:szCs w:val="20"/>
                <w:lang w:val="it-IT"/>
              </w:rPr>
            </w:pPr>
          </w:p>
        </w:tc>
        <w:tc>
          <w:tcPr>
            <w:tcW w:w="735" w:type="pct"/>
            <w:hideMark/>
          </w:tcPr>
          <w:p w:rsidR="00045315" w:rsidRPr="006F07C8" w:rsidRDefault="00045315" w:rsidP="002F52A9">
            <w:pPr>
              <w:jc w:val="center"/>
              <w:rPr>
                <w:rFonts w:ascii="Times New Roman" w:hAnsi="Times New Roman" w:cs="Times New Roman"/>
                <w:sz w:val="20"/>
                <w:szCs w:val="20"/>
                <w:lang w:val="it-IT"/>
              </w:rPr>
            </w:pPr>
          </w:p>
        </w:tc>
        <w:tc>
          <w:tcPr>
            <w:tcW w:w="735" w:type="pct"/>
          </w:tcPr>
          <w:p w:rsidR="00045315" w:rsidRPr="006F07C8" w:rsidRDefault="00045315" w:rsidP="002F52A9">
            <w:pPr>
              <w:jc w:val="center"/>
              <w:rPr>
                <w:rFonts w:ascii="Times New Roman" w:hAnsi="Times New Roman" w:cs="Times New Roman"/>
                <w:sz w:val="20"/>
                <w:szCs w:val="20"/>
                <w:lang w:val="it-IT"/>
              </w:rPr>
            </w:pPr>
          </w:p>
        </w:tc>
      </w:tr>
      <w:tr w:rsidR="00045315" w:rsidRPr="006F07C8" w:rsidTr="00C44EAF">
        <w:trPr>
          <w:trHeight w:val="255"/>
          <w:jc w:val="center"/>
        </w:trPr>
        <w:tc>
          <w:tcPr>
            <w:tcW w:w="1325" w:type="pct"/>
          </w:tcPr>
          <w:p w:rsidR="00045315" w:rsidRPr="006F07C8" w:rsidRDefault="00045315" w:rsidP="002F52A9">
            <w:pPr>
              <w:rPr>
                <w:rFonts w:ascii="Times New Roman" w:hAnsi="Times New Roman" w:cs="Times New Roman"/>
                <w:sz w:val="20"/>
                <w:szCs w:val="20"/>
                <w:lang w:val="it-IT"/>
              </w:rPr>
            </w:pPr>
            <w:r w:rsidRPr="006F07C8">
              <w:rPr>
                <w:rFonts w:ascii="Times New Roman" w:hAnsi="Times New Roman" w:cs="Times New Roman"/>
                <w:i/>
                <w:iCs/>
                <w:sz w:val="20"/>
                <w:szCs w:val="20"/>
                <w:lang w:val="it-IT"/>
              </w:rPr>
              <w:t>24 lingue</w:t>
            </w:r>
          </w:p>
        </w:tc>
        <w:tc>
          <w:tcPr>
            <w:tcW w:w="735" w:type="pct"/>
            <w:vAlign w:val="center"/>
            <w:hideMark/>
          </w:tcPr>
          <w:p w:rsidR="00045315" w:rsidRPr="006F07C8" w:rsidRDefault="00045315" w:rsidP="002F52A9">
            <w:pPr>
              <w:pStyle w:val="NormalWeb"/>
              <w:spacing w:before="0" w:beforeAutospacing="0" w:after="0" w:afterAutospacing="0"/>
              <w:jc w:val="center"/>
              <w:textAlignment w:val="bottom"/>
              <w:rPr>
                <w:sz w:val="20"/>
                <w:szCs w:val="20"/>
                <w:lang w:val="it-IT"/>
              </w:rPr>
            </w:pPr>
            <w:r w:rsidRPr="006F07C8">
              <w:rPr>
                <w:color w:val="000000"/>
                <w:kern w:val="24"/>
                <w:sz w:val="20"/>
                <w:szCs w:val="20"/>
                <w:lang w:val="it-IT"/>
              </w:rPr>
              <w:t>1</w:t>
            </w:r>
          </w:p>
        </w:tc>
        <w:tc>
          <w:tcPr>
            <w:tcW w:w="735" w:type="pct"/>
            <w:vAlign w:val="center"/>
            <w:hideMark/>
          </w:tcPr>
          <w:p w:rsidR="00045315" w:rsidRPr="006F07C8" w:rsidRDefault="00045315" w:rsidP="002F52A9">
            <w:pPr>
              <w:pStyle w:val="NormalWeb"/>
              <w:spacing w:before="0" w:beforeAutospacing="0" w:after="0" w:afterAutospacing="0"/>
              <w:jc w:val="center"/>
              <w:textAlignment w:val="bottom"/>
              <w:rPr>
                <w:sz w:val="20"/>
                <w:szCs w:val="20"/>
                <w:lang w:val="it-IT"/>
              </w:rPr>
            </w:pPr>
            <w:r w:rsidRPr="006F07C8">
              <w:rPr>
                <w:color w:val="000000"/>
                <w:kern w:val="24"/>
                <w:sz w:val="20"/>
                <w:szCs w:val="20"/>
                <w:lang w:val="it-IT"/>
              </w:rPr>
              <w:t>0</w:t>
            </w:r>
          </w:p>
        </w:tc>
        <w:tc>
          <w:tcPr>
            <w:tcW w:w="735" w:type="pct"/>
            <w:vAlign w:val="center"/>
            <w:hideMark/>
          </w:tcPr>
          <w:p w:rsidR="00045315" w:rsidRPr="006F07C8" w:rsidRDefault="00045315" w:rsidP="002F52A9">
            <w:pPr>
              <w:pStyle w:val="NormalWeb"/>
              <w:spacing w:before="0" w:beforeAutospacing="0" w:after="0" w:afterAutospacing="0"/>
              <w:jc w:val="center"/>
              <w:textAlignment w:val="bottom"/>
              <w:rPr>
                <w:sz w:val="20"/>
                <w:szCs w:val="20"/>
                <w:lang w:val="it-IT"/>
              </w:rPr>
            </w:pPr>
            <w:r w:rsidRPr="006F07C8">
              <w:rPr>
                <w:color w:val="000000"/>
                <w:kern w:val="24"/>
                <w:sz w:val="20"/>
                <w:szCs w:val="20"/>
                <w:lang w:val="it-IT"/>
              </w:rPr>
              <w:t>0</w:t>
            </w:r>
          </w:p>
        </w:tc>
        <w:tc>
          <w:tcPr>
            <w:tcW w:w="735" w:type="pct"/>
            <w:vAlign w:val="center"/>
            <w:hideMark/>
          </w:tcPr>
          <w:p w:rsidR="00045315" w:rsidRPr="006F07C8" w:rsidRDefault="00045315" w:rsidP="002F52A9">
            <w:pPr>
              <w:pStyle w:val="NormalWeb"/>
              <w:spacing w:before="0" w:beforeAutospacing="0" w:after="0" w:afterAutospacing="0"/>
              <w:jc w:val="center"/>
              <w:textAlignment w:val="bottom"/>
              <w:rPr>
                <w:sz w:val="20"/>
                <w:szCs w:val="20"/>
                <w:lang w:val="it-IT"/>
              </w:rPr>
            </w:pPr>
            <w:r w:rsidRPr="006F07C8">
              <w:rPr>
                <w:color w:val="000000"/>
                <w:kern w:val="24"/>
                <w:sz w:val="20"/>
                <w:szCs w:val="20"/>
                <w:lang w:val="it-IT"/>
              </w:rPr>
              <w:t>0</w:t>
            </w:r>
          </w:p>
        </w:tc>
        <w:tc>
          <w:tcPr>
            <w:tcW w:w="735" w:type="pct"/>
            <w:vAlign w:val="center"/>
          </w:tcPr>
          <w:p w:rsidR="00045315" w:rsidRPr="006F07C8" w:rsidRDefault="00045315" w:rsidP="002F52A9">
            <w:pPr>
              <w:pStyle w:val="NormalWeb"/>
              <w:spacing w:before="0" w:beforeAutospacing="0" w:after="0" w:afterAutospacing="0"/>
              <w:jc w:val="center"/>
              <w:textAlignment w:val="bottom"/>
              <w:rPr>
                <w:sz w:val="20"/>
                <w:szCs w:val="20"/>
                <w:lang w:val="it-IT"/>
              </w:rPr>
            </w:pPr>
            <w:r w:rsidRPr="006F07C8">
              <w:rPr>
                <w:color w:val="000000"/>
                <w:kern w:val="24"/>
                <w:sz w:val="20"/>
                <w:szCs w:val="20"/>
                <w:lang w:val="it-IT"/>
              </w:rPr>
              <w:t>0</w:t>
            </w:r>
          </w:p>
        </w:tc>
      </w:tr>
      <w:tr w:rsidR="00331CF8" w:rsidRPr="006F07C8" w:rsidTr="00C44EAF">
        <w:trPr>
          <w:trHeight w:val="273"/>
          <w:jc w:val="center"/>
        </w:trPr>
        <w:tc>
          <w:tcPr>
            <w:tcW w:w="1325" w:type="pct"/>
          </w:tcPr>
          <w:p w:rsidR="00331CF8" w:rsidRPr="006F07C8" w:rsidRDefault="00331CF8" w:rsidP="002F52A9">
            <w:pPr>
              <w:rPr>
                <w:rFonts w:ascii="Times New Roman" w:hAnsi="Times New Roman" w:cs="Times New Roman"/>
                <w:i/>
                <w:iCs/>
                <w:sz w:val="20"/>
                <w:szCs w:val="20"/>
                <w:lang w:val="it-IT"/>
              </w:rPr>
            </w:pPr>
            <w:r w:rsidRPr="006F07C8">
              <w:rPr>
                <w:rFonts w:ascii="Times New Roman" w:hAnsi="Times New Roman" w:cs="Times New Roman"/>
                <w:i/>
                <w:iCs/>
                <w:sz w:val="20"/>
                <w:szCs w:val="20"/>
                <w:lang w:val="it-IT"/>
              </w:rPr>
              <w:t>Oligarchico</w:t>
            </w:r>
          </w:p>
        </w:tc>
        <w:tc>
          <w:tcPr>
            <w:tcW w:w="735" w:type="pct"/>
            <w:vAlign w:val="center"/>
          </w:tcPr>
          <w:p w:rsidR="00331CF8" w:rsidRPr="006F07C8" w:rsidRDefault="00331CF8" w:rsidP="002F52A9">
            <w:pPr>
              <w:pStyle w:val="NormalWeb"/>
              <w:spacing w:before="0" w:beforeAutospacing="0" w:after="0" w:afterAutospacing="0"/>
              <w:jc w:val="center"/>
              <w:textAlignment w:val="bottom"/>
              <w:rPr>
                <w:color w:val="000000"/>
                <w:kern w:val="24"/>
                <w:sz w:val="20"/>
                <w:szCs w:val="20"/>
                <w:lang w:val="it-IT"/>
              </w:rPr>
            </w:pPr>
            <w:r w:rsidRPr="006F07C8">
              <w:rPr>
                <w:color w:val="000000"/>
                <w:kern w:val="24"/>
                <w:sz w:val="20"/>
                <w:szCs w:val="20"/>
                <w:lang w:val="it-IT"/>
              </w:rPr>
              <w:t>38</w:t>
            </w:r>
          </w:p>
        </w:tc>
        <w:tc>
          <w:tcPr>
            <w:tcW w:w="735" w:type="pct"/>
            <w:vAlign w:val="center"/>
          </w:tcPr>
          <w:p w:rsidR="00331CF8" w:rsidRPr="006F07C8" w:rsidRDefault="00331CF8" w:rsidP="002F52A9">
            <w:pPr>
              <w:pStyle w:val="NormalWeb"/>
              <w:spacing w:before="0" w:beforeAutospacing="0" w:after="0" w:afterAutospacing="0"/>
              <w:jc w:val="center"/>
              <w:textAlignment w:val="bottom"/>
              <w:rPr>
                <w:color w:val="000000"/>
                <w:kern w:val="24"/>
                <w:sz w:val="20"/>
                <w:szCs w:val="20"/>
                <w:lang w:val="it-IT"/>
              </w:rPr>
            </w:pPr>
            <w:r w:rsidRPr="006F07C8">
              <w:rPr>
                <w:color w:val="000000"/>
                <w:kern w:val="24"/>
                <w:sz w:val="20"/>
                <w:szCs w:val="20"/>
                <w:lang w:val="it-IT"/>
              </w:rPr>
              <w:t>29</w:t>
            </w:r>
          </w:p>
        </w:tc>
        <w:tc>
          <w:tcPr>
            <w:tcW w:w="735" w:type="pct"/>
            <w:vAlign w:val="center"/>
          </w:tcPr>
          <w:p w:rsidR="00331CF8" w:rsidRPr="006F07C8" w:rsidRDefault="00331CF8" w:rsidP="002F52A9">
            <w:pPr>
              <w:pStyle w:val="NormalWeb"/>
              <w:spacing w:before="0" w:beforeAutospacing="0" w:after="0" w:afterAutospacing="0"/>
              <w:jc w:val="center"/>
              <w:textAlignment w:val="bottom"/>
              <w:rPr>
                <w:color w:val="000000"/>
                <w:kern w:val="24"/>
                <w:sz w:val="20"/>
                <w:szCs w:val="20"/>
                <w:lang w:val="it-IT"/>
              </w:rPr>
            </w:pPr>
            <w:r w:rsidRPr="006F07C8">
              <w:rPr>
                <w:color w:val="000000"/>
                <w:kern w:val="24"/>
                <w:sz w:val="20"/>
                <w:szCs w:val="20"/>
                <w:lang w:val="it-IT"/>
              </w:rPr>
              <w:t>25</w:t>
            </w:r>
          </w:p>
        </w:tc>
        <w:tc>
          <w:tcPr>
            <w:tcW w:w="735" w:type="pct"/>
            <w:vAlign w:val="center"/>
          </w:tcPr>
          <w:p w:rsidR="00331CF8" w:rsidRPr="006F07C8" w:rsidRDefault="00331CF8" w:rsidP="002F52A9">
            <w:pPr>
              <w:pStyle w:val="NormalWeb"/>
              <w:spacing w:before="0" w:beforeAutospacing="0" w:after="0" w:afterAutospacing="0"/>
              <w:jc w:val="center"/>
              <w:textAlignment w:val="bottom"/>
              <w:rPr>
                <w:color w:val="000000"/>
                <w:kern w:val="24"/>
                <w:sz w:val="20"/>
                <w:szCs w:val="20"/>
                <w:lang w:val="it-IT"/>
              </w:rPr>
            </w:pPr>
            <w:r w:rsidRPr="006F07C8">
              <w:rPr>
                <w:color w:val="000000"/>
                <w:kern w:val="24"/>
                <w:sz w:val="20"/>
                <w:szCs w:val="20"/>
                <w:lang w:val="it-IT"/>
              </w:rPr>
              <w:t>21</w:t>
            </w:r>
          </w:p>
        </w:tc>
        <w:tc>
          <w:tcPr>
            <w:tcW w:w="735" w:type="pct"/>
            <w:vAlign w:val="center"/>
          </w:tcPr>
          <w:p w:rsidR="00331CF8" w:rsidRPr="006F07C8" w:rsidRDefault="00331CF8" w:rsidP="002F52A9">
            <w:pPr>
              <w:pStyle w:val="NormalWeb"/>
              <w:spacing w:before="0" w:beforeAutospacing="0" w:after="0" w:afterAutospacing="0"/>
              <w:jc w:val="center"/>
              <w:textAlignment w:val="bottom"/>
              <w:rPr>
                <w:color w:val="000000"/>
                <w:kern w:val="24"/>
                <w:sz w:val="20"/>
                <w:szCs w:val="20"/>
                <w:lang w:val="it-IT"/>
              </w:rPr>
            </w:pPr>
            <w:r w:rsidRPr="006F07C8">
              <w:rPr>
                <w:color w:val="000000"/>
                <w:kern w:val="24"/>
                <w:sz w:val="20"/>
                <w:szCs w:val="20"/>
                <w:lang w:val="it-IT"/>
              </w:rPr>
              <w:t>13</w:t>
            </w:r>
          </w:p>
        </w:tc>
      </w:tr>
      <w:tr w:rsidR="00045315" w:rsidRPr="006F07C8" w:rsidTr="00C44EAF">
        <w:trPr>
          <w:trHeight w:val="273"/>
          <w:jc w:val="center"/>
        </w:trPr>
        <w:tc>
          <w:tcPr>
            <w:tcW w:w="1325" w:type="pct"/>
            <w:hideMark/>
          </w:tcPr>
          <w:p w:rsidR="00045315" w:rsidRPr="006F07C8" w:rsidRDefault="00045315" w:rsidP="002F52A9">
            <w:pPr>
              <w:rPr>
                <w:rFonts w:ascii="Times New Roman" w:hAnsi="Times New Roman" w:cs="Times New Roman"/>
                <w:sz w:val="20"/>
                <w:szCs w:val="20"/>
                <w:lang w:val="it-IT"/>
              </w:rPr>
            </w:pPr>
            <w:r w:rsidRPr="006F07C8">
              <w:rPr>
                <w:rFonts w:ascii="Times New Roman" w:hAnsi="Times New Roman" w:cs="Times New Roman"/>
                <w:i/>
                <w:iCs/>
                <w:sz w:val="20"/>
                <w:szCs w:val="20"/>
                <w:lang w:val="it-IT"/>
              </w:rPr>
              <w:t>Monolinguismo</w:t>
            </w:r>
          </w:p>
        </w:tc>
        <w:tc>
          <w:tcPr>
            <w:tcW w:w="735" w:type="pct"/>
            <w:vAlign w:val="center"/>
          </w:tcPr>
          <w:p w:rsidR="00045315" w:rsidRPr="006F07C8" w:rsidRDefault="00045315" w:rsidP="002F52A9">
            <w:pPr>
              <w:pStyle w:val="NormalWeb"/>
              <w:spacing w:before="0" w:beforeAutospacing="0" w:after="0" w:afterAutospacing="0"/>
              <w:jc w:val="center"/>
              <w:textAlignment w:val="bottom"/>
              <w:rPr>
                <w:sz w:val="20"/>
                <w:szCs w:val="20"/>
                <w:lang w:val="it-IT"/>
              </w:rPr>
            </w:pPr>
            <w:r w:rsidRPr="006F07C8">
              <w:rPr>
                <w:color w:val="000000"/>
                <w:kern w:val="24"/>
                <w:sz w:val="20"/>
                <w:szCs w:val="20"/>
                <w:lang w:val="it-IT"/>
              </w:rPr>
              <w:t>60</w:t>
            </w:r>
          </w:p>
        </w:tc>
        <w:tc>
          <w:tcPr>
            <w:tcW w:w="735" w:type="pct"/>
            <w:vAlign w:val="center"/>
          </w:tcPr>
          <w:p w:rsidR="00045315" w:rsidRPr="006F07C8" w:rsidRDefault="00045315" w:rsidP="002F52A9">
            <w:pPr>
              <w:pStyle w:val="NormalWeb"/>
              <w:spacing w:before="0" w:beforeAutospacing="0" w:after="0" w:afterAutospacing="0"/>
              <w:jc w:val="center"/>
              <w:textAlignment w:val="bottom"/>
              <w:rPr>
                <w:sz w:val="20"/>
                <w:szCs w:val="20"/>
                <w:lang w:val="it-IT"/>
              </w:rPr>
            </w:pPr>
            <w:r w:rsidRPr="006F07C8">
              <w:rPr>
                <w:color w:val="000000"/>
                <w:kern w:val="24"/>
                <w:sz w:val="20"/>
                <w:szCs w:val="20"/>
                <w:lang w:val="it-IT"/>
              </w:rPr>
              <w:t>56</w:t>
            </w:r>
          </w:p>
        </w:tc>
        <w:tc>
          <w:tcPr>
            <w:tcW w:w="735" w:type="pct"/>
            <w:vAlign w:val="center"/>
          </w:tcPr>
          <w:p w:rsidR="00045315" w:rsidRPr="006F07C8" w:rsidRDefault="00045315" w:rsidP="002F52A9">
            <w:pPr>
              <w:pStyle w:val="NormalWeb"/>
              <w:spacing w:before="0" w:beforeAutospacing="0" w:after="0" w:afterAutospacing="0"/>
              <w:jc w:val="center"/>
              <w:textAlignment w:val="bottom"/>
              <w:rPr>
                <w:sz w:val="20"/>
                <w:szCs w:val="20"/>
                <w:lang w:val="it-IT"/>
              </w:rPr>
            </w:pPr>
            <w:r w:rsidRPr="006F07C8">
              <w:rPr>
                <w:color w:val="000000"/>
                <w:kern w:val="24"/>
                <w:sz w:val="20"/>
                <w:szCs w:val="20"/>
                <w:lang w:val="it-IT"/>
              </w:rPr>
              <w:t>52</w:t>
            </w:r>
          </w:p>
        </w:tc>
        <w:tc>
          <w:tcPr>
            <w:tcW w:w="735" w:type="pct"/>
            <w:vAlign w:val="center"/>
          </w:tcPr>
          <w:p w:rsidR="00045315" w:rsidRPr="006F07C8" w:rsidRDefault="00045315" w:rsidP="002F52A9">
            <w:pPr>
              <w:pStyle w:val="NormalWeb"/>
              <w:spacing w:before="0" w:beforeAutospacing="0" w:after="0" w:afterAutospacing="0"/>
              <w:jc w:val="center"/>
              <w:textAlignment w:val="bottom"/>
              <w:rPr>
                <w:sz w:val="20"/>
                <w:szCs w:val="20"/>
                <w:lang w:val="it-IT"/>
              </w:rPr>
            </w:pPr>
            <w:r w:rsidRPr="006F07C8">
              <w:rPr>
                <w:color w:val="000000"/>
                <w:kern w:val="24"/>
                <w:sz w:val="20"/>
                <w:szCs w:val="20"/>
                <w:lang w:val="it-IT"/>
              </w:rPr>
              <w:t>45</w:t>
            </w:r>
          </w:p>
        </w:tc>
        <w:tc>
          <w:tcPr>
            <w:tcW w:w="735" w:type="pct"/>
            <w:vAlign w:val="center"/>
          </w:tcPr>
          <w:p w:rsidR="00045315" w:rsidRPr="006F07C8" w:rsidRDefault="00045315" w:rsidP="002F52A9">
            <w:pPr>
              <w:pStyle w:val="NormalWeb"/>
              <w:spacing w:before="0" w:beforeAutospacing="0" w:after="0" w:afterAutospacing="0"/>
              <w:jc w:val="center"/>
              <w:textAlignment w:val="bottom"/>
              <w:rPr>
                <w:sz w:val="20"/>
                <w:szCs w:val="20"/>
                <w:lang w:val="it-IT"/>
              </w:rPr>
            </w:pPr>
            <w:r w:rsidRPr="006F07C8">
              <w:rPr>
                <w:color w:val="000000"/>
                <w:kern w:val="24"/>
                <w:sz w:val="20"/>
                <w:szCs w:val="20"/>
                <w:lang w:val="it-IT"/>
              </w:rPr>
              <w:t>29</w:t>
            </w:r>
          </w:p>
        </w:tc>
      </w:tr>
    </w:tbl>
    <w:p w:rsidR="0041703A" w:rsidRPr="006F07C8" w:rsidRDefault="0041703A" w:rsidP="002F52A9">
      <w:pPr>
        <w:spacing w:after="0" w:line="240" w:lineRule="auto"/>
        <w:jc w:val="both"/>
        <w:rPr>
          <w:rFonts w:ascii="Times New Roman" w:hAnsi="Times New Roman" w:cs="Times New Roman"/>
          <w:i/>
          <w:sz w:val="20"/>
          <w:szCs w:val="20"/>
          <w:lang w:val="it-IT"/>
        </w:rPr>
      </w:pPr>
      <w:r w:rsidRPr="006F07C8">
        <w:rPr>
          <w:rFonts w:ascii="Times New Roman" w:hAnsi="Times New Roman" w:cs="Times New Roman"/>
          <w:i/>
          <w:sz w:val="20"/>
          <w:szCs w:val="20"/>
          <w:lang w:val="it-IT"/>
        </w:rPr>
        <w:t>Fonte: Eurostat, IEA</w:t>
      </w:r>
      <w:r w:rsidR="00C6336A" w:rsidRPr="006F07C8">
        <w:rPr>
          <w:rFonts w:ascii="Times New Roman" w:hAnsi="Times New Roman" w:cs="Times New Roman"/>
          <w:i/>
          <w:sz w:val="20"/>
          <w:szCs w:val="20"/>
          <w:lang w:val="it-IT"/>
        </w:rPr>
        <w:t xml:space="preserve"> 2011</w:t>
      </w:r>
      <w:r w:rsidRPr="006F07C8">
        <w:rPr>
          <w:rFonts w:ascii="Times New Roman" w:hAnsi="Times New Roman" w:cs="Times New Roman"/>
          <w:i/>
          <w:sz w:val="20"/>
          <w:szCs w:val="20"/>
          <w:lang w:val="it-IT"/>
        </w:rPr>
        <w:t>. Tabella elaborata dall’autore</w:t>
      </w:r>
    </w:p>
    <w:p w:rsidR="002B4030" w:rsidRPr="006F07C8" w:rsidRDefault="002B4030" w:rsidP="002F52A9">
      <w:pPr>
        <w:spacing w:line="240" w:lineRule="auto"/>
        <w:jc w:val="both"/>
        <w:rPr>
          <w:rFonts w:ascii="Times New Roman" w:hAnsi="Times New Roman" w:cs="Times New Roman"/>
          <w:sz w:val="20"/>
          <w:lang w:val="it-IT"/>
        </w:rPr>
      </w:pPr>
    </w:p>
    <w:p w:rsidR="000D3811" w:rsidRPr="006F07C8" w:rsidRDefault="00C11AE7" w:rsidP="002F52A9">
      <w:pPr>
        <w:spacing w:line="240" w:lineRule="auto"/>
        <w:jc w:val="both"/>
        <w:rPr>
          <w:rFonts w:ascii="Times New Roman" w:hAnsi="Times New Roman" w:cs="Times New Roman"/>
          <w:sz w:val="24"/>
          <w:szCs w:val="24"/>
          <w:lang w:val="it-IT"/>
        </w:rPr>
      </w:pPr>
      <w:r w:rsidRPr="006F07C8">
        <w:rPr>
          <w:rFonts w:ascii="Times New Roman" w:hAnsi="Times New Roman" w:cs="Times New Roman"/>
          <w:sz w:val="24"/>
          <w:szCs w:val="24"/>
          <w:lang w:val="it-IT"/>
        </w:rPr>
        <w:t>La</w:t>
      </w:r>
      <w:r w:rsidR="00482796" w:rsidRPr="006F07C8">
        <w:rPr>
          <w:rFonts w:ascii="Times New Roman" w:hAnsi="Times New Roman" w:cs="Times New Roman"/>
          <w:sz w:val="24"/>
          <w:szCs w:val="24"/>
          <w:lang w:val="it-IT"/>
        </w:rPr>
        <w:t xml:space="preserve"> </w:t>
      </w:r>
      <w:r w:rsidR="00482796" w:rsidRPr="006F07C8">
        <w:rPr>
          <w:rFonts w:ascii="Times New Roman" w:hAnsi="Times New Roman" w:cs="Times New Roman"/>
          <w:sz w:val="24"/>
          <w:szCs w:val="24"/>
          <w:lang w:val="it-IT"/>
        </w:rPr>
        <w:fldChar w:fldCharType="begin"/>
      </w:r>
      <w:r w:rsidR="00482796" w:rsidRPr="006F07C8">
        <w:rPr>
          <w:rFonts w:ascii="Times New Roman" w:hAnsi="Times New Roman" w:cs="Times New Roman"/>
          <w:sz w:val="24"/>
          <w:szCs w:val="24"/>
          <w:lang w:val="it-IT"/>
        </w:rPr>
        <w:instrText xml:space="preserve"> REF _Ref378262617 \h  \* MERGEFORMAT </w:instrText>
      </w:r>
      <w:r w:rsidR="00482796" w:rsidRPr="006F07C8">
        <w:rPr>
          <w:rFonts w:ascii="Times New Roman" w:hAnsi="Times New Roman" w:cs="Times New Roman"/>
          <w:sz w:val="24"/>
          <w:szCs w:val="24"/>
          <w:lang w:val="it-IT"/>
        </w:rPr>
      </w:r>
      <w:r w:rsidR="00482796" w:rsidRPr="006F07C8">
        <w:rPr>
          <w:rFonts w:ascii="Times New Roman" w:hAnsi="Times New Roman" w:cs="Times New Roman"/>
          <w:sz w:val="24"/>
          <w:szCs w:val="24"/>
          <w:lang w:val="it-IT"/>
        </w:rPr>
        <w:fldChar w:fldCharType="separate"/>
      </w:r>
      <w:r w:rsidR="00087B27" w:rsidRPr="006F07C8">
        <w:rPr>
          <w:rFonts w:ascii="Times New Roman" w:hAnsi="Times New Roman" w:cs="Times New Roman"/>
          <w:sz w:val="24"/>
          <w:szCs w:val="24"/>
          <w:lang w:val="it-IT"/>
        </w:rPr>
        <w:t xml:space="preserve">Tabella </w:t>
      </w:r>
      <w:r w:rsidR="00087B27" w:rsidRPr="006F07C8">
        <w:rPr>
          <w:rFonts w:ascii="Times New Roman" w:hAnsi="Times New Roman" w:cs="Times New Roman"/>
          <w:noProof/>
          <w:sz w:val="24"/>
          <w:szCs w:val="24"/>
          <w:lang w:val="it-IT"/>
        </w:rPr>
        <w:t>4</w:t>
      </w:r>
      <w:r w:rsidR="00482796" w:rsidRPr="006F07C8">
        <w:rPr>
          <w:rFonts w:ascii="Times New Roman" w:hAnsi="Times New Roman" w:cs="Times New Roman"/>
          <w:sz w:val="24"/>
          <w:szCs w:val="24"/>
          <w:lang w:val="it-IT"/>
        </w:rPr>
        <w:fldChar w:fldCharType="end"/>
      </w:r>
      <w:r w:rsidR="00482796" w:rsidRPr="006F07C8">
        <w:rPr>
          <w:rFonts w:ascii="Times New Roman" w:hAnsi="Times New Roman" w:cs="Times New Roman"/>
          <w:sz w:val="24"/>
          <w:szCs w:val="24"/>
          <w:lang w:val="it-IT"/>
        </w:rPr>
        <w:t xml:space="preserve"> </w:t>
      </w:r>
      <w:r w:rsidR="000D3811" w:rsidRPr="006F07C8">
        <w:rPr>
          <w:rFonts w:ascii="Times New Roman" w:hAnsi="Times New Roman" w:cs="Times New Roman"/>
          <w:sz w:val="24"/>
          <w:szCs w:val="24"/>
          <w:lang w:val="it-IT"/>
        </w:rPr>
        <w:t xml:space="preserve">mostra che vi è una relazione </w:t>
      </w:r>
      <w:r w:rsidR="007A2340" w:rsidRPr="006F07C8">
        <w:rPr>
          <w:rFonts w:ascii="Times New Roman" w:hAnsi="Times New Roman" w:cs="Times New Roman"/>
          <w:sz w:val="24"/>
          <w:szCs w:val="24"/>
          <w:lang w:val="it-IT"/>
        </w:rPr>
        <w:t xml:space="preserve">generale </w:t>
      </w:r>
      <w:r w:rsidR="000D3811" w:rsidRPr="006F07C8">
        <w:rPr>
          <w:rFonts w:ascii="Times New Roman" w:hAnsi="Times New Roman" w:cs="Times New Roman"/>
          <w:sz w:val="24"/>
          <w:szCs w:val="24"/>
          <w:lang w:val="it-IT"/>
        </w:rPr>
        <w:t xml:space="preserve">fra </w:t>
      </w:r>
      <w:r w:rsidR="0041659E" w:rsidRPr="006F07C8">
        <w:rPr>
          <w:rFonts w:ascii="Times New Roman" w:hAnsi="Times New Roman" w:cs="Times New Roman"/>
          <w:sz w:val="24"/>
          <w:szCs w:val="24"/>
          <w:lang w:val="it-IT"/>
        </w:rPr>
        <w:t xml:space="preserve">il livello di reddito e </w:t>
      </w:r>
      <w:r w:rsidR="00755B9F" w:rsidRPr="006F07C8">
        <w:rPr>
          <w:rFonts w:ascii="Times New Roman" w:hAnsi="Times New Roman" w:cs="Times New Roman"/>
          <w:sz w:val="24"/>
          <w:szCs w:val="24"/>
          <w:lang w:val="it-IT"/>
        </w:rPr>
        <w:t xml:space="preserve">i </w:t>
      </w:r>
      <w:r w:rsidR="000D3811" w:rsidRPr="006F07C8">
        <w:rPr>
          <w:rFonts w:ascii="Times New Roman" w:hAnsi="Times New Roman" w:cs="Times New Roman"/>
          <w:sz w:val="24"/>
          <w:szCs w:val="24"/>
          <w:lang w:val="it-IT"/>
        </w:rPr>
        <w:t xml:space="preserve">tassi di esclusione linguistica </w:t>
      </w:r>
      <w:r w:rsidR="004A2740" w:rsidRPr="006F07C8">
        <w:rPr>
          <w:rFonts w:ascii="Times New Roman" w:hAnsi="Times New Roman" w:cs="Times New Roman"/>
          <w:sz w:val="24"/>
          <w:szCs w:val="24"/>
          <w:lang w:val="it-IT"/>
        </w:rPr>
        <w:t xml:space="preserve">assoluta </w:t>
      </w:r>
      <w:r w:rsidR="00755B9F" w:rsidRPr="006F07C8">
        <w:rPr>
          <w:rFonts w:ascii="Times New Roman" w:hAnsi="Times New Roman" w:cs="Times New Roman"/>
          <w:sz w:val="24"/>
          <w:szCs w:val="24"/>
          <w:lang w:val="it-IT"/>
        </w:rPr>
        <w:t xml:space="preserve">generati dal regime monolingue </w:t>
      </w:r>
      <w:r w:rsidR="009B0D8D" w:rsidRPr="006F07C8">
        <w:rPr>
          <w:rFonts w:ascii="Times New Roman" w:hAnsi="Times New Roman" w:cs="Times New Roman"/>
          <w:sz w:val="24"/>
          <w:szCs w:val="24"/>
          <w:lang w:val="it-IT"/>
        </w:rPr>
        <w:t>o dal regime oligarchico</w:t>
      </w:r>
      <w:r w:rsidR="00755B9F" w:rsidRPr="006F07C8">
        <w:rPr>
          <w:rFonts w:ascii="Times New Roman" w:hAnsi="Times New Roman" w:cs="Times New Roman"/>
          <w:sz w:val="24"/>
          <w:szCs w:val="24"/>
          <w:lang w:val="it-IT"/>
        </w:rPr>
        <w:t xml:space="preserve">, mentre non vi è </w:t>
      </w:r>
      <w:r w:rsidR="009B0D8D" w:rsidRPr="006F07C8">
        <w:rPr>
          <w:rFonts w:ascii="Times New Roman" w:hAnsi="Times New Roman" w:cs="Times New Roman"/>
          <w:sz w:val="24"/>
          <w:szCs w:val="24"/>
          <w:lang w:val="it-IT"/>
        </w:rPr>
        <w:t xml:space="preserve">particolare </w:t>
      </w:r>
      <w:r w:rsidR="00755B9F" w:rsidRPr="006F07C8">
        <w:rPr>
          <w:rFonts w:ascii="Times New Roman" w:hAnsi="Times New Roman" w:cs="Times New Roman"/>
          <w:sz w:val="24"/>
          <w:szCs w:val="24"/>
          <w:lang w:val="it-IT"/>
        </w:rPr>
        <w:t xml:space="preserve">relazione fra </w:t>
      </w:r>
      <w:r w:rsidR="004A2740" w:rsidRPr="006F07C8">
        <w:rPr>
          <w:rFonts w:ascii="Times New Roman" w:hAnsi="Times New Roman" w:cs="Times New Roman"/>
          <w:sz w:val="24"/>
          <w:szCs w:val="24"/>
          <w:lang w:val="it-IT"/>
        </w:rPr>
        <w:t xml:space="preserve">queste due variabili </w:t>
      </w:r>
      <w:r w:rsidR="00755B9F" w:rsidRPr="006F07C8">
        <w:rPr>
          <w:rFonts w:ascii="Times New Roman" w:hAnsi="Times New Roman" w:cs="Times New Roman"/>
          <w:sz w:val="24"/>
          <w:szCs w:val="24"/>
          <w:lang w:val="it-IT"/>
        </w:rPr>
        <w:t xml:space="preserve">nel caso del regime multilingue. </w:t>
      </w:r>
      <w:r w:rsidR="00454EA9" w:rsidRPr="006F07C8">
        <w:rPr>
          <w:rFonts w:ascii="Times New Roman" w:hAnsi="Times New Roman" w:cs="Times New Roman"/>
          <w:sz w:val="24"/>
          <w:szCs w:val="24"/>
          <w:lang w:val="it-IT"/>
        </w:rPr>
        <w:t>Suggeriamo di interpretare</w:t>
      </w:r>
      <w:r w:rsidR="00045315" w:rsidRPr="006F07C8">
        <w:rPr>
          <w:rFonts w:ascii="Times New Roman" w:hAnsi="Times New Roman" w:cs="Times New Roman"/>
          <w:sz w:val="24"/>
          <w:szCs w:val="24"/>
          <w:lang w:val="it-IT"/>
        </w:rPr>
        <w:t xml:space="preserve"> </w:t>
      </w:r>
      <w:r w:rsidR="0041659E" w:rsidRPr="006F07C8">
        <w:rPr>
          <w:rFonts w:ascii="Times New Roman" w:hAnsi="Times New Roman" w:cs="Times New Roman"/>
          <w:sz w:val="24"/>
          <w:szCs w:val="24"/>
          <w:lang w:val="it-IT"/>
        </w:rPr>
        <w:t>le percentuali</w:t>
      </w:r>
      <w:r w:rsidR="00454EA9" w:rsidRPr="006F07C8">
        <w:rPr>
          <w:rFonts w:ascii="Times New Roman" w:hAnsi="Times New Roman" w:cs="Times New Roman"/>
          <w:sz w:val="24"/>
          <w:szCs w:val="24"/>
          <w:lang w:val="it-IT"/>
        </w:rPr>
        <w:t xml:space="preserve"> </w:t>
      </w:r>
      <w:r w:rsidR="00755B9F" w:rsidRPr="006F07C8">
        <w:rPr>
          <w:rFonts w:ascii="Times New Roman" w:hAnsi="Times New Roman" w:cs="Times New Roman"/>
          <w:sz w:val="24"/>
          <w:szCs w:val="24"/>
          <w:lang w:val="it-IT"/>
        </w:rPr>
        <w:t xml:space="preserve">con </w:t>
      </w:r>
      <w:r w:rsidR="0041659E" w:rsidRPr="006F07C8">
        <w:rPr>
          <w:rFonts w:ascii="Times New Roman" w:hAnsi="Times New Roman" w:cs="Times New Roman"/>
          <w:sz w:val="24"/>
          <w:szCs w:val="24"/>
          <w:lang w:val="it-IT"/>
        </w:rPr>
        <w:t xml:space="preserve">una certa prudenza a causa </w:t>
      </w:r>
      <w:r w:rsidR="00755B9F" w:rsidRPr="006F07C8">
        <w:rPr>
          <w:rFonts w:ascii="Times New Roman" w:hAnsi="Times New Roman" w:cs="Times New Roman"/>
          <w:sz w:val="24"/>
          <w:szCs w:val="24"/>
          <w:lang w:val="it-IT"/>
        </w:rPr>
        <w:t xml:space="preserve">di alcuni problemi occorsi nella raccolta </w:t>
      </w:r>
      <w:r w:rsidR="00062662" w:rsidRPr="006F07C8">
        <w:rPr>
          <w:rFonts w:ascii="Times New Roman" w:hAnsi="Times New Roman" w:cs="Times New Roman"/>
          <w:sz w:val="24"/>
          <w:szCs w:val="24"/>
          <w:lang w:val="it-IT"/>
        </w:rPr>
        <w:t xml:space="preserve">dei </w:t>
      </w:r>
      <w:r w:rsidR="00755B9F" w:rsidRPr="006F07C8">
        <w:rPr>
          <w:rFonts w:ascii="Times New Roman" w:hAnsi="Times New Roman" w:cs="Times New Roman"/>
          <w:sz w:val="24"/>
          <w:szCs w:val="24"/>
          <w:lang w:val="it-IT"/>
        </w:rPr>
        <w:t>dati</w:t>
      </w:r>
      <w:r w:rsidR="00454EA9" w:rsidRPr="006F07C8">
        <w:rPr>
          <w:rFonts w:ascii="Times New Roman" w:hAnsi="Times New Roman" w:cs="Times New Roman"/>
          <w:sz w:val="24"/>
          <w:szCs w:val="24"/>
          <w:lang w:val="it-IT"/>
        </w:rPr>
        <w:t>.</w:t>
      </w:r>
      <w:r w:rsidR="00045315" w:rsidRPr="006F07C8">
        <w:rPr>
          <w:rStyle w:val="FootnoteReference"/>
          <w:rFonts w:ascii="Times New Roman" w:hAnsi="Times New Roman" w:cs="Times New Roman"/>
          <w:sz w:val="24"/>
          <w:szCs w:val="24"/>
          <w:lang w:val="it-IT"/>
        </w:rPr>
        <w:footnoteReference w:id="27"/>
      </w:r>
      <w:r w:rsidR="00755B9F" w:rsidRPr="006F07C8">
        <w:rPr>
          <w:rFonts w:ascii="Times New Roman" w:hAnsi="Times New Roman" w:cs="Times New Roman"/>
          <w:sz w:val="24"/>
          <w:szCs w:val="24"/>
          <w:lang w:val="it-IT"/>
        </w:rPr>
        <w:t xml:space="preserve"> </w:t>
      </w:r>
      <w:r w:rsidR="00454EA9" w:rsidRPr="006F07C8">
        <w:rPr>
          <w:rFonts w:ascii="Times New Roman" w:hAnsi="Times New Roman" w:cs="Times New Roman"/>
          <w:sz w:val="24"/>
          <w:szCs w:val="24"/>
          <w:lang w:val="it-IT"/>
        </w:rPr>
        <w:t xml:space="preserve">Tuttavia, al di là dei dettagli tecnici, la principale conclusione resta valida: </w:t>
      </w:r>
      <w:r w:rsidR="00755B9F" w:rsidRPr="006F07C8">
        <w:rPr>
          <w:rFonts w:ascii="Times New Roman" w:hAnsi="Times New Roman" w:cs="Times New Roman"/>
          <w:sz w:val="24"/>
          <w:szCs w:val="24"/>
          <w:lang w:val="it-IT"/>
        </w:rPr>
        <w:t>un</w:t>
      </w:r>
      <w:r w:rsidR="009B0D8D" w:rsidRPr="006F07C8">
        <w:rPr>
          <w:rFonts w:ascii="Times New Roman" w:hAnsi="Times New Roman" w:cs="Times New Roman"/>
          <w:sz w:val="24"/>
          <w:szCs w:val="24"/>
          <w:lang w:val="it-IT"/>
        </w:rPr>
        <w:t xml:space="preserve">a riduzione delle lingue ufficiali </w:t>
      </w:r>
      <w:r w:rsidR="00755B9F" w:rsidRPr="006F07C8">
        <w:rPr>
          <w:rFonts w:ascii="Times New Roman" w:hAnsi="Times New Roman" w:cs="Times New Roman"/>
          <w:sz w:val="24"/>
          <w:szCs w:val="24"/>
          <w:lang w:val="it-IT"/>
        </w:rPr>
        <w:t>svantaggerebbe prevalentemente le fasce della popolazione a basso reddito</w:t>
      </w:r>
      <w:r w:rsidR="008101AD" w:rsidRPr="006F07C8">
        <w:rPr>
          <w:rFonts w:ascii="Times New Roman" w:hAnsi="Times New Roman" w:cs="Times New Roman"/>
          <w:sz w:val="24"/>
          <w:szCs w:val="24"/>
          <w:lang w:val="it-IT"/>
        </w:rPr>
        <w:t xml:space="preserve"> per quanto concerne l’accesso alla comunicazione europea, mentre un regime a 24 lingue non crea differenze </w:t>
      </w:r>
      <w:r w:rsidR="0041659E" w:rsidRPr="006F07C8">
        <w:rPr>
          <w:rFonts w:ascii="Times New Roman" w:hAnsi="Times New Roman" w:cs="Times New Roman"/>
          <w:sz w:val="24"/>
          <w:szCs w:val="24"/>
          <w:lang w:val="it-IT"/>
        </w:rPr>
        <w:t xml:space="preserve">fra residenti </w:t>
      </w:r>
      <w:r w:rsidR="008101AD" w:rsidRPr="006F07C8">
        <w:rPr>
          <w:rFonts w:ascii="Times New Roman" w:hAnsi="Times New Roman" w:cs="Times New Roman"/>
          <w:sz w:val="24"/>
          <w:szCs w:val="24"/>
          <w:lang w:val="it-IT"/>
        </w:rPr>
        <w:t>fondate sul reddito</w:t>
      </w:r>
      <w:r w:rsidR="00755B9F" w:rsidRPr="006F07C8">
        <w:rPr>
          <w:rFonts w:ascii="Times New Roman" w:hAnsi="Times New Roman" w:cs="Times New Roman"/>
          <w:sz w:val="24"/>
          <w:szCs w:val="24"/>
          <w:lang w:val="it-IT"/>
        </w:rPr>
        <w:t>.</w:t>
      </w:r>
      <w:r w:rsidR="0087491F" w:rsidRPr="006F07C8">
        <w:rPr>
          <w:rFonts w:ascii="Times New Roman" w:hAnsi="Times New Roman" w:cs="Times New Roman"/>
          <w:sz w:val="24"/>
          <w:szCs w:val="24"/>
          <w:lang w:val="it-IT"/>
        </w:rPr>
        <w:t xml:space="preserve"> Si noti che la </w:t>
      </w:r>
      <w:r w:rsidR="0087491F" w:rsidRPr="006F07C8">
        <w:rPr>
          <w:rFonts w:ascii="Times New Roman" w:hAnsi="Times New Roman" w:cs="Times New Roman"/>
          <w:sz w:val="24"/>
          <w:szCs w:val="24"/>
          <w:lang w:val="it-IT"/>
        </w:rPr>
        <w:fldChar w:fldCharType="begin"/>
      </w:r>
      <w:r w:rsidR="0087491F" w:rsidRPr="006F07C8">
        <w:rPr>
          <w:rFonts w:ascii="Times New Roman" w:hAnsi="Times New Roman" w:cs="Times New Roman"/>
          <w:sz w:val="24"/>
          <w:szCs w:val="24"/>
          <w:lang w:val="it-IT"/>
        </w:rPr>
        <w:instrText xml:space="preserve"> REF _Ref378262617 \h  \* MERGEFORMAT </w:instrText>
      </w:r>
      <w:r w:rsidR="0087491F" w:rsidRPr="006F07C8">
        <w:rPr>
          <w:rFonts w:ascii="Times New Roman" w:hAnsi="Times New Roman" w:cs="Times New Roman"/>
          <w:sz w:val="24"/>
          <w:szCs w:val="24"/>
          <w:lang w:val="it-IT"/>
        </w:rPr>
      </w:r>
      <w:r w:rsidR="0087491F" w:rsidRPr="006F07C8">
        <w:rPr>
          <w:rFonts w:ascii="Times New Roman" w:hAnsi="Times New Roman" w:cs="Times New Roman"/>
          <w:sz w:val="24"/>
          <w:szCs w:val="24"/>
          <w:lang w:val="it-IT"/>
        </w:rPr>
        <w:fldChar w:fldCharType="separate"/>
      </w:r>
      <w:r w:rsidR="00087B27" w:rsidRPr="006F07C8">
        <w:rPr>
          <w:rFonts w:ascii="Times New Roman" w:hAnsi="Times New Roman" w:cs="Times New Roman"/>
          <w:sz w:val="24"/>
          <w:szCs w:val="24"/>
          <w:lang w:val="it-IT"/>
        </w:rPr>
        <w:t xml:space="preserve">Tabella </w:t>
      </w:r>
      <w:r w:rsidR="00087B27" w:rsidRPr="006F07C8">
        <w:rPr>
          <w:rFonts w:ascii="Times New Roman" w:hAnsi="Times New Roman" w:cs="Times New Roman"/>
          <w:noProof/>
          <w:sz w:val="24"/>
          <w:szCs w:val="24"/>
          <w:lang w:val="it-IT"/>
        </w:rPr>
        <w:t>4</w:t>
      </w:r>
      <w:r w:rsidR="0087491F" w:rsidRPr="006F07C8">
        <w:rPr>
          <w:rFonts w:ascii="Times New Roman" w:hAnsi="Times New Roman" w:cs="Times New Roman"/>
          <w:sz w:val="24"/>
          <w:szCs w:val="24"/>
          <w:lang w:val="it-IT"/>
        </w:rPr>
        <w:fldChar w:fldCharType="end"/>
      </w:r>
      <w:r w:rsidR="0087491F" w:rsidRPr="006F07C8">
        <w:rPr>
          <w:rFonts w:ascii="Times New Roman" w:hAnsi="Times New Roman" w:cs="Times New Roman"/>
          <w:sz w:val="24"/>
          <w:szCs w:val="24"/>
          <w:lang w:val="it-IT"/>
        </w:rPr>
        <w:t xml:space="preserve"> mostra la distribuzione del tasso di</w:t>
      </w:r>
      <w:r w:rsidR="004A2740" w:rsidRPr="006F07C8">
        <w:rPr>
          <w:rFonts w:ascii="Times New Roman" w:hAnsi="Times New Roman" w:cs="Times New Roman"/>
          <w:sz w:val="24"/>
          <w:szCs w:val="24"/>
          <w:lang w:val="it-IT"/>
        </w:rPr>
        <w:t xml:space="preserve"> esclusione linguistica assoluta</w:t>
      </w:r>
      <w:r w:rsidR="0087491F" w:rsidRPr="006F07C8">
        <w:rPr>
          <w:rFonts w:ascii="Times New Roman" w:hAnsi="Times New Roman" w:cs="Times New Roman"/>
          <w:sz w:val="24"/>
          <w:szCs w:val="24"/>
          <w:lang w:val="it-IT"/>
        </w:rPr>
        <w:t>; i tassi di esclusi</w:t>
      </w:r>
      <w:r w:rsidR="0055005A" w:rsidRPr="006F07C8">
        <w:rPr>
          <w:rFonts w:ascii="Times New Roman" w:hAnsi="Times New Roman" w:cs="Times New Roman"/>
          <w:sz w:val="24"/>
          <w:szCs w:val="24"/>
          <w:lang w:val="it-IT"/>
        </w:rPr>
        <w:t>o</w:t>
      </w:r>
      <w:r w:rsidR="0087491F" w:rsidRPr="006F07C8">
        <w:rPr>
          <w:rFonts w:ascii="Times New Roman" w:hAnsi="Times New Roman" w:cs="Times New Roman"/>
          <w:sz w:val="24"/>
          <w:szCs w:val="24"/>
          <w:lang w:val="it-IT"/>
        </w:rPr>
        <w:t xml:space="preserve">ne </w:t>
      </w:r>
      <w:r w:rsidR="00616A50" w:rsidRPr="006F07C8">
        <w:rPr>
          <w:rFonts w:ascii="Times New Roman" w:hAnsi="Times New Roman" w:cs="Times New Roman"/>
          <w:sz w:val="24"/>
          <w:szCs w:val="24"/>
          <w:lang w:val="it-IT"/>
        </w:rPr>
        <w:t>linguistica relativa</w:t>
      </w:r>
      <w:r w:rsidR="0087491F" w:rsidRPr="006F07C8">
        <w:rPr>
          <w:rFonts w:ascii="Times New Roman" w:hAnsi="Times New Roman" w:cs="Times New Roman"/>
          <w:sz w:val="24"/>
          <w:szCs w:val="24"/>
          <w:lang w:val="it-IT"/>
        </w:rPr>
        <w:t xml:space="preserve"> per il regime monolingue sono molto più consistenti.</w:t>
      </w:r>
    </w:p>
    <w:p w:rsidR="00C16691" w:rsidRPr="006F07C8" w:rsidRDefault="00745EE9" w:rsidP="002F52A9">
      <w:pPr>
        <w:spacing w:line="240" w:lineRule="auto"/>
        <w:jc w:val="both"/>
        <w:rPr>
          <w:rFonts w:ascii="Times New Roman" w:hAnsi="Times New Roman" w:cs="Times New Roman"/>
          <w:sz w:val="24"/>
          <w:szCs w:val="24"/>
          <w:lang w:val="it-IT"/>
        </w:rPr>
      </w:pPr>
      <w:r w:rsidRPr="006F07C8">
        <w:rPr>
          <w:rFonts w:ascii="Times New Roman" w:hAnsi="Times New Roman" w:cs="Times New Roman"/>
          <w:sz w:val="24"/>
          <w:szCs w:val="24"/>
          <w:lang w:val="it-IT"/>
        </w:rPr>
        <w:t xml:space="preserve">L’istruzione è certamente una variabile sociale molto importante e una delle dimensioni meglio analizzate nella IEA. Solitamente le competenze </w:t>
      </w:r>
      <w:r w:rsidR="0041659E" w:rsidRPr="006F07C8">
        <w:rPr>
          <w:rFonts w:ascii="Times New Roman" w:hAnsi="Times New Roman" w:cs="Times New Roman"/>
          <w:sz w:val="24"/>
          <w:szCs w:val="24"/>
          <w:lang w:val="it-IT"/>
        </w:rPr>
        <w:t xml:space="preserve">nelle lingue straniere </w:t>
      </w:r>
      <w:r w:rsidRPr="006F07C8">
        <w:rPr>
          <w:rFonts w:ascii="Times New Roman" w:hAnsi="Times New Roman" w:cs="Times New Roman"/>
          <w:sz w:val="24"/>
          <w:szCs w:val="24"/>
          <w:lang w:val="it-IT"/>
        </w:rPr>
        <w:t xml:space="preserve">sono correlate al livello di istruzione il quale </w:t>
      </w:r>
      <w:r w:rsidR="0041659E" w:rsidRPr="006F07C8">
        <w:rPr>
          <w:rFonts w:ascii="Times New Roman" w:hAnsi="Times New Roman" w:cs="Times New Roman"/>
          <w:sz w:val="24"/>
          <w:szCs w:val="24"/>
          <w:lang w:val="it-IT"/>
        </w:rPr>
        <w:t xml:space="preserve">a sua volta </w:t>
      </w:r>
      <w:r w:rsidRPr="006F07C8">
        <w:rPr>
          <w:rFonts w:ascii="Times New Roman" w:hAnsi="Times New Roman" w:cs="Times New Roman"/>
          <w:sz w:val="24"/>
          <w:szCs w:val="24"/>
          <w:lang w:val="it-IT"/>
        </w:rPr>
        <w:t xml:space="preserve">è correlato </w:t>
      </w:r>
      <w:r w:rsidR="0041659E" w:rsidRPr="006F07C8">
        <w:rPr>
          <w:rFonts w:ascii="Times New Roman" w:hAnsi="Times New Roman" w:cs="Times New Roman"/>
          <w:sz w:val="24"/>
          <w:szCs w:val="24"/>
          <w:lang w:val="it-IT"/>
        </w:rPr>
        <w:t xml:space="preserve">positivamente </w:t>
      </w:r>
      <w:r w:rsidRPr="006F07C8">
        <w:rPr>
          <w:rFonts w:ascii="Times New Roman" w:hAnsi="Times New Roman" w:cs="Times New Roman"/>
          <w:sz w:val="24"/>
          <w:szCs w:val="24"/>
          <w:lang w:val="it-IT"/>
        </w:rPr>
        <w:t xml:space="preserve">al reddito. Ci aspettiamo quindi una relazione inversa fra tassi di esclusione linguistica e livello di istruzione degli intervistati, ma per conoscere l’intensità di tale relazione è necessario avvalersi </w:t>
      </w:r>
      <w:r w:rsidR="007A2340" w:rsidRPr="006F07C8">
        <w:rPr>
          <w:rFonts w:ascii="Times New Roman" w:hAnsi="Times New Roman" w:cs="Times New Roman"/>
          <w:sz w:val="24"/>
          <w:szCs w:val="24"/>
          <w:lang w:val="it-IT"/>
        </w:rPr>
        <w:t>dell’analisi statistica</w:t>
      </w:r>
      <w:r w:rsidR="00454EA9" w:rsidRPr="006F07C8">
        <w:rPr>
          <w:rFonts w:ascii="Times New Roman" w:hAnsi="Times New Roman" w:cs="Times New Roman"/>
          <w:sz w:val="24"/>
          <w:szCs w:val="24"/>
          <w:lang w:val="it-IT"/>
        </w:rPr>
        <w:t>.</w:t>
      </w:r>
      <w:r w:rsidR="00D13A7F" w:rsidRPr="006F07C8">
        <w:rPr>
          <w:rFonts w:ascii="Times New Roman" w:hAnsi="Times New Roman" w:cs="Times New Roman"/>
          <w:sz w:val="24"/>
          <w:szCs w:val="24"/>
          <w:lang w:val="it-IT"/>
        </w:rPr>
        <w:t xml:space="preserve"> </w:t>
      </w:r>
      <w:r w:rsidR="00D13A7F" w:rsidRPr="006F07C8">
        <w:rPr>
          <w:rFonts w:ascii="Times New Roman" w:hAnsi="Times New Roman" w:cs="Times New Roman"/>
          <w:bCs/>
          <w:sz w:val="24"/>
          <w:szCs w:val="24"/>
          <w:lang w:val="it-IT"/>
        </w:rPr>
        <w:t xml:space="preserve">I livelli di istruzione </w:t>
      </w:r>
      <w:r w:rsidR="001F4057" w:rsidRPr="006F07C8">
        <w:rPr>
          <w:rFonts w:ascii="Times New Roman" w:hAnsi="Times New Roman" w:cs="Times New Roman"/>
          <w:bCs/>
          <w:sz w:val="24"/>
          <w:szCs w:val="24"/>
          <w:lang w:val="it-IT"/>
        </w:rPr>
        <w:t xml:space="preserve">nella IEA </w:t>
      </w:r>
      <w:r w:rsidR="00D13A7F" w:rsidRPr="006F07C8">
        <w:rPr>
          <w:rFonts w:ascii="Times New Roman" w:hAnsi="Times New Roman" w:cs="Times New Roman"/>
          <w:bCs/>
          <w:sz w:val="24"/>
          <w:szCs w:val="24"/>
          <w:lang w:val="it-IT"/>
        </w:rPr>
        <w:t xml:space="preserve">sono definiti </w:t>
      </w:r>
      <w:r w:rsidR="001F4057" w:rsidRPr="006F07C8">
        <w:rPr>
          <w:rFonts w:ascii="Times New Roman" w:hAnsi="Times New Roman" w:cs="Times New Roman"/>
          <w:bCs/>
          <w:sz w:val="24"/>
          <w:szCs w:val="24"/>
          <w:lang w:val="it-IT"/>
        </w:rPr>
        <w:t xml:space="preserve">usando la </w:t>
      </w:r>
      <w:r w:rsidR="00D13A7F" w:rsidRPr="006F07C8">
        <w:rPr>
          <w:rFonts w:ascii="Times New Roman" w:hAnsi="Times New Roman" w:cs="Times New Roman"/>
          <w:bCs/>
          <w:sz w:val="24"/>
          <w:szCs w:val="24"/>
          <w:lang w:val="it-IT"/>
        </w:rPr>
        <w:t>scala ISCED (</w:t>
      </w:r>
      <w:r w:rsidR="00D13A7F" w:rsidRPr="006F07C8">
        <w:rPr>
          <w:rFonts w:ascii="Times New Roman" w:hAnsi="Times New Roman" w:cs="Times New Roman"/>
          <w:bCs/>
          <w:i/>
          <w:iCs/>
          <w:sz w:val="24"/>
          <w:szCs w:val="24"/>
          <w:lang w:val="it-IT"/>
        </w:rPr>
        <w:t>International Standard Classification of Education</w:t>
      </w:r>
      <w:r w:rsidR="00D13A7F" w:rsidRPr="006F07C8">
        <w:rPr>
          <w:rFonts w:ascii="Times New Roman" w:hAnsi="Times New Roman" w:cs="Times New Roman"/>
          <w:bCs/>
          <w:iCs/>
          <w:sz w:val="24"/>
          <w:szCs w:val="24"/>
          <w:lang w:val="it-IT"/>
        </w:rPr>
        <w:t>) elaborata nel 1997 dall’UNESCO.</w:t>
      </w:r>
      <w:r w:rsidR="00406589" w:rsidRPr="006F07C8">
        <w:rPr>
          <w:rFonts w:ascii="Times New Roman" w:hAnsi="Times New Roman" w:cs="Times New Roman"/>
          <w:bCs/>
          <w:iCs/>
          <w:sz w:val="24"/>
          <w:szCs w:val="24"/>
          <w:lang w:val="it-IT"/>
        </w:rPr>
        <w:t xml:space="preserve"> </w:t>
      </w:r>
      <w:r w:rsidR="001F4057" w:rsidRPr="006F07C8">
        <w:rPr>
          <w:rFonts w:ascii="Times New Roman" w:hAnsi="Times New Roman" w:cs="Times New Roman"/>
          <w:bCs/>
          <w:iCs/>
          <w:sz w:val="24"/>
          <w:szCs w:val="24"/>
          <w:lang w:val="it-IT"/>
        </w:rPr>
        <w:t>L</w:t>
      </w:r>
      <w:r w:rsidR="00406589" w:rsidRPr="006F07C8">
        <w:rPr>
          <w:rFonts w:ascii="Times New Roman" w:hAnsi="Times New Roman" w:cs="Times New Roman"/>
          <w:bCs/>
          <w:sz w:val="24"/>
          <w:szCs w:val="24"/>
          <w:lang w:val="it-IT"/>
        </w:rPr>
        <w:t xml:space="preserve">e percentuali presentate nella </w:t>
      </w:r>
      <w:r w:rsidR="00406589" w:rsidRPr="006F07C8">
        <w:rPr>
          <w:rFonts w:ascii="Times New Roman" w:hAnsi="Times New Roman" w:cs="Times New Roman"/>
          <w:sz w:val="24"/>
          <w:szCs w:val="24"/>
          <w:lang w:val="it-IT"/>
        </w:rPr>
        <w:fldChar w:fldCharType="begin"/>
      </w:r>
      <w:r w:rsidR="00406589" w:rsidRPr="006F07C8">
        <w:rPr>
          <w:rFonts w:ascii="Times New Roman" w:hAnsi="Times New Roman" w:cs="Times New Roman"/>
          <w:sz w:val="24"/>
          <w:szCs w:val="24"/>
          <w:lang w:val="it-IT"/>
        </w:rPr>
        <w:instrText xml:space="preserve"> REF _Ref378265655 \h  \* MERGEFORMAT </w:instrText>
      </w:r>
      <w:r w:rsidR="00406589" w:rsidRPr="006F07C8">
        <w:rPr>
          <w:rFonts w:ascii="Times New Roman" w:hAnsi="Times New Roman" w:cs="Times New Roman"/>
          <w:sz w:val="24"/>
          <w:szCs w:val="24"/>
          <w:lang w:val="it-IT"/>
        </w:rPr>
      </w:r>
      <w:r w:rsidR="00406589" w:rsidRPr="006F07C8">
        <w:rPr>
          <w:rFonts w:ascii="Times New Roman" w:hAnsi="Times New Roman" w:cs="Times New Roman"/>
          <w:sz w:val="24"/>
          <w:szCs w:val="24"/>
          <w:lang w:val="it-IT"/>
        </w:rPr>
        <w:fldChar w:fldCharType="separate"/>
      </w:r>
      <w:r w:rsidR="00087B27" w:rsidRPr="006F07C8">
        <w:rPr>
          <w:rFonts w:ascii="Times New Roman" w:hAnsi="Times New Roman" w:cs="Times New Roman"/>
          <w:sz w:val="24"/>
          <w:szCs w:val="24"/>
          <w:lang w:val="it-IT"/>
        </w:rPr>
        <w:t xml:space="preserve">Tabella </w:t>
      </w:r>
      <w:r w:rsidR="00087B27" w:rsidRPr="006F07C8">
        <w:rPr>
          <w:rFonts w:ascii="Times New Roman" w:hAnsi="Times New Roman" w:cs="Times New Roman"/>
          <w:noProof/>
          <w:sz w:val="24"/>
          <w:szCs w:val="24"/>
          <w:lang w:val="it-IT"/>
        </w:rPr>
        <w:t>5</w:t>
      </w:r>
      <w:r w:rsidR="00406589" w:rsidRPr="006F07C8">
        <w:rPr>
          <w:rFonts w:ascii="Times New Roman" w:hAnsi="Times New Roman" w:cs="Times New Roman"/>
          <w:sz w:val="24"/>
          <w:szCs w:val="24"/>
          <w:lang w:val="it-IT"/>
        </w:rPr>
        <w:fldChar w:fldCharType="end"/>
      </w:r>
      <w:r w:rsidR="00406589" w:rsidRPr="006F07C8">
        <w:rPr>
          <w:rFonts w:ascii="Times New Roman" w:hAnsi="Times New Roman" w:cs="Times New Roman"/>
          <w:sz w:val="24"/>
          <w:szCs w:val="24"/>
          <w:lang w:val="it-IT"/>
        </w:rPr>
        <w:t xml:space="preserve"> comprendono </w:t>
      </w:r>
      <w:r w:rsidR="00406589" w:rsidRPr="006F07C8">
        <w:rPr>
          <w:rFonts w:ascii="Times New Roman" w:hAnsi="Times New Roman" w:cs="Times New Roman"/>
          <w:bCs/>
          <w:sz w:val="24"/>
          <w:szCs w:val="24"/>
          <w:lang w:val="it-IT"/>
        </w:rPr>
        <w:t>i residenti che parlano come lingua materna la o le lingua/e ufficiali.</w:t>
      </w:r>
    </w:p>
    <w:p w:rsidR="00454EA9" w:rsidRPr="006F07C8" w:rsidRDefault="00454EA9" w:rsidP="004930BB">
      <w:pPr>
        <w:pStyle w:val="Caption"/>
        <w:keepNext/>
        <w:keepLines/>
        <w:rPr>
          <w:rFonts w:ascii="Times New Roman" w:hAnsi="Times New Roman" w:cs="Times New Roman"/>
          <w:sz w:val="20"/>
          <w:szCs w:val="20"/>
          <w:lang w:val="it-IT"/>
        </w:rPr>
      </w:pPr>
      <w:bookmarkStart w:id="17" w:name="_Ref378265655"/>
      <w:r w:rsidRPr="006F07C8">
        <w:rPr>
          <w:rFonts w:ascii="Times New Roman" w:hAnsi="Times New Roman" w:cs="Times New Roman"/>
          <w:sz w:val="20"/>
          <w:szCs w:val="20"/>
          <w:lang w:val="it-IT"/>
        </w:rPr>
        <w:lastRenderedPageBreak/>
        <w:t xml:space="preserve">Tabella </w:t>
      </w:r>
      <w:r w:rsidRPr="006F07C8">
        <w:rPr>
          <w:rFonts w:ascii="Times New Roman" w:hAnsi="Times New Roman" w:cs="Times New Roman"/>
          <w:sz w:val="20"/>
          <w:szCs w:val="20"/>
          <w:lang w:val="it-IT"/>
        </w:rPr>
        <w:fldChar w:fldCharType="begin"/>
      </w:r>
      <w:r w:rsidRPr="006F07C8">
        <w:rPr>
          <w:rFonts w:ascii="Times New Roman" w:hAnsi="Times New Roman" w:cs="Times New Roman"/>
          <w:sz w:val="20"/>
          <w:szCs w:val="20"/>
          <w:lang w:val="it-IT"/>
        </w:rPr>
        <w:instrText xml:space="preserve"> SEQ Tabella \* ARABIC </w:instrText>
      </w:r>
      <w:r w:rsidRPr="006F07C8">
        <w:rPr>
          <w:rFonts w:ascii="Times New Roman" w:hAnsi="Times New Roman" w:cs="Times New Roman"/>
          <w:sz w:val="20"/>
          <w:szCs w:val="20"/>
          <w:lang w:val="it-IT"/>
        </w:rPr>
        <w:fldChar w:fldCharType="separate"/>
      </w:r>
      <w:r w:rsidR="00087B27" w:rsidRPr="006F07C8">
        <w:rPr>
          <w:rFonts w:ascii="Times New Roman" w:hAnsi="Times New Roman" w:cs="Times New Roman"/>
          <w:noProof/>
          <w:sz w:val="20"/>
          <w:szCs w:val="20"/>
          <w:lang w:val="it-IT"/>
        </w:rPr>
        <w:t>5</w:t>
      </w:r>
      <w:r w:rsidRPr="006F07C8">
        <w:rPr>
          <w:rFonts w:ascii="Times New Roman" w:hAnsi="Times New Roman" w:cs="Times New Roman"/>
          <w:sz w:val="20"/>
          <w:szCs w:val="20"/>
          <w:lang w:val="it-IT"/>
        </w:rPr>
        <w:fldChar w:fldCharType="end"/>
      </w:r>
      <w:bookmarkEnd w:id="17"/>
      <w:r w:rsidRPr="006F07C8">
        <w:rPr>
          <w:rFonts w:ascii="Times New Roman" w:hAnsi="Times New Roman" w:cs="Times New Roman"/>
          <w:sz w:val="20"/>
          <w:szCs w:val="20"/>
          <w:lang w:val="it-IT"/>
        </w:rPr>
        <w:t> : Tassi di esclusione linguistica assolut</w:t>
      </w:r>
      <w:r w:rsidR="00960644" w:rsidRPr="006F07C8">
        <w:rPr>
          <w:rFonts w:ascii="Times New Roman" w:hAnsi="Times New Roman" w:cs="Times New Roman"/>
          <w:sz w:val="20"/>
          <w:szCs w:val="20"/>
          <w:lang w:val="it-IT"/>
        </w:rPr>
        <w:t>a</w:t>
      </w:r>
      <w:r w:rsidRPr="006F07C8">
        <w:rPr>
          <w:rFonts w:ascii="Times New Roman" w:hAnsi="Times New Roman" w:cs="Times New Roman"/>
          <w:sz w:val="20"/>
          <w:szCs w:val="20"/>
          <w:lang w:val="it-IT"/>
        </w:rPr>
        <w:t xml:space="preserve"> per livello di istruzione</w:t>
      </w:r>
      <w:r w:rsidR="007A2340" w:rsidRPr="006F07C8">
        <w:rPr>
          <w:rFonts w:ascii="Times New Roman" w:hAnsi="Times New Roman" w:cs="Times New Roman"/>
          <w:sz w:val="20"/>
          <w:szCs w:val="20"/>
          <w:lang w:val="it-IT"/>
        </w:rPr>
        <w:t xml:space="preserve"> e per regime linguistico</w:t>
      </w:r>
      <w:r w:rsidRPr="006F07C8">
        <w:rPr>
          <w:rFonts w:ascii="Times New Roman" w:hAnsi="Times New Roman" w:cs="Times New Roman"/>
          <w:sz w:val="20"/>
          <w:szCs w:val="20"/>
          <w:lang w:val="it-IT"/>
        </w:rPr>
        <w:t>, UE-24. Dati in percentuale</w:t>
      </w:r>
    </w:p>
    <w:tbl>
      <w:tblPr>
        <w:tblStyle w:val="LightShading"/>
        <w:tblW w:w="4777" w:type="pct"/>
        <w:jc w:val="center"/>
        <w:tblLook w:val="0600" w:firstRow="0" w:lastRow="0" w:firstColumn="0" w:lastColumn="0" w:noHBand="1" w:noVBand="1"/>
      </w:tblPr>
      <w:tblGrid>
        <w:gridCol w:w="1836"/>
        <w:gridCol w:w="1160"/>
        <w:gridCol w:w="1205"/>
        <w:gridCol w:w="1172"/>
        <w:gridCol w:w="1172"/>
        <w:gridCol w:w="1139"/>
        <w:gridCol w:w="1190"/>
      </w:tblGrid>
      <w:tr w:rsidR="00454EA9" w:rsidRPr="006F07C8" w:rsidTr="00D13A7F">
        <w:trPr>
          <w:trHeight w:val="191"/>
          <w:jc w:val="center"/>
        </w:trPr>
        <w:tc>
          <w:tcPr>
            <w:tcW w:w="1090" w:type="pct"/>
            <w:vAlign w:val="center"/>
            <w:hideMark/>
          </w:tcPr>
          <w:p w:rsidR="00454EA9" w:rsidRPr="006F07C8" w:rsidRDefault="00454EA9" w:rsidP="004930BB">
            <w:pPr>
              <w:keepNext/>
              <w:keepLines/>
              <w:jc w:val="right"/>
              <w:rPr>
                <w:rFonts w:ascii="Times New Roman" w:hAnsi="Times New Roman" w:cs="Times New Roman"/>
                <w:b/>
                <w:sz w:val="20"/>
                <w:szCs w:val="20"/>
                <w:lang w:val="it-IT"/>
              </w:rPr>
            </w:pPr>
            <w:r w:rsidRPr="006F07C8">
              <w:rPr>
                <w:rFonts w:ascii="Times New Roman" w:hAnsi="Times New Roman" w:cs="Times New Roman"/>
                <w:b/>
                <w:sz w:val="20"/>
                <w:szCs w:val="20"/>
                <w:lang w:val="it-IT"/>
              </w:rPr>
              <w:t>Livello di istruzione</w:t>
            </w:r>
          </w:p>
        </w:tc>
        <w:tc>
          <w:tcPr>
            <w:tcW w:w="634" w:type="pct"/>
            <w:vAlign w:val="center"/>
            <w:hideMark/>
          </w:tcPr>
          <w:p w:rsidR="00454EA9" w:rsidRPr="006F07C8" w:rsidRDefault="00454EA9" w:rsidP="004930BB">
            <w:pPr>
              <w:pStyle w:val="NormalWeb"/>
              <w:keepNext/>
              <w:keepLines/>
              <w:spacing w:before="0" w:beforeAutospacing="0" w:after="0" w:afterAutospacing="0"/>
              <w:jc w:val="center"/>
              <w:rPr>
                <w:b/>
                <w:sz w:val="20"/>
                <w:szCs w:val="20"/>
                <w:lang w:val="it-IT"/>
              </w:rPr>
            </w:pPr>
            <w:r w:rsidRPr="006F07C8">
              <w:rPr>
                <w:b/>
                <w:bCs/>
                <w:color w:val="000000"/>
                <w:kern w:val="24"/>
                <w:sz w:val="20"/>
                <w:szCs w:val="20"/>
                <w:lang w:val="it-IT"/>
              </w:rPr>
              <w:t>Pre-</w:t>
            </w:r>
            <w:r w:rsidR="00861CD6" w:rsidRPr="006F07C8">
              <w:rPr>
                <w:b/>
                <w:bCs/>
                <w:color w:val="000000"/>
                <w:kern w:val="24"/>
                <w:sz w:val="20"/>
                <w:szCs w:val="20"/>
                <w:lang w:val="it-IT"/>
              </w:rPr>
              <w:t>elementare</w:t>
            </w:r>
          </w:p>
        </w:tc>
        <w:tc>
          <w:tcPr>
            <w:tcW w:w="646" w:type="pct"/>
            <w:vAlign w:val="center"/>
            <w:hideMark/>
          </w:tcPr>
          <w:p w:rsidR="00454EA9" w:rsidRPr="006F07C8" w:rsidRDefault="00861CD6" w:rsidP="004930BB">
            <w:pPr>
              <w:pStyle w:val="NormalWeb"/>
              <w:keepNext/>
              <w:keepLines/>
              <w:spacing w:before="0" w:beforeAutospacing="0" w:after="0" w:afterAutospacing="0"/>
              <w:jc w:val="center"/>
              <w:rPr>
                <w:b/>
                <w:sz w:val="20"/>
                <w:szCs w:val="20"/>
                <w:lang w:val="it-IT"/>
              </w:rPr>
            </w:pPr>
            <w:r w:rsidRPr="006F07C8">
              <w:rPr>
                <w:b/>
                <w:bCs/>
                <w:color w:val="000000"/>
                <w:kern w:val="24"/>
                <w:sz w:val="20"/>
                <w:szCs w:val="20"/>
                <w:lang w:val="it-IT"/>
              </w:rPr>
              <w:t>Elementare</w:t>
            </w:r>
          </w:p>
        </w:tc>
        <w:tc>
          <w:tcPr>
            <w:tcW w:w="640" w:type="pct"/>
            <w:vAlign w:val="center"/>
            <w:hideMark/>
          </w:tcPr>
          <w:p w:rsidR="00454EA9" w:rsidRPr="006F07C8" w:rsidRDefault="00454EA9" w:rsidP="004930BB">
            <w:pPr>
              <w:pStyle w:val="NormalWeb"/>
              <w:keepNext/>
              <w:keepLines/>
              <w:spacing w:before="0" w:beforeAutospacing="0" w:after="0" w:afterAutospacing="0"/>
              <w:jc w:val="center"/>
              <w:rPr>
                <w:b/>
                <w:sz w:val="20"/>
                <w:szCs w:val="20"/>
                <w:lang w:val="it-IT"/>
              </w:rPr>
            </w:pPr>
            <w:r w:rsidRPr="006F07C8">
              <w:rPr>
                <w:b/>
                <w:bCs/>
                <w:color w:val="000000"/>
                <w:kern w:val="24"/>
                <w:sz w:val="20"/>
                <w:szCs w:val="20"/>
                <w:lang w:val="it-IT"/>
              </w:rPr>
              <w:t>Secondario inferiore</w:t>
            </w:r>
          </w:p>
        </w:tc>
        <w:tc>
          <w:tcPr>
            <w:tcW w:w="640" w:type="pct"/>
            <w:vAlign w:val="center"/>
            <w:hideMark/>
          </w:tcPr>
          <w:p w:rsidR="00454EA9" w:rsidRPr="006F07C8" w:rsidRDefault="00454EA9" w:rsidP="004930BB">
            <w:pPr>
              <w:pStyle w:val="NormalWeb"/>
              <w:keepNext/>
              <w:keepLines/>
              <w:spacing w:before="0" w:beforeAutospacing="0" w:after="0" w:afterAutospacing="0"/>
              <w:jc w:val="center"/>
              <w:rPr>
                <w:b/>
                <w:sz w:val="20"/>
                <w:szCs w:val="20"/>
                <w:lang w:val="it-IT"/>
              </w:rPr>
            </w:pPr>
            <w:r w:rsidRPr="006F07C8">
              <w:rPr>
                <w:b/>
                <w:bCs/>
                <w:color w:val="000000"/>
                <w:kern w:val="24"/>
                <w:sz w:val="20"/>
                <w:szCs w:val="20"/>
                <w:lang w:val="it-IT"/>
              </w:rPr>
              <w:t>Secondario superiore</w:t>
            </w:r>
          </w:p>
          <w:p w:rsidR="00454EA9" w:rsidRPr="006F07C8" w:rsidRDefault="00454EA9" w:rsidP="004930BB">
            <w:pPr>
              <w:pStyle w:val="NormalWeb"/>
              <w:keepNext/>
              <w:keepLines/>
              <w:spacing w:before="0" w:beforeAutospacing="0" w:after="0" w:afterAutospacing="0"/>
              <w:rPr>
                <w:b/>
                <w:sz w:val="20"/>
                <w:szCs w:val="20"/>
                <w:lang w:val="it-IT"/>
              </w:rPr>
            </w:pPr>
          </w:p>
        </w:tc>
        <w:tc>
          <w:tcPr>
            <w:tcW w:w="623" w:type="pct"/>
            <w:vAlign w:val="center"/>
          </w:tcPr>
          <w:p w:rsidR="002829F8" w:rsidRPr="006F07C8" w:rsidRDefault="00454EA9" w:rsidP="004930BB">
            <w:pPr>
              <w:pStyle w:val="NormalWeb"/>
              <w:keepNext/>
              <w:keepLines/>
              <w:spacing w:before="0" w:beforeAutospacing="0" w:after="0" w:afterAutospacing="0"/>
              <w:jc w:val="center"/>
              <w:rPr>
                <w:b/>
                <w:bCs/>
                <w:color w:val="000000"/>
                <w:kern w:val="24"/>
                <w:sz w:val="20"/>
                <w:szCs w:val="20"/>
                <w:lang w:val="it-IT"/>
              </w:rPr>
            </w:pPr>
            <w:r w:rsidRPr="006F07C8">
              <w:rPr>
                <w:b/>
                <w:bCs/>
                <w:color w:val="000000"/>
                <w:kern w:val="24"/>
                <w:sz w:val="20"/>
                <w:szCs w:val="20"/>
                <w:lang w:val="it-IT"/>
              </w:rPr>
              <w:t>Post-secondario non</w:t>
            </w:r>
          </w:p>
          <w:p w:rsidR="00454EA9" w:rsidRPr="006F07C8" w:rsidRDefault="00454EA9" w:rsidP="004930BB">
            <w:pPr>
              <w:pStyle w:val="NormalWeb"/>
              <w:keepNext/>
              <w:keepLines/>
              <w:spacing w:before="0" w:beforeAutospacing="0" w:after="0" w:afterAutospacing="0"/>
              <w:jc w:val="center"/>
              <w:rPr>
                <w:b/>
                <w:sz w:val="20"/>
                <w:szCs w:val="20"/>
                <w:lang w:val="it-IT"/>
              </w:rPr>
            </w:pPr>
            <w:r w:rsidRPr="006F07C8">
              <w:rPr>
                <w:b/>
                <w:bCs/>
                <w:color w:val="000000"/>
                <w:kern w:val="24"/>
                <w:sz w:val="20"/>
                <w:szCs w:val="20"/>
                <w:lang w:val="it-IT"/>
              </w:rPr>
              <w:t>terziario</w:t>
            </w:r>
          </w:p>
        </w:tc>
        <w:tc>
          <w:tcPr>
            <w:tcW w:w="726" w:type="pct"/>
            <w:vAlign w:val="center"/>
          </w:tcPr>
          <w:p w:rsidR="00454EA9" w:rsidRPr="006F07C8" w:rsidRDefault="002829F8" w:rsidP="004930BB">
            <w:pPr>
              <w:pStyle w:val="NormalWeb"/>
              <w:keepNext/>
              <w:keepLines/>
              <w:spacing w:before="0" w:beforeAutospacing="0" w:after="0" w:afterAutospacing="0"/>
              <w:jc w:val="center"/>
              <w:rPr>
                <w:b/>
                <w:sz w:val="20"/>
                <w:szCs w:val="20"/>
                <w:lang w:val="it-IT"/>
              </w:rPr>
            </w:pPr>
            <w:r w:rsidRPr="006F07C8">
              <w:rPr>
                <w:b/>
                <w:bCs/>
                <w:color w:val="000000"/>
                <w:kern w:val="24"/>
                <w:sz w:val="20"/>
                <w:szCs w:val="20"/>
                <w:lang w:val="it-IT"/>
              </w:rPr>
              <w:t>T</w:t>
            </w:r>
            <w:r w:rsidR="00454EA9" w:rsidRPr="006F07C8">
              <w:rPr>
                <w:b/>
                <w:bCs/>
                <w:color w:val="000000"/>
                <w:kern w:val="24"/>
                <w:sz w:val="20"/>
                <w:szCs w:val="20"/>
                <w:lang w:val="it-IT"/>
              </w:rPr>
              <w:t>erziario</w:t>
            </w:r>
          </w:p>
        </w:tc>
      </w:tr>
      <w:tr w:rsidR="00454EA9" w:rsidRPr="006F07C8" w:rsidTr="00D13A7F">
        <w:trPr>
          <w:trHeight w:val="223"/>
          <w:jc w:val="center"/>
        </w:trPr>
        <w:tc>
          <w:tcPr>
            <w:tcW w:w="1090" w:type="pct"/>
            <w:vAlign w:val="center"/>
            <w:hideMark/>
          </w:tcPr>
          <w:p w:rsidR="00454EA9" w:rsidRPr="006F07C8" w:rsidRDefault="00454EA9" w:rsidP="004930BB">
            <w:pPr>
              <w:keepNext/>
              <w:keepLines/>
              <w:rPr>
                <w:rFonts w:ascii="Times New Roman" w:hAnsi="Times New Roman" w:cs="Times New Roman"/>
                <w:b/>
                <w:sz w:val="20"/>
                <w:szCs w:val="20"/>
                <w:lang w:val="it-IT"/>
              </w:rPr>
            </w:pPr>
            <w:r w:rsidRPr="006F07C8">
              <w:rPr>
                <w:rFonts w:ascii="Times New Roman" w:hAnsi="Times New Roman" w:cs="Times New Roman"/>
                <w:b/>
                <w:sz w:val="20"/>
                <w:szCs w:val="20"/>
                <w:lang w:val="it-IT"/>
              </w:rPr>
              <w:t>Regime linguistico</w:t>
            </w:r>
          </w:p>
        </w:tc>
        <w:tc>
          <w:tcPr>
            <w:tcW w:w="634" w:type="pct"/>
            <w:vAlign w:val="center"/>
            <w:hideMark/>
          </w:tcPr>
          <w:p w:rsidR="00454EA9" w:rsidRPr="006F07C8" w:rsidRDefault="00454EA9" w:rsidP="004930BB">
            <w:pPr>
              <w:keepNext/>
              <w:keepLines/>
              <w:jc w:val="center"/>
              <w:rPr>
                <w:rFonts w:ascii="Times New Roman" w:hAnsi="Times New Roman" w:cs="Times New Roman"/>
                <w:i/>
                <w:sz w:val="20"/>
                <w:szCs w:val="20"/>
                <w:vertAlign w:val="subscript"/>
                <w:lang w:val="it-IT"/>
              </w:rPr>
            </w:pPr>
          </w:p>
        </w:tc>
        <w:tc>
          <w:tcPr>
            <w:tcW w:w="646" w:type="pct"/>
            <w:vAlign w:val="center"/>
            <w:hideMark/>
          </w:tcPr>
          <w:p w:rsidR="00454EA9" w:rsidRPr="006F07C8" w:rsidRDefault="00454EA9" w:rsidP="004930BB">
            <w:pPr>
              <w:keepNext/>
              <w:keepLines/>
              <w:jc w:val="center"/>
              <w:rPr>
                <w:rFonts w:ascii="Times New Roman" w:hAnsi="Times New Roman" w:cs="Times New Roman"/>
                <w:i/>
                <w:sz w:val="20"/>
                <w:szCs w:val="20"/>
                <w:vertAlign w:val="subscript"/>
                <w:lang w:val="it-IT"/>
              </w:rPr>
            </w:pPr>
          </w:p>
        </w:tc>
        <w:tc>
          <w:tcPr>
            <w:tcW w:w="640" w:type="pct"/>
            <w:vAlign w:val="center"/>
            <w:hideMark/>
          </w:tcPr>
          <w:p w:rsidR="00454EA9" w:rsidRPr="006F07C8" w:rsidRDefault="00454EA9" w:rsidP="004930BB">
            <w:pPr>
              <w:keepNext/>
              <w:keepLines/>
              <w:jc w:val="center"/>
              <w:rPr>
                <w:rFonts w:ascii="Times New Roman" w:hAnsi="Times New Roman" w:cs="Times New Roman"/>
                <w:sz w:val="20"/>
                <w:szCs w:val="20"/>
                <w:lang w:val="it-IT"/>
              </w:rPr>
            </w:pPr>
          </w:p>
        </w:tc>
        <w:tc>
          <w:tcPr>
            <w:tcW w:w="640" w:type="pct"/>
            <w:vAlign w:val="center"/>
            <w:hideMark/>
          </w:tcPr>
          <w:p w:rsidR="00454EA9" w:rsidRPr="006F07C8" w:rsidRDefault="00454EA9" w:rsidP="004930BB">
            <w:pPr>
              <w:keepNext/>
              <w:keepLines/>
              <w:jc w:val="center"/>
              <w:rPr>
                <w:rFonts w:ascii="Times New Roman" w:hAnsi="Times New Roman" w:cs="Times New Roman"/>
                <w:sz w:val="20"/>
                <w:szCs w:val="20"/>
                <w:lang w:val="it-IT"/>
              </w:rPr>
            </w:pPr>
          </w:p>
        </w:tc>
        <w:tc>
          <w:tcPr>
            <w:tcW w:w="623" w:type="pct"/>
            <w:vAlign w:val="center"/>
          </w:tcPr>
          <w:p w:rsidR="00454EA9" w:rsidRPr="006F07C8" w:rsidRDefault="00454EA9" w:rsidP="004930BB">
            <w:pPr>
              <w:keepNext/>
              <w:keepLines/>
              <w:jc w:val="center"/>
              <w:rPr>
                <w:rFonts w:ascii="Times New Roman" w:hAnsi="Times New Roman" w:cs="Times New Roman"/>
                <w:sz w:val="20"/>
                <w:szCs w:val="20"/>
                <w:lang w:val="it-IT"/>
              </w:rPr>
            </w:pPr>
          </w:p>
        </w:tc>
        <w:tc>
          <w:tcPr>
            <w:tcW w:w="726" w:type="pct"/>
            <w:vAlign w:val="center"/>
          </w:tcPr>
          <w:p w:rsidR="00454EA9" w:rsidRPr="006F07C8" w:rsidRDefault="00454EA9" w:rsidP="004930BB">
            <w:pPr>
              <w:keepNext/>
              <w:keepLines/>
              <w:jc w:val="center"/>
              <w:rPr>
                <w:rFonts w:ascii="Times New Roman" w:hAnsi="Times New Roman" w:cs="Times New Roman"/>
                <w:sz w:val="20"/>
                <w:szCs w:val="20"/>
                <w:lang w:val="it-IT"/>
              </w:rPr>
            </w:pPr>
          </w:p>
        </w:tc>
      </w:tr>
      <w:tr w:rsidR="002829F8" w:rsidRPr="006F07C8" w:rsidTr="00C44EAF">
        <w:trPr>
          <w:trHeight w:val="255"/>
          <w:jc w:val="center"/>
        </w:trPr>
        <w:tc>
          <w:tcPr>
            <w:tcW w:w="1090" w:type="pct"/>
            <w:vAlign w:val="center"/>
          </w:tcPr>
          <w:p w:rsidR="002829F8" w:rsidRPr="006F07C8" w:rsidRDefault="002829F8" w:rsidP="004930BB">
            <w:pPr>
              <w:keepNext/>
              <w:keepLines/>
              <w:rPr>
                <w:rFonts w:ascii="Times New Roman" w:hAnsi="Times New Roman" w:cs="Times New Roman"/>
                <w:sz w:val="20"/>
                <w:szCs w:val="20"/>
                <w:lang w:val="it-IT"/>
              </w:rPr>
            </w:pPr>
            <w:r w:rsidRPr="006F07C8">
              <w:rPr>
                <w:rFonts w:ascii="Times New Roman" w:hAnsi="Times New Roman" w:cs="Times New Roman"/>
                <w:i/>
                <w:iCs/>
                <w:sz w:val="20"/>
                <w:szCs w:val="20"/>
                <w:lang w:val="it-IT"/>
              </w:rPr>
              <w:t>24 lingue</w:t>
            </w:r>
          </w:p>
        </w:tc>
        <w:tc>
          <w:tcPr>
            <w:tcW w:w="634" w:type="pct"/>
            <w:vAlign w:val="center"/>
            <w:hideMark/>
          </w:tcPr>
          <w:p w:rsidR="002829F8" w:rsidRPr="006F07C8" w:rsidRDefault="002829F8" w:rsidP="004930BB">
            <w:pPr>
              <w:pStyle w:val="NormalWeb"/>
              <w:keepNext/>
              <w:keepLines/>
              <w:spacing w:before="0" w:beforeAutospacing="0" w:after="0" w:afterAutospacing="0"/>
              <w:jc w:val="center"/>
              <w:rPr>
                <w:sz w:val="20"/>
                <w:szCs w:val="20"/>
                <w:lang w:val="it-IT"/>
              </w:rPr>
            </w:pPr>
            <w:r w:rsidRPr="006F07C8">
              <w:rPr>
                <w:color w:val="000000"/>
                <w:kern w:val="24"/>
                <w:sz w:val="20"/>
                <w:szCs w:val="20"/>
                <w:lang w:val="it-IT"/>
              </w:rPr>
              <w:t>4</w:t>
            </w:r>
          </w:p>
        </w:tc>
        <w:tc>
          <w:tcPr>
            <w:tcW w:w="646" w:type="pct"/>
            <w:vAlign w:val="center"/>
            <w:hideMark/>
          </w:tcPr>
          <w:p w:rsidR="002829F8" w:rsidRPr="006F07C8" w:rsidRDefault="002829F8" w:rsidP="004930BB">
            <w:pPr>
              <w:pStyle w:val="NormalWeb"/>
              <w:keepNext/>
              <w:keepLines/>
              <w:spacing w:before="0" w:beforeAutospacing="0" w:after="0" w:afterAutospacing="0"/>
              <w:jc w:val="center"/>
              <w:rPr>
                <w:sz w:val="20"/>
                <w:szCs w:val="20"/>
                <w:lang w:val="it-IT"/>
              </w:rPr>
            </w:pPr>
            <w:r w:rsidRPr="006F07C8">
              <w:rPr>
                <w:color w:val="000000"/>
                <w:kern w:val="24"/>
                <w:sz w:val="20"/>
                <w:szCs w:val="20"/>
                <w:lang w:val="it-IT"/>
              </w:rPr>
              <w:t>1</w:t>
            </w:r>
          </w:p>
        </w:tc>
        <w:tc>
          <w:tcPr>
            <w:tcW w:w="640" w:type="pct"/>
            <w:vAlign w:val="center"/>
            <w:hideMark/>
          </w:tcPr>
          <w:p w:rsidR="002829F8" w:rsidRPr="006F07C8" w:rsidRDefault="002829F8" w:rsidP="004930BB">
            <w:pPr>
              <w:pStyle w:val="NormalWeb"/>
              <w:keepNext/>
              <w:keepLines/>
              <w:spacing w:before="0" w:beforeAutospacing="0" w:after="0" w:afterAutospacing="0"/>
              <w:jc w:val="center"/>
              <w:rPr>
                <w:sz w:val="20"/>
                <w:szCs w:val="20"/>
                <w:lang w:val="it-IT"/>
              </w:rPr>
            </w:pPr>
            <w:r w:rsidRPr="006F07C8">
              <w:rPr>
                <w:color w:val="000000"/>
                <w:kern w:val="24"/>
                <w:sz w:val="20"/>
                <w:szCs w:val="20"/>
                <w:lang w:val="it-IT"/>
              </w:rPr>
              <w:t>1</w:t>
            </w:r>
          </w:p>
        </w:tc>
        <w:tc>
          <w:tcPr>
            <w:tcW w:w="640" w:type="pct"/>
            <w:vAlign w:val="center"/>
            <w:hideMark/>
          </w:tcPr>
          <w:p w:rsidR="002829F8" w:rsidRPr="006F07C8" w:rsidRDefault="002829F8" w:rsidP="004930BB">
            <w:pPr>
              <w:pStyle w:val="NormalWeb"/>
              <w:keepNext/>
              <w:keepLines/>
              <w:spacing w:before="0" w:beforeAutospacing="0" w:after="0" w:afterAutospacing="0"/>
              <w:jc w:val="center"/>
              <w:rPr>
                <w:sz w:val="20"/>
                <w:szCs w:val="20"/>
                <w:lang w:val="it-IT"/>
              </w:rPr>
            </w:pPr>
            <w:r w:rsidRPr="006F07C8">
              <w:rPr>
                <w:color w:val="000000"/>
                <w:kern w:val="24"/>
                <w:sz w:val="20"/>
                <w:szCs w:val="20"/>
                <w:lang w:val="it-IT"/>
              </w:rPr>
              <w:t>0</w:t>
            </w:r>
          </w:p>
        </w:tc>
        <w:tc>
          <w:tcPr>
            <w:tcW w:w="623" w:type="pct"/>
            <w:vAlign w:val="center"/>
          </w:tcPr>
          <w:p w:rsidR="002829F8" w:rsidRPr="006F07C8" w:rsidRDefault="002829F8" w:rsidP="004930BB">
            <w:pPr>
              <w:pStyle w:val="NormalWeb"/>
              <w:keepNext/>
              <w:keepLines/>
              <w:spacing w:before="0" w:beforeAutospacing="0" w:after="0" w:afterAutospacing="0"/>
              <w:jc w:val="center"/>
              <w:rPr>
                <w:sz w:val="20"/>
                <w:szCs w:val="20"/>
                <w:lang w:val="it-IT"/>
              </w:rPr>
            </w:pPr>
            <w:r w:rsidRPr="006F07C8">
              <w:rPr>
                <w:color w:val="000000"/>
                <w:kern w:val="24"/>
                <w:sz w:val="20"/>
                <w:szCs w:val="20"/>
                <w:lang w:val="it-IT"/>
              </w:rPr>
              <w:t>0</w:t>
            </w:r>
          </w:p>
        </w:tc>
        <w:tc>
          <w:tcPr>
            <w:tcW w:w="726" w:type="pct"/>
            <w:vAlign w:val="center"/>
          </w:tcPr>
          <w:p w:rsidR="002829F8" w:rsidRPr="006F07C8" w:rsidRDefault="002829F8" w:rsidP="004930BB">
            <w:pPr>
              <w:pStyle w:val="NormalWeb"/>
              <w:keepNext/>
              <w:keepLines/>
              <w:spacing w:before="0" w:beforeAutospacing="0" w:after="0" w:afterAutospacing="0"/>
              <w:jc w:val="center"/>
              <w:rPr>
                <w:sz w:val="20"/>
                <w:szCs w:val="20"/>
                <w:lang w:val="it-IT"/>
              </w:rPr>
            </w:pPr>
            <w:r w:rsidRPr="006F07C8">
              <w:rPr>
                <w:color w:val="000000"/>
                <w:kern w:val="24"/>
                <w:sz w:val="20"/>
                <w:szCs w:val="20"/>
                <w:lang w:val="it-IT"/>
              </w:rPr>
              <w:t>0</w:t>
            </w:r>
          </w:p>
        </w:tc>
      </w:tr>
      <w:tr w:rsidR="00D13A7F" w:rsidRPr="006F07C8" w:rsidTr="00C44EAF">
        <w:trPr>
          <w:trHeight w:val="273"/>
          <w:jc w:val="center"/>
        </w:trPr>
        <w:tc>
          <w:tcPr>
            <w:tcW w:w="1090" w:type="pct"/>
          </w:tcPr>
          <w:p w:rsidR="00D13A7F" w:rsidRPr="006F07C8" w:rsidRDefault="00D13A7F" w:rsidP="004930BB">
            <w:pPr>
              <w:keepNext/>
              <w:keepLines/>
              <w:rPr>
                <w:rFonts w:ascii="Times New Roman" w:hAnsi="Times New Roman" w:cs="Times New Roman"/>
                <w:i/>
                <w:iCs/>
                <w:sz w:val="20"/>
                <w:szCs w:val="20"/>
                <w:lang w:val="it-IT"/>
              </w:rPr>
            </w:pPr>
            <w:r w:rsidRPr="006F07C8">
              <w:rPr>
                <w:rFonts w:ascii="Times New Roman" w:hAnsi="Times New Roman" w:cs="Times New Roman"/>
                <w:i/>
                <w:iCs/>
                <w:sz w:val="20"/>
                <w:szCs w:val="20"/>
                <w:lang w:val="it-IT"/>
              </w:rPr>
              <w:t>Oligarchico</w:t>
            </w:r>
          </w:p>
        </w:tc>
        <w:tc>
          <w:tcPr>
            <w:tcW w:w="634" w:type="pct"/>
            <w:vAlign w:val="center"/>
          </w:tcPr>
          <w:p w:rsidR="00D13A7F" w:rsidRPr="006F07C8" w:rsidRDefault="00D13A7F" w:rsidP="004930BB">
            <w:pPr>
              <w:pStyle w:val="NormalWeb"/>
              <w:keepNext/>
              <w:keepLines/>
              <w:spacing w:before="0" w:beforeAutospacing="0" w:after="0" w:afterAutospacing="0"/>
              <w:jc w:val="center"/>
              <w:rPr>
                <w:color w:val="000000"/>
                <w:kern w:val="24"/>
                <w:sz w:val="20"/>
                <w:szCs w:val="20"/>
                <w:lang w:val="it-IT"/>
              </w:rPr>
            </w:pPr>
            <w:r w:rsidRPr="006F07C8">
              <w:rPr>
                <w:color w:val="000000"/>
                <w:kern w:val="24"/>
                <w:sz w:val="20"/>
                <w:szCs w:val="20"/>
                <w:lang w:val="it-IT"/>
              </w:rPr>
              <w:t>56</w:t>
            </w:r>
          </w:p>
        </w:tc>
        <w:tc>
          <w:tcPr>
            <w:tcW w:w="646" w:type="pct"/>
            <w:vAlign w:val="center"/>
          </w:tcPr>
          <w:p w:rsidR="00D13A7F" w:rsidRPr="006F07C8" w:rsidRDefault="00D13A7F" w:rsidP="004930BB">
            <w:pPr>
              <w:pStyle w:val="NormalWeb"/>
              <w:keepNext/>
              <w:keepLines/>
              <w:spacing w:before="0" w:beforeAutospacing="0" w:after="0" w:afterAutospacing="0"/>
              <w:jc w:val="center"/>
              <w:rPr>
                <w:color w:val="000000"/>
                <w:kern w:val="24"/>
                <w:sz w:val="20"/>
                <w:szCs w:val="20"/>
                <w:lang w:val="it-IT"/>
              </w:rPr>
            </w:pPr>
            <w:r w:rsidRPr="006F07C8">
              <w:rPr>
                <w:color w:val="000000"/>
                <w:kern w:val="24"/>
                <w:sz w:val="20"/>
                <w:szCs w:val="20"/>
                <w:lang w:val="it-IT"/>
              </w:rPr>
              <w:t>71</w:t>
            </w:r>
          </w:p>
        </w:tc>
        <w:tc>
          <w:tcPr>
            <w:tcW w:w="640" w:type="pct"/>
            <w:vAlign w:val="center"/>
          </w:tcPr>
          <w:p w:rsidR="00D13A7F" w:rsidRPr="006F07C8" w:rsidRDefault="00D13A7F" w:rsidP="004930BB">
            <w:pPr>
              <w:pStyle w:val="NormalWeb"/>
              <w:keepNext/>
              <w:keepLines/>
              <w:spacing w:before="0" w:beforeAutospacing="0" w:after="0" w:afterAutospacing="0"/>
              <w:jc w:val="center"/>
              <w:rPr>
                <w:color w:val="000000"/>
                <w:kern w:val="24"/>
                <w:sz w:val="20"/>
                <w:szCs w:val="20"/>
                <w:lang w:val="it-IT"/>
              </w:rPr>
            </w:pPr>
            <w:r w:rsidRPr="006F07C8">
              <w:rPr>
                <w:color w:val="000000"/>
                <w:kern w:val="24"/>
                <w:sz w:val="20"/>
                <w:szCs w:val="20"/>
                <w:lang w:val="it-IT"/>
              </w:rPr>
              <w:t>42</w:t>
            </w:r>
          </w:p>
        </w:tc>
        <w:tc>
          <w:tcPr>
            <w:tcW w:w="640" w:type="pct"/>
            <w:vAlign w:val="center"/>
          </w:tcPr>
          <w:p w:rsidR="00D13A7F" w:rsidRPr="006F07C8" w:rsidRDefault="00D13A7F" w:rsidP="004930BB">
            <w:pPr>
              <w:pStyle w:val="NormalWeb"/>
              <w:keepNext/>
              <w:keepLines/>
              <w:spacing w:before="0" w:beforeAutospacing="0" w:after="0" w:afterAutospacing="0"/>
              <w:jc w:val="center"/>
              <w:rPr>
                <w:color w:val="000000"/>
                <w:kern w:val="24"/>
                <w:sz w:val="20"/>
                <w:szCs w:val="20"/>
                <w:lang w:val="it-IT"/>
              </w:rPr>
            </w:pPr>
            <w:r w:rsidRPr="006F07C8">
              <w:rPr>
                <w:color w:val="000000"/>
                <w:kern w:val="24"/>
                <w:sz w:val="20"/>
                <w:szCs w:val="20"/>
                <w:lang w:val="it-IT"/>
              </w:rPr>
              <w:t>26</w:t>
            </w:r>
          </w:p>
        </w:tc>
        <w:tc>
          <w:tcPr>
            <w:tcW w:w="623" w:type="pct"/>
            <w:vAlign w:val="center"/>
          </w:tcPr>
          <w:p w:rsidR="00D13A7F" w:rsidRPr="006F07C8" w:rsidRDefault="00D13A7F" w:rsidP="004930BB">
            <w:pPr>
              <w:pStyle w:val="NormalWeb"/>
              <w:keepNext/>
              <w:keepLines/>
              <w:spacing w:before="0" w:beforeAutospacing="0" w:after="0" w:afterAutospacing="0"/>
              <w:jc w:val="center"/>
              <w:rPr>
                <w:color w:val="000000"/>
                <w:kern w:val="24"/>
                <w:sz w:val="20"/>
                <w:szCs w:val="20"/>
                <w:lang w:val="it-IT"/>
              </w:rPr>
            </w:pPr>
            <w:r w:rsidRPr="006F07C8">
              <w:rPr>
                <w:color w:val="000000"/>
                <w:kern w:val="24"/>
                <w:sz w:val="20"/>
                <w:szCs w:val="20"/>
                <w:lang w:val="it-IT"/>
              </w:rPr>
              <w:t>15</w:t>
            </w:r>
          </w:p>
        </w:tc>
        <w:tc>
          <w:tcPr>
            <w:tcW w:w="726" w:type="pct"/>
            <w:vAlign w:val="center"/>
          </w:tcPr>
          <w:p w:rsidR="00D13A7F" w:rsidRPr="006F07C8" w:rsidRDefault="00D13A7F" w:rsidP="004930BB">
            <w:pPr>
              <w:pStyle w:val="NormalWeb"/>
              <w:keepNext/>
              <w:keepLines/>
              <w:spacing w:before="0" w:beforeAutospacing="0" w:after="0" w:afterAutospacing="0"/>
              <w:jc w:val="center"/>
              <w:rPr>
                <w:color w:val="000000"/>
                <w:kern w:val="24"/>
                <w:sz w:val="20"/>
                <w:szCs w:val="20"/>
                <w:lang w:val="it-IT"/>
              </w:rPr>
            </w:pPr>
            <w:r w:rsidRPr="006F07C8">
              <w:rPr>
                <w:color w:val="000000"/>
                <w:kern w:val="24"/>
                <w:sz w:val="20"/>
                <w:szCs w:val="20"/>
                <w:lang w:val="it-IT"/>
              </w:rPr>
              <w:t>7</w:t>
            </w:r>
          </w:p>
        </w:tc>
      </w:tr>
      <w:tr w:rsidR="00D13A7F" w:rsidRPr="006F07C8" w:rsidTr="00C44EAF">
        <w:trPr>
          <w:trHeight w:val="273"/>
          <w:jc w:val="center"/>
        </w:trPr>
        <w:tc>
          <w:tcPr>
            <w:tcW w:w="1090" w:type="pct"/>
            <w:vAlign w:val="center"/>
            <w:hideMark/>
          </w:tcPr>
          <w:p w:rsidR="00D13A7F" w:rsidRPr="006F07C8" w:rsidRDefault="00D13A7F" w:rsidP="004930BB">
            <w:pPr>
              <w:keepNext/>
              <w:keepLines/>
              <w:rPr>
                <w:rFonts w:ascii="Times New Roman" w:hAnsi="Times New Roman" w:cs="Times New Roman"/>
                <w:sz w:val="20"/>
                <w:szCs w:val="20"/>
                <w:lang w:val="it-IT"/>
              </w:rPr>
            </w:pPr>
            <w:r w:rsidRPr="006F07C8">
              <w:rPr>
                <w:rFonts w:ascii="Times New Roman" w:hAnsi="Times New Roman" w:cs="Times New Roman"/>
                <w:i/>
                <w:iCs/>
                <w:sz w:val="20"/>
                <w:szCs w:val="20"/>
                <w:lang w:val="it-IT"/>
              </w:rPr>
              <w:t>Monolinguismo</w:t>
            </w:r>
          </w:p>
        </w:tc>
        <w:tc>
          <w:tcPr>
            <w:tcW w:w="634" w:type="pct"/>
            <w:vAlign w:val="center"/>
          </w:tcPr>
          <w:p w:rsidR="00D13A7F" w:rsidRPr="006F07C8" w:rsidRDefault="00D13A7F" w:rsidP="004930BB">
            <w:pPr>
              <w:pStyle w:val="NormalWeb"/>
              <w:keepNext/>
              <w:keepLines/>
              <w:spacing w:before="0" w:beforeAutospacing="0" w:after="0" w:afterAutospacing="0"/>
              <w:jc w:val="center"/>
              <w:rPr>
                <w:sz w:val="20"/>
                <w:szCs w:val="20"/>
                <w:lang w:val="it-IT"/>
              </w:rPr>
            </w:pPr>
            <w:r w:rsidRPr="006F07C8">
              <w:rPr>
                <w:color w:val="000000"/>
                <w:kern w:val="24"/>
                <w:sz w:val="20"/>
                <w:szCs w:val="20"/>
                <w:lang w:val="it-IT"/>
              </w:rPr>
              <w:t>89</w:t>
            </w:r>
          </w:p>
        </w:tc>
        <w:tc>
          <w:tcPr>
            <w:tcW w:w="646" w:type="pct"/>
            <w:vAlign w:val="center"/>
          </w:tcPr>
          <w:p w:rsidR="00D13A7F" w:rsidRPr="006F07C8" w:rsidRDefault="00D13A7F" w:rsidP="004930BB">
            <w:pPr>
              <w:pStyle w:val="NormalWeb"/>
              <w:keepNext/>
              <w:keepLines/>
              <w:spacing w:before="0" w:beforeAutospacing="0" w:after="0" w:afterAutospacing="0"/>
              <w:jc w:val="center"/>
              <w:rPr>
                <w:sz w:val="20"/>
                <w:szCs w:val="20"/>
                <w:lang w:val="it-IT"/>
              </w:rPr>
            </w:pPr>
            <w:r w:rsidRPr="006F07C8">
              <w:rPr>
                <w:color w:val="000000"/>
                <w:kern w:val="24"/>
                <w:sz w:val="20"/>
                <w:szCs w:val="20"/>
                <w:lang w:val="it-IT"/>
              </w:rPr>
              <w:t>93</w:t>
            </w:r>
          </w:p>
        </w:tc>
        <w:tc>
          <w:tcPr>
            <w:tcW w:w="640" w:type="pct"/>
            <w:vAlign w:val="center"/>
          </w:tcPr>
          <w:p w:rsidR="00D13A7F" w:rsidRPr="006F07C8" w:rsidRDefault="00D13A7F" w:rsidP="004930BB">
            <w:pPr>
              <w:pStyle w:val="NormalWeb"/>
              <w:keepNext/>
              <w:keepLines/>
              <w:spacing w:before="0" w:beforeAutospacing="0" w:after="0" w:afterAutospacing="0"/>
              <w:jc w:val="center"/>
              <w:rPr>
                <w:sz w:val="20"/>
                <w:szCs w:val="20"/>
                <w:lang w:val="it-IT"/>
              </w:rPr>
            </w:pPr>
            <w:r w:rsidRPr="006F07C8">
              <w:rPr>
                <w:color w:val="000000"/>
                <w:kern w:val="24"/>
                <w:sz w:val="20"/>
                <w:szCs w:val="20"/>
                <w:lang w:val="it-IT"/>
              </w:rPr>
              <w:t>72</w:t>
            </w:r>
          </w:p>
        </w:tc>
        <w:tc>
          <w:tcPr>
            <w:tcW w:w="640" w:type="pct"/>
            <w:vAlign w:val="center"/>
          </w:tcPr>
          <w:p w:rsidR="00D13A7F" w:rsidRPr="006F07C8" w:rsidRDefault="00D13A7F" w:rsidP="004930BB">
            <w:pPr>
              <w:pStyle w:val="NormalWeb"/>
              <w:keepNext/>
              <w:keepLines/>
              <w:spacing w:before="0" w:beforeAutospacing="0" w:after="0" w:afterAutospacing="0"/>
              <w:jc w:val="center"/>
              <w:rPr>
                <w:sz w:val="20"/>
                <w:szCs w:val="20"/>
                <w:lang w:val="it-IT"/>
              </w:rPr>
            </w:pPr>
            <w:r w:rsidRPr="006F07C8">
              <w:rPr>
                <w:color w:val="000000"/>
                <w:kern w:val="24"/>
                <w:sz w:val="20"/>
                <w:szCs w:val="20"/>
                <w:lang w:val="it-IT"/>
              </w:rPr>
              <w:t>49</w:t>
            </w:r>
          </w:p>
        </w:tc>
        <w:tc>
          <w:tcPr>
            <w:tcW w:w="623" w:type="pct"/>
            <w:vAlign w:val="center"/>
          </w:tcPr>
          <w:p w:rsidR="00D13A7F" w:rsidRPr="006F07C8" w:rsidRDefault="00D13A7F" w:rsidP="004930BB">
            <w:pPr>
              <w:pStyle w:val="NormalWeb"/>
              <w:keepNext/>
              <w:keepLines/>
              <w:spacing w:before="0" w:beforeAutospacing="0" w:after="0" w:afterAutospacing="0"/>
              <w:jc w:val="center"/>
              <w:rPr>
                <w:sz w:val="20"/>
                <w:szCs w:val="20"/>
                <w:lang w:val="it-IT"/>
              </w:rPr>
            </w:pPr>
            <w:r w:rsidRPr="006F07C8">
              <w:rPr>
                <w:color w:val="000000"/>
                <w:kern w:val="24"/>
                <w:sz w:val="20"/>
                <w:szCs w:val="20"/>
                <w:lang w:val="it-IT"/>
              </w:rPr>
              <w:t>33</w:t>
            </w:r>
          </w:p>
        </w:tc>
        <w:tc>
          <w:tcPr>
            <w:tcW w:w="726" w:type="pct"/>
            <w:vAlign w:val="center"/>
          </w:tcPr>
          <w:p w:rsidR="00D13A7F" w:rsidRPr="006F07C8" w:rsidRDefault="00D13A7F" w:rsidP="004930BB">
            <w:pPr>
              <w:pStyle w:val="NormalWeb"/>
              <w:keepNext/>
              <w:keepLines/>
              <w:spacing w:before="0" w:beforeAutospacing="0" w:after="0" w:afterAutospacing="0"/>
              <w:jc w:val="center"/>
              <w:rPr>
                <w:sz w:val="20"/>
                <w:szCs w:val="20"/>
                <w:lang w:val="it-IT"/>
              </w:rPr>
            </w:pPr>
            <w:r w:rsidRPr="006F07C8">
              <w:rPr>
                <w:color w:val="000000"/>
                <w:kern w:val="24"/>
                <w:sz w:val="20"/>
                <w:szCs w:val="20"/>
                <w:lang w:val="it-IT"/>
              </w:rPr>
              <w:t>19</w:t>
            </w:r>
          </w:p>
        </w:tc>
      </w:tr>
    </w:tbl>
    <w:p w:rsidR="00454EA9" w:rsidRPr="006F07C8" w:rsidRDefault="00454EA9" w:rsidP="004930BB">
      <w:pPr>
        <w:keepNext/>
        <w:keepLines/>
        <w:spacing w:after="0" w:line="240" w:lineRule="auto"/>
        <w:jc w:val="both"/>
        <w:rPr>
          <w:rFonts w:ascii="Times New Roman" w:hAnsi="Times New Roman" w:cs="Times New Roman"/>
          <w:i/>
          <w:sz w:val="20"/>
          <w:szCs w:val="20"/>
          <w:lang w:val="it-IT"/>
        </w:rPr>
      </w:pPr>
      <w:r w:rsidRPr="006F07C8">
        <w:rPr>
          <w:rFonts w:ascii="Times New Roman" w:hAnsi="Times New Roman" w:cs="Times New Roman"/>
          <w:i/>
          <w:sz w:val="20"/>
          <w:szCs w:val="20"/>
          <w:lang w:val="it-IT"/>
        </w:rPr>
        <w:t>Fonte: Eurostat, IEA</w:t>
      </w:r>
      <w:r w:rsidR="00C6336A" w:rsidRPr="006F07C8">
        <w:rPr>
          <w:rFonts w:ascii="Times New Roman" w:hAnsi="Times New Roman" w:cs="Times New Roman"/>
          <w:i/>
          <w:sz w:val="20"/>
          <w:szCs w:val="20"/>
          <w:lang w:val="it-IT"/>
        </w:rPr>
        <w:t xml:space="preserve"> 2011</w:t>
      </w:r>
      <w:r w:rsidRPr="006F07C8">
        <w:rPr>
          <w:rFonts w:ascii="Times New Roman" w:hAnsi="Times New Roman" w:cs="Times New Roman"/>
          <w:i/>
          <w:sz w:val="20"/>
          <w:szCs w:val="20"/>
          <w:lang w:val="it-IT"/>
        </w:rPr>
        <w:t>. Tabella elaborata dall’autore</w:t>
      </w:r>
    </w:p>
    <w:p w:rsidR="00454EA9" w:rsidRPr="006F07C8" w:rsidRDefault="00454EA9" w:rsidP="002F52A9">
      <w:pPr>
        <w:spacing w:line="240" w:lineRule="auto"/>
        <w:jc w:val="both"/>
        <w:rPr>
          <w:rFonts w:ascii="Times New Roman" w:hAnsi="Times New Roman" w:cs="Times New Roman"/>
          <w:sz w:val="20"/>
          <w:lang w:val="it-IT"/>
        </w:rPr>
      </w:pPr>
    </w:p>
    <w:p w:rsidR="0041659E" w:rsidRPr="006F07C8" w:rsidRDefault="00D13A7F" w:rsidP="002F52A9">
      <w:pPr>
        <w:spacing w:line="240" w:lineRule="auto"/>
        <w:jc w:val="both"/>
        <w:rPr>
          <w:rFonts w:ascii="Times New Roman" w:hAnsi="Times New Roman" w:cs="Times New Roman"/>
          <w:bCs/>
          <w:sz w:val="24"/>
          <w:szCs w:val="24"/>
          <w:lang w:val="it-IT"/>
        </w:rPr>
      </w:pPr>
      <w:r w:rsidRPr="006F07C8">
        <w:rPr>
          <w:rFonts w:ascii="Times New Roman" w:hAnsi="Times New Roman" w:cs="Times New Roman"/>
          <w:bCs/>
          <w:sz w:val="24"/>
          <w:szCs w:val="24"/>
          <w:lang w:val="it-IT"/>
        </w:rPr>
        <w:t xml:space="preserve">I risultati per il livello di istruzione pre-elementare non sono </w:t>
      </w:r>
      <w:r w:rsidR="0007344F" w:rsidRPr="006F07C8">
        <w:rPr>
          <w:rFonts w:ascii="Times New Roman" w:hAnsi="Times New Roman" w:cs="Times New Roman"/>
          <w:bCs/>
          <w:sz w:val="24"/>
          <w:szCs w:val="24"/>
          <w:lang w:val="it-IT"/>
        </w:rPr>
        <w:t xml:space="preserve">molto significativi </w:t>
      </w:r>
      <w:r w:rsidRPr="006F07C8">
        <w:rPr>
          <w:rFonts w:ascii="Times New Roman" w:hAnsi="Times New Roman" w:cs="Times New Roman"/>
          <w:bCs/>
          <w:sz w:val="24"/>
          <w:szCs w:val="24"/>
          <w:lang w:val="it-IT"/>
        </w:rPr>
        <w:t>perché riguardano solo l’1% della popolazione residente.</w:t>
      </w:r>
      <w:r w:rsidR="000E3495" w:rsidRPr="006F07C8">
        <w:rPr>
          <w:rStyle w:val="FootnoteReference"/>
          <w:rFonts w:ascii="Times New Roman" w:hAnsi="Times New Roman" w:cs="Times New Roman"/>
          <w:sz w:val="24"/>
          <w:szCs w:val="24"/>
          <w:lang w:val="it-IT"/>
        </w:rPr>
        <w:footnoteReference w:id="28"/>
      </w:r>
      <w:r w:rsidR="000E3495" w:rsidRPr="006F07C8">
        <w:rPr>
          <w:rFonts w:ascii="Times New Roman" w:hAnsi="Times New Roman" w:cs="Times New Roman"/>
          <w:sz w:val="24"/>
          <w:szCs w:val="24"/>
          <w:lang w:val="it-IT"/>
        </w:rPr>
        <w:t xml:space="preserve"> </w:t>
      </w:r>
      <w:r w:rsidRPr="006F07C8">
        <w:rPr>
          <w:rFonts w:ascii="Times New Roman" w:hAnsi="Times New Roman" w:cs="Times New Roman"/>
          <w:bCs/>
          <w:sz w:val="24"/>
          <w:szCs w:val="24"/>
          <w:lang w:val="it-IT"/>
        </w:rPr>
        <w:t xml:space="preserve">Più interessante invece </w:t>
      </w:r>
      <w:r w:rsidR="0007344F" w:rsidRPr="006F07C8">
        <w:rPr>
          <w:rFonts w:ascii="Times New Roman" w:hAnsi="Times New Roman" w:cs="Times New Roman"/>
          <w:bCs/>
          <w:sz w:val="24"/>
          <w:szCs w:val="24"/>
          <w:lang w:val="it-IT"/>
        </w:rPr>
        <w:t xml:space="preserve">è </w:t>
      </w:r>
      <w:r w:rsidRPr="006F07C8">
        <w:rPr>
          <w:rFonts w:ascii="Times New Roman" w:hAnsi="Times New Roman" w:cs="Times New Roman"/>
          <w:bCs/>
          <w:sz w:val="24"/>
          <w:szCs w:val="24"/>
          <w:lang w:val="it-IT"/>
        </w:rPr>
        <w:t xml:space="preserve">osservare i tassi di esclusione linguistica </w:t>
      </w:r>
      <w:r w:rsidR="00960644" w:rsidRPr="006F07C8">
        <w:rPr>
          <w:rFonts w:ascii="Times New Roman" w:hAnsi="Times New Roman" w:cs="Times New Roman"/>
          <w:bCs/>
          <w:sz w:val="24"/>
          <w:szCs w:val="24"/>
          <w:lang w:val="it-IT"/>
        </w:rPr>
        <w:t xml:space="preserve">assoluta </w:t>
      </w:r>
      <w:r w:rsidRPr="006F07C8">
        <w:rPr>
          <w:rFonts w:ascii="Times New Roman" w:hAnsi="Times New Roman" w:cs="Times New Roman"/>
          <w:bCs/>
          <w:sz w:val="24"/>
          <w:szCs w:val="24"/>
          <w:lang w:val="it-IT"/>
        </w:rPr>
        <w:t>per gli altri livelli</w:t>
      </w:r>
      <w:r w:rsidR="0007344F" w:rsidRPr="006F07C8">
        <w:rPr>
          <w:rFonts w:ascii="Times New Roman" w:hAnsi="Times New Roman" w:cs="Times New Roman"/>
          <w:bCs/>
          <w:sz w:val="24"/>
          <w:szCs w:val="24"/>
          <w:lang w:val="it-IT"/>
        </w:rPr>
        <w:t xml:space="preserve"> di istruzione</w:t>
      </w:r>
      <w:r w:rsidRPr="006F07C8">
        <w:rPr>
          <w:rFonts w:ascii="Times New Roman" w:hAnsi="Times New Roman" w:cs="Times New Roman"/>
          <w:bCs/>
          <w:sz w:val="24"/>
          <w:szCs w:val="24"/>
          <w:lang w:val="it-IT"/>
        </w:rPr>
        <w:t xml:space="preserve">. </w:t>
      </w:r>
      <w:r w:rsidR="000E3495" w:rsidRPr="006F07C8">
        <w:rPr>
          <w:rFonts w:ascii="Times New Roman" w:hAnsi="Times New Roman" w:cs="Times New Roman"/>
          <w:bCs/>
          <w:sz w:val="24"/>
          <w:szCs w:val="24"/>
          <w:lang w:val="it-IT"/>
        </w:rPr>
        <w:t xml:space="preserve">Come era lecito attendersi, i tassi di esclusione linguistica sono fortemente correlati al livello di istruzione. Un regime linguistico multilingue risulta più egualitario perché si fonda su un insieme di lingue ufficiali che nella maggior parte dei casi corrispondono alle lingue materne o di educazione primaria dei residenti europei. </w:t>
      </w:r>
      <w:r w:rsidR="006A49B3" w:rsidRPr="006F07C8">
        <w:rPr>
          <w:rFonts w:ascii="Times New Roman" w:hAnsi="Times New Roman" w:cs="Times New Roman"/>
          <w:bCs/>
          <w:sz w:val="24"/>
          <w:szCs w:val="24"/>
          <w:lang w:val="it-IT"/>
        </w:rPr>
        <w:t xml:space="preserve">Fra i </w:t>
      </w:r>
      <w:r w:rsidRPr="006F07C8">
        <w:rPr>
          <w:rFonts w:ascii="Times New Roman" w:hAnsi="Times New Roman" w:cs="Times New Roman"/>
          <w:bCs/>
          <w:sz w:val="24"/>
          <w:szCs w:val="24"/>
          <w:lang w:val="it-IT"/>
        </w:rPr>
        <w:t>tre</w:t>
      </w:r>
      <w:r w:rsidR="006A49B3" w:rsidRPr="006F07C8">
        <w:rPr>
          <w:rFonts w:ascii="Times New Roman" w:hAnsi="Times New Roman" w:cs="Times New Roman"/>
          <w:bCs/>
          <w:sz w:val="24"/>
          <w:szCs w:val="24"/>
          <w:lang w:val="it-IT"/>
        </w:rPr>
        <w:t xml:space="preserve"> regimi linguistici studiati, </w:t>
      </w:r>
      <w:r w:rsidR="000E3495" w:rsidRPr="006F07C8">
        <w:rPr>
          <w:rFonts w:ascii="Times New Roman" w:hAnsi="Times New Roman" w:cs="Times New Roman"/>
          <w:bCs/>
          <w:sz w:val="24"/>
          <w:szCs w:val="24"/>
          <w:lang w:val="it-IT"/>
        </w:rPr>
        <w:t xml:space="preserve">infatti, </w:t>
      </w:r>
      <w:r w:rsidR="006A49B3" w:rsidRPr="006F07C8">
        <w:rPr>
          <w:rFonts w:ascii="Times New Roman" w:hAnsi="Times New Roman" w:cs="Times New Roman"/>
          <w:bCs/>
          <w:sz w:val="24"/>
          <w:szCs w:val="24"/>
          <w:lang w:val="it-IT"/>
        </w:rPr>
        <w:t>solo il regime attuale a 24 lingue</w:t>
      </w:r>
      <w:r w:rsidR="0007344F" w:rsidRPr="006F07C8">
        <w:rPr>
          <w:rFonts w:ascii="Times New Roman" w:hAnsi="Times New Roman" w:cs="Times New Roman"/>
          <w:bCs/>
          <w:sz w:val="24"/>
          <w:szCs w:val="24"/>
          <w:lang w:val="it-IT"/>
        </w:rPr>
        <w:t xml:space="preserve"> permette un ampio </w:t>
      </w:r>
      <w:r w:rsidR="00861CD6" w:rsidRPr="006F07C8">
        <w:rPr>
          <w:rFonts w:ascii="Times New Roman" w:hAnsi="Times New Roman" w:cs="Times New Roman"/>
          <w:bCs/>
          <w:sz w:val="24"/>
          <w:szCs w:val="24"/>
          <w:lang w:val="it-IT"/>
        </w:rPr>
        <w:t>accesso alla comunicazione con l’Unione a</w:t>
      </w:r>
      <w:r w:rsidR="0007344F" w:rsidRPr="006F07C8">
        <w:rPr>
          <w:rFonts w:ascii="Times New Roman" w:hAnsi="Times New Roman" w:cs="Times New Roman"/>
          <w:bCs/>
          <w:sz w:val="24"/>
          <w:szCs w:val="24"/>
          <w:lang w:val="it-IT"/>
        </w:rPr>
        <w:t xml:space="preserve">nche a </w:t>
      </w:r>
      <w:r w:rsidR="00406589" w:rsidRPr="006F07C8">
        <w:rPr>
          <w:rFonts w:ascii="Times New Roman" w:hAnsi="Times New Roman" w:cs="Times New Roman"/>
          <w:bCs/>
          <w:sz w:val="24"/>
          <w:szCs w:val="24"/>
          <w:lang w:val="it-IT"/>
        </w:rPr>
        <w:t xml:space="preserve">quelli che </w:t>
      </w:r>
      <w:r w:rsidR="0007344F" w:rsidRPr="006F07C8">
        <w:rPr>
          <w:rFonts w:ascii="Times New Roman" w:hAnsi="Times New Roman" w:cs="Times New Roman"/>
          <w:bCs/>
          <w:sz w:val="24"/>
          <w:szCs w:val="24"/>
          <w:lang w:val="it-IT"/>
        </w:rPr>
        <w:t>ha</w:t>
      </w:r>
      <w:r w:rsidR="00406589" w:rsidRPr="006F07C8">
        <w:rPr>
          <w:rFonts w:ascii="Times New Roman" w:hAnsi="Times New Roman" w:cs="Times New Roman"/>
          <w:bCs/>
          <w:sz w:val="24"/>
          <w:szCs w:val="24"/>
          <w:lang w:val="it-IT"/>
        </w:rPr>
        <w:t>nno</w:t>
      </w:r>
      <w:r w:rsidR="0007344F" w:rsidRPr="006F07C8">
        <w:rPr>
          <w:rFonts w:ascii="Times New Roman" w:hAnsi="Times New Roman" w:cs="Times New Roman"/>
          <w:bCs/>
          <w:sz w:val="24"/>
          <w:szCs w:val="24"/>
          <w:lang w:val="it-IT"/>
        </w:rPr>
        <w:t xml:space="preserve"> </w:t>
      </w:r>
      <w:r w:rsidR="00406589" w:rsidRPr="006F07C8">
        <w:rPr>
          <w:rFonts w:ascii="Times New Roman" w:hAnsi="Times New Roman" w:cs="Times New Roman"/>
          <w:bCs/>
          <w:sz w:val="24"/>
          <w:szCs w:val="24"/>
          <w:lang w:val="it-IT"/>
        </w:rPr>
        <w:t>raggiunto</w:t>
      </w:r>
      <w:r w:rsidR="0007344F" w:rsidRPr="006F07C8">
        <w:rPr>
          <w:rFonts w:ascii="Times New Roman" w:hAnsi="Times New Roman" w:cs="Times New Roman"/>
          <w:bCs/>
          <w:sz w:val="24"/>
          <w:szCs w:val="24"/>
          <w:lang w:val="it-IT"/>
        </w:rPr>
        <w:t xml:space="preserve"> un’istruzione medio-bassa, posto </w:t>
      </w:r>
      <w:r w:rsidR="00406589" w:rsidRPr="006F07C8">
        <w:rPr>
          <w:rFonts w:ascii="Times New Roman" w:hAnsi="Times New Roman" w:cs="Times New Roman"/>
          <w:bCs/>
          <w:sz w:val="24"/>
          <w:szCs w:val="24"/>
          <w:lang w:val="it-IT"/>
        </w:rPr>
        <w:t>ovviamente che costoro abbia</w:t>
      </w:r>
      <w:r w:rsidR="00960644" w:rsidRPr="006F07C8">
        <w:rPr>
          <w:rFonts w:ascii="Times New Roman" w:hAnsi="Times New Roman" w:cs="Times New Roman"/>
          <w:bCs/>
          <w:sz w:val="24"/>
          <w:szCs w:val="24"/>
          <w:lang w:val="it-IT"/>
        </w:rPr>
        <w:t>n</w:t>
      </w:r>
      <w:r w:rsidR="00406589" w:rsidRPr="006F07C8">
        <w:rPr>
          <w:rFonts w:ascii="Times New Roman" w:hAnsi="Times New Roman" w:cs="Times New Roman"/>
          <w:bCs/>
          <w:sz w:val="24"/>
          <w:szCs w:val="24"/>
          <w:lang w:val="it-IT"/>
        </w:rPr>
        <w:t>o</w:t>
      </w:r>
      <w:r w:rsidR="0007344F" w:rsidRPr="006F07C8">
        <w:rPr>
          <w:rFonts w:ascii="Times New Roman" w:hAnsi="Times New Roman" w:cs="Times New Roman"/>
          <w:bCs/>
          <w:sz w:val="24"/>
          <w:szCs w:val="24"/>
          <w:lang w:val="it-IT"/>
        </w:rPr>
        <w:t xml:space="preserve"> degli adeguati livelli di alfabetizzazione funzionale</w:t>
      </w:r>
      <w:r w:rsidR="0041659E" w:rsidRPr="006F07C8">
        <w:rPr>
          <w:rFonts w:ascii="Times New Roman" w:hAnsi="Times New Roman" w:cs="Times New Roman"/>
          <w:bCs/>
          <w:sz w:val="24"/>
          <w:szCs w:val="24"/>
          <w:lang w:val="it-IT"/>
        </w:rPr>
        <w:t>.</w:t>
      </w:r>
    </w:p>
    <w:p w:rsidR="008101AD" w:rsidRPr="006F07C8" w:rsidRDefault="00861CD6" w:rsidP="002F52A9">
      <w:pPr>
        <w:spacing w:line="240" w:lineRule="auto"/>
        <w:jc w:val="both"/>
        <w:rPr>
          <w:rFonts w:ascii="Times New Roman" w:hAnsi="Times New Roman" w:cs="Times New Roman"/>
          <w:bCs/>
          <w:sz w:val="24"/>
          <w:szCs w:val="24"/>
          <w:lang w:val="it-IT"/>
        </w:rPr>
      </w:pPr>
      <w:r w:rsidRPr="006F07C8">
        <w:rPr>
          <w:rFonts w:ascii="Times New Roman" w:hAnsi="Times New Roman" w:cs="Times New Roman"/>
          <w:bCs/>
          <w:sz w:val="24"/>
          <w:szCs w:val="24"/>
          <w:lang w:val="it-IT"/>
        </w:rPr>
        <w:t>Un regime linguistico fondato solo sull’inglese</w:t>
      </w:r>
      <w:r w:rsidR="00406589" w:rsidRPr="006F07C8">
        <w:rPr>
          <w:rFonts w:ascii="Times New Roman" w:hAnsi="Times New Roman" w:cs="Times New Roman"/>
          <w:bCs/>
          <w:sz w:val="24"/>
          <w:szCs w:val="24"/>
          <w:lang w:val="it-IT"/>
        </w:rPr>
        <w:t>,</w:t>
      </w:r>
      <w:r w:rsidRPr="006F07C8">
        <w:rPr>
          <w:rFonts w:ascii="Times New Roman" w:hAnsi="Times New Roman" w:cs="Times New Roman"/>
          <w:bCs/>
          <w:sz w:val="24"/>
          <w:szCs w:val="24"/>
          <w:lang w:val="it-IT"/>
        </w:rPr>
        <w:t xml:space="preserve"> invece</w:t>
      </w:r>
      <w:r w:rsidR="00406589" w:rsidRPr="006F07C8">
        <w:rPr>
          <w:rFonts w:ascii="Times New Roman" w:hAnsi="Times New Roman" w:cs="Times New Roman"/>
          <w:bCs/>
          <w:sz w:val="24"/>
          <w:szCs w:val="24"/>
          <w:lang w:val="it-IT"/>
        </w:rPr>
        <w:t>,</w:t>
      </w:r>
      <w:r w:rsidRPr="006F07C8">
        <w:rPr>
          <w:rFonts w:ascii="Times New Roman" w:hAnsi="Times New Roman" w:cs="Times New Roman"/>
          <w:bCs/>
          <w:sz w:val="24"/>
          <w:szCs w:val="24"/>
          <w:lang w:val="it-IT"/>
        </w:rPr>
        <w:t xml:space="preserve"> escluderebbe </w:t>
      </w:r>
      <w:r w:rsidR="0080221F" w:rsidRPr="006F07C8">
        <w:rPr>
          <w:rFonts w:ascii="Times New Roman" w:hAnsi="Times New Roman" w:cs="Times New Roman"/>
          <w:bCs/>
          <w:sz w:val="24"/>
          <w:szCs w:val="24"/>
          <w:lang w:val="it-IT"/>
        </w:rPr>
        <w:t xml:space="preserve">del tutto </w:t>
      </w:r>
      <w:r w:rsidRPr="006F07C8">
        <w:rPr>
          <w:rFonts w:ascii="Times New Roman" w:hAnsi="Times New Roman" w:cs="Times New Roman"/>
          <w:bCs/>
          <w:sz w:val="24"/>
          <w:szCs w:val="24"/>
          <w:lang w:val="it-IT"/>
        </w:rPr>
        <w:t xml:space="preserve">il </w:t>
      </w:r>
      <w:r w:rsidR="008C589C" w:rsidRPr="006F07C8">
        <w:rPr>
          <w:rFonts w:ascii="Times New Roman" w:hAnsi="Times New Roman" w:cs="Times New Roman"/>
          <w:bCs/>
          <w:sz w:val="24"/>
          <w:szCs w:val="24"/>
          <w:lang w:val="it-IT"/>
        </w:rPr>
        <w:t xml:space="preserve">93% dei residenti europei con un livello di istruzione elementare (9% del campione), il </w:t>
      </w:r>
      <w:r w:rsidRPr="006F07C8">
        <w:rPr>
          <w:rFonts w:ascii="Times New Roman" w:hAnsi="Times New Roman" w:cs="Times New Roman"/>
          <w:bCs/>
          <w:sz w:val="24"/>
          <w:szCs w:val="24"/>
          <w:lang w:val="it-IT"/>
        </w:rPr>
        <w:t xml:space="preserve">72% dei residenti con un livello di istruzione </w:t>
      </w:r>
      <w:r w:rsidR="008C589C" w:rsidRPr="006F07C8">
        <w:rPr>
          <w:rFonts w:ascii="Times New Roman" w:hAnsi="Times New Roman" w:cs="Times New Roman"/>
          <w:bCs/>
          <w:sz w:val="24"/>
          <w:szCs w:val="24"/>
          <w:lang w:val="it-IT"/>
        </w:rPr>
        <w:t>pari a quello che in Italia</w:t>
      </w:r>
      <w:r w:rsidRPr="006F07C8">
        <w:rPr>
          <w:rFonts w:ascii="Times New Roman" w:hAnsi="Times New Roman" w:cs="Times New Roman"/>
          <w:bCs/>
          <w:sz w:val="24"/>
          <w:szCs w:val="24"/>
          <w:lang w:val="it-IT"/>
        </w:rPr>
        <w:t xml:space="preserve"> </w:t>
      </w:r>
      <w:r w:rsidR="008C589C" w:rsidRPr="006F07C8">
        <w:rPr>
          <w:rFonts w:ascii="Times New Roman" w:hAnsi="Times New Roman" w:cs="Times New Roman"/>
          <w:bCs/>
          <w:sz w:val="24"/>
          <w:szCs w:val="24"/>
          <w:lang w:val="it-IT"/>
        </w:rPr>
        <w:t>corrisponde grossomodo alla scuola media o secondaria inferiore (17% del campione) e il 49% di coloro che hanno completato il ciclo secondario superiore (45% del campione)</w:t>
      </w:r>
      <w:r w:rsidR="00154392" w:rsidRPr="006F07C8">
        <w:rPr>
          <w:rFonts w:ascii="Times New Roman" w:hAnsi="Times New Roman" w:cs="Times New Roman"/>
          <w:bCs/>
          <w:sz w:val="24"/>
          <w:szCs w:val="24"/>
          <w:lang w:val="it-IT"/>
        </w:rPr>
        <w:t>.</w:t>
      </w:r>
      <w:r w:rsidR="0055005A" w:rsidRPr="006F07C8">
        <w:rPr>
          <w:rFonts w:ascii="Times New Roman" w:hAnsi="Times New Roman" w:cs="Times New Roman"/>
          <w:bCs/>
          <w:sz w:val="24"/>
          <w:szCs w:val="24"/>
          <w:lang w:val="it-IT"/>
        </w:rPr>
        <w:t xml:space="preserve"> </w:t>
      </w:r>
      <w:r w:rsidR="00D13A7F" w:rsidRPr="006F07C8">
        <w:rPr>
          <w:rFonts w:ascii="Times New Roman" w:hAnsi="Times New Roman" w:cs="Times New Roman"/>
          <w:bCs/>
          <w:sz w:val="24"/>
          <w:szCs w:val="24"/>
          <w:lang w:val="it-IT"/>
        </w:rPr>
        <w:t xml:space="preserve">Queste tre categorie da sole rappresentano già la maggioranza della popolazione analizzata (71%). </w:t>
      </w:r>
      <w:r w:rsidR="000E3495" w:rsidRPr="006F07C8">
        <w:rPr>
          <w:rFonts w:ascii="Times New Roman" w:hAnsi="Times New Roman" w:cs="Times New Roman"/>
          <w:bCs/>
          <w:sz w:val="24"/>
          <w:szCs w:val="24"/>
          <w:lang w:val="it-IT"/>
        </w:rPr>
        <w:t xml:space="preserve">Il regime linguistico oligarchico genera un tasso di esclusione linguistica </w:t>
      </w:r>
      <w:r w:rsidR="00960644" w:rsidRPr="006F07C8">
        <w:rPr>
          <w:rFonts w:ascii="Times New Roman" w:hAnsi="Times New Roman" w:cs="Times New Roman"/>
          <w:bCs/>
          <w:sz w:val="24"/>
          <w:szCs w:val="24"/>
          <w:lang w:val="it-IT"/>
        </w:rPr>
        <w:t xml:space="preserve">assoluta piuttosto </w:t>
      </w:r>
      <w:r w:rsidR="000E3495" w:rsidRPr="006F07C8">
        <w:rPr>
          <w:rFonts w:ascii="Times New Roman" w:hAnsi="Times New Roman" w:cs="Times New Roman"/>
          <w:bCs/>
          <w:sz w:val="24"/>
          <w:szCs w:val="24"/>
          <w:lang w:val="it-IT"/>
        </w:rPr>
        <w:t>basso solo fra i residenti con un livello di istruzione</w:t>
      </w:r>
      <w:r w:rsidR="00406589" w:rsidRPr="006F07C8">
        <w:rPr>
          <w:rFonts w:ascii="Times New Roman" w:hAnsi="Times New Roman" w:cs="Times New Roman"/>
          <w:bCs/>
          <w:sz w:val="24"/>
          <w:szCs w:val="24"/>
          <w:lang w:val="it-IT"/>
        </w:rPr>
        <w:t xml:space="preserve"> terziario, cioè universitario.</w:t>
      </w:r>
    </w:p>
    <w:p w:rsidR="0087491F" w:rsidRPr="006F07C8" w:rsidRDefault="00B55699" w:rsidP="002F52A9">
      <w:pPr>
        <w:spacing w:line="240" w:lineRule="auto"/>
        <w:jc w:val="both"/>
        <w:rPr>
          <w:rFonts w:ascii="Times New Roman" w:hAnsi="Times New Roman" w:cs="Times New Roman"/>
          <w:sz w:val="24"/>
          <w:szCs w:val="24"/>
          <w:lang w:val="it-IT"/>
        </w:rPr>
      </w:pPr>
      <w:r w:rsidRPr="006F07C8">
        <w:rPr>
          <w:rFonts w:ascii="Times New Roman" w:hAnsi="Times New Roman" w:cs="Times New Roman"/>
          <w:sz w:val="24"/>
          <w:szCs w:val="24"/>
          <w:lang w:val="it-IT"/>
        </w:rPr>
        <w:t xml:space="preserve">Insieme al reddito e al livello di istruzione, la situazione professionale è certamente una variabile socio-economica di grande rilievo. </w:t>
      </w:r>
      <w:r w:rsidR="008101AD" w:rsidRPr="006F07C8">
        <w:rPr>
          <w:rFonts w:ascii="Times New Roman" w:hAnsi="Times New Roman" w:cs="Times New Roman"/>
          <w:sz w:val="24"/>
          <w:szCs w:val="24"/>
          <w:lang w:val="it-IT"/>
        </w:rPr>
        <w:t xml:space="preserve">Chiudiamo </w:t>
      </w:r>
      <w:r w:rsidRPr="006F07C8">
        <w:rPr>
          <w:rFonts w:ascii="Times New Roman" w:hAnsi="Times New Roman" w:cs="Times New Roman"/>
          <w:sz w:val="24"/>
          <w:szCs w:val="24"/>
          <w:lang w:val="it-IT"/>
        </w:rPr>
        <w:t xml:space="preserve">dunque </w:t>
      </w:r>
      <w:r w:rsidR="008101AD" w:rsidRPr="006F07C8">
        <w:rPr>
          <w:rFonts w:ascii="Times New Roman" w:hAnsi="Times New Roman" w:cs="Times New Roman"/>
          <w:sz w:val="24"/>
          <w:szCs w:val="24"/>
          <w:lang w:val="it-IT"/>
        </w:rPr>
        <w:t>questa sezione con un</w:t>
      </w:r>
      <w:r w:rsidR="000E3495" w:rsidRPr="006F07C8">
        <w:rPr>
          <w:rFonts w:ascii="Times New Roman" w:hAnsi="Times New Roman" w:cs="Times New Roman"/>
          <w:sz w:val="24"/>
          <w:szCs w:val="24"/>
          <w:lang w:val="it-IT"/>
        </w:rPr>
        <w:t>’</w:t>
      </w:r>
      <w:r w:rsidR="008101AD" w:rsidRPr="006F07C8">
        <w:rPr>
          <w:rFonts w:ascii="Times New Roman" w:hAnsi="Times New Roman" w:cs="Times New Roman"/>
          <w:sz w:val="24"/>
          <w:szCs w:val="24"/>
          <w:lang w:val="it-IT"/>
        </w:rPr>
        <w:t>analisi della</w:t>
      </w:r>
      <w:r w:rsidR="0087491F" w:rsidRPr="006F07C8">
        <w:rPr>
          <w:rFonts w:ascii="Times New Roman" w:hAnsi="Times New Roman" w:cs="Times New Roman"/>
          <w:sz w:val="24"/>
          <w:szCs w:val="24"/>
          <w:lang w:val="it-IT"/>
        </w:rPr>
        <w:t xml:space="preserve"> distribuzione dei tassi di esclusione linguistica </w:t>
      </w:r>
      <w:r w:rsidR="008101AD" w:rsidRPr="006F07C8">
        <w:rPr>
          <w:rFonts w:ascii="Times New Roman" w:hAnsi="Times New Roman" w:cs="Times New Roman"/>
          <w:sz w:val="24"/>
          <w:szCs w:val="24"/>
          <w:lang w:val="it-IT"/>
        </w:rPr>
        <w:t>assoluta</w:t>
      </w:r>
      <w:r w:rsidR="002D33DF" w:rsidRPr="006F07C8">
        <w:rPr>
          <w:rFonts w:ascii="Times New Roman" w:hAnsi="Times New Roman" w:cs="Times New Roman"/>
          <w:sz w:val="24"/>
          <w:szCs w:val="24"/>
          <w:lang w:val="it-IT"/>
        </w:rPr>
        <w:t xml:space="preserve"> </w:t>
      </w:r>
      <w:r w:rsidR="0087491F" w:rsidRPr="006F07C8">
        <w:rPr>
          <w:rFonts w:ascii="Times New Roman" w:hAnsi="Times New Roman" w:cs="Times New Roman"/>
          <w:sz w:val="24"/>
          <w:szCs w:val="24"/>
          <w:lang w:val="it-IT"/>
        </w:rPr>
        <w:t xml:space="preserve">per </w:t>
      </w:r>
      <w:r w:rsidRPr="006F07C8">
        <w:rPr>
          <w:rFonts w:ascii="Times New Roman" w:hAnsi="Times New Roman" w:cs="Times New Roman"/>
          <w:sz w:val="24"/>
          <w:szCs w:val="24"/>
          <w:lang w:val="it-IT"/>
        </w:rPr>
        <w:t xml:space="preserve">status professionale </w:t>
      </w:r>
      <w:r w:rsidR="008101AD" w:rsidRPr="006F07C8">
        <w:rPr>
          <w:rFonts w:ascii="Times New Roman" w:hAnsi="Times New Roman" w:cs="Times New Roman"/>
          <w:sz w:val="24"/>
          <w:szCs w:val="24"/>
          <w:lang w:val="it-IT"/>
        </w:rPr>
        <w:t>(</w:t>
      </w:r>
      <w:r w:rsidR="00CB4340" w:rsidRPr="006F07C8">
        <w:rPr>
          <w:rFonts w:ascii="Times New Roman" w:hAnsi="Times New Roman" w:cs="Times New Roman"/>
          <w:sz w:val="24"/>
          <w:szCs w:val="24"/>
          <w:lang w:val="it-IT"/>
        </w:rPr>
        <w:fldChar w:fldCharType="begin"/>
      </w:r>
      <w:r w:rsidR="00CB4340" w:rsidRPr="006F07C8">
        <w:rPr>
          <w:rFonts w:ascii="Times New Roman" w:hAnsi="Times New Roman" w:cs="Times New Roman"/>
          <w:sz w:val="24"/>
          <w:szCs w:val="24"/>
          <w:lang w:val="it-IT"/>
        </w:rPr>
        <w:instrText xml:space="preserve"> REF _Ref378618040 \h  \* MERGEFORMAT </w:instrText>
      </w:r>
      <w:r w:rsidR="00CB4340" w:rsidRPr="006F07C8">
        <w:rPr>
          <w:rFonts w:ascii="Times New Roman" w:hAnsi="Times New Roman" w:cs="Times New Roman"/>
          <w:sz w:val="24"/>
          <w:szCs w:val="24"/>
          <w:lang w:val="it-IT"/>
        </w:rPr>
      </w:r>
      <w:r w:rsidR="00CB4340" w:rsidRPr="006F07C8">
        <w:rPr>
          <w:rFonts w:ascii="Times New Roman" w:hAnsi="Times New Roman" w:cs="Times New Roman"/>
          <w:sz w:val="24"/>
          <w:szCs w:val="24"/>
          <w:lang w:val="it-IT"/>
        </w:rPr>
        <w:fldChar w:fldCharType="separate"/>
      </w:r>
      <w:r w:rsidR="00087B27" w:rsidRPr="006F07C8">
        <w:rPr>
          <w:rFonts w:ascii="Times New Roman" w:hAnsi="Times New Roman" w:cs="Times New Roman"/>
          <w:sz w:val="24"/>
          <w:szCs w:val="24"/>
          <w:lang w:val="it-IT"/>
        </w:rPr>
        <w:t xml:space="preserve">Tabella </w:t>
      </w:r>
      <w:r w:rsidR="00087B27" w:rsidRPr="006F07C8">
        <w:rPr>
          <w:rFonts w:ascii="Times New Roman" w:hAnsi="Times New Roman" w:cs="Times New Roman"/>
          <w:noProof/>
          <w:sz w:val="24"/>
          <w:szCs w:val="24"/>
          <w:lang w:val="it-IT"/>
        </w:rPr>
        <w:t>6</w:t>
      </w:r>
      <w:r w:rsidR="00CB4340" w:rsidRPr="006F07C8">
        <w:rPr>
          <w:rFonts w:ascii="Times New Roman" w:hAnsi="Times New Roman" w:cs="Times New Roman"/>
          <w:sz w:val="24"/>
          <w:szCs w:val="24"/>
          <w:lang w:val="it-IT"/>
        </w:rPr>
        <w:fldChar w:fldCharType="end"/>
      </w:r>
      <w:r w:rsidR="008101AD" w:rsidRPr="006F07C8">
        <w:rPr>
          <w:rFonts w:ascii="Times New Roman" w:hAnsi="Times New Roman" w:cs="Times New Roman"/>
          <w:sz w:val="24"/>
          <w:szCs w:val="24"/>
          <w:lang w:val="it-IT"/>
        </w:rPr>
        <w:t>)</w:t>
      </w:r>
      <w:r w:rsidR="00004833" w:rsidRPr="006F07C8">
        <w:rPr>
          <w:rFonts w:ascii="Times New Roman" w:hAnsi="Times New Roman" w:cs="Times New Roman"/>
          <w:sz w:val="24"/>
          <w:szCs w:val="24"/>
          <w:lang w:val="it-IT"/>
        </w:rPr>
        <w:t>.</w:t>
      </w:r>
      <w:r w:rsidR="00004833" w:rsidRPr="006F07C8">
        <w:rPr>
          <w:rStyle w:val="FootnoteReference"/>
          <w:rFonts w:ascii="Times New Roman" w:hAnsi="Times New Roman" w:cs="Times New Roman"/>
          <w:sz w:val="24"/>
          <w:szCs w:val="24"/>
          <w:lang w:val="it-IT"/>
        </w:rPr>
        <w:footnoteReference w:id="29"/>
      </w:r>
    </w:p>
    <w:p w:rsidR="0087491F" w:rsidRPr="006F07C8" w:rsidRDefault="0087491F" w:rsidP="002F52A9">
      <w:pPr>
        <w:pStyle w:val="Caption"/>
        <w:rPr>
          <w:rFonts w:ascii="Times New Roman" w:hAnsi="Times New Roman" w:cs="Times New Roman"/>
          <w:sz w:val="20"/>
          <w:szCs w:val="20"/>
          <w:lang w:val="it-IT"/>
        </w:rPr>
      </w:pPr>
      <w:bookmarkStart w:id="18" w:name="_Ref378618040"/>
      <w:bookmarkStart w:id="19" w:name="_Ref378617958"/>
      <w:r w:rsidRPr="006F07C8">
        <w:rPr>
          <w:rFonts w:ascii="Times New Roman" w:hAnsi="Times New Roman" w:cs="Times New Roman"/>
          <w:sz w:val="20"/>
          <w:szCs w:val="20"/>
          <w:lang w:val="it-IT"/>
        </w:rPr>
        <w:t xml:space="preserve">Tabella </w:t>
      </w:r>
      <w:r w:rsidRPr="006F07C8">
        <w:rPr>
          <w:rFonts w:ascii="Times New Roman" w:hAnsi="Times New Roman" w:cs="Times New Roman"/>
          <w:sz w:val="20"/>
          <w:szCs w:val="20"/>
          <w:lang w:val="it-IT"/>
        </w:rPr>
        <w:fldChar w:fldCharType="begin"/>
      </w:r>
      <w:r w:rsidRPr="006F07C8">
        <w:rPr>
          <w:rFonts w:ascii="Times New Roman" w:hAnsi="Times New Roman" w:cs="Times New Roman"/>
          <w:sz w:val="20"/>
          <w:szCs w:val="20"/>
          <w:lang w:val="it-IT"/>
        </w:rPr>
        <w:instrText xml:space="preserve"> SEQ Tabella \* ARABIC </w:instrText>
      </w:r>
      <w:r w:rsidRPr="006F07C8">
        <w:rPr>
          <w:rFonts w:ascii="Times New Roman" w:hAnsi="Times New Roman" w:cs="Times New Roman"/>
          <w:sz w:val="20"/>
          <w:szCs w:val="20"/>
          <w:lang w:val="it-IT"/>
        </w:rPr>
        <w:fldChar w:fldCharType="separate"/>
      </w:r>
      <w:r w:rsidR="00087B27" w:rsidRPr="006F07C8">
        <w:rPr>
          <w:rFonts w:ascii="Times New Roman" w:hAnsi="Times New Roman" w:cs="Times New Roman"/>
          <w:noProof/>
          <w:sz w:val="20"/>
          <w:szCs w:val="20"/>
          <w:lang w:val="it-IT"/>
        </w:rPr>
        <w:t>6</w:t>
      </w:r>
      <w:r w:rsidRPr="006F07C8">
        <w:rPr>
          <w:rFonts w:ascii="Times New Roman" w:hAnsi="Times New Roman" w:cs="Times New Roman"/>
          <w:sz w:val="20"/>
          <w:szCs w:val="20"/>
          <w:lang w:val="it-IT"/>
        </w:rPr>
        <w:fldChar w:fldCharType="end"/>
      </w:r>
      <w:bookmarkEnd w:id="18"/>
      <w:r w:rsidRPr="006F07C8">
        <w:rPr>
          <w:rFonts w:ascii="Times New Roman" w:hAnsi="Times New Roman" w:cs="Times New Roman"/>
          <w:sz w:val="20"/>
          <w:szCs w:val="20"/>
          <w:lang w:val="it-IT"/>
        </w:rPr>
        <w:t> : Tassi di esclusione linguistica assolut</w:t>
      </w:r>
      <w:r w:rsidR="00960644" w:rsidRPr="006F07C8">
        <w:rPr>
          <w:rFonts w:ascii="Times New Roman" w:hAnsi="Times New Roman" w:cs="Times New Roman"/>
          <w:sz w:val="20"/>
          <w:szCs w:val="20"/>
          <w:lang w:val="it-IT"/>
        </w:rPr>
        <w:t>a</w:t>
      </w:r>
      <w:r w:rsidRPr="006F07C8">
        <w:rPr>
          <w:rFonts w:ascii="Times New Roman" w:hAnsi="Times New Roman" w:cs="Times New Roman"/>
          <w:sz w:val="20"/>
          <w:szCs w:val="20"/>
          <w:lang w:val="it-IT"/>
        </w:rPr>
        <w:t xml:space="preserve"> per </w:t>
      </w:r>
      <w:r w:rsidR="00836964" w:rsidRPr="006F07C8">
        <w:rPr>
          <w:rFonts w:ascii="Times New Roman" w:hAnsi="Times New Roman" w:cs="Times New Roman"/>
          <w:sz w:val="20"/>
          <w:szCs w:val="20"/>
          <w:lang w:val="it-IT"/>
        </w:rPr>
        <w:t>situazione professionale</w:t>
      </w:r>
      <w:r w:rsidR="00DB1A72" w:rsidRPr="006F07C8">
        <w:rPr>
          <w:rFonts w:ascii="Times New Roman" w:hAnsi="Times New Roman" w:cs="Times New Roman"/>
          <w:sz w:val="20"/>
          <w:szCs w:val="20"/>
          <w:lang w:val="it-IT"/>
        </w:rPr>
        <w:t xml:space="preserve"> e per regime linguistico</w:t>
      </w:r>
      <w:r w:rsidRPr="006F07C8">
        <w:rPr>
          <w:rFonts w:ascii="Times New Roman" w:hAnsi="Times New Roman" w:cs="Times New Roman"/>
          <w:sz w:val="20"/>
          <w:szCs w:val="20"/>
          <w:lang w:val="it-IT"/>
        </w:rPr>
        <w:t>, UE-24. Dati in percentuale</w:t>
      </w:r>
      <w:bookmarkEnd w:id="19"/>
    </w:p>
    <w:tbl>
      <w:tblPr>
        <w:tblStyle w:val="LightShading"/>
        <w:tblW w:w="4037" w:type="pct"/>
        <w:jc w:val="center"/>
        <w:tblLook w:val="0600" w:firstRow="0" w:lastRow="0" w:firstColumn="0" w:lastColumn="0" w:noHBand="1" w:noVBand="1"/>
      </w:tblPr>
      <w:tblGrid>
        <w:gridCol w:w="1943"/>
        <w:gridCol w:w="1139"/>
        <w:gridCol w:w="1261"/>
        <w:gridCol w:w="1150"/>
        <w:gridCol w:w="979"/>
        <w:gridCol w:w="1027"/>
      </w:tblGrid>
      <w:tr w:rsidR="002D33DF" w:rsidRPr="006F07C8" w:rsidTr="002D33DF">
        <w:trPr>
          <w:trHeight w:val="191"/>
          <w:jc w:val="center"/>
        </w:trPr>
        <w:tc>
          <w:tcPr>
            <w:tcW w:w="1346" w:type="pct"/>
            <w:vAlign w:val="center"/>
            <w:hideMark/>
          </w:tcPr>
          <w:p w:rsidR="002D33DF" w:rsidRPr="006F07C8" w:rsidRDefault="002D33DF" w:rsidP="002F52A9">
            <w:pPr>
              <w:jc w:val="right"/>
              <w:rPr>
                <w:rFonts w:ascii="Times New Roman" w:hAnsi="Times New Roman" w:cs="Times New Roman"/>
                <w:b/>
                <w:sz w:val="20"/>
                <w:szCs w:val="20"/>
                <w:lang w:val="it-IT"/>
              </w:rPr>
            </w:pPr>
            <w:r w:rsidRPr="006F07C8">
              <w:rPr>
                <w:rFonts w:ascii="Times New Roman" w:hAnsi="Times New Roman" w:cs="Times New Roman"/>
                <w:b/>
                <w:sz w:val="20"/>
                <w:szCs w:val="20"/>
                <w:lang w:val="it-IT"/>
              </w:rPr>
              <w:t>Livello di istruzione</w:t>
            </w:r>
          </w:p>
        </w:tc>
        <w:tc>
          <w:tcPr>
            <w:tcW w:w="664" w:type="pct"/>
            <w:vAlign w:val="center"/>
            <w:hideMark/>
          </w:tcPr>
          <w:p w:rsidR="002D33DF" w:rsidRPr="006F07C8" w:rsidRDefault="002D33DF" w:rsidP="002F52A9">
            <w:pPr>
              <w:pStyle w:val="NormalWeb"/>
              <w:spacing w:before="0" w:beforeAutospacing="0" w:after="0" w:afterAutospacing="0"/>
              <w:jc w:val="center"/>
              <w:textAlignment w:val="bottom"/>
              <w:rPr>
                <w:b/>
                <w:sz w:val="20"/>
                <w:szCs w:val="20"/>
                <w:lang w:val="it-IT"/>
              </w:rPr>
            </w:pPr>
            <w:r w:rsidRPr="006F07C8">
              <w:rPr>
                <w:b/>
                <w:bCs/>
                <w:color w:val="000000"/>
                <w:kern w:val="24"/>
                <w:sz w:val="20"/>
                <w:szCs w:val="20"/>
                <w:lang w:val="it-IT"/>
              </w:rPr>
              <w:t>Occupato</w:t>
            </w:r>
            <w:r w:rsidR="008101AD" w:rsidRPr="006F07C8">
              <w:rPr>
                <w:b/>
                <w:bCs/>
                <w:color w:val="000000"/>
                <w:kern w:val="24"/>
                <w:sz w:val="20"/>
                <w:szCs w:val="20"/>
                <w:lang w:val="it-IT"/>
              </w:rPr>
              <w:t>*</w:t>
            </w:r>
          </w:p>
        </w:tc>
        <w:tc>
          <w:tcPr>
            <w:tcW w:w="824" w:type="pct"/>
            <w:vAlign w:val="center"/>
            <w:hideMark/>
          </w:tcPr>
          <w:p w:rsidR="002D33DF" w:rsidRPr="006F07C8" w:rsidRDefault="002D33DF" w:rsidP="002F52A9">
            <w:pPr>
              <w:pStyle w:val="NormalWeb"/>
              <w:spacing w:before="0" w:beforeAutospacing="0" w:after="0" w:afterAutospacing="0"/>
              <w:jc w:val="center"/>
              <w:textAlignment w:val="bottom"/>
              <w:rPr>
                <w:b/>
                <w:sz w:val="20"/>
                <w:szCs w:val="20"/>
                <w:lang w:val="it-IT"/>
              </w:rPr>
            </w:pPr>
            <w:r w:rsidRPr="006F07C8">
              <w:rPr>
                <w:b/>
                <w:bCs/>
                <w:color w:val="000000"/>
                <w:kern w:val="24"/>
                <w:sz w:val="20"/>
                <w:szCs w:val="20"/>
                <w:lang w:val="it-IT"/>
              </w:rPr>
              <w:t>Disoccupato</w:t>
            </w:r>
          </w:p>
        </w:tc>
        <w:tc>
          <w:tcPr>
            <w:tcW w:w="751" w:type="pct"/>
            <w:vAlign w:val="center"/>
            <w:hideMark/>
          </w:tcPr>
          <w:p w:rsidR="002D33DF" w:rsidRPr="006F07C8" w:rsidRDefault="005037F6" w:rsidP="002F52A9">
            <w:pPr>
              <w:pStyle w:val="NormalWeb"/>
              <w:spacing w:before="0" w:beforeAutospacing="0" w:after="0" w:afterAutospacing="0"/>
              <w:jc w:val="center"/>
              <w:textAlignment w:val="bottom"/>
              <w:rPr>
                <w:b/>
                <w:sz w:val="20"/>
                <w:szCs w:val="20"/>
                <w:lang w:val="it-IT"/>
              </w:rPr>
            </w:pPr>
            <w:r w:rsidRPr="006F07C8">
              <w:rPr>
                <w:b/>
                <w:bCs/>
                <w:color w:val="000000"/>
                <w:kern w:val="24"/>
                <w:sz w:val="20"/>
                <w:szCs w:val="20"/>
                <w:lang w:val="it-IT"/>
              </w:rPr>
              <w:t>P</w:t>
            </w:r>
            <w:r w:rsidR="002D33DF" w:rsidRPr="006F07C8">
              <w:rPr>
                <w:b/>
                <w:bCs/>
                <w:color w:val="000000"/>
                <w:kern w:val="24"/>
                <w:sz w:val="20"/>
                <w:szCs w:val="20"/>
                <w:lang w:val="it-IT"/>
              </w:rPr>
              <w:t>ensionato</w:t>
            </w:r>
          </w:p>
        </w:tc>
        <w:tc>
          <w:tcPr>
            <w:tcW w:w="703" w:type="pct"/>
            <w:vAlign w:val="center"/>
            <w:hideMark/>
          </w:tcPr>
          <w:p w:rsidR="002D33DF" w:rsidRPr="006F07C8" w:rsidRDefault="002D33DF" w:rsidP="002F52A9">
            <w:pPr>
              <w:pStyle w:val="NormalWeb"/>
              <w:spacing w:before="0" w:beforeAutospacing="0" w:after="0" w:afterAutospacing="0"/>
              <w:jc w:val="center"/>
              <w:textAlignment w:val="bottom"/>
              <w:rPr>
                <w:b/>
                <w:sz w:val="20"/>
                <w:szCs w:val="20"/>
                <w:lang w:val="it-IT"/>
              </w:rPr>
            </w:pPr>
            <w:r w:rsidRPr="006F07C8">
              <w:rPr>
                <w:b/>
                <w:bCs/>
                <w:color w:val="000000"/>
                <w:kern w:val="24"/>
                <w:sz w:val="20"/>
                <w:szCs w:val="20"/>
                <w:lang w:val="it-IT"/>
              </w:rPr>
              <w:t>Disabile</w:t>
            </w:r>
          </w:p>
        </w:tc>
        <w:tc>
          <w:tcPr>
            <w:tcW w:w="713" w:type="pct"/>
            <w:vAlign w:val="center"/>
          </w:tcPr>
          <w:p w:rsidR="002D33DF" w:rsidRPr="006F07C8" w:rsidRDefault="002D33DF" w:rsidP="002F52A9">
            <w:pPr>
              <w:pStyle w:val="NormalWeb"/>
              <w:spacing w:before="0" w:beforeAutospacing="0" w:after="0" w:afterAutospacing="0"/>
              <w:jc w:val="center"/>
              <w:textAlignment w:val="bottom"/>
              <w:rPr>
                <w:b/>
                <w:sz w:val="20"/>
                <w:szCs w:val="20"/>
                <w:lang w:val="it-IT"/>
              </w:rPr>
            </w:pPr>
            <w:r w:rsidRPr="006F07C8">
              <w:rPr>
                <w:b/>
                <w:bCs/>
                <w:color w:val="000000"/>
                <w:kern w:val="24"/>
                <w:sz w:val="20"/>
                <w:szCs w:val="20"/>
                <w:lang w:val="it-IT"/>
              </w:rPr>
              <w:t>Lavori domestici</w:t>
            </w:r>
          </w:p>
        </w:tc>
      </w:tr>
      <w:tr w:rsidR="002D33DF" w:rsidRPr="006F07C8" w:rsidTr="002D33DF">
        <w:trPr>
          <w:trHeight w:val="223"/>
          <w:jc w:val="center"/>
        </w:trPr>
        <w:tc>
          <w:tcPr>
            <w:tcW w:w="1346" w:type="pct"/>
            <w:vAlign w:val="center"/>
            <w:hideMark/>
          </w:tcPr>
          <w:p w:rsidR="002D33DF" w:rsidRPr="006F07C8" w:rsidRDefault="002D33DF" w:rsidP="002F52A9">
            <w:pPr>
              <w:rPr>
                <w:rFonts w:ascii="Times New Roman" w:hAnsi="Times New Roman" w:cs="Times New Roman"/>
                <w:b/>
                <w:sz w:val="20"/>
                <w:szCs w:val="20"/>
                <w:lang w:val="it-IT"/>
              </w:rPr>
            </w:pPr>
            <w:r w:rsidRPr="006F07C8">
              <w:rPr>
                <w:rFonts w:ascii="Times New Roman" w:hAnsi="Times New Roman" w:cs="Times New Roman"/>
                <w:b/>
                <w:sz w:val="20"/>
                <w:szCs w:val="20"/>
                <w:lang w:val="it-IT"/>
              </w:rPr>
              <w:t>Regime linguistico</w:t>
            </w:r>
          </w:p>
        </w:tc>
        <w:tc>
          <w:tcPr>
            <w:tcW w:w="664" w:type="pct"/>
            <w:vAlign w:val="center"/>
            <w:hideMark/>
          </w:tcPr>
          <w:p w:rsidR="002D33DF" w:rsidRPr="006F07C8" w:rsidRDefault="002D33DF" w:rsidP="002F52A9">
            <w:pPr>
              <w:jc w:val="center"/>
              <w:rPr>
                <w:rFonts w:ascii="Times New Roman" w:hAnsi="Times New Roman" w:cs="Times New Roman"/>
                <w:i/>
                <w:sz w:val="20"/>
                <w:szCs w:val="20"/>
                <w:vertAlign w:val="subscript"/>
                <w:lang w:val="it-IT"/>
              </w:rPr>
            </w:pPr>
          </w:p>
        </w:tc>
        <w:tc>
          <w:tcPr>
            <w:tcW w:w="824" w:type="pct"/>
            <w:vAlign w:val="center"/>
            <w:hideMark/>
          </w:tcPr>
          <w:p w:rsidR="002D33DF" w:rsidRPr="006F07C8" w:rsidRDefault="002D33DF" w:rsidP="002F52A9">
            <w:pPr>
              <w:jc w:val="center"/>
              <w:rPr>
                <w:rFonts w:ascii="Times New Roman" w:hAnsi="Times New Roman" w:cs="Times New Roman"/>
                <w:i/>
                <w:sz w:val="20"/>
                <w:szCs w:val="20"/>
                <w:vertAlign w:val="subscript"/>
                <w:lang w:val="it-IT"/>
              </w:rPr>
            </w:pPr>
          </w:p>
        </w:tc>
        <w:tc>
          <w:tcPr>
            <w:tcW w:w="751" w:type="pct"/>
            <w:vAlign w:val="center"/>
            <w:hideMark/>
          </w:tcPr>
          <w:p w:rsidR="002D33DF" w:rsidRPr="006F07C8" w:rsidRDefault="002D33DF" w:rsidP="002F52A9">
            <w:pPr>
              <w:jc w:val="center"/>
              <w:rPr>
                <w:rFonts w:ascii="Times New Roman" w:hAnsi="Times New Roman" w:cs="Times New Roman"/>
                <w:sz w:val="20"/>
                <w:szCs w:val="20"/>
                <w:lang w:val="it-IT"/>
              </w:rPr>
            </w:pPr>
          </w:p>
        </w:tc>
        <w:tc>
          <w:tcPr>
            <w:tcW w:w="703" w:type="pct"/>
            <w:vAlign w:val="center"/>
            <w:hideMark/>
          </w:tcPr>
          <w:p w:rsidR="002D33DF" w:rsidRPr="006F07C8" w:rsidRDefault="002D33DF" w:rsidP="002F52A9">
            <w:pPr>
              <w:jc w:val="center"/>
              <w:rPr>
                <w:rFonts w:ascii="Times New Roman" w:hAnsi="Times New Roman" w:cs="Times New Roman"/>
                <w:sz w:val="20"/>
                <w:szCs w:val="20"/>
                <w:lang w:val="it-IT"/>
              </w:rPr>
            </w:pPr>
          </w:p>
        </w:tc>
        <w:tc>
          <w:tcPr>
            <w:tcW w:w="713" w:type="pct"/>
            <w:vAlign w:val="center"/>
          </w:tcPr>
          <w:p w:rsidR="002D33DF" w:rsidRPr="006F07C8" w:rsidRDefault="002D33DF" w:rsidP="002F52A9">
            <w:pPr>
              <w:jc w:val="center"/>
              <w:rPr>
                <w:rFonts w:ascii="Times New Roman" w:hAnsi="Times New Roman" w:cs="Times New Roman"/>
                <w:sz w:val="20"/>
                <w:szCs w:val="20"/>
                <w:lang w:val="it-IT"/>
              </w:rPr>
            </w:pPr>
          </w:p>
        </w:tc>
      </w:tr>
      <w:tr w:rsidR="002D33DF" w:rsidRPr="006F07C8" w:rsidTr="002D33DF">
        <w:trPr>
          <w:trHeight w:val="255"/>
          <w:jc w:val="center"/>
        </w:trPr>
        <w:tc>
          <w:tcPr>
            <w:tcW w:w="1346" w:type="pct"/>
            <w:vAlign w:val="center"/>
          </w:tcPr>
          <w:p w:rsidR="002D33DF" w:rsidRPr="006F07C8" w:rsidRDefault="002D33DF" w:rsidP="002F52A9">
            <w:pPr>
              <w:rPr>
                <w:rFonts w:ascii="Times New Roman" w:hAnsi="Times New Roman" w:cs="Times New Roman"/>
                <w:sz w:val="20"/>
                <w:szCs w:val="20"/>
                <w:lang w:val="it-IT"/>
              </w:rPr>
            </w:pPr>
            <w:r w:rsidRPr="006F07C8">
              <w:rPr>
                <w:rFonts w:ascii="Times New Roman" w:hAnsi="Times New Roman" w:cs="Times New Roman"/>
                <w:i/>
                <w:iCs/>
                <w:sz w:val="20"/>
                <w:szCs w:val="20"/>
                <w:lang w:val="it-IT"/>
              </w:rPr>
              <w:t>24 lingue</w:t>
            </w:r>
          </w:p>
        </w:tc>
        <w:tc>
          <w:tcPr>
            <w:tcW w:w="664" w:type="pct"/>
            <w:vAlign w:val="center"/>
          </w:tcPr>
          <w:p w:rsidR="002D33DF" w:rsidRPr="006F07C8" w:rsidRDefault="002D33DF" w:rsidP="002F52A9">
            <w:pPr>
              <w:pStyle w:val="NormalWeb"/>
              <w:spacing w:before="0" w:beforeAutospacing="0" w:after="0" w:afterAutospacing="0"/>
              <w:jc w:val="center"/>
              <w:textAlignment w:val="bottom"/>
              <w:rPr>
                <w:sz w:val="20"/>
                <w:szCs w:val="20"/>
                <w:lang w:val="it-IT"/>
              </w:rPr>
            </w:pPr>
            <w:r w:rsidRPr="006F07C8">
              <w:rPr>
                <w:sz w:val="20"/>
                <w:szCs w:val="20"/>
                <w:lang w:val="it-IT"/>
              </w:rPr>
              <w:t>0</w:t>
            </w:r>
          </w:p>
        </w:tc>
        <w:tc>
          <w:tcPr>
            <w:tcW w:w="824" w:type="pct"/>
            <w:vAlign w:val="center"/>
          </w:tcPr>
          <w:p w:rsidR="002D33DF" w:rsidRPr="006F07C8" w:rsidRDefault="002D33DF" w:rsidP="002F52A9">
            <w:pPr>
              <w:pStyle w:val="NormalWeb"/>
              <w:spacing w:before="0" w:beforeAutospacing="0" w:after="0" w:afterAutospacing="0"/>
              <w:jc w:val="center"/>
              <w:textAlignment w:val="bottom"/>
              <w:rPr>
                <w:sz w:val="20"/>
                <w:szCs w:val="20"/>
                <w:lang w:val="it-IT"/>
              </w:rPr>
            </w:pPr>
            <w:r w:rsidRPr="006F07C8">
              <w:rPr>
                <w:sz w:val="20"/>
                <w:szCs w:val="20"/>
                <w:lang w:val="it-IT"/>
              </w:rPr>
              <w:t>1</w:t>
            </w:r>
          </w:p>
        </w:tc>
        <w:tc>
          <w:tcPr>
            <w:tcW w:w="751" w:type="pct"/>
            <w:vAlign w:val="center"/>
          </w:tcPr>
          <w:p w:rsidR="002D33DF" w:rsidRPr="006F07C8" w:rsidRDefault="002D33DF" w:rsidP="002F52A9">
            <w:pPr>
              <w:pStyle w:val="NormalWeb"/>
              <w:spacing w:before="0" w:beforeAutospacing="0" w:after="0" w:afterAutospacing="0"/>
              <w:jc w:val="center"/>
              <w:textAlignment w:val="bottom"/>
              <w:rPr>
                <w:sz w:val="20"/>
                <w:szCs w:val="20"/>
                <w:lang w:val="it-IT"/>
              </w:rPr>
            </w:pPr>
            <w:r w:rsidRPr="006F07C8">
              <w:rPr>
                <w:sz w:val="20"/>
                <w:szCs w:val="20"/>
                <w:lang w:val="it-IT"/>
              </w:rPr>
              <w:t>0</w:t>
            </w:r>
          </w:p>
        </w:tc>
        <w:tc>
          <w:tcPr>
            <w:tcW w:w="703" w:type="pct"/>
            <w:vAlign w:val="center"/>
          </w:tcPr>
          <w:p w:rsidR="002D33DF" w:rsidRPr="006F07C8" w:rsidRDefault="002D33DF" w:rsidP="002F52A9">
            <w:pPr>
              <w:pStyle w:val="NormalWeb"/>
              <w:spacing w:before="0" w:beforeAutospacing="0" w:after="0" w:afterAutospacing="0"/>
              <w:jc w:val="center"/>
              <w:textAlignment w:val="bottom"/>
              <w:rPr>
                <w:sz w:val="20"/>
                <w:szCs w:val="20"/>
                <w:lang w:val="it-IT"/>
              </w:rPr>
            </w:pPr>
            <w:r w:rsidRPr="006F07C8">
              <w:rPr>
                <w:sz w:val="20"/>
                <w:szCs w:val="20"/>
                <w:lang w:val="it-IT"/>
              </w:rPr>
              <w:t>0</w:t>
            </w:r>
          </w:p>
        </w:tc>
        <w:tc>
          <w:tcPr>
            <w:tcW w:w="713" w:type="pct"/>
            <w:vAlign w:val="center"/>
          </w:tcPr>
          <w:p w:rsidR="002D33DF" w:rsidRPr="006F07C8" w:rsidRDefault="002D33DF" w:rsidP="002F52A9">
            <w:pPr>
              <w:pStyle w:val="NormalWeb"/>
              <w:spacing w:before="0" w:beforeAutospacing="0" w:after="0" w:afterAutospacing="0"/>
              <w:jc w:val="center"/>
              <w:textAlignment w:val="bottom"/>
              <w:rPr>
                <w:sz w:val="20"/>
                <w:szCs w:val="20"/>
                <w:lang w:val="it-IT"/>
              </w:rPr>
            </w:pPr>
            <w:r w:rsidRPr="006F07C8">
              <w:rPr>
                <w:sz w:val="20"/>
                <w:szCs w:val="20"/>
                <w:lang w:val="it-IT"/>
              </w:rPr>
              <w:t>0</w:t>
            </w:r>
          </w:p>
        </w:tc>
      </w:tr>
      <w:tr w:rsidR="00B55699" w:rsidRPr="006F07C8" w:rsidTr="002D33DF">
        <w:trPr>
          <w:trHeight w:val="273"/>
          <w:jc w:val="center"/>
        </w:trPr>
        <w:tc>
          <w:tcPr>
            <w:tcW w:w="1346" w:type="pct"/>
            <w:vAlign w:val="center"/>
          </w:tcPr>
          <w:p w:rsidR="00B55699" w:rsidRPr="006F07C8" w:rsidRDefault="00B55699" w:rsidP="002F52A9">
            <w:pPr>
              <w:rPr>
                <w:rFonts w:ascii="Times New Roman" w:hAnsi="Times New Roman" w:cs="Times New Roman"/>
                <w:i/>
                <w:iCs/>
                <w:sz w:val="20"/>
                <w:szCs w:val="20"/>
                <w:lang w:val="it-IT"/>
              </w:rPr>
            </w:pPr>
            <w:r w:rsidRPr="006F07C8">
              <w:rPr>
                <w:rFonts w:ascii="Times New Roman" w:hAnsi="Times New Roman" w:cs="Times New Roman"/>
                <w:i/>
                <w:iCs/>
                <w:sz w:val="20"/>
                <w:szCs w:val="20"/>
                <w:lang w:val="it-IT"/>
              </w:rPr>
              <w:t>Oligarchico</w:t>
            </w:r>
          </w:p>
        </w:tc>
        <w:tc>
          <w:tcPr>
            <w:tcW w:w="664" w:type="pct"/>
            <w:vAlign w:val="center"/>
          </w:tcPr>
          <w:p w:rsidR="00B55699" w:rsidRPr="006F07C8" w:rsidRDefault="00B55699" w:rsidP="002F52A9">
            <w:pPr>
              <w:pStyle w:val="NormalWeb"/>
              <w:spacing w:before="0" w:beforeAutospacing="0" w:after="0" w:afterAutospacing="0"/>
              <w:jc w:val="center"/>
              <w:textAlignment w:val="bottom"/>
              <w:rPr>
                <w:sz w:val="20"/>
                <w:szCs w:val="20"/>
                <w:lang w:val="it-IT"/>
              </w:rPr>
            </w:pPr>
            <w:r w:rsidRPr="006F07C8">
              <w:rPr>
                <w:sz w:val="20"/>
                <w:szCs w:val="20"/>
                <w:lang w:val="it-IT"/>
              </w:rPr>
              <w:t>24</w:t>
            </w:r>
          </w:p>
        </w:tc>
        <w:tc>
          <w:tcPr>
            <w:tcW w:w="824" w:type="pct"/>
            <w:vAlign w:val="center"/>
          </w:tcPr>
          <w:p w:rsidR="00B55699" w:rsidRPr="006F07C8" w:rsidRDefault="00B55699" w:rsidP="002F52A9">
            <w:pPr>
              <w:pStyle w:val="NormalWeb"/>
              <w:spacing w:before="0" w:beforeAutospacing="0" w:after="0" w:afterAutospacing="0"/>
              <w:jc w:val="center"/>
              <w:textAlignment w:val="bottom"/>
              <w:rPr>
                <w:sz w:val="20"/>
                <w:szCs w:val="20"/>
                <w:lang w:val="it-IT"/>
              </w:rPr>
            </w:pPr>
            <w:r w:rsidRPr="006F07C8">
              <w:rPr>
                <w:sz w:val="20"/>
                <w:szCs w:val="20"/>
                <w:lang w:val="it-IT"/>
              </w:rPr>
              <w:t>31</w:t>
            </w:r>
          </w:p>
        </w:tc>
        <w:tc>
          <w:tcPr>
            <w:tcW w:w="751" w:type="pct"/>
            <w:vAlign w:val="center"/>
          </w:tcPr>
          <w:p w:rsidR="00B55699" w:rsidRPr="006F07C8" w:rsidRDefault="00B55699" w:rsidP="002F52A9">
            <w:pPr>
              <w:pStyle w:val="NormalWeb"/>
              <w:spacing w:before="0" w:beforeAutospacing="0" w:after="0" w:afterAutospacing="0"/>
              <w:jc w:val="center"/>
              <w:textAlignment w:val="bottom"/>
              <w:rPr>
                <w:sz w:val="20"/>
                <w:szCs w:val="20"/>
                <w:lang w:val="it-IT"/>
              </w:rPr>
            </w:pPr>
            <w:r w:rsidRPr="006F07C8">
              <w:rPr>
                <w:sz w:val="20"/>
                <w:szCs w:val="20"/>
                <w:lang w:val="it-IT"/>
              </w:rPr>
              <w:t>42</w:t>
            </w:r>
          </w:p>
        </w:tc>
        <w:tc>
          <w:tcPr>
            <w:tcW w:w="703" w:type="pct"/>
            <w:vAlign w:val="center"/>
          </w:tcPr>
          <w:p w:rsidR="00B55699" w:rsidRPr="006F07C8" w:rsidRDefault="00B55699" w:rsidP="002F52A9">
            <w:pPr>
              <w:pStyle w:val="NormalWeb"/>
              <w:spacing w:before="0" w:beforeAutospacing="0" w:after="0" w:afterAutospacing="0"/>
              <w:jc w:val="center"/>
              <w:textAlignment w:val="bottom"/>
              <w:rPr>
                <w:sz w:val="20"/>
                <w:szCs w:val="20"/>
                <w:lang w:val="it-IT"/>
              </w:rPr>
            </w:pPr>
            <w:r w:rsidRPr="006F07C8">
              <w:rPr>
                <w:sz w:val="20"/>
                <w:szCs w:val="20"/>
                <w:lang w:val="it-IT"/>
              </w:rPr>
              <w:t>47</w:t>
            </w:r>
          </w:p>
        </w:tc>
        <w:tc>
          <w:tcPr>
            <w:tcW w:w="713" w:type="pct"/>
            <w:vAlign w:val="center"/>
          </w:tcPr>
          <w:p w:rsidR="00B55699" w:rsidRPr="006F07C8" w:rsidRDefault="00B55699" w:rsidP="002F52A9">
            <w:pPr>
              <w:pStyle w:val="NormalWeb"/>
              <w:spacing w:before="0" w:beforeAutospacing="0" w:after="0" w:afterAutospacing="0"/>
              <w:jc w:val="center"/>
              <w:textAlignment w:val="bottom"/>
              <w:rPr>
                <w:sz w:val="20"/>
                <w:szCs w:val="20"/>
                <w:lang w:val="it-IT"/>
              </w:rPr>
            </w:pPr>
            <w:r w:rsidRPr="006F07C8">
              <w:rPr>
                <w:sz w:val="20"/>
                <w:szCs w:val="20"/>
                <w:lang w:val="it-IT"/>
              </w:rPr>
              <w:t>40</w:t>
            </w:r>
          </w:p>
        </w:tc>
      </w:tr>
      <w:tr w:rsidR="002D33DF" w:rsidRPr="006F07C8" w:rsidTr="002D33DF">
        <w:trPr>
          <w:trHeight w:val="273"/>
          <w:jc w:val="center"/>
        </w:trPr>
        <w:tc>
          <w:tcPr>
            <w:tcW w:w="1346" w:type="pct"/>
            <w:vAlign w:val="center"/>
            <w:hideMark/>
          </w:tcPr>
          <w:p w:rsidR="002D33DF" w:rsidRPr="006F07C8" w:rsidRDefault="002D33DF" w:rsidP="002F52A9">
            <w:pPr>
              <w:rPr>
                <w:rFonts w:ascii="Times New Roman" w:hAnsi="Times New Roman" w:cs="Times New Roman"/>
                <w:sz w:val="20"/>
                <w:szCs w:val="20"/>
                <w:lang w:val="it-IT"/>
              </w:rPr>
            </w:pPr>
            <w:r w:rsidRPr="006F07C8">
              <w:rPr>
                <w:rFonts w:ascii="Times New Roman" w:hAnsi="Times New Roman" w:cs="Times New Roman"/>
                <w:i/>
                <w:iCs/>
                <w:sz w:val="20"/>
                <w:szCs w:val="20"/>
                <w:lang w:val="it-IT"/>
              </w:rPr>
              <w:t>Monolinguismo</w:t>
            </w:r>
          </w:p>
        </w:tc>
        <w:tc>
          <w:tcPr>
            <w:tcW w:w="664" w:type="pct"/>
            <w:vAlign w:val="center"/>
          </w:tcPr>
          <w:p w:rsidR="002D33DF" w:rsidRPr="006F07C8" w:rsidRDefault="002D33DF" w:rsidP="002F52A9">
            <w:pPr>
              <w:pStyle w:val="NormalWeb"/>
              <w:spacing w:before="0" w:beforeAutospacing="0" w:after="0" w:afterAutospacing="0"/>
              <w:jc w:val="center"/>
              <w:textAlignment w:val="bottom"/>
              <w:rPr>
                <w:sz w:val="20"/>
                <w:szCs w:val="20"/>
                <w:lang w:val="it-IT"/>
              </w:rPr>
            </w:pPr>
            <w:r w:rsidRPr="006F07C8">
              <w:rPr>
                <w:sz w:val="20"/>
                <w:szCs w:val="20"/>
                <w:lang w:val="it-IT"/>
              </w:rPr>
              <w:t>44</w:t>
            </w:r>
          </w:p>
        </w:tc>
        <w:tc>
          <w:tcPr>
            <w:tcW w:w="824" w:type="pct"/>
            <w:vAlign w:val="center"/>
          </w:tcPr>
          <w:p w:rsidR="002D33DF" w:rsidRPr="006F07C8" w:rsidRDefault="002D33DF" w:rsidP="002F52A9">
            <w:pPr>
              <w:pStyle w:val="NormalWeb"/>
              <w:spacing w:before="0" w:beforeAutospacing="0" w:after="0" w:afterAutospacing="0"/>
              <w:jc w:val="center"/>
              <w:textAlignment w:val="bottom"/>
              <w:rPr>
                <w:sz w:val="20"/>
                <w:szCs w:val="20"/>
                <w:lang w:val="it-IT"/>
              </w:rPr>
            </w:pPr>
            <w:r w:rsidRPr="006F07C8">
              <w:rPr>
                <w:sz w:val="20"/>
                <w:szCs w:val="20"/>
                <w:lang w:val="it-IT"/>
              </w:rPr>
              <w:t>60</w:t>
            </w:r>
          </w:p>
        </w:tc>
        <w:tc>
          <w:tcPr>
            <w:tcW w:w="751" w:type="pct"/>
            <w:vAlign w:val="center"/>
          </w:tcPr>
          <w:p w:rsidR="002D33DF" w:rsidRPr="006F07C8" w:rsidRDefault="002D33DF" w:rsidP="002F52A9">
            <w:pPr>
              <w:pStyle w:val="NormalWeb"/>
              <w:spacing w:before="0" w:beforeAutospacing="0" w:after="0" w:afterAutospacing="0"/>
              <w:jc w:val="center"/>
              <w:textAlignment w:val="bottom"/>
              <w:rPr>
                <w:sz w:val="20"/>
                <w:szCs w:val="20"/>
                <w:lang w:val="it-IT"/>
              </w:rPr>
            </w:pPr>
            <w:r w:rsidRPr="006F07C8">
              <w:rPr>
                <w:sz w:val="20"/>
                <w:szCs w:val="20"/>
                <w:lang w:val="it-IT"/>
              </w:rPr>
              <w:t>71</w:t>
            </w:r>
          </w:p>
        </w:tc>
        <w:tc>
          <w:tcPr>
            <w:tcW w:w="703" w:type="pct"/>
            <w:vAlign w:val="center"/>
          </w:tcPr>
          <w:p w:rsidR="002D33DF" w:rsidRPr="006F07C8" w:rsidRDefault="002D33DF" w:rsidP="002F52A9">
            <w:pPr>
              <w:pStyle w:val="NormalWeb"/>
              <w:spacing w:before="0" w:beforeAutospacing="0" w:after="0" w:afterAutospacing="0"/>
              <w:jc w:val="center"/>
              <w:textAlignment w:val="bottom"/>
              <w:rPr>
                <w:sz w:val="20"/>
                <w:szCs w:val="20"/>
                <w:lang w:val="it-IT"/>
              </w:rPr>
            </w:pPr>
            <w:r w:rsidRPr="006F07C8">
              <w:rPr>
                <w:sz w:val="20"/>
                <w:szCs w:val="20"/>
                <w:lang w:val="it-IT"/>
              </w:rPr>
              <w:t>63</w:t>
            </w:r>
          </w:p>
        </w:tc>
        <w:tc>
          <w:tcPr>
            <w:tcW w:w="713" w:type="pct"/>
            <w:vAlign w:val="center"/>
          </w:tcPr>
          <w:p w:rsidR="002D33DF" w:rsidRPr="006F07C8" w:rsidRDefault="002D33DF" w:rsidP="002F52A9">
            <w:pPr>
              <w:pStyle w:val="NormalWeb"/>
              <w:spacing w:before="0" w:beforeAutospacing="0" w:after="0" w:afterAutospacing="0"/>
              <w:jc w:val="center"/>
              <w:textAlignment w:val="bottom"/>
              <w:rPr>
                <w:sz w:val="20"/>
                <w:szCs w:val="20"/>
                <w:lang w:val="it-IT"/>
              </w:rPr>
            </w:pPr>
            <w:r w:rsidRPr="006F07C8">
              <w:rPr>
                <w:sz w:val="20"/>
                <w:szCs w:val="20"/>
                <w:lang w:val="it-IT"/>
              </w:rPr>
              <w:t>62</w:t>
            </w:r>
          </w:p>
        </w:tc>
      </w:tr>
    </w:tbl>
    <w:p w:rsidR="0087491F" w:rsidRPr="006F07C8" w:rsidRDefault="0087491F" w:rsidP="002F52A9">
      <w:pPr>
        <w:spacing w:after="0" w:line="240" w:lineRule="auto"/>
        <w:jc w:val="both"/>
        <w:rPr>
          <w:rFonts w:ascii="Times New Roman" w:hAnsi="Times New Roman" w:cs="Times New Roman"/>
          <w:i/>
          <w:sz w:val="20"/>
          <w:szCs w:val="20"/>
          <w:lang w:val="it-IT"/>
        </w:rPr>
      </w:pPr>
      <w:r w:rsidRPr="006F07C8">
        <w:rPr>
          <w:rFonts w:ascii="Times New Roman" w:hAnsi="Times New Roman" w:cs="Times New Roman"/>
          <w:i/>
          <w:sz w:val="20"/>
          <w:szCs w:val="20"/>
          <w:lang w:val="it-IT"/>
        </w:rPr>
        <w:t>Fonte: Eurostat, IEA</w:t>
      </w:r>
      <w:r w:rsidR="00C6336A" w:rsidRPr="006F07C8">
        <w:rPr>
          <w:rFonts w:ascii="Times New Roman" w:hAnsi="Times New Roman" w:cs="Times New Roman"/>
          <w:i/>
          <w:sz w:val="20"/>
          <w:szCs w:val="20"/>
          <w:lang w:val="it-IT"/>
        </w:rPr>
        <w:t xml:space="preserve"> 2011</w:t>
      </w:r>
      <w:r w:rsidRPr="006F07C8">
        <w:rPr>
          <w:rFonts w:ascii="Times New Roman" w:hAnsi="Times New Roman" w:cs="Times New Roman"/>
          <w:i/>
          <w:sz w:val="20"/>
          <w:szCs w:val="20"/>
          <w:lang w:val="it-IT"/>
        </w:rPr>
        <w:t>. Tabella elaborata dall’autore</w:t>
      </w:r>
    </w:p>
    <w:p w:rsidR="0087491F" w:rsidRPr="006F07C8" w:rsidRDefault="008101AD" w:rsidP="002F52A9">
      <w:pPr>
        <w:spacing w:line="240" w:lineRule="auto"/>
        <w:jc w:val="both"/>
        <w:rPr>
          <w:rFonts w:ascii="Times New Roman" w:hAnsi="Times New Roman" w:cs="Times New Roman"/>
          <w:i/>
          <w:sz w:val="20"/>
          <w:szCs w:val="20"/>
          <w:lang w:val="it-IT"/>
        </w:rPr>
      </w:pPr>
      <w:r w:rsidRPr="006F07C8">
        <w:rPr>
          <w:rFonts w:ascii="Times New Roman" w:hAnsi="Times New Roman" w:cs="Times New Roman"/>
          <w:i/>
          <w:sz w:val="20"/>
          <w:szCs w:val="20"/>
          <w:lang w:val="it-IT"/>
        </w:rPr>
        <w:lastRenderedPageBreak/>
        <w:t>* Include coloro che svolgono un mestiere, compreso il lavoro non pagato in un’azienda di famiglia e i tirocini pagati.</w:t>
      </w:r>
    </w:p>
    <w:p w:rsidR="004825ED" w:rsidRPr="006F07C8" w:rsidRDefault="001C2D2F" w:rsidP="002F52A9">
      <w:pPr>
        <w:spacing w:line="240" w:lineRule="auto"/>
        <w:jc w:val="both"/>
        <w:rPr>
          <w:rFonts w:ascii="Times New Roman" w:hAnsi="Times New Roman" w:cs="Times New Roman"/>
          <w:bCs/>
          <w:sz w:val="24"/>
          <w:szCs w:val="24"/>
          <w:lang w:val="it-IT"/>
        </w:rPr>
      </w:pPr>
      <w:r w:rsidRPr="006F07C8">
        <w:rPr>
          <w:rFonts w:ascii="Times New Roman" w:hAnsi="Times New Roman" w:cs="Times New Roman"/>
          <w:bCs/>
          <w:sz w:val="24"/>
          <w:szCs w:val="24"/>
          <w:lang w:val="it-IT"/>
        </w:rPr>
        <w:t>Anche in questo caso</w:t>
      </w:r>
      <w:r w:rsidR="00B3755B" w:rsidRPr="006F07C8">
        <w:rPr>
          <w:rFonts w:ascii="Times New Roman" w:hAnsi="Times New Roman" w:cs="Times New Roman"/>
          <w:bCs/>
          <w:sz w:val="24"/>
          <w:szCs w:val="24"/>
          <w:lang w:val="it-IT"/>
        </w:rPr>
        <w:t xml:space="preserve"> l’analisi dei dati conferma che solo il </w:t>
      </w:r>
      <w:r w:rsidR="0087491F" w:rsidRPr="006F07C8">
        <w:rPr>
          <w:rFonts w:ascii="Times New Roman" w:hAnsi="Times New Roman" w:cs="Times New Roman"/>
          <w:bCs/>
          <w:sz w:val="24"/>
          <w:szCs w:val="24"/>
          <w:lang w:val="it-IT"/>
        </w:rPr>
        <w:t xml:space="preserve">regime attuale a 24 lingue </w:t>
      </w:r>
      <w:r w:rsidR="00B3755B" w:rsidRPr="006F07C8">
        <w:rPr>
          <w:rFonts w:ascii="Times New Roman" w:hAnsi="Times New Roman" w:cs="Times New Roman"/>
          <w:bCs/>
          <w:sz w:val="24"/>
          <w:szCs w:val="24"/>
          <w:lang w:val="it-IT"/>
        </w:rPr>
        <w:t>non crea diseguaglianze fra residenti europei per quanto concerne l’</w:t>
      </w:r>
      <w:r w:rsidR="009257E8" w:rsidRPr="006F07C8">
        <w:rPr>
          <w:rFonts w:ascii="Times New Roman" w:hAnsi="Times New Roman" w:cs="Times New Roman"/>
          <w:bCs/>
          <w:sz w:val="24"/>
          <w:szCs w:val="24"/>
          <w:lang w:val="it-IT"/>
        </w:rPr>
        <w:t xml:space="preserve">accesso potenziale ai documenti prodotti </w:t>
      </w:r>
      <w:r w:rsidRPr="006F07C8">
        <w:rPr>
          <w:rFonts w:ascii="Times New Roman" w:hAnsi="Times New Roman" w:cs="Times New Roman"/>
          <w:bCs/>
          <w:sz w:val="24"/>
          <w:szCs w:val="24"/>
          <w:lang w:val="it-IT"/>
        </w:rPr>
        <w:t>del</w:t>
      </w:r>
      <w:r w:rsidR="0087491F" w:rsidRPr="006F07C8">
        <w:rPr>
          <w:rFonts w:ascii="Times New Roman" w:hAnsi="Times New Roman" w:cs="Times New Roman"/>
          <w:bCs/>
          <w:sz w:val="24"/>
          <w:szCs w:val="24"/>
          <w:lang w:val="it-IT"/>
        </w:rPr>
        <w:t>l’Unione</w:t>
      </w:r>
      <w:r w:rsidR="00B3755B" w:rsidRPr="006F07C8">
        <w:rPr>
          <w:rFonts w:ascii="Times New Roman" w:hAnsi="Times New Roman" w:cs="Times New Roman"/>
          <w:bCs/>
          <w:sz w:val="24"/>
          <w:szCs w:val="24"/>
          <w:lang w:val="it-IT"/>
        </w:rPr>
        <w:t>. U</w:t>
      </w:r>
      <w:r w:rsidR="0087491F" w:rsidRPr="006F07C8">
        <w:rPr>
          <w:rFonts w:ascii="Times New Roman" w:hAnsi="Times New Roman" w:cs="Times New Roman"/>
          <w:bCs/>
          <w:sz w:val="24"/>
          <w:szCs w:val="24"/>
          <w:lang w:val="it-IT"/>
        </w:rPr>
        <w:t xml:space="preserve">n regime </w:t>
      </w:r>
      <w:r w:rsidR="00DE3873" w:rsidRPr="006F07C8">
        <w:rPr>
          <w:rFonts w:ascii="Times New Roman" w:hAnsi="Times New Roman" w:cs="Times New Roman"/>
          <w:bCs/>
          <w:sz w:val="24"/>
          <w:szCs w:val="24"/>
          <w:lang w:val="it-IT"/>
        </w:rPr>
        <w:t>mo</w:t>
      </w:r>
      <w:r w:rsidR="00004833" w:rsidRPr="006F07C8">
        <w:rPr>
          <w:rFonts w:ascii="Times New Roman" w:hAnsi="Times New Roman" w:cs="Times New Roman"/>
          <w:bCs/>
          <w:sz w:val="24"/>
          <w:szCs w:val="24"/>
          <w:lang w:val="it-IT"/>
        </w:rPr>
        <w:t>nolingue inglese</w:t>
      </w:r>
      <w:r w:rsidR="0087491F" w:rsidRPr="006F07C8">
        <w:rPr>
          <w:rFonts w:ascii="Times New Roman" w:hAnsi="Times New Roman" w:cs="Times New Roman"/>
          <w:bCs/>
          <w:sz w:val="24"/>
          <w:szCs w:val="24"/>
          <w:lang w:val="it-IT"/>
        </w:rPr>
        <w:t xml:space="preserve"> </w:t>
      </w:r>
      <w:r w:rsidR="00B3755B" w:rsidRPr="006F07C8">
        <w:rPr>
          <w:rFonts w:ascii="Times New Roman" w:hAnsi="Times New Roman" w:cs="Times New Roman"/>
          <w:bCs/>
          <w:sz w:val="24"/>
          <w:szCs w:val="24"/>
          <w:lang w:val="it-IT"/>
        </w:rPr>
        <w:t xml:space="preserve">o un regime oligarchico, al contrario, </w:t>
      </w:r>
      <w:r w:rsidR="00DB1A72" w:rsidRPr="006F07C8">
        <w:rPr>
          <w:rFonts w:ascii="Times New Roman" w:hAnsi="Times New Roman" w:cs="Times New Roman"/>
          <w:bCs/>
          <w:sz w:val="24"/>
          <w:szCs w:val="24"/>
          <w:lang w:val="it-IT"/>
        </w:rPr>
        <w:t>rendono più complicato l’accesso ai documenti prodotti dalla UE soprattutto ai</w:t>
      </w:r>
      <w:r w:rsidR="00004833" w:rsidRPr="006F07C8">
        <w:rPr>
          <w:rFonts w:ascii="Times New Roman" w:hAnsi="Times New Roman" w:cs="Times New Roman"/>
          <w:bCs/>
          <w:sz w:val="24"/>
          <w:szCs w:val="24"/>
          <w:lang w:val="it-IT"/>
        </w:rPr>
        <w:t xml:space="preserve"> residenti </w:t>
      </w:r>
      <w:r w:rsidR="00DE3873" w:rsidRPr="006F07C8">
        <w:rPr>
          <w:rFonts w:ascii="Times New Roman" w:hAnsi="Times New Roman" w:cs="Times New Roman"/>
          <w:bCs/>
          <w:sz w:val="24"/>
          <w:szCs w:val="24"/>
          <w:lang w:val="it-IT"/>
        </w:rPr>
        <w:t>disoccupati</w:t>
      </w:r>
      <w:r w:rsidR="00004833" w:rsidRPr="006F07C8">
        <w:rPr>
          <w:rFonts w:ascii="Times New Roman" w:hAnsi="Times New Roman" w:cs="Times New Roman"/>
          <w:bCs/>
          <w:sz w:val="24"/>
          <w:szCs w:val="24"/>
          <w:lang w:val="it-IT"/>
        </w:rPr>
        <w:t xml:space="preserve">, </w:t>
      </w:r>
      <w:r w:rsidR="00DB1A72" w:rsidRPr="006F07C8">
        <w:rPr>
          <w:rFonts w:ascii="Times New Roman" w:hAnsi="Times New Roman" w:cs="Times New Roman"/>
          <w:bCs/>
          <w:sz w:val="24"/>
          <w:szCs w:val="24"/>
          <w:lang w:val="it-IT"/>
        </w:rPr>
        <w:t>a quelli che sono</w:t>
      </w:r>
      <w:r w:rsidR="00DE3873" w:rsidRPr="006F07C8">
        <w:rPr>
          <w:rFonts w:ascii="Times New Roman" w:hAnsi="Times New Roman" w:cs="Times New Roman"/>
          <w:bCs/>
          <w:sz w:val="24"/>
          <w:szCs w:val="24"/>
          <w:lang w:val="it-IT"/>
        </w:rPr>
        <w:t xml:space="preserve"> in età lavorativa ma già pensionati</w:t>
      </w:r>
      <w:r w:rsidR="00004833" w:rsidRPr="006F07C8">
        <w:rPr>
          <w:rFonts w:ascii="Times New Roman" w:hAnsi="Times New Roman" w:cs="Times New Roman"/>
          <w:bCs/>
          <w:sz w:val="24"/>
          <w:szCs w:val="24"/>
          <w:lang w:val="it-IT"/>
        </w:rPr>
        <w:t xml:space="preserve">, </w:t>
      </w:r>
      <w:r w:rsidR="00DB1A72" w:rsidRPr="006F07C8">
        <w:rPr>
          <w:rFonts w:ascii="Times New Roman" w:hAnsi="Times New Roman" w:cs="Times New Roman"/>
          <w:bCs/>
          <w:sz w:val="24"/>
          <w:szCs w:val="24"/>
          <w:lang w:val="it-IT"/>
        </w:rPr>
        <w:t>a</w:t>
      </w:r>
      <w:r w:rsidR="00004833" w:rsidRPr="006F07C8">
        <w:rPr>
          <w:rFonts w:ascii="Times New Roman" w:hAnsi="Times New Roman" w:cs="Times New Roman"/>
          <w:bCs/>
          <w:sz w:val="24"/>
          <w:szCs w:val="24"/>
          <w:lang w:val="it-IT"/>
        </w:rPr>
        <w:t xml:space="preserve">i </w:t>
      </w:r>
      <w:r w:rsidR="00DE3873" w:rsidRPr="006F07C8">
        <w:rPr>
          <w:rFonts w:ascii="Times New Roman" w:hAnsi="Times New Roman" w:cs="Times New Roman"/>
          <w:bCs/>
          <w:sz w:val="24"/>
          <w:szCs w:val="24"/>
          <w:lang w:val="it-IT"/>
        </w:rPr>
        <w:t>disabili permanenti</w:t>
      </w:r>
      <w:r w:rsidR="00B3755B" w:rsidRPr="006F07C8">
        <w:rPr>
          <w:rFonts w:ascii="Times New Roman" w:hAnsi="Times New Roman" w:cs="Times New Roman"/>
          <w:bCs/>
          <w:sz w:val="24"/>
          <w:szCs w:val="24"/>
          <w:lang w:val="it-IT"/>
        </w:rPr>
        <w:t xml:space="preserve"> e</w:t>
      </w:r>
      <w:r w:rsidR="00004833" w:rsidRPr="006F07C8">
        <w:rPr>
          <w:rFonts w:ascii="Times New Roman" w:hAnsi="Times New Roman" w:cs="Times New Roman"/>
          <w:bCs/>
          <w:sz w:val="24"/>
          <w:szCs w:val="24"/>
          <w:lang w:val="it-IT"/>
        </w:rPr>
        <w:t xml:space="preserve"> </w:t>
      </w:r>
      <w:r w:rsidR="00DB1A72" w:rsidRPr="006F07C8">
        <w:rPr>
          <w:rFonts w:ascii="Times New Roman" w:hAnsi="Times New Roman" w:cs="Times New Roman"/>
          <w:bCs/>
          <w:sz w:val="24"/>
          <w:szCs w:val="24"/>
          <w:lang w:val="it-IT"/>
        </w:rPr>
        <w:t>al</w:t>
      </w:r>
      <w:r w:rsidR="00DE3873" w:rsidRPr="006F07C8">
        <w:rPr>
          <w:rFonts w:ascii="Times New Roman" w:hAnsi="Times New Roman" w:cs="Times New Roman"/>
          <w:bCs/>
          <w:sz w:val="24"/>
          <w:szCs w:val="24"/>
          <w:lang w:val="it-IT"/>
        </w:rPr>
        <w:t>le persone dedite ai lavori domestici</w:t>
      </w:r>
      <w:r w:rsidR="00DB1A72" w:rsidRPr="006F07C8">
        <w:rPr>
          <w:rFonts w:ascii="Times New Roman" w:hAnsi="Times New Roman" w:cs="Times New Roman"/>
          <w:bCs/>
          <w:sz w:val="24"/>
          <w:szCs w:val="24"/>
          <w:lang w:val="it-IT"/>
        </w:rPr>
        <w:t xml:space="preserve">. </w:t>
      </w:r>
      <w:r w:rsidR="00DE3873" w:rsidRPr="006F07C8">
        <w:rPr>
          <w:rFonts w:ascii="Times New Roman" w:hAnsi="Times New Roman" w:cs="Times New Roman"/>
          <w:bCs/>
          <w:sz w:val="24"/>
          <w:szCs w:val="24"/>
          <w:lang w:val="it-IT"/>
        </w:rPr>
        <w:t xml:space="preserve">Va ricordato </w:t>
      </w:r>
      <w:r w:rsidR="00044E96" w:rsidRPr="006F07C8">
        <w:rPr>
          <w:rFonts w:ascii="Times New Roman" w:hAnsi="Times New Roman" w:cs="Times New Roman"/>
          <w:bCs/>
          <w:sz w:val="24"/>
          <w:szCs w:val="24"/>
          <w:lang w:val="it-IT"/>
        </w:rPr>
        <w:t xml:space="preserve">nuovamente </w:t>
      </w:r>
      <w:r w:rsidR="00DE3873" w:rsidRPr="006F07C8">
        <w:rPr>
          <w:rFonts w:ascii="Times New Roman" w:hAnsi="Times New Roman" w:cs="Times New Roman"/>
          <w:bCs/>
          <w:sz w:val="24"/>
          <w:szCs w:val="24"/>
          <w:lang w:val="it-IT"/>
        </w:rPr>
        <w:t>che i risultati riportati nelle</w:t>
      </w:r>
      <w:r w:rsidR="00F70A74" w:rsidRPr="006F07C8">
        <w:rPr>
          <w:rFonts w:ascii="Times New Roman" w:hAnsi="Times New Roman" w:cs="Times New Roman"/>
          <w:bCs/>
          <w:sz w:val="24"/>
          <w:szCs w:val="24"/>
          <w:lang w:val="it-IT"/>
        </w:rPr>
        <w:t xml:space="preserve"> ultime tre tabelle riguardano solo </w:t>
      </w:r>
      <w:r w:rsidR="00DE3873" w:rsidRPr="006F07C8">
        <w:rPr>
          <w:rFonts w:ascii="Times New Roman" w:hAnsi="Times New Roman" w:cs="Times New Roman"/>
          <w:bCs/>
          <w:sz w:val="24"/>
          <w:szCs w:val="24"/>
          <w:lang w:val="it-IT"/>
        </w:rPr>
        <w:t xml:space="preserve">i tassi di esclusione linguistica </w:t>
      </w:r>
      <w:r w:rsidR="00F70A74" w:rsidRPr="006F07C8">
        <w:rPr>
          <w:rFonts w:ascii="Times New Roman" w:hAnsi="Times New Roman" w:cs="Times New Roman"/>
          <w:bCs/>
          <w:sz w:val="24"/>
          <w:szCs w:val="24"/>
          <w:lang w:val="it-IT"/>
        </w:rPr>
        <w:t>assolu</w:t>
      </w:r>
      <w:r w:rsidR="00960644" w:rsidRPr="006F07C8">
        <w:rPr>
          <w:rFonts w:ascii="Times New Roman" w:hAnsi="Times New Roman" w:cs="Times New Roman"/>
          <w:bCs/>
          <w:sz w:val="24"/>
          <w:szCs w:val="24"/>
          <w:lang w:val="it-IT"/>
        </w:rPr>
        <w:t>ta</w:t>
      </w:r>
      <w:r w:rsidR="00B3755B" w:rsidRPr="006F07C8">
        <w:rPr>
          <w:rFonts w:ascii="Times New Roman" w:hAnsi="Times New Roman" w:cs="Times New Roman"/>
          <w:bCs/>
          <w:sz w:val="24"/>
          <w:szCs w:val="24"/>
          <w:lang w:val="it-IT"/>
        </w:rPr>
        <w:t xml:space="preserve"> e che </w:t>
      </w:r>
      <w:r w:rsidR="00F70A74" w:rsidRPr="006F07C8">
        <w:rPr>
          <w:rFonts w:ascii="Times New Roman" w:hAnsi="Times New Roman" w:cs="Times New Roman"/>
          <w:bCs/>
          <w:sz w:val="24"/>
          <w:szCs w:val="24"/>
          <w:lang w:val="it-IT"/>
        </w:rPr>
        <w:t xml:space="preserve">i tassi di esclusione </w:t>
      </w:r>
      <w:r w:rsidR="00616A50" w:rsidRPr="006F07C8">
        <w:rPr>
          <w:rFonts w:ascii="Times New Roman" w:hAnsi="Times New Roman" w:cs="Times New Roman"/>
          <w:bCs/>
          <w:sz w:val="24"/>
          <w:szCs w:val="24"/>
          <w:lang w:val="it-IT"/>
        </w:rPr>
        <w:t xml:space="preserve">linguistica </w:t>
      </w:r>
      <w:r w:rsidR="00DE3873" w:rsidRPr="006F07C8">
        <w:rPr>
          <w:rFonts w:ascii="Times New Roman" w:hAnsi="Times New Roman" w:cs="Times New Roman"/>
          <w:bCs/>
          <w:sz w:val="24"/>
          <w:szCs w:val="24"/>
          <w:lang w:val="it-IT"/>
        </w:rPr>
        <w:t>relati</w:t>
      </w:r>
      <w:r w:rsidR="00616A50" w:rsidRPr="006F07C8">
        <w:rPr>
          <w:rFonts w:ascii="Times New Roman" w:hAnsi="Times New Roman" w:cs="Times New Roman"/>
          <w:bCs/>
          <w:sz w:val="24"/>
          <w:szCs w:val="24"/>
          <w:lang w:val="it-IT"/>
        </w:rPr>
        <w:t>va</w:t>
      </w:r>
      <w:r w:rsidR="00DE3873" w:rsidRPr="006F07C8">
        <w:rPr>
          <w:rFonts w:ascii="Times New Roman" w:hAnsi="Times New Roman" w:cs="Times New Roman"/>
          <w:bCs/>
          <w:sz w:val="24"/>
          <w:szCs w:val="24"/>
          <w:lang w:val="it-IT"/>
        </w:rPr>
        <w:t xml:space="preserve"> sono</w:t>
      </w:r>
      <w:r w:rsidR="00F70A74" w:rsidRPr="006F07C8">
        <w:rPr>
          <w:rFonts w:ascii="Times New Roman" w:hAnsi="Times New Roman" w:cs="Times New Roman"/>
          <w:bCs/>
          <w:sz w:val="24"/>
          <w:szCs w:val="24"/>
          <w:lang w:val="it-IT"/>
        </w:rPr>
        <w:t xml:space="preserve"> </w:t>
      </w:r>
      <w:r w:rsidR="008E3DA6" w:rsidRPr="006F07C8">
        <w:rPr>
          <w:rFonts w:ascii="Times New Roman" w:hAnsi="Times New Roman" w:cs="Times New Roman"/>
          <w:bCs/>
          <w:sz w:val="24"/>
          <w:szCs w:val="24"/>
          <w:lang w:val="it-IT"/>
        </w:rPr>
        <w:t xml:space="preserve">molto </w:t>
      </w:r>
      <w:r w:rsidR="00F70A74" w:rsidRPr="006F07C8">
        <w:rPr>
          <w:rFonts w:ascii="Times New Roman" w:hAnsi="Times New Roman" w:cs="Times New Roman"/>
          <w:bCs/>
          <w:sz w:val="24"/>
          <w:szCs w:val="24"/>
          <w:lang w:val="it-IT"/>
        </w:rPr>
        <w:t xml:space="preserve">più </w:t>
      </w:r>
      <w:r w:rsidR="008E3DA6" w:rsidRPr="006F07C8">
        <w:rPr>
          <w:rFonts w:ascii="Times New Roman" w:hAnsi="Times New Roman" w:cs="Times New Roman"/>
          <w:bCs/>
          <w:sz w:val="24"/>
          <w:szCs w:val="24"/>
          <w:lang w:val="it-IT"/>
        </w:rPr>
        <w:t>elevati</w:t>
      </w:r>
      <w:r w:rsidR="00F70A74" w:rsidRPr="006F07C8">
        <w:rPr>
          <w:rFonts w:ascii="Times New Roman" w:hAnsi="Times New Roman" w:cs="Times New Roman"/>
          <w:bCs/>
          <w:sz w:val="24"/>
          <w:szCs w:val="24"/>
          <w:lang w:val="it-IT"/>
        </w:rPr>
        <w:t>.</w:t>
      </w:r>
    </w:p>
    <w:p w:rsidR="00C254F5" w:rsidRPr="006F07C8" w:rsidRDefault="004825ED" w:rsidP="002F52A9">
      <w:pPr>
        <w:spacing w:line="240" w:lineRule="auto"/>
        <w:jc w:val="both"/>
        <w:rPr>
          <w:rFonts w:ascii="Times New Roman" w:hAnsi="Times New Roman" w:cs="Times New Roman"/>
          <w:bCs/>
          <w:sz w:val="24"/>
          <w:szCs w:val="24"/>
          <w:lang w:val="it-IT"/>
        </w:rPr>
      </w:pPr>
      <w:r w:rsidRPr="006F07C8">
        <w:rPr>
          <w:rFonts w:ascii="Times New Roman" w:hAnsi="Times New Roman" w:cs="Times New Roman"/>
          <w:bCs/>
          <w:sz w:val="24"/>
          <w:szCs w:val="24"/>
          <w:lang w:val="it-IT"/>
        </w:rPr>
        <w:t>Dall’analisi compl</w:t>
      </w:r>
      <w:r w:rsidR="00B3755B" w:rsidRPr="006F07C8">
        <w:rPr>
          <w:rFonts w:ascii="Times New Roman" w:hAnsi="Times New Roman" w:cs="Times New Roman"/>
          <w:bCs/>
          <w:sz w:val="24"/>
          <w:szCs w:val="24"/>
          <w:lang w:val="it-IT"/>
        </w:rPr>
        <w:t xml:space="preserve">essiva dei risultati empirici elaborati </w:t>
      </w:r>
      <w:r w:rsidR="00D05396" w:rsidRPr="006F07C8">
        <w:rPr>
          <w:rFonts w:ascii="Times New Roman" w:hAnsi="Times New Roman" w:cs="Times New Roman"/>
          <w:bCs/>
          <w:sz w:val="24"/>
          <w:szCs w:val="24"/>
          <w:lang w:val="it-IT"/>
        </w:rPr>
        <w:t xml:space="preserve">in questa sezione </w:t>
      </w:r>
      <w:r w:rsidR="008C27FC" w:rsidRPr="006F07C8">
        <w:rPr>
          <w:rFonts w:ascii="Times New Roman" w:hAnsi="Times New Roman" w:cs="Times New Roman"/>
          <w:bCs/>
          <w:sz w:val="24"/>
          <w:szCs w:val="24"/>
          <w:lang w:val="it-IT"/>
        </w:rPr>
        <w:t xml:space="preserve">emergono due conclusioni generali. Primo, </w:t>
      </w:r>
      <w:r w:rsidRPr="006F07C8">
        <w:rPr>
          <w:rFonts w:ascii="Times New Roman" w:hAnsi="Times New Roman" w:cs="Times New Roman"/>
          <w:bCs/>
          <w:sz w:val="24"/>
          <w:szCs w:val="24"/>
          <w:lang w:val="it-IT"/>
        </w:rPr>
        <w:t>il regime</w:t>
      </w:r>
      <w:r w:rsidR="00FC2C05" w:rsidRPr="006F07C8">
        <w:rPr>
          <w:rFonts w:ascii="Times New Roman" w:hAnsi="Times New Roman" w:cs="Times New Roman"/>
          <w:bCs/>
          <w:sz w:val="24"/>
          <w:szCs w:val="24"/>
          <w:lang w:val="it-IT"/>
        </w:rPr>
        <w:t xml:space="preserve"> multilingue</w:t>
      </w:r>
      <w:r w:rsidRPr="006F07C8">
        <w:rPr>
          <w:rFonts w:ascii="Times New Roman" w:hAnsi="Times New Roman" w:cs="Times New Roman"/>
          <w:bCs/>
          <w:sz w:val="24"/>
          <w:szCs w:val="24"/>
          <w:lang w:val="it-IT"/>
        </w:rPr>
        <w:t xml:space="preserve"> è </w:t>
      </w:r>
      <w:r w:rsidR="008C27FC" w:rsidRPr="006F07C8">
        <w:rPr>
          <w:rFonts w:ascii="Times New Roman" w:hAnsi="Times New Roman" w:cs="Times New Roman"/>
          <w:bCs/>
          <w:sz w:val="24"/>
          <w:szCs w:val="24"/>
          <w:lang w:val="it-IT"/>
        </w:rPr>
        <w:t xml:space="preserve">molto </w:t>
      </w:r>
      <w:r w:rsidRPr="006F07C8">
        <w:rPr>
          <w:rFonts w:ascii="Times New Roman" w:hAnsi="Times New Roman" w:cs="Times New Roman"/>
          <w:bCs/>
          <w:sz w:val="24"/>
          <w:szCs w:val="24"/>
          <w:lang w:val="it-IT"/>
        </w:rPr>
        <w:t>più efficace di un regime monolingue basato solo sull’inglese</w:t>
      </w:r>
      <w:r w:rsidR="008C27FC" w:rsidRPr="006F07C8">
        <w:rPr>
          <w:rFonts w:ascii="Times New Roman" w:hAnsi="Times New Roman" w:cs="Times New Roman"/>
          <w:bCs/>
          <w:sz w:val="24"/>
          <w:szCs w:val="24"/>
          <w:lang w:val="it-IT"/>
        </w:rPr>
        <w:t xml:space="preserve"> o di un regime oligarchico. </w:t>
      </w:r>
      <w:r w:rsidR="00C254F5" w:rsidRPr="006F07C8">
        <w:rPr>
          <w:rFonts w:ascii="Times New Roman" w:hAnsi="Times New Roman" w:cs="Times New Roman"/>
          <w:bCs/>
          <w:sz w:val="24"/>
          <w:szCs w:val="24"/>
          <w:lang w:val="it-IT"/>
        </w:rPr>
        <w:t>In secondo luogo</w:t>
      </w:r>
      <w:r w:rsidR="008C27FC" w:rsidRPr="006F07C8">
        <w:rPr>
          <w:rFonts w:ascii="Times New Roman" w:hAnsi="Times New Roman" w:cs="Times New Roman"/>
          <w:bCs/>
          <w:sz w:val="24"/>
          <w:szCs w:val="24"/>
          <w:lang w:val="it-IT"/>
        </w:rPr>
        <w:t xml:space="preserve">, </w:t>
      </w:r>
      <w:r w:rsidR="00DB1A72" w:rsidRPr="006F07C8">
        <w:rPr>
          <w:rFonts w:ascii="Times New Roman" w:hAnsi="Times New Roman" w:cs="Times New Roman"/>
          <w:bCs/>
          <w:sz w:val="24"/>
          <w:szCs w:val="24"/>
          <w:lang w:val="it-IT"/>
        </w:rPr>
        <w:t xml:space="preserve">esso risulta essere alla prova dei fatti </w:t>
      </w:r>
      <w:r w:rsidR="00FC2C05" w:rsidRPr="006F07C8">
        <w:rPr>
          <w:rFonts w:ascii="Times New Roman" w:hAnsi="Times New Roman" w:cs="Times New Roman"/>
          <w:bCs/>
          <w:sz w:val="24"/>
          <w:szCs w:val="24"/>
          <w:lang w:val="it-IT"/>
        </w:rPr>
        <w:t xml:space="preserve">la </w:t>
      </w:r>
      <w:r w:rsidRPr="006F07C8">
        <w:rPr>
          <w:rFonts w:ascii="Times New Roman" w:hAnsi="Times New Roman" w:cs="Times New Roman"/>
          <w:bCs/>
          <w:sz w:val="24"/>
          <w:szCs w:val="24"/>
          <w:lang w:val="it-IT"/>
        </w:rPr>
        <w:t xml:space="preserve">politica linguistica </w:t>
      </w:r>
      <w:r w:rsidR="00044E96" w:rsidRPr="006F07C8">
        <w:rPr>
          <w:rFonts w:ascii="Times New Roman" w:hAnsi="Times New Roman" w:cs="Times New Roman"/>
          <w:bCs/>
          <w:sz w:val="24"/>
          <w:szCs w:val="24"/>
          <w:lang w:val="it-IT"/>
        </w:rPr>
        <w:t>che crea meno diseguaglianze</w:t>
      </w:r>
      <w:r w:rsidR="00004833" w:rsidRPr="006F07C8">
        <w:rPr>
          <w:rFonts w:ascii="Times New Roman" w:hAnsi="Times New Roman" w:cs="Times New Roman"/>
          <w:bCs/>
          <w:sz w:val="24"/>
          <w:szCs w:val="24"/>
          <w:lang w:val="it-IT"/>
        </w:rPr>
        <w:t xml:space="preserve"> </w:t>
      </w:r>
      <w:r w:rsidR="008C27FC" w:rsidRPr="006F07C8">
        <w:rPr>
          <w:rFonts w:ascii="Times New Roman" w:hAnsi="Times New Roman" w:cs="Times New Roman"/>
          <w:bCs/>
          <w:sz w:val="24"/>
          <w:szCs w:val="24"/>
          <w:lang w:val="it-IT"/>
        </w:rPr>
        <w:t xml:space="preserve">non solo </w:t>
      </w:r>
      <w:r w:rsidR="00004833" w:rsidRPr="006F07C8">
        <w:rPr>
          <w:rFonts w:ascii="Times New Roman" w:hAnsi="Times New Roman" w:cs="Times New Roman"/>
          <w:bCs/>
          <w:sz w:val="24"/>
          <w:szCs w:val="24"/>
          <w:lang w:val="it-IT"/>
        </w:rPr>
        <w:t xml:space="preserve">fra Paesi </w:t>
      </w:r>
      <w:r w:rsidR="008C27FC" w:rsidRPr="006F07C8">
        <w:rPr>
          <w:rFonts w:ascii="Times New Roman" w:hAnsi="Times New Roman" w:cs="Times New Roman"/>
          <w:bCs/>
          <w:sz w:val="24"/>
          <w:szCs w:val="24"/>
          <w:lang w:val="it-IT"/>
        </w:rPr>
        <w:t xml:space="preserve">ma anche </w:t>
      </w:r>
      <w:r w:rsidR="00004833" w:rsidRPr="006F07C8">
        <w:rPr>
          <w:rFonts w:ascii="Times New Roman" w:hAnsi="Times New Roman" w:cs="Times New Roman"/>
          <w:bCs/>
          <w:sz w:val="24"/>
          <w:szCs w:val="24"/>
          <w:lang w:val="it-IT"/>
        </w:rPr>
        <w:t>fra residenti</w:t>
      </w:r>
      <w:r w:rsidR="008C27FC" w:rsidRPr="006F07C8">
        <w:rPr>
          <w:rFonts w:ascii="Times New Roman" w:hAnsi="Times New Roman" w:cs="Times New Roman"/>
          <w:bCs/>
          <w:sz w:val="24"/>
          <w:szCs w:val="24"/>
          <w:lang w:val="it-IT"/>
        </w:rPr>
        <w:t xml:space="preserve"> con status socio-economico diverso. Una politica linguistica restrittiva (</w:t>
      </w:r>
      <w:r w:rsidR="00044E96" w:rsidRPr="006F07C8">
        <w:rPr>
          <w:rFonts w:ascii="Times New Roman" w:hAnsi="Times New Roman" w:cs="Times New Roman"/>
          <w:bCs/>
          <w:sz w:val="24"/>
          <w:szCs w:val="24"/>
          <w:lang w:val="it-IT"/>
        </w:rPr>
        <w:t xml:space="preserve">monolingue </w:t>
      </w:r>
      <w:r w:rsidR="008C27FC" w:rsidRPr="006F07C8">
        <w:rPr>
          <w:rFonts w:ascii="Times New Roman" w:hAnsi="Times New Roman" w:cs="Times New Roman"/>
          <w:bCs/>
          <w:sz w:val="24"/>
          <w:szCs w:val="24"/>
          <w:lang w:val="it-IT"/>
        </w:rPr>
        <w:t>o</w:t>
      </w:r>
      <w:r w:rsidR="009257E8" w:rsidRPr="006F07C8">
        <w:rPr>
          <w:rFonts w:ascii="Times New Roman" w:hAnsi="Times New Roman" w:cs="Times New Roman"/>
          <w:bCs/>
          <w:sz w:val="24"/>
          <w:szCs w:val="24"/>
          <w:lang w:val="it-IT"/>
        </w:rPr>
        <w:t>d</w:t>
      </w:r>
      <w:r w:rsidR="008C27FC" w:rsidRPr="006F07C8">
        <w:rPr>
          <w:rFonts w:ascii="Times New Roman" w:hAnsi="Times New Roman" w:cs="Times New Roman"/>
          <w:bCs/>
          <w:sz w:val="24"/>
          <w:szCs w:val="24"/>
          <w:lang w:val="it-IT"/>
        </w:rPr>
        <w:t xml:space="preserve"> oligarchica) </w:t>
      </w:r>
      <w:r w:rsidR="00A70AFF" w:rsidRPr="006F07C8">
        <w:rPr>
          <w:rFonts w:ascii="Times New Roman" w:hAnsi="Times New Roman" w:cs="Times New Roman"/>
          <w:bCs/>
          <w:sz w:val="24"/>
          <w:szCs w:val="24"/>
          <w:lang w:val="it-IT"/>
        </w:rPr>
        <w:t>gener</w:t>
      </w:r>
      <w:r w:rsidR="00DB1A72" w:rsidRPr="006F07C8">
        <w:rPr>
          <w:rFonts w:ascii="Times New Roman" w:hAnsi="Times New Roman" w:cs="Times New Roman"/>
          <w:bCs/>
          <w:sz w:val="24"/>
          <w:szCs w:val="24"/>
          <w:lang w:val="it-IT"/>
        </w:rPr>
        <w:t>erebbe</w:t>
      </w:r>
      <w:r w:rsidR="00A70AFF" w:rsidRPr="006F07C8">
        <w:rPr>
          <w:rFonts w:ascii="Times New Roman" w:hAnsi="Times New Roman" w:cs="Times New Roman"/>
          <w:bCs/>
          <w:sz w:val="24"/>
          <w:szCs w:val="24"/>
          <w:lang w:val="it-IT"/>
        </w:rPr>
        <w:t xml:space="preserve"> </w:t>
      </w:r>
      <w:r w:rsidR="009257E8" w:rsidRPr="006F07C8">
        <w:rPr>
          <w:rFonts w:ascii="Times New Roman" w:hAnsi="Times New Roman" w:cs="Times New Roman"/>
          <w:bCs/>
          <w:sz w:val="24"/>
          <w:szCs w:val="24"/>
          <w:lang w:val="it-IT"/>
        </w:rPr>
        <w:t xml:space="preserve">significative diseguaglianze fra gruppi sociali </w:t>
      </w:r>
      <w:r w:rsidR="00DB1A72" w:rsidRPr="006F07C8">
        <w:rPr>
          <w:rFonts w:ascii="Times New Roman" w:hAnsi="Times New Roman" w:cs="Times New Roman"/>
          <w:bCs/>
          <w:sz w:val="24"/>
          <w:szCs w:val="24"/>
          <w:lang w:val="it-IT"/>
        </w:rPr>
        <w:t xml:space="preserve">per quanto riguarda l’accesso alla comunicazione con le istituzioni comunitarie, penalizzando in </w:t>
      </w:r>
      <w:r w:rsidR="00044E96" w:rsidRPr="006F07C8">
        <w:rPr>
          <w:rFonts w:ascii="Times New Roman" w:hAnsi="Times New Roman" w:cs="Times New Roman"/>
          <w:bCs/>
          <w:sz w:val="24"/>
          <w:szCs w:val="24"/>
          <w:lang w:val="it-IT"/>
        </w:rPr>
        <w:t>particolar</w:t>
      </w:r>
      <w:r w:rsidR="00DB1A72" w:rsidRPr="006F07C8">
        <w:rPr>
          <w:rFonts w:ascii="Times New Roman" w:hAnsi="Times New Roman" w:cs="Times New Roman"/>
          <w:bCs/>
          <w:sz w:val="24"/>
          <w:szCs w:val="24"/>
          <w:lang w:val="it-IT"/>
        </w:rPr>
        <w:t xml:space="preserve"> modo i </w:t>
      </w:r>
      <w:r w:rsidR="00A70AFF" w:rsidRPr="006F07C8">
        <w:rPr>
          <w:rFonts w:ascii="Times New Roman" w:hAnsi="Times New Roman" w:cs="Times New Roman"/>
          <w:bCs/>
          <w:sz w:val="24"/>
          <w:szCs w:val="24"/>
          <w:lang w:val="it-IT"/>
        </w:rPr>
        <w:t xml:space="preserve">più anziani, </w:t>
      </w:r>
      <w:r w:rsidR="00CD43CF" w:rsidRPr="006F07C8">
        <w:rPr>
          <w:rFonts w:ascii="Times New Roman" w:hAnsi="Times New Roman" w:cs="Times New Roman"/>
          <w:bCs/>
          <w:sz w:val="24"/>
          <w:szCs w:val="24"/>
          <w:lang w:val="it-IT"/>
        </w:rPr>
        <w:t xml:space="preserve">i residenti facenti parte delle </w:t>
      </w:r>
      <w:r w:rsidR="00A70AFF" w:rsidRPr="006F07C8">
        <w:rPr>
          <w:rFonts w:ascii="Times New Roman" w:hAnsi="Times New Roman" w:cs="Times New Roman"/>
          <w:bCs/>
          <w:sz w:val="24"/>
          <w:szCs w:val="24"/>
          <w:lang w:val="it-IT"/>
        </w:rPr>
        <w:t xml:space="preserve">fasce di reddito meno alte, </w:t>
      </w:r>
      <w:r w:rsidR="00DB1A72" w:rsidRPr="006F07C8">
        <w:rPr>
          <w:rFonts w:ascii="Times New Roman" w:hAnsi="Times New Roman" w:cs="Times New Roman"/>
          <w:bCs/>
          <w:sz w:val="24"/>
          <w:szCs w:val="24"/>
          <w:lang w:val="it-IT"/>
        </w:rPr>
        <w:t>i residenti</w:t>
      </w:r>
      <w:r w:rsidR="00B45213" w:rsidRPr="006F07C8">
        <w:rPr>
          <w:rFonts w:ascii="Times New Roman" w:hAnsi="Times New Roman" w:cs="Times New Roman"/>
          <w:bCs/>
          <w:sz w:val="24"/>
          <w:szCs w:val="24"/>
          <w:lang w:val="it-IT"/>
        </w:rPr>
        <w:t xml:space="preserve"> </w:t>
      </w:r>
      <w:r w:rsidR="00A70AFF" w:rsidRPr="006F07C8">
        <w:rPr>
          <w:rFonts w:ascii="Times New Roman" w:hAnsi="Times New Roman" w:cs="Times New Roman"/>
          <w:bCs/>
          <w:sz w:val="24"/>
          <w:szCs w:val="24"/>
          <w:lang w:val="it-IT"/>
        </w:rPr>
        <w:t xml:space="preserve">con un livello di istruzione medio-basso, i disoccupati, i disabili e </w:t>
      </w:r>
      <w:r w:rsidR="00CD43CF" w:rsidRPr="006F07C8">
        <w:rPr>
          <w:rFonts w:ascii="Times New Roman" w:hAnsi="Times New Roman" w:cs="Times New Roman"/>
          <w:bCs/>
          <w:sz w:val="24"/>
          <w:szCs w:val="24"/>
          <w:lang w:val="it-IT"/>
        </w:rPr>
        <w:t xml:space="preserve">a </w:t>
      </w:r>
      <w:r w:rsidR="00DB1A72" w:rsidRPr="006F07C8">
        <w:rPr>
          <w:rFonts w:ascii="Times New Roman" w:hAnsi="Times New Roman" w:cs="Times New Roman"/>
          <w:bCs/>
          <w:sz w:val="24"/>
          <w:szCs w:val="24"/>
          <w:lang w:val="it-IT"/>
        </w:rPr>
        <w:t xml:space="preserve">quelli </w:t>
      </w:r>
      <w:r w:rsidR="00A70AFF" w:rsidRPr="006F07C8">
        <w:rPr>
          <w:rFonts w:ascii="Times New Roman" w:hAnsi="Times New Roman" w:cs="Times New Roman"/>
          <w:bCs/>
          <w:sz w:val="24"/>
          <w:szCs w:val="24"/>
          <w:lang w:val="it-IT"/>
        </w:rPr>
        <w:t>che s</w:t>
      </w:r>
      <w:r w:rsidR="008C27FC" w:rsidRPr="006F07C8">
        <w:rPr>
          <w:rFonts w:ascii="Times New Roman" w:hAnsi="Times New Roman" w:cs="Times New Roman"/>
          <w:bCs/>
          <w:sz w:val="24"/>
          <w:szCs w:val="24"/>
          <w:lang w:val="it-IT"/>
        </w:rPr>
        <w:t>i dedicano ai lavori domestici</w:t>
      </w:r>
      <w:r w:rsidR="001F4057" w:rsidRPr="006F07C8">
        <w:rPr>
          <w:rFonts w:ascii="Times New Roman" w:hAnsi="Times New Roman" w:cs="Times New Roman"/>
          <w:bCs/>
          <w:sz w:val="24"/>
          <w:szCs w:val="24"/>
          <w:lang w:val="it-IT"/>
        </w:rPr>
        <w:t xml:space="preserve"> (una categoria spesso collegata al genere)</w:t>
      </w:r>
      <w:r w:rsidR="008C27FC" w:rsidRPr="006F07C8">
        <w:rPr>
          <w:rFonts w:ascii="Times New Roman" w:hAnsi="Times New Roman" w:cs="Times New Roman"/>
          <w:bCs/>
          <w:sz w:val="24"/>
          <w:szCs w:val="24"/>
          <w:lang w:val="it-IT"/>
        </w:rPr>
        <w:t>.</w:t>
      </w:r>
      <w:r w:rsidR="00C254F5" w:rsidRPr="006F07C8">
        <w:rPr>
          <w:rFonts w:ascii="Times New Roman" w:hAnsi="Times New Roman" w:cs="Times New Roman"/>
          <w:bCs/>
          <w:sz w:val="24"/>
          <w:szCs w:val="24"/>
          <w:lang w:val="it-IT"/>
        </w:rPr>
        <w:t xml:space="preserve"> </w:t>
      </w:r>
      <w:r w:rsidR="00EC4952" w:rsidRPr="006F07C8">
        <w:rPr>
          <w:rFonts w:ascii="Times New Roman" w:hAnsi="Times New Roman" w:cs="Times New Roman"/>
          <w:bCs/>
          <w:sz w:val="24"/>
          <w:szCs w:val="24"/>
          <w:lang w:val="it-IT"/>
        </w:rPr>
        <w:t>Al contrario, una politica linguistica multilingue fondata su un uso intensivo della</w:t>
      </w:r>
      <w:r w:rsidR="00C254F5" w:rsidRPr="006F07C8">
        <w:rPr>
          <w:rFonts w:ascii="Times New Roman" w:hAnsi="Times New Roman" w:cs="Times New Roman"/>
          <w:bCs/>
          <w:sz w:val="24"/>
          <w:szCs w:val="24"/>
          <w:lang w:val="it-IT"/>
        </w:rPr>
        <w:t xml:space="preserve"> traduzione e </w:t>
      </w:r>
      <w:r w:rsidR="00EC4952" w:rsidRPr="006F07C8">
        <w:rPr>
          <w:rFonts w:ascii="Times New Roman" w:hAnsi="Times New Roman" w:cs="Times New Roman"/>
          <w:bCs/>
          <w:sz w:val="24"/>
          <w:szCs w:val="24"/>
          <w:lang w:val="it-IT"/>
        </w:rPr>
        <w:t>del</w:t>
      </w:r>
      <w:r w:rsidR="00C254F5" w:rsidRPr="006F07C8">
        <w:rPr>
          <w:rFonts w:ascii="Times New Roman" w:hAnsi="Times New Roman" w:cs="Times New Roman"/>
          <w:bCs/>
          <w:sz w:val="24"/>
          <w:szCs w:val="24"/>
          <w:lang w:val="it-IT"/>
        </w:rPr>
        <w:t>l’interpreta</w:t>
      </w:r>
      <w:r w:rsidR="00EC4952" w:rsidRPr="006F07C8">
        <w:rPr>
          <w:rFonts w:ascii="Times New Roman" w:hAnsi="Times New Roman" w:cs="Times New Roman"/>
          <w:bCs/>
          <w:sz w:val="24"/>
          <w:szCs w:val="24"/>
          <w:lang w:val="it-IT"/>
        </w:rPr>
        <w:t>r</w:t>
      </w:r>
      <w:r w:rsidR="00C254F5" w:rsidRPr="006F07C8">
        <w:rPr>
          <w:rFonts w:ascii="Times New Roman" w:hAnsi="Times New Roman" w:cs="Times New Roman"/>
          <w:bCs/>
          <w:sz w:val="24"/>
          <w:szCs w:val="24"/>
          <w:lang w:val="it-IT"/>
        </w:rPr>
        <w:t>i</w:t>
      </w:r>
      <w:r w:rsidR="00EC4952" w:rsidRPr="006F07C8">
        <w:rPr>
          <w:rFonts w:ascii="Times New Roman" w:hAnsi="Times New Roman" w:cs="Times New Roman"/>
          <w:bCs/>
          <w:sz w:val="24"/>
          <w:szCs w:val="24"/>
          <w:lang w:val="it-IT"/>
        </w:rPr>
        <w:t>ato</w:t>
      </w:r>
      <w:r w:rsidR="007B5D7C" w:rsidRPr="006F07C8">
        <w:rPr>
          <w:rFonts w:ascii="Times New Roman" w:hAnsi="Times New Roman" w:cs="Times New Roman"/>
          <w:bCs/>
          <w:sz w:val="24"/>
          <w:szCs w:val="24"/>
          <w:lang w:val="it-IT"/>
        </w:rPr>
        <w:t>, anche se a un costo non nullo</w:t>
      </w:r>
      <w:r w:rsidR="00EC4952" w:rsidRPr="006F07C8">
        <w:rPr>
          <w:rFonts w:ascii="Times New Roman" w:hAnsi="Times New Roman" w:cs="Times New Roman"/>
          <w:bCs/>
          <w:sz w:val="24"/>
          <w:szCs w:val="24"/>
          <w:lang w:val="it-IT"/>
        </w:rPr>
        <w:t xml:space="preserve">, </w:t>
      </w:r>
      <w:r w:rsidR="007B5D7C" w:rsidRPr="006F07C8">
        <w:rPr>
          <w:rFonts w:ascii="Times New Roman" w:hAnsi="Times New Roman" w:cs="Times New Roman"/>
          <w:bCs/>
          <w:sz w:val="24"/>
          <w:szCs w:val="24"/>
          <w:lang w:val="it-IT"/>
        </w:rPr>
        <w:t xml:space="preserve">rende possibile nelle attuali circostanze storiche </w:t>
      </w:r>
      <w:r w:rsidR="00EC4952" w:rsidRPr="006F07C8">
        <w:rPr>
          <w:rFonts w:ascii="Times New Roman" w:hAnsi="Times New Roman" w:cs="Times New Roman"/>
          <w:bCs/>
          <w:sz w:val="24"/>
          <w:szCs w:val="24"/>
          <w:lang w:val="it-IT"/>
        </w:rPr>
        <w:t>una comunicaz</w:t>
      </w:r>
      <w:r w:rsidR="007B5D7C" w:rsidRPr="006F07C8">
        <w:rPr>
          <w:rFonts w:ascii="Times New Roman" w:hAnsi="Times New Roman" w:cs="Times New Roman"/>
          <w:bCs/>
          <w:sz w:val="24"/>
          <w:szCs w:val="24"/>
          <w:lang w:val="it-IT"/>
        </w:rPr>
        <w:t>i</w:t>
      </w:r>
      <w:r w:rsidR="00EC4952" w:rsidRPr="006F07C8">
        <w:rPr>
          <w:rFonts w:ascii="Times New Roman" w:hAnsi="Times New Roman" w:cs="Times New Roman"/>
          <w:bCs/>
          <w:sz w:val="24"/>
          <w:szCs w:val="24"/>
          <w:lang w:val="it-IT"/>
        </w:rPr>
        <w:t xml:space="preserve">one </w:t>
      </w:r>
      <w:r w:rsidR="007B5D7C" w:rsidRPr="006F07C8">
        <w:rPr>
          <w:rFonts w:ascii="Times New Roman" w:hAnsi="Times New Roman" w:cs="Times New Roman"/>
          <w:bCs/>
          <w:sz w:val="24"/>
          <w:szCs w:val="24"/>
          <w:lang w:val="it-IT"/>
        </w:rPr>
        <w:t xml:space="preserve">più inclusiva. </w:t>
      </w:r>
      <w:r w:rsidR="00B864AC" w:rsidRPr="006F07C8">
        <w:rPr>
          <w:rFonts w:ascii="Times New Roman" w:hAnsi="Times New Roman" w:cs="Times New Roman"/>
          <w:bCs/>
          <w:sz w:val="24"/>
          <w:szCs w:val="24"/>
          <w:lang w:val="it-IT"/>
        </w:rPr>
        <w:t xml:space="preserve">In questo senso </w:t>
      </w:r>
      <w:r w:rsidR="007B5D7C" w:rsidRPr="006F07C8">
        <w:rPr>
          <w:rFonts w:ascii="Times New Roman" w:hAnsi="Times New Roman" w:cs="Times New Roman"/>
          <w:bCs/>
          <w:sz w:val="24"/>
          <w:szCs w:val="24"/>
          <w:lang w:val="it-IT"/>
        </w:rPr>
        <w:t xml:space="preserve">i risultati qui esposti sembrano </w:t>
      </w:r>
      <w:r w:rsidR="00104FE8" w:rsidRPr="006F07C8">
        <w:rPr>
          <w:rFonts w:ascii="Times New Roman" w:hAnsi="Times New Roman" w:cs="Times New Roman"/>
          <w:bCs/>
          <w:sz w:val="24"/>
          <w:szCs w:val="24"/>
          <w:lang w:val="it-IT"/>
        </w:rPr>
        <w:t>dare sostegno empirico al</w:t>
      </w:r>
      <w:r w:rsidR="007B5D7C" w:rsidRPr="006F07C8">
        <w:rPr>
          <w:rFonts w:ascii="Times New Roman" w:hAnsi="Times New Roman" w:cs="Times New Roman"/>
          <w:bCs/>
          <w:sz w:val="24"/>
          <w:szCs w:val="24"/>
          <w:lang w:val="it-IT"/>
        </w:rPr>
        <w:t xml:space="preserve">l’idea </w:t>
      </w:r>
      <w:r w:rsidR="00104FE8" w:rsidRPr="006F07C8">
        <w:rPr>
          <w:rFonts w:ascii="Times New Roman" w:hAnsi="Times New Roman" w:cs="Times New Roman"/>
          <w:bCs/>
          <w:sz w:val="24"/>
          <w:szCs w:val="24"/>
          <w:lang w:val="it-IT"/>
        </w:rPr>
        <w:t>secondo cui</w:t>
      </w:r>
      <w:r w:rsidR="00B864AC" w:rsidRPr="006F07C8">
        <w:rPr>
          <w:rFonts w:ascii="Times New Roman" w:hAnsi="Times New Roman" w:cs="Times New Roman"/>
          <w:bCs/>
          <w:sz w:val="24"/>
          <w:szCs w:val="24"/>
          <w:lang w:val="it-IT"/>
        </w:rPr>
        <w:t xml:space="preserve"> un regime linguistico multilingue </w:t>
      </w:r>
      <w:r w:rsidR="00E51234" w:rsidRPr="006F07C8">
        <w:rPr>
          <w:rFonts w:ascii="Times New Roman" w:hAnsi="Times New Roman" w:cs="Times New Roman"/>
          <w:bCs/>
          <w:sz w:val="24"/>
          <w:szCs w:val="24"/>
          <w:lang w:val="it-IT"/>
        </w:rPr>
        <w:t>può contribuire</w:t>
      </w:r>
      <w:r w:rsidR="00B864AC" w:rsidRPr="006F07C8">
        <w:rPr>
          <w:rFonts w:ascii="Times New Roman" w:hAnsi="Times New Roman" w:cs="Times New Roman"/>
          <w:bCs/>
          <w:sz w:val="24"/>
          <w:szCs w:val="24"/>
          <w:lang w:val="it-IT"/>
        </w:rPr>
        <w:t xml:space="preserve"> alla coesione sociale in Europa (</w:t>
      </w:r>
      <w:hyperlink w:anchor="_ENREF_13" w:tooltip="Commissione europea, 2010 #924" w:history="1">
        <w:r w:rsidR="00101624" w:rsidRPr="006F07C8">
          <w:rPr>
            <w:rFonts w:ascii="Times New Roman" w:hAnsi="Times New Roman" w:cs="Times New Roman"/>
            <w:bCs/>
            <w:sz w:val="24"/>
            <w:szCs w:val="24"/>
            <w:lang w:val="it-IT"/>
          </w:rPr>
          <w:fldChar w:fldCharType="begin"/>
        </w:r>
        <w:r w:rsidR="00101624" w:rsidRPr="006F07C8">
          <w:rPr>
            <w:rFonts w:ascii="Times New Roman" w:hAnsi="Times New Roman" w:cs="Times New Roman"/>
            <w:bCs/>
            <w:sz w:val="24"/>
            <w:szCs w:val="24"/>
            <w:lang w:val="it-IT"/>
          </w:rPr>
          <w:instrText xml:space="preserve"> ADDIN EN.CITE &lt;EndNote&gt;&lt;Cite&gt;&lt;Author&gt;Commissione europea&lt;/Author&gt;&lt;Year&gt;2010&lt;/Year&gt;&lt;RecNum&gt;924&lt;/RecNum&gt;&lt;DisplayText&gt;Commissione europea 2010a&lt;/DisplayText&gt;&lt;record&gt;&lt;rec-number&gt;924&lt;/rec-number&gt;&lt;foreign-keys&gt;&lt;key app="EN" db-id="wvvszzd93a0z5wesdfpvdv9z5wrra5p05axp"&gt;924&lt;/key&gt;&lt;/foreign-keys&gt;&lt;ref-type name="Report"&gt;27&lt;/ref-type&gt;&lt;contributors&gt;&lt;authors&gt;&lt;author&gt;Commissione europea,&lt;/author&gt;&lt;/authors&gt;&lt;/contributors&gt;&lt;titles&gt;&lt;title&gt;Contribution de la traduction à la société multilingue dans l&amp;apos;Union européenne&lt;/title&gt;&lt;secondary-title&gt;Études sur la traduction et le multilinguisme&lt;/secondary-title&gt;&lt;/titles&gt;&lt;dates&gt;&lt;year&gt;2010&lt;/year&gt;&lt;/dates&gt;&lt;pub-location&gt;Bruxelles&lt;/pub-location&gt;&lt;publisher&gt;Direzione generale per la traduzione. Commissione europea&lt;/publisher&gt;&lt;urls&gt;&lt;/urls&gt;&lt;/record&gt;&lt;/Cite&gt;&lt;/EndNote&gt;</w:instrText>
        </w:r>
        <w:r w:rsidR="00101624" w:rsidRPr="006F07C8">
          <w:rPr>
            <w:rFonts w:ascii="Times New Roman" w:hAnsi="Times New Roman" w:cs="Times New Roman"/>
            <w:bCs/>
            <w:sz w:val="24"/>
            <w:szCs w:val="24"/>
            <w:lang w:val="it-IT"/>
          </w:rPr>
          <w:fldChar w:fldCharType="separate"/>
        </w:r>
        <w:r w:rsidR="00101624" w:rsidRPr="006F07C8">
          <w:rPr>
            <w:rFonts w:ascii="Times New Roman" w:hAnsi="Times New Roman" w:cs="Times New Roman"/>
            <w:bCs/>
            <w:noProof/>
            <w:sz w:val="24"/>
            <w:szCs w:val="24"/>
            <w:lang w:val="it-IT"/>
          </w:rPr>
          <w:t>Commissione europea 2010a</w:t>
        </w:r>
        <w:r w:rsidR="00101624" w:rsidRPr="006F07C8">
          <w:rPr>
            <w:rFonts w:ascii="Times New Roman" w:hAnsi="Times New Roman" w:cs="Times New Roman"/>
            <w:bCs/>
            <w:sz w:val="24"/>
            <w:szCs w:val="24"/>
            <w:lang w:val="it-IT"/>
          </w:rPr>
          <w:fldChar w:fldCharType="end"/>
        </w:r>
      </w:hyperlink>
      <w:r w:rsidR="00104FE8" w:rsidRPr="006F07C8">
        <w:rPr>
          <w:rFonts w:ascii="Times New Roman" w:hAnsi="Times New Roman" w:cs="Times New Roman"/>
          <w:bCs/>
          <w:sz w:val="24"/>
          <w:szCs w:val="24"/>
          <w:lang w:val="it-IT"/>
        </w:rPr>
        <w:t>).</w:t>
      </w:r>
    </w:p>
    <w:p w:rsidR="00D05396" w:rsidRPr="006F07C8" w:rsidRDefault="00D05396" w:rsidP="002F52A9">
      <w:pPr>
        <w:spacing w:line="240" w:lineRule="auto"/>
        <w:jc w:val="both"/>
        <w:rPr>
          <w:rFonts w:ascii="Times New Roman" w:hAnsi="Times New Roman" w:cs="Times New Roman"/>
          <w:bCs/>
          <w:sz w:val="24"/>
          <w:szCs w:val="24"/>
          <w:lang w:val="it-IT"/>
        </w:rPr>
      </w:pPr>
      <w:r w:rsidRPr="006F07C8">
        <w:rPr>
          <w:rFonts w:ascii="Times New Roman" w:hAnsi="Times New Roman" w:cs="Times New Roman"/>
          <w:sz w:val="24"/>
          <w:szCs w:val="24"/>
          <w:lang w:val="it-IT"/>
        </w:rPr>
        <w:t xml:space="preserve">Si potrebbe obiettare che non tutti i residenti europei sono necessariamente interessati ad avere accesso ai documenti ufficiali pubblicati dalle istituzioni europee, e che in fondo le sedute al Parlamento europeo e le direttive comunitarie interessano soprattutto a delle persone con uno status socio-economico, una posizione lavorativa e un livello di istruzione più elevati della media, e che costoro, come </w:t>
      </w:r>
      <w:r w:rsidR="001F4057" w:rsidRPr="006F07C8">
        <w:rPr>
          <w:rFonts w:ascii="Times New Roman" w:hAnsi="Times New Roman" w:cs="Times New Roman"/>
          <w:sz w:val="24"/>
          <w:szCs w:val="24"/>
          <w:lang w:val="it-IT"/>
        </w:rPr>
        <w:t xml:space="preserve">peraltro </w:t>
      </w:r>
      <w:r w:rsidR="00807445" w:rsidRPr="006F07C8">
        <w:rPr>
          <w:rFonts w:ascii="Times New Roman" w:hAnsi="Times New Roman" w:cs="Times New Roman"/>
          <w:sz w:val="24"/>
          <w:szCs w:val="24"/>
          <w:lang w:val="it-IT"/>
        </w:rPr>
        <w:t>di</w:t>
      </w:r>
      <w:r w:rsidRPr="006F07C8">
        <w:rPr>
          <w:rFonts w:ascii="Times New Roman" w:hAnsi="Times New Roman" w:cs="Times New Roman"/>
          <w:sz w:val="24"/>
          <w:szCs w:val="24"/>
          <w:lang w:val="it-IT"/>
        </w:rPr>
        <w:t>mostrato in quest</w:t>
      </w:r>
      <w:r w:rsidR="00807445" w:rsidRPr="006F07C8">
        <w:rPr>
          <w:rFonts w:ascii="Times New Roman" w:hAnsi="Times New Roman" w:cs="Times New Roman"/>
          <w:sz w:val="24"/>
          <w:szCs w:val="24"/>
          <w:lang w:val="it-IT"/>
        </w:rPr>
        <w:t>a</w:t>
      </w:r>
      <w:r w:rsidRPr="006F07C8">
        <w:rPr>
          <w:rFonts w:ascii="Times New Roman" w:hAnsi="Times New Roman" w:cs="Times New Roman"/>
          <w:sz w:val="24"/>
          <w:szCs w:val="24"/>
          <w:lang w:val="it-IT"/>
        </w:rPr>
        <w:t xml:space="preserve"> sezione, hanno competenze nelle lingue straniere generalmente più elevate. A mia conoscenza, non esistono dati che permettano di capire chi effettivamente abbia frequenti contatti con le istituzioni europee. Tuttavia, bisogna ricordare che l’UE mira a essere un’organizzazione democratica ed essa non può quindi ignorare che qualsiasi cittadino e contribuente, in linea teorica, può avere bisogno o interesse ad accedere alla comunicazione con le istituzioni europee.</w:t>
      </w:r>
      <w:r w:rsidR="00E47CAA" w:rsidRPr="006F07C8">
        <w:rPr>
          <w:rFonts w:ascii="Times New Roman" w:hAnsi="Times New Roman" w:cs="Times New Roman"/>
          <w:sz w:val="24"/>
          <w:szCs w:val="24"/>
          <w:lang w:val="it-IT"/>
        </w:rPr>
        <w:t xml:space="preserve"> </w:t>
      </w:r>
      <w:r w:rsidR="00FD47E4" w:rsidRPr="006F07C8">
        <w:rPr>
          <w:rFonts w:ascii="Times New Roman" w:hAnsi="Times New Roman" w:cs="Times New Roman"/>
          <w:sz w:val="24"/>
          <w:szCs w:val="24"/>
          <w:lang w:val="it-IT"/>
        </w:rPr>
        <w:t xml:space="preserve">Non basta. </w:t>
      </w:r>
      <w:r w:rsidR="00E47CAA" w:rsidRPr="006F07C8">
        <w:rPr>
          <w:rFonts w:ascii="Times New Roman" w:hAnsi="Times New Roman" w:cs="Times New Roman"/>
          <w:sz w:val="24"/>
          <w:szCs w:val="24"/>
          <w:lang w:val="it-IT"/>
        </w:rPr>
        <w:t xml:space="preserve">Oltre alle questioni </w:t>
      </w:r>
      <w:r w:rsidR="00FD47E4" w:rsidRPr="006F07C8">
        <w:rPr>
          <w:rFonts w:ascii="Times New Roman" w:hAnsi="Times New Roman" w:cs="Times New Roman"/>
          <w:sz w:val="24"/>
          <w:szCs w:val="24"/>
          <w:lang w:val="it-IT"/>
        </w:rPr>
        <w:t xml:space="preserve">generali </w:t>
      </w:r>
      <w:r w:rsidR="00E47CAA" w:rsidRPr="006F07C8">
        <w:rPr>
          <w:rFonts w:ascii="Times New Roman" w:hAnsi="Times New Roman" w:cs="Times New Roman"/>
          <w:sz w:val="24"/>
          <w:szCs w:val="24"/>
          <w:lang w:val="it-IT"/>
        </w:rPr>
        <w:t xml:space="preserve">di equità e partecipazione democratica </w:t>
      </w:r>
      <w:r w:rsidR="00FD47E4" w:rsidRPr="006F07C8">
        <w:rPr>
          <w:rFonts w:ascii="Times New Roman" w:hAnsi="Times New Roman" w:cs="Times New Roman"/>
          <w:sz w:val="24"/>
          <w:szCs w:val="24"/>
          <w:lang w:val="it-IT"/>
        </w:rPr>
        <w:t>appena accennate</w:t>
      </w:r>
      <w:r w:rsidR="00E47CAA" w:rsidRPr="006F07C8">
        <w:rPr>
          <w:rFonts w:ascii="Times New Roman" w:hAnsi="Times New Roman" w:cs="Times New Roman"/>
          <w:sz w:val="24"/>
          <w:szCs w:val="24"/>
          <w:lang w:val="it-IT"/>
        </w:rPr>
        <w:t xml:space="preserve">, vi </w:t>
      </w:r>
      <w:r w:rsidR="00FD47E4" w:rsidRPr="006F07C8">
        <w:rPr>
          <w:rFonts w:ascii="Times New Roman" w:hAnsi="Times New Roman" w:cs="Times New Roman"/>
          <w:sz w:val="24"/>
          <w:szCs w:val="24"/>
          <w:lang w:val="it-IT"/>
        </w:rPr>
        <w:t xml:space="preserve">è anche una seconda risposta all’obiezione di cui sopra. </w:t>
      </w:r>
      <w:r w:rsidR="008E3DA6" w:rsidRPr="006F07C8">
        <w:rPr>
          <w:rFonts w:ascii="Times New Roman" w:hAnsi="Times New Roman" w:cs="Times New Roman"/>
          <w:sz w:val="24"/>
          <w:szCs w:val="24"/>
          <w:lang w:val="it-IT"/>
        </w:rPr>
        <w:t>Il</w:t>
      </w:r>
      <w:r w:rsidR="007A6C14" w:rsidRPr="006F07C8">
        <w:rPr>
          <w:rFonts w:ascii="Times New Roman" w:hAnsi="Times New Roman" w:cs="Times New Roman"/>
          <w:sz w:val="24"/>
          <w:szCs w:val="24"/>
          <w:lang w:val="it-IT"/>
        </w:rPr>
        <w:t xml:space="preserve"> luogo comune</w:t>
      </w:r>
      <w:r w:rsidR="00E47CAA" w:rsidRPr="006F07C8">
        <w:rPr>
          <w:rFonts w:ascii="Times New Roman" w:hAnsi="Times New Roman" w:cs="Times New Roman"/>
          <w:sz w:val="24"/>
          <w:szCs w:val="24"/>
          <w:lang w:val="it-IT"/>
        </w:rPr>
        <w:t xml:space="preserve"> secondo cui le élites produttive</w:t>
      </w:r>
      <w:r w:rsidR="00FD47E4" w:rsidRPr="006F07C8">
        <w:rPr>
          <w:rFonts w:ascii="Times New Roman" w:hAnsi="Times New Roman" w:cs="Times New Roman"/>
          <w:sz w:val="24"/>
          <w:szCs w:val="24"/>
          <w:lang w:val="it-IT"/>
        </w:rPr>
        <w:t xml:space="preserve"> ― </w:t>
      </w:r>
      <w:r w:rsidR="00E47CAA" w:rsidRPr="006F07C8">
        <w:rPr>
          <w:rFonts w:ascii="Times New Roman" w:hAnsi="Times New Roman" w:cs="Times New Roman"/>
          <w:sz w:val="24"/>
          <w:szCs w:val="24"/>
          <w:lang w:val="it-IT"/>
        </w:rPr>
        <w:t>e in particola</w:t>
      </w:r>
      <w:r w:rsidR="00FD47E4" w:rsidRPr="006F07C8">
        <w:rPr>
          <w:rFonts w:ascii="Times New Roman" w:hAnsi="Times New Roman" w:cs="Times New Roman"/>
          <w:sz w:val="24"/>
          <w:szCs w:val="24"/>
          <w:lang w:val="it-IT"/>
        </w:rPr>
        <w:t>re</w:t>
      </w:r>
      <w:r w:rsidR="00E47CAA" w:rsidRPr="006F07C8">
        <w:rPr>
          <w:rFonts w:ascii="Times New Roman" w:hAnsi="Times New Roman" w:cs="Times New Roman"/>
          <w:sz w:val="24"/>
          <w:szCs w:val="24"/>
          <w:lang w:val="it-IT"/>
        </w:rPr>
        <w:t xml:space="preserve"> i dirigenti e i quadri intermedi</w:t>
      </w:r>
      <w:r w:rsidR="00FD47E4" w:rsidRPr="006F07C8">
        <w:rPr>
          <w:rFonts w:ascii="Times New Roman" w:hAnsi="Times New Roman" w:cs="Times New Roman"/>
          <w:sz w:val="24"/>
          <w:szCs w:val="24"/>
          <w:lang w:val="it-IT"/>
        </w:rPr>
        <w:t xml:space="preserve">, cioè coloro che più di altri </w:t>
      </w:r>
      <w:r w:rsidR="008E3DA6" w:rsidRPr="006F07C8">
        <w:rPr>
          <w:rFonts w:ascii="Times New Roman" w:hAnsi="Times New Roman" w:cs="Times New Roman"/>
          <w:sz w:val="24"/>
          <w:szCs w:val="24"/>
          <w:lang w:val="it-IT"/>
        </w:rPr>
        <w:t>dovrebbero</w:t>
      </w:r>
      <w:r w:rsidR="00FD47E4" w:rsidRPr="006F07C8">
        <w:rPr>
          <w:rFonts w:ascii="Times New Roman" w:hAnsi="Times New Roman" w:cs="Times New Roman"/>
          <w:sz w:val="24"/>
          <w:szCs w:val="24"/>
          <w:lang w:val="it-IT"/>
        </w:rPr>
        <w:t xml:space="preserve"> interessarsi alle politiche e alle iniziative europee ―</w:t>
      </w:r>
      <w:r w:rsidR="00E47CAA" w:rsidRPr="006F07C8">
        <w:rPr>
          <w:rFonts w:ascii="Times New Roman" w:hAnsi="Times New Roman" w:cs="Times New Roman"/>
          <w:sz w:val="24"/>
          <w:szCs w:val="24"/>
          <w:lang w:val="it-IT"/>
        </w:rPr>
        <w:t xml:space="preserve"> </w:t>
      </w:r>
      <w:r w:rsidR="008E3DA6" w:rsidRPr="006F07C8">
        <w:rPr>
          <w:rFonts w:ascii="Times New Roman" w:hAnsi="Times New Roman" w:cs="Times New Roman"/>
          <w:sz w:val="24"/>
          <w:szCs w:val="24"/>
          <w:lang w:val="it-IT"/>
        </w:rPr>
        <w:t>avrebbero</w:t>
      </w:r>
      <w:r w:rsidR="00E47CAA" w:rsidRPr="006F07C8">
        <w:rPr>
          <w:rFonts w:ascii="Times New Roman" w:hAnsi="Times New Roman" w:cs="Times New Roman"/>
          <w:sz w:val="24"/>
          <w:szCs w:val="24"/>
          <w:lang w:val="it-IT"/>
        </w:rPr>
        <w:t xml:space="preserve"> </w:t>
      </w:r>
      <w:r w:rsidR="007A6C14" w:rsidRPr="006F07C8">
        <w:rPr>
          <w:rFonts w:ascii="Times New Roman" w:hAnsi="Times New Roman" w:cs="Times New Roman"/>
          <w:sz w:val="24"/>
          <w:szCs w:val="24"/>
          <w:lang w:val="it-IT"/>
        </w:rPr>
        <w:t xml:space="preserve">un’elevata padronanza nelle lingue straniere </w:t>
      </w:r>
      <w:r w:rsidR="00E47CAA" w:rsidRPr="006F07C8">
        <w:rPr>
          <w:rFonts w:ascii="Times New Roman" w:hAnsi="Times New Roman" w:cs="Times New Roman"/>
          <w:sz w:val="24"/>
          <w:szCs w:val="24"/>
          <w:lang w:val="it-IT"/>
        </w:rPr>
        <w:t>si dimostra essere</w:t>
      </w:r>
      <w:r w:rsidR="008E3DA6" w:rsidRPr="006F07C8">
        <w:rPr>
          <w:rFonts w:ascii="Times New Roman" w:hAnsi="Times New Roman" w:cs="Times New Roman"/>
          <w:sz w:val="24"/>
          <w:szCs w:val="24"/>
          <w:lang w:val="it-IT"/>
        </w:rPr>
        <w:t>, alla prova dei fatti,</w:t>
      </w:r>
      <w:r w:rsidR="00E47CAA" w:rsidRPr="006F07C8">
        <w:rPr>
          <w:rFonts w:ascii="Times New Roman" w:hAnsi="Times New Roman" w:cs="Times New Roman"/>
          <w:sz w:val="24"/>
          <w:szCs w:val="24"/>
          <w:lang w:val="it-IT"/>
        </w:rPr>
        <w:t xml:space="preserve"> priv</w:t>
      </w:r>
      <w:r w:rsidR="007A6C14" w:rsidRPr="006F07C8">
        <w:rPr>
          <w:rFonts w:ascii="Times New Roman" w:hAnsi="Times New Roman" w:cs="Times New Roman"/>
          <w:sz w:val="24"/>
          <w:szCs w:val="24"/>
          <w:lang w:val="it-IT"/>
        </w:rPr>
        <w:t>o</w:t>
      </w:r>
      <w:r w:rsidR="00E47CAA" w:rsidRPr="006F07C8">
        <w:rPr>
          <w:rFonts w:ascii="Times New Roman" w:hAnsi="Times New Roman" w:cs="Times New Roman"/>
          <w:sz w:val="24"/>
          <w:szCs w:val="24"/>
          <w:lang w:val="it-IT"/>
        </w:rPr>
        <w:t xml:space="preserve"> di fondamento</w:t>
      </w:r>
      <w:r w:rsidR="007A6C14" w:rsidRPr="006F07C8">
        <w:rPr>
          <w:rFonts w:ascii="Times New Roman" w:hAnsi="Times New Roman" w:cs="Times New Roman"/>
          <w:sz w:val="24"/>
          <w:szCs w:val="24"/>
          <w:lang w:val="it-IT"/>
        </w:rPr>
        <w:t xml:space="preserve"> empirico</w:t>
      </w:r>
      <w:r w:rsidR="00E47CAA" w:rsidRPr="006F07C8">
        <w:rPr>
          <w:rFonts w:ascii="Times New Roman" w:hAnsi="Times New Roman" w:cs="Times New Roman"/>
          <w:sz w:val="24"/>
          <w:szCs w:val="24"/>
          <w:lang w:val="it-IT"/>
        </w:rPr>
        <w:t xml:space="preserve">. Sarà </w:t>
      </w:r>
      <w:r w:rsidR="003A4A69" w:rsidRPr="006F07C8">
        <w:rPr>
          <w:rFonts w:ascii="Times New Roman" w:hAnsi="Times New Roman" w:cs="Times New Roman"/>
          <w:sz w:val="24"/>
          <w:szCs w:val="24"/>
          <w:lang w:val="it-IT"/>
        </w:rPr>
        <w:t xml:space="preserve">proprio </w:t>
      </w:r>
      <w:r w:rsidR="00E47CAA" w:rsidRPr="006F07C8">
        <w:rPr>
          <w:rFonts w:ascii="Times New Roman" w:hAnsi="Times New Roman" w:cs="Times New Roman"/>
          <w:sz w:val="24"/>
          <w:szCs w:val="24"/>
          <w:lang w:val="it-IT"/>
        </w:rPr>
        <w:t xml:space="preserve">questo </w:t>
      </w:r>
      <w:r w:rsidR="00783425" w:rsidRPr="006F07C8">
        <w:rPr>
          <w:rFonts w:ascii="Times New Roman" w:hAnsi="Times New Roman" w:cs="Times New Roman"/>
          <w:sz w:val="24"/>
          <w:szCs w:val="24"/>
          <w:lang w:val="it-IT"/>
        </w:rPr>
        <w:t xml:space="preserve">il tema </w:t>
      </w:r>
      <w:r w:rsidR="00E47CAA" w:rsidRPr="006F07C8">
        <w:rPr>
          <w:rFonts w:ascii="Times New Roman" w:hAnsi="Times New Roman" w:cs="Times New Roman"/>
          <w:sz w:val="24"/>
          <w:szCs w:val="24"/>
          <w:lang w:val="it-IT"/>
        </w:rPr>
        <w:t>della prossima sezione.</w:t>
      </w:r>
    </w:p>
    <w:p w:rsidR="00852534" w:rsidRPr="006F07C8" w:rsidRDefault="00852534" w:rsidP="002F52A9">
      <w:pPr>
        <w:pStyle w:val="Heading2"/>
        <w:numPr>
          <w:ilvl w:val="0"/>
          <w:numId w:val="12"/>
        </w:numPr>
        <w:spacing w:line="240" w:lineRule="auto"/>
        <w:rPr>
          <w:rFonts w:ascii="Times New Roman" w:hAnsi="Times New Roman" w:cs="Times New Roman"/>
          <w:lang w:val="it-IT"/>
        </w:rPr>
      </w:pPr>
      <w:bookmarkStart w:id="20" w:name="_Ref378018188"/>
      <w:bookmarkStart w:id="21" w:name="_Toc384652928"/>
      <w:r w:rsidRPr="006F07C8">
        <w:rPr>
          <w:rFonts w:ascii="Times New Roman" w:hAnsi="Times New Roman" w:cs="Times New Roman"/>
          <w:lang w:val="it-IT"/>
        </w:rPr>
        <w:t>Lingu</w:t>
      </w:r>
      <w:r w:rsidR="00690BE8" w:rsidRPr="006F07C8">
        <w:rPr>
          <w:rFonts w:ascii="Times New Roman" w:hAnsi="Times New Roman" w:cs="Times New Roman"/>
          <w:lang w:val="it-IT"/>
        </w:rPr>
        <w:t>e</w:t>
      </w:r>
      <w:r w:rsidR="0030719A" w:rsidRPr="006F07C8">
        <w:rPr>
          <w:rFonts w:ascii="Times New Roman" w:hAnsi="Times New Roman" w:cs="Times New Roman"/>
          <w:lang w:val="it-IT"/>
        </w:rPr>
        <w:t xml:space="preserve"> e professioni</w:t>
      </w:r>
      <w:bookmarkEnd w:id="20"/>
      <w:bookmarkEnd w:id="21"/>
    </w:p>
    <w:p w:rsidR="002F52A9" w:rsidRPr="006F07C8" w:rsidRDefault="002F52A9" w:rsidP="002F52A9">
      <w:pPr>
        <w:spacing w:line="240" w:lineRule="auto"/>
        <w:jc w:val="both"/>
        <w:rPr>
          <w:rFonts w:ascii="Times New Roman" w:hAnsi="Times New Roman" w:cs="Times New Roman"/>
          <w:sz w:val="24"/>
          <w:szCs w:val="24"/>
          <w:lang w:val="it-IT"/>
        </w:rPr>
      </w:pPr>
    </w:p>
    <w:p w:rsidR="00133715" w:rsidRPr="006F07C8" w:rsidRDefault="00A838DB" w:rsidP="002F52A9">
      <w:pPr>
        <w:spacing w:line="240" w:lineRule="auto"/>
        <w:jc w:val="both"/>
        <w:rPr>
          <w:rFonts w:ascii="Times New Roman" w:hAnsi="Times New Roman" w:cs="Times New Roman"/>
          <w:sz w:val="24"/>
          <w:szCs w:val="24"/>
          <w:lang w:val="it-IT"/>
        </w:rPr>
      </w:pPr>
      <w:r w:rsidRPr="006F07C8">
        <w:rPr>
          <w:rFonts w:ascii="Times New Roman" w:hAnsi="Times New Roman" w:cs="Times New Roman"/>
          <w:sz w:val="24"/>
          <w:szCs w:val="24"/>
          <w:lang w:val="it-IT"/>
        </w:rPr>
        <w:t>L</w:t>
      </w:r>
      <w:r w:rsidR="00133715" w:rsidRPr="006F07C8">
        <w:rPr>
          <w:rFonts w:ascii="Times New Roman" w:hAnsi="Times New Roman" w:cs="Times New Roman"/>
          <w:sz w:val="24"/>
          <w:szCs w:val="24"/>
          <w:lang w:val="it-IT"/>
        </w:rPr>
        <w:t>’UE ha poteri e competenze che la rendono molto diversa dalle tradizionali organizzazioni internazionali. L’U</w:t>
      </w:r>
      <w:r w:rsidR="0029172E" w:rsidRPr="006F07C8">
        <w:rPr>
          <w:rFonts w:ascii="Times New Roman" w:hAnsi="Times New Roman" w:cs="Times New Roman"/>
          <w:sz w:val="24"/>
          <w:szCs w:val="24"/>
          <w:lang w:val="it-IT"/>
        </w:rPr>
        <w:t>nione</w:t>
      </w:r>
      <w:r w:rsidR="00133715" w:rsidRPr="006F07C8">
        <w:rPr>
          <w:rFonts w:ascii="Times New Roman" w:hAnsi="Times New Roman" w:cs="Times New Roman"/>
          <w:sz w:val="24"/>
          <w:szCs w:val="24"/>
          <w:lang w:val="it-IT"/>
        </w:rPr>
        <w:t xml:space="preserve"> ha una competenza </w:t>
      </w:r>
      <w:r w:rsidR="00133715" w:rsidRPr="006F07C8">
        <w:rPr>
          <w:rFonts w:ascii="Times New Roman" w:hAnsi="Times New Roman" w:cs="Times New Roman"/>
          <w:i/>
          <w:sz w:val="24"/>
          <w:szCs w:val="24"/>
          <w:lang w:val="it-IT"/>
        </w:rPr>
        <w:t>esclusiva</w:t>
      </w:r>
      <w:r w:rsidR="00B03225" w:rsidRPr="006F07C8">
        <w:rPr>
          <w:rFonts w:ascii="Times New Roman" w:hAnsi="Times New Roman" w:cs="Times New Roman"/>
          <w:sz w:val="24"/>
          <w:szCs w:val="24"/>
          <w:lang w:val="it-IT"/>
        </w:rPr>
        <w:t xml:space="preserve"> ―</w:t>
      </w:r>
      <w:r w:rsidR="00133715" w:rsidRPr="006F07C8">
        <w:rPr>
          <w:rFonts w:ascii="Times New Roman" w:hAnsi="Times New Roman" w:cs="Times New Roman"/>
          <w:sz w:val="24"/>
          <w:szCs w:val="24"/>
          <w:lang w:val="it-IT"/>
        </w:rPr>
        <w:t xml:space="preserve"> cioè solo essa</w:t>
      </w:r>
      <w:r w:rsidR="0029172E" w:rsidRPr="006F07C8">
        <w:rPr>
          <w:rFonts w:ascii="Times New Roman" w:hAnsi="Times New Roman" w:cs="Times New Roman"/>
          <w:sz w:val="24"/>
          <w:szCs w:val="24"/>
          <w:lang w:val="it-IT"/>
        </w:rPr>
        <w:t>,</w:t>
      </w:r>
      <w:r w:rsidR="00133715" w:rsidRPr="006F07C8">
        <w:rPr>
          <w:rFonts w:ascii="Times New Roman" w:hAnsi="Times New Roman" w:cs="Times New Roman"/>
          <w:sz w:val="24"/>
          <w:szCs w:val="24"/>
          <w:lang w:val="it-IT"/>
        </w:rPr>
        <w:t xml:space="preserve"> e non gli Stati Membri</w:t>
      </w:r>
      <w:r w:rsidR="0029172E" w:rsidRPr="006F07C8">
        <w:rPr>
          <w:rFonts w:ascii="Times New Roman" w:hAnsi="Times New Roman" w:cs="Times New Roman"/>
          <w:sz w:val="24"/>
          <w:szCs w:val="24"/>
          <w:lang w:val="it-IT"/>
        </w:rPr>
        <w:t>,</w:t>
      </w:r>
      <w:r w:rsidR="00133715" w:rsidRPr="006F07C8">
        <w:rPr>
          <w:rFonts w:ascii="Times New Roman" w:hAnsi="Times New Roman" w:cs="Times New Roman"/>
          <w:sz w:val="24"/>
          <w:szCs w:val="24"/>
          <w:lang w:val="it-IT"/>
        </w:rPr>
        <w:t xml:space="preserve"> ha capacità di agire</w:t>
      </w:r>
      <w:r w:rsidR="0029172E" w:rsidRPr="006F07C8">
        <w:rPr>
          <w:rFonts w:ascii="Times New Roman" w:hAnsi="Times New Roman" w:cs="Times New Roman"/>
          <w:sz w:val="24"/>
          <w:szCs w:val="24"/>
          <w:lang w:val="it-IT"/>
        </w:rPr>
        <w:t xml:space="preserve"> ―</w:t>
      </w:r>
      <w:r w:rsidR="00133715" w:rsidRPr="006F07C8">
        <w:rPr>
          <w:rFonts w:ascii="Times New Roman" w:hAnsi="Times New Roman" w:cs="Times New Roman"/>
          <w:sz w:val="24"/>
          <w:szCs w:val="24"/>
          <w:lang w:val="it-IT"/>
        </w:rPr>
        <w:t xml:space="preserve"> in c</w:t>
      </w:r>
      <w:r w:rsidR="00B03225" w:rsidRPr="006F07C8">
        <w:rPr>
          <w:rFonts w:ascii="Times New Roman" w:hAnsi="Times New Roman" w:cs="Times New Roman"/>
          <w:sz w:val="24"/>
          <w:szCs w:val="24"/>
          <w:lang w:val="it-IT"/>
        </w:rPr>
        <w:t xml:space="preserve">ampi come l’unione doganale </w:t>
      </w:r>
      <w:r w:rsidR="00133715" w:rsidRPr="006F07C8">
        <w:rPr>
          <w:rFonts w:ascii="Times New Roman" w:hAnsi="Times New Roman" w:cs="Times New Roman"/>
          <w:sz w:val="24"/>
          <w:szCs w:val="24"/>
          <w:lang w:val="it-IT"/>
        </w:rPr>
        <w:t xml:space="preserve">la definizione delle regole di concorrenza necessarie al funzionamento del mercato interno, la politica monetaria per gli </w:t>
      </w:r>
      <w:r w:rsidR="00133715" w:rsidRPr="006F07C8">
        <w:rPr>
          <w:rFonts w:ascii="Times New Roman" w:hAnsi="Times New Roman" w:cs="Times New Roman"/>
          <w:sz w:val="24"/>
          <w:szCs w:val="24"/>
          <w:lang w:val="it-IT"/>
        </w:rPr>
        <w:lastRenderedPageBreak/>
        <w:t xml:space="preserve">Stati membri la cui moneta è l'euro, la conservazione delle risorse biologiche </w:t>
      </w:r>
      <w:r w:rsidR="0029172E" w:rsidRPr="006F07C8">
        <w:rPr>
          <w:rFonts w:ascii="Times New Roman" w:hAnsi="Times New Roman" w:cs="Times New Roman"/>
          <w:sz w:val="24"/>
          <w:szCs w:val="24"/>
          <w:lang w:val="it-IT"/>
        </w:rPr>
        <w:t>marine</w:t>
      </w:r>
      <w:r w:rsidR="00133715" w:rsidRPr="006F07C8">
        <w:rPr>
          <w:rFonts w:ascii="Times New Roman" w:hAnsi="Times New Roman" w:cs="Times New Roman"/>
          <w:sz w:val="24"/>
          <w:szCs w:val="24"/>
          <w:lang w:val="it-IT"/>
        </w:rPr>
        <w:t xml:space="preserve"> nel quadro della politica comune della pesca e la politica commercia</w:t>
      </w:r>
      <w:r w:rsidRPr="006F07C8">
        <w:rPr>
          <w:rFonts w:ascii="Times New Roman" w:hAnsi="Times New Roman" w:cs="Times New Roman"/>
          <w:sz w:val="24"/>
          <w:szCs w:val="24"/>
          <w:lang w:val="it-IT"/>
        </w:rPr>
        <w:t xml:space="preserve">le comune. In </w:t>
      </w:r>
      <w:r w:rsidR="0029172E" w:rsidRPr="006F07C8">
        <w:rPr>
          <w:rFonts w:ascii="Times New Roman" w:hAnsi="Times New Roman" w:cs="Times New Roman"/>
          <w:sz w:val="24"/>
          <w:szCs w:val="24"/>
          <w:lang w:val="it-IT"/>
        </w:rPr>
        <w:t xml:space="preserve">altri </w:t>
      </w:r>
      <w:r w:rsidRPr="006F07C8">
        <w:rPr>
          <w:rFonts w:ascii="Times New Roman" w:hAnsi="Times New Roman" w:cs="Times New Roman"/>
          <w:sz w:val="24"/>
          <w:szCs w:val="24"/>
          <w:lang w:val="it-IT"/>
        </w:rPr>
        <w:t xml:space="preserve">ambiti l’UE ha competenza </w:t>
      </w:r>
      <w:r w:rsidRPr="006F07C8">
        <w:rPr>
          <w:rFonts w:ascii="Times New Roman" w:hAnsi="Times New Roman" w:cs="Times New Roman"/>
          <w:i/>
          <w:sz w:val="24"/>
          <w:szCs w:val="24"/>
          <w:lang w:val="it-IT"/>
        </w:rPr>
        <w:t>concorrente</w:t>
      </w:r>
      <w:r w:rsidRPr="006F07C8">
        <w:rPr>
          <w:rFonts w:ascii="Times New Roman" w:hAnsi="Times New Roman" w:cs="Times New Roman"/>
          <w:sz w:val="24"/>
          <w:szCs w:val="24"/>
          <w:lang w:val="it-IT"/>
        </w:rPr>
        <w:t>, cioè sia l’UE sia gli Stati membri hanno facoltà di intervento</w:t>
      </w:r>
      <w:r w:rsidR="0029172E" w:rsidRPr="006F07C8">
        <w:rPr>
          <w:rFonts w:ascii="Times New Roman" w:hAnsi="Times New Roman" w:cs="Times New Roman"/>
          <w:sz w:val="24"/>
          <w:szCs w:val="24"/>
          <w:lang w:val="it-IT"/>
        </w:rPr>
        <w:t>,</w:t>
      </w:r>
      <w:r w:rsidRPr="006F07C8">
        <w:rPr>
          <w:rFonts w:ascii="Times New Roman" w:hAnsi="Times New Roman" w:cs="Times New Roman"/>
          <w:sz w:val="24"/>
          <w:szCs w:val="24"/>
          <w:lang w:val="it-IT"/>
        </w:rPr>
        <w:t xml:space="preserve"> ma questi ultimi possono agire </w:t>
      </w:r>
      <w:r w:rsidRPr="006F07C8">
        <w:rPr>
          <w:rFonts w:ascii="Times New Roman" w:hAnsi="Times New Roman" w:cs="Times New Roman"/>
          <w:iCs/>
          <w:sz w:val="24"/>
          <w:szCs w:val="24"/>
          <w:lang w:val="it-IT"/>
        </w:rPr>
        <w:t>soltanto</w:t>
      </w:r>
      <w:r w:rsidRPr="006F07C8">
        <w:rPr>
          <w:rFonts w:ascii="Times New Roman" w:hAnsi="Times New Roman" w:cs="Times New Roman"/>
          <w:sz w:val="24"/>
          <w:szCs w:val="24"/>
          <w:lang w:val="it-IT"/>
        </w:rPr>
        <w:t xml:space="preserve"> se l'UE ha deciso di non farlo. Si tratta del</w:t>
      </w:r>
      <w:r w:rsidR="00783425" w:rsidRPr="006F07C8">
        <w:rPr>
          <w:rFonts w:ascii="Times New Roman" w:hAnsi="Times New Roman" w:cs="Times New Roman"/>
          <w:sz w:val="24"/>
          <w:szCs w:val="24"/>
          <w:lang w:val="it-IT"/>
        </w:rPr>
        <w:t>le politiche rivolta ad ambiti quali il</w:t>
      </w:r>
      <w:r w:rsidRPr="006F07C8">
        <w:rPr>
          <w:rFonts w:ascii="Times New Roman" w:hAnsi="Times New Roman" w:cs="Times New Roman"/>
          <w:sz w:val="24"/>
          <w:szCs w:val="24"/>
          <w:lang w:val="it-IT"/>
        </w:rPr>
        <w:t xml:space="preserve"> </w:t>
      </w:r>
      <w:r w:rsidR="00133715" w:rsidRPr="006F07C8">
        <w:rPr>
          <w:rFonts w:ascii="Times New Roman" w:hAnsi="Times New Roman" w:cs="Times New Roman"/>
          <w:sz w:val="24"/>
          <w:szCs w:val="24"/>
          <w:lang w:val="it-IT"/>
        </w:rPr>
        <w:t>mercato interno, la coesione economica, sociale e territoriale, l’agricoltura e pesca (con l’eccezione della conservazione delle risorse biologiche del mare), l’ambiente, la protezione dei consumatori, i trasporti, l’energia, spazio di libertà, sicurezza e giustizia, la ricerca, sviluppo tecnologico e spazio e certi problemi comuni di sicurezza in materia di salute pub</w:t>
      </w:r>
      <w:r w:rsidRPr="006F07C8">
        <w:rPr>
          <w:rFonts w:ascii="Times New Roman" w:hAnsi="Times New Roman" w:cs="Times New Roman"/>
          <w:sz w:val="24"/>
          <w:szCs w:val="24"/>
          <w:lang w:val="it-IT"/>
        </w:rPr>
        <w:t>blica</w:t>
      </w:r>
      <w:r w:rsidR="00133715" w:rsidRPr="006F07C8">
        <w:rPr>
          <w:rFonts w:ascii="Times New Roman" w:hAnsi="Times New Roman" w:cs="Times New Roman"/>
          <w:sz w:val="24"/>
          <w:szCs w:val="24"/>
          <w:lang w:val="it-IT"/>
        </w:rPr>
        <w:t>. Infine, in altri settori la UE ha solo competenze di sostegno, coordinamento e completamento dell’attività svolta dagli Stati Membri. Si tratta di settori come l’industria, la cultura, il turismo, l’istruzione, la formazione professionale, la gioventù e lo sport.</w:t>
      </w:r>
    </w:p>
    <w:p w:rsidR="00B03225" w:rsidRPr="006F07C8" w:rsidRDefault="00133715" w:rsidP="002F52A9">
      <w:pPr>
        <w:spacing w:line="240" w:lineRule="auto"/>
        <w:jc w:val="both"/>
        <w:rPr>
          <w:rFonts w:ascii="Times New Roman" w:hAnsi="Times New Roman" w:cs="Times New Roman"/>
          <w:sz w:val="24"/>
          <w:szCs w:val="24"/>
          <w:lang w:val="it-IT"/>
        </w:rPr>
      </w:pPr>
      <w:r w:rsidRPr="006F07C8">
        <w:rPr>
          <w:rFonts w:ascii="Times New Roman" w:hAnsi="Times New Roman" w:cs="Times New Roman"/>
          <w:sz w:val="24"/>
          <w:szCs w:val="24"/>
          <w:lang w:val="it-IT"/>
        </w:rPr>
        <w:t xml:space="preserve">L’UE quindi non svolge solo un ruolo di coordinamento fra stati sovrani; essa agisce in diversi ambiti tramite delle politiche pubbliche classiche, cioè iniziative dirette, regolamentazioni e incentivi. Tali politiche riguardano settori </w:t>
      </w:r>
      <w:r w:rsidR="0029172E" w:rsidRPr="006F07C8">
        <w:rPr>
          <w:rFonts w:ascii="Times New Roman" w:hAnsi="Times New Roman" w:cs="Times New Roman"/>
          <w:sz w:val="24"/>
          <w:szCs w:val="24"/>
          <w:lang w:val="it-IT"/>
        </w:rPr>
        <w:t>come</w:t>
      </w:r>
      <w:r w:rsidRPr="006F07C8">
        <w:rPr>
          <w:rFonts w:ascii="Times New Roman" w:hAnsi="Times New Roman" w:cs="Times New Roman"/>
          <w:sz w:val="24"/>
          <w:szCs w:val="24"/>
          <w:lang w:val="it-IT"/>
        </w:rPr>
        <w:t xml:space="preserve"> l’agricoltura, la pesca e i prodotti alimentari, le imprese, la cultura, istruzione e gioventù, l’economia, l’occupazione e diritti sociali, l’energia e risorse naturali, l’ambiente, la scienza e tecnologia, la giustizia e i diritti dei cittadini, i trasporti e il turismo.</w:t>
      </w:r>
      <w:r w:rsidRPr="006F07C8">
        <w:rPr>
          <w:rStyle w:val="FootnoteReference"/>
          <w:rFonts w:ascii="Times New Roman" w:hAnsi="Times New Roman" w:cs="Times New Roman"/>
          <w:sz w:val="24"/>
          <w:szCs w:val="24"/>
          <w:lang w:val="it-IT"/>
        </w:rPr>
        <w:footnoteReference w:id="30"/>
      </w:r>
      <w:r w:rsidRPr="006F07C8">
        <w:rPr>
          <w:rFonts w:ascii="Times New Roman" w:hAnsi="Times New Roman" w:cs="Times New Roman"/>
          <w:sz w:val="24"/>
          <w:szCs w:val="24"/>
          <w:lang w:val="it-IT"/>
        </w:rPr>
        <w:t xml:space="preserve"> I Commissari europei e quindi le </w:t>
      </w:r>
      <w:r w:rsidR="00A838DB" w:rsidRPr="006F07C8">
        <w:rPr>
          <w:rFonts w:ascii="Times New Roman" w:hAnsi="Times New Roman" w:cs="Times New Roman"/>
          <w:sz w:val="24"/>
          <w:szCs w:val="24"/>
          <w:lang w:val="it-IT"/>
        </w:rPr>
        <w:t xml:space="preserve">sue </w:t>
      </w:r>
      <w:r w:rsidR="003F411A" w:rsidRPr="006F07C8">
        <w:rPr>
          <w:rFonts w:ascii="Times New Roman" w:hAnsi="Times New Roman" w:cs="Times New Roman"/>
          <w:sz w:val="24"/>
          <w:szCs w:val="24"/>
          <w:lang w:val="it-IT"/>
        </w:rPr>
        <w:t xml:space="preserve">Direzioni Generali (DG) </w:t>
      </w:r>
      <w:r w:rsidRPr="006F07C8">
        <w:rPr>
          <w:rFonts w:ascii="Times New Roman" w:hAnsi="Times New Roman" w:cs="Times New Roman"/>
          <w:sz w:val="24"/>
          <w:szCs w:val="24"/>
          <w:lang w:val="it-IT"/>
        </w:rPr>
        <w:t>giocano un ruolo centrale della definizione e mes</w:t>
      </w:r>
      <w:r w:rsidR="00B03225" w:rsidRPr="006F07C8">
        <w:rPr>
          <w:rFonts w:ascii="Times New Roman" w:hAnsi="Times New Roman" w:cs="Times New Roman"/>
          <w:sz w:val="24"/>
          <w:szCs w:val="24"/>
          <w:lang w:val="it-IT"/>
        </w:rPr>
        <w:t>sa in atto di queste politiche.</w:t>
      </w:r>
    </w:p>
    <w:p w:rsidR="00B03225" w:rsidRPr="006F07C8" w:rsidRDefault="00B03225" w:rsidP="002F52A9">
      <w:pPr>
        <w:spacing w:line="240" w:lineRule="auto"/>
        <w:jc w:val="both"/>
        <w:rPr>
          <w:rFonts w:ascii="Times New Roman" w:hAnsi="Times New Roman" w:cs="Times New Roman"/>
          <w:sz w:val="24"/>
          <w:szCs w:val="24"/>
          <w:lang w:val="it-IT"/>
        </w:rPr>
      </w:pPr>
      <w:r w:rsidRPr="006F07C8">
        <w:rPr>
          <w:rFonts w:ascii="Times New Roman" w:hAnsi="Times New Roman" w:cs="Times New Roman"/>
          <w:sz w:val="24"/>
          <w:szCs w:val="24"/>
          <w:lang w:val="it-IT"/>
        </w:rPr>
        <w:t>Le organizzazioni comunicano con il mondo esterno attraverso diversi tipi di documenti, ad esempio</w:t>
      </w:r>
      <w:r w:rsidR="0029172E" w:rsidRPr="006F07C8">
        <w:rPr>
          <w:rFonts w:ascii="Times New Roman" w:hAnsi="Times New Roman" w:cs="Times New Roman"/>
          <w:sz w:val="24"/>
          <w:szCs w:val="24"/>
          <w:lang w:val="it-IT"/>
        </w:rPr>
        <w:t xml:space="preserve"> regolamenti ufficiali stampati e</w:t>
      </w:r>
      <w:r w:rsidRPr="006F07C8">
        <w:rPr>
          <w:rFonts w:ascii="Times New Roman" w:hAnsi="Times New Roman" w:cs="Times New Roman"/>
          <w:sz w:val="24"/>
          <w:szCs w:val="24"/>
          <w:lang w:val="it-IT"/>
        </w:rPr>
        <w:t xml:space="preserve"> lettere cartacee</w:t>
      </w:r>
      <w:r w:rsidR="0029172E" w:rsidRPr="006F07C8">
        <w:rPr>
          <w:rFonts w:ascii="Times New Roman" w:hAnsi="Times New Roman" w:cs="Times New Roman"/>
          <w:sz w:val="24"/>
          <w:szCs w:val="24"/>
          <w:lang w:val="it-IT"/>
        </w:rPr>
        <w:t>,</w:t>
      </w:r>
      <w:r w:rsidRPr="006F07C8">
        <w:rPr>
          <w:rFonts w:ascii="Times New Roman" w:hAnsi="Times New Roman" w:cs="Times New Roman"/>
          <w:sz w:val="24"/>
          <w:szCs w:val="24"/>
          <w:lang w:val="it-IT"/>
        </w:rPr>
        <w:t xml:space="preserve"> ma anche tramite documenti di natura digitale come le pagine Internet. Queste ultime sono uno strumento di comunicazione flessibile, scritto ma al tempo stesso non stampato e quindi costantemente modificabile. Esse possono essere utilizzate per trasmettere informazioni generali oppure come deposito per recuperare una copia elettronica dei documenti ufficiali. La diffusione dell’accesso alla rete e la praticità di Internet come deposito di informazioni accresce l’importanza della comunicazione digitale.</w:t>
      </w:r>
      <w:r w:rsidR="002D47F6" w:rsidRPr="006F07C8">
        <w:rPr>
          <w:rFonts w:ascii="Times New Roman" w:hAnsi="Times New Roman" w:cs="Times New Roman"/>
          <w:sz w:val="24"/>
          <w:szCs w:val="24"/>
          <w:lang w:val="it-IT"/>
        </w:rPr>
        <w:t xml:space="preserve"> I documenti pubblicati sul sito delle DG della Commissione europea, ad esempio, contengono diverse informazioni che riguardano le politiche dell’Unione, molti bandi di gara e appalti, studi, informazioni sul diritto che possono avere rilevanza strategica per numerosi professionisti e imprese.</w:t>
      </w:r>
    </w:p>
    <w:p w:rsidR="00D90A7A" w:rsidRPr="006F07C8" w:rsidRDefault="00FA6819" w:rsidP="002F52A9">
      <w:pPr>
        <w:spacing w:line="240" w:lineRule="auto"/>
        <w:jc w:val="both"/>
        <w:rPr>
          <w:rFonts w:ascii="Times New Roman" w:hAnsi="Times New Roman" w:cs="Times New Roman"/>
          <w:sz w:val="24"/>
          <w:szCs w:val="24"/>
          <w:lang w:val="it-IT"/>
        </w:rPr>
      </w:pPr>
      <w:r w:rsidRPr="006F07C8">
        <w:rPr>
          <w:rFonts w:ascii="Times New Roman" w:hAnsi="Times New Roman" w:cs="Times New Roman"/>
          <w:sz w:val="24"/>
          <w:szCs w:val="24"/>
          <w:lang w:val="it-IT"/>
        </w:rPr>
        <w:t>I trattati e il Regolamento n. 1/58 richiedono che</w:t>
      </w:r>
      <w:r w:rsidR="00300944" w:rsidRPr="006F07C8">
        <w:rPr>
          <w:rFonts w:ascii="Times New Roman" w:hAnsi="Times New Roman" w:cs="Times New Roman"/>
          <w:sz w:val="24"/>
          <w:szCs w:val="24"/>
          <w:lang w:val="it-IT"/>
        </w:rPr>
        <w:t xml:space="preserve"> gli atti ufficiali siano disponibili nelle lingue ufficiali</w:t>
      </w:r>
      <w:r w:rsidR="00133715" w:rsidRPr="006F07C8">
        <w:rPr>
          <w:rFonts w:ascii="Times New Roman" w:hAnsi="Times New Roman" w:cs="Times New Roman"/>
          <w:sz w:val="24"/>
          <w:szCs w:val="24"/>
          <w:lang w:val="it-IT"/>
        </w:rPr>
        <w:t xml:space="preserve"> e che la comunicazione diretta con i cittadini possa avvenire in tutte le lingue della UE</w:t>
      </w:r>
      <w:r w:rsidR="00300944" w:rsidRPr="006F07C8">
        <w:rPr>
          <w:rFonts w:ascii="Times New Roman" w:hAnsi="Times New Roman" w:cs="Times New Roman"/>
          <w:sz w:val="24"/>
          <w:szCs w:val="24"/>
          <w:lang w:val="it-IT"/>
        </w:rPr>
        <w:t xml:space="preserve">, ma nessuna disposizione specifica è prevista per i documenti digitali come le pagine Internet. Si osserva a riguardo una grande varietà di regimi linguistici </w:t>
      </w:r>
      <w:r w:rsidR="00D90A7A" w:rsidRPr="006F07C8">
        <w:rPr>
          <w:rFonts w:ascii="Times New Roman" w:hAnsi="Times New Roman" w:cs="Times New Roman"/>
          <w:sz w:val="24"/>
          <w:szCs w:val="24"/>
          <w:lang w:val="it-IT"/>
        </w:rPr>
        <w:t xml:space="preserve">di fatto </w:t>
      </w:r>
      <w:r w:rsidR="00300944" w:rsidRPr="006F07C8">
        <w:rPr>
          <w:rFonts w:ascii="Times New Roman" w:hAnsi="Times New Roman" w:cs="Times New Roman"/>
          <w:sz w:val="24"/>
          <w:szCs w:val="24"/>
          <w:lang w:val="it-IT"/>
        </w:rPr>
        <w:t>adottati dalle varie istituzioni UE. Alcune pagine sono effettivamente disponibili in tutte le li</w:t>
      </w:r>
      <w:r w:rsidR="000765C3" w:rsidRPr="006F07C8">
        <w:rPr>
          <w:rFonts w:ascii="Times New Roman" w:hAnsi="Times New Roman" w:cs="Times New Roman"/>
          <w:sz w:val="24"/>
          <w:szCs w:val="24"/>
          <w:lang w:val="it-IT"/>
        </w:rPr>
        <w:t xml:space="preserve">ngue, ma altre in una soltanto e </w:t>
      </w:r>
      <w:r w:rsidR="00300944" w:rsidRPr="006F07C8">
        <w:rPr>
          <w:rFonts w:ascii="Times New Roman" w:hAnsi="Times New Roman" w:cs="Times New Roman"/>
          <w:sz w:val="24"/>
          <w:szCs w:val="24"/>
          <w:lang w:val="it-IT"/>
        </w:rPr>
        <w:t xml:space="preserve">solitamente </w:t>
      </w:r>
      <w:r w:rsidR="000765C3" w:rsidRPr="006F07C8">
        <w:rPr>
          <w:rFonts w:ascii="Times New Roman" w:hAnsi="Times New Roman" w:cs="Times New Roman"/>
          <w:sz w:val="24"/>
          <w:szCs w:val="24"/>
          <w:lang w:val="it-IT"/>
        </w:rPr>
        <w:t xml:space="preserve">questa lingua è </w:t>
      </w:r>
      <w:r w:rsidR="00300944" w:rsidRPr="006F07C8">
        <w:rPr>
          <w:rFonts w:ascii="Times New Roman" w:hAnsi="Times New Roman" w:cs="Times New Roman"/>
          <w:sz w:val="24"/>
          <w:szCs w:val="24"/>
          <w:lang w:val="it-IT"/>
        </w:rPr>
        <w:t xml:space="preserve">l’inglese. </w:t>
      </w:r>
      <w:r w:rsidR="00D90A7A" w:rsidRPr="006F07C8">
        <w:rPr>
          <w:rFonts w:ascii="Times New Roman" w:hAnsi="Times New Roman" w:cs="Times New Roman"/>
          <w:sz w:val="24"/>
          <w:szCs w:val="24"/>
          <w:lang w:val="it-IT"/>
        </w:rPr>
        <w:t xml:space="preserve">La </w:t>
      </w:r>
      <w:r w:rsidR="00D90A7A" w:rsidRPr="006F07C8">
        <w:rPr>
          <w:rFonts w:ascii="Times New Roman" w:hAnsi="Times New Roman" w:cs="Times New Roman"/>
          <w:sz w:val="24"/>
          <w:szCs w:val="24"/>
          <w:lang w:val="it-IT"/>
        </w:rPr>
        <w:fldChar w:fldCharType="begin"/>
      </w:r>
      <w:r w:rsidR="00D90A7A" w:rsidRPr="006F07C8">
        <w:rPr>
          <w:rFonts w:ascii="Times New Roman" w:hAnsi="Times New Roman" w:cs="Times New Roman"/>
          <w:sz w:val="24"/>
          <w:szCs w:val="24"/>
          <w:lang w:val="it-IT"/>
        </w:rPr>
        <w:instrText xml:space="preserve"> REF _Ref378671523 \h </w:instrText>
      </w:r>
      <w:r w:rsidR="00053EE0" w:rsidRPr="006F07C8">
        <w:rPr>
          <w:rFonts w:ascii="Times New Roman" w:hAnsi="Times New Roman" w:cs="Times New Roman"/>
          <w:sz w:val="24"/>
          <w:szCs w:val="24"/>
          <w:lang w:val="it-IT"/>
        </w:rPr>
        <w:instrText xml:space="preserve"> \* MERGEFORMAT </w:instrText>
      </w:r>
      <w:r w:rsidR="00D90A7A" w:rsidRPr="006F07C8">
        <w:rPr>
          <w:rFonts w:ascii="Times New Roman" w:hAnsi="Times New Roman" w:cs="Times New Roman"/>
          <w:sz w:val="24"/>
          <w:szCs w:val="24"/>
          <w:lang w:val="it-IT"/>
        </w:rPr>
      </w:r>
      <w:r w:rsidR="00D90A7A" w:rsidRPr="006F07C8">
        <w:rPr>
          <w:rFonts w:ascii="Times New Roman" w:hAnsi="Times New Roman" w:cs="Times New Roman"/>
          <w:sz w:val="24"/>
          <w:szCs w:val="24"/>
          <w:lang w:val="it-IT"/>
        </w:rPr>
        <w:fldChar w:fldCharType="separate"/>
      </w:r>
      <w:r w:rsidR="00087B27" w:rsidRPr="006F07C8">
        <w:rPr>
          <w:rFonts w:ascii="Times New Roman" w:hAnsi="Times New Roman" w:cs="Times New Roman"/>
          <w:sz w:val="24"/>
          <w:szCs w:val="24"/>
          <w:lang w:val="it-IT"/>
        </w:rPr>
        <w:t xml:space="preserve">Tabella </w:t>
      </w:r>
      <w:r w:rsidR="00087B27" w:rsidRPr="006F07C8">
        <w:rPr>
          <w:rFonts w:ascii="Times New Roman" w:hAnsi="Times New Roman" w:cs="Times New Roman"/>
          <w:noProof/>
          <w:sz w:val="24"/>
          <w:szCs w:val="24"/>
          <w:lang w:val="it-IT"/>
        </w:rPr>
        <w:t>7</w:t>
      </w:r>
      <w:r w:rsidR="00D90A7A" w:rsidRPr="006F07C8">
        <w:rPr>
          <w:rFonts w:ascii="Times New Roman" w:hAnsi="Times New Roman" w:cs="Times New Roman"/>
          <w:sz w:val="24"/>
          <w:szCs w:val="24"/>
          <w:lang w:val="it-IT"/>
        </w:rPr>
        <w:fldChar w:fldCharType="end"/>
      </w:r>
      <w:r w:rsidR="00BD5D8A" w:rsidRPr="006F07C8">
        <w:rPr>
          <w:rFonts w:ascii="Times New Roman" w:hAnsi="Times New Roman" w:cs="Times New Roman"/>
          <w:sz w:val="24"/>
          <w:szCs w:val="24"/>
          <w:lang w:val="it-IT"/>
        </w:rPr>
        <w:t xml:space="preserve"> </w:t>
      </w:r>
      <w:r w:rsidR="00D90A7A" w:rsidRPr="006F07C8">
        <w:rPr>
          <w:rFonts w:ascii="Times New Roman" w:hAnsi="Times New Roman" w:cs="Times New Roman"/>
          <w:sz w:val="24"/>
          <w:szCs w:val="24"/>
          <w:lang w:val="it-IT"/>
        </w:rPr>
        <w:t xml:space="preserve">mostra </w:t>
      </w:r>
      <w:r w:rsidR="00053EE0" w:rsidRPr="006F07C8">
        <w:rPr>
          <w:rFonts w:ascii="Times New Roman" w:hAnsi="Times New Roman" w:cs="Times New Roman"/>
          <w:sz w:val="24"/>
          <w:szCs w:val="24"/>
          <w:lang w:val="it-IT"/>
        </w:rPr>
        <w:t xml:space="preserve">l’elenco delle lingue in cui </w:t>
      </w:r>
      <w:r w:rsidR="006F66A0" w:rsidRPr="006F07C8">
        <w:rPr>
          <w:rFonts w:ascii="Times New Roman" w:hAnsi="Times New Roman" w:cs="Times New Roman"/>
          <w:sz w:val="24"/>
          <w:szCs w:val="24"/>
          <w:lang w:val="it-IT"/>
        </w:rPr>
        <w:t xml:space="preserve">sono disponibili </w:t>
      </w:r>
      <w:r w:rsidR="00CC4A78" w:rsidRPr="006F07C8">
        <w:rPr>
          <w:rFonts w:ascii="Times New Roman" w:hAnsi="Times New Roman" w:cs="Times New Roman"/>
          <w:sz w:val="24"/>
          <w:szCs w:val="24"/>
          <w:lang w:val="it-IT"/>
        </w:rPr>
        <w:t xml:space="preserve">le pagine d’introduzione </w:t>
      </w:r>
      <w:r w:rsidR="006F66A0" w:rsidRPr="006F07C8">
        <w:rPr>
          <w:rFonts w:ascii="Times New Roman" w:hAnsi="Times New Roman" w:cs="Times New Roman"/>
          <w:sz w:val="24"/>
          <w:szCs w:val="24"/>
          <w:lang w:val="it-IT"/>
        </w:rPr>
        <w:t xml:space="preserve">del sito Internet </w:t>
      </w:r>
      <w:r w:rsidR="00CC4A78" w:rsidRPr="006F07C8">
        <w:rPr>
          <w:rFonts w:ascii="Times New Roman" w:hAnsi="Times New Roman" w:cs="Times New Roman"/>
          <w:sz w:val="24"/>
          <w:szCs w:val="24"/>
          <w:lang w:val="it-IT"/>
        </w:rPr>
        <w:t xml:space="preserve">delle </w:t>
      </w:r>
      <w:r w:rsidR="0029172E" w:rsidRPr="006F07C8">
        <w:rPr>
          <w:rFonts w:ascii="Times New Roman" w:hAnsi="Times New Roman" w:cs="Times New Roman"/>
          <w:sz w:val="24"/>
          <w:szCs w:val="24"/>
          <w:lang w:val="it-IT"/>
        </w:rPr>
        <w:t xml:space="preserve">DG </w:t>
      </w:r>
      <w:r w:rsidR="00CC4A78" w:rsidRPr="006F07C8">
        <w:rPr>
          <w:rFonts w:ascii="Times New Roman" w:hAnsi="Times New Roman" w:cs="Times New Roman"/>
          <w:sz w:val="24"/>
          <w:szCs w:val="24"/>
          <w:lang w:val="it-IT"/>
        </w:rPr>
        <w:t>della Commissione europea</w:t>
      </w:r>
      <w:r w:rsidR="000765C3" w:rsidRPr="006F07C8">
        <w:rPr>
          <w:rFonts w:ascii="Times New Roman" w:hAnsi="Times New Roman" w:cs="Times New Roman"/>
          <w:sz w:val="24"/>
          <w:szCs w:val="24"/>
          <w:lang w:val="it-IT"/>
        </w:rPr>
        <w:t>.</w:t>
      </w:r>
    </w:p>
    <w:p w:rsidR="00D90A7A" w:rsidRPr="006F07C8" w:rsidRDefault="00D90A7A" w:rsidP="002F52A9">
      <w:pPr>
        <w:pStyle w:val="Caption"/>
        <w:keepNext/>
        <w:keepLines/>
        <w:rPr>
          <w:rFonts w:ascii="Times New Roman" w:hAnsi="Times New Roman" w:cs="Times New Roman"/>
          <w:sz w:val="20"/>
          <w:szCs w:val="20"/>
          <w:lang w:val="it-IT"/>
        </w:rPr>
      </w:pPr>
      <w:bookmarkStart w:id="22" w:name="_Ref378671523"/>
      <w:bookmarkStart w:id="23" w:name="_Ref378671508"/>
      <w:r w:rsidRPr="006F07C8">
        <w:rPr>
          <w:rFonts w:ascii="Times New Roman" w:hAnsi="Times New Roman" w:cs="Times New Roman"/>
          <w:sz w:val="20"/>
          <w:szCs w:val="20"/>
          <w:lang w:val="it-IT"/>
        </w:rPr>
        <w:t xml:space="preserve">Tabella </w:t>
      </w:r>
      <w:r w:rsidRPr="006F07C8">
        <w:rPr>
          <w:rFonts w:ascii="Times New Roman" w:hAnsi="Times New Roman" w:cs="Times New Roman"/>
          <w:sz w:val="20"/>
          <w:szCs w:val="20"/>
          <w:lang w:val="it-IT"/>
        </w:rPr>
        <w:fldChar w:fldCharType="begin"/>
      </w:r>
      <w:r w:rsidRPr="006F07C8">
        <w:rPr>
          <w:rFonts w:ascii="Times New Roman" w:hAnsi="Times New Roman" w:cs="Times New Roman"/>
          <w:sz w:val="20"/>
          <w:szCs w:val="20"/>
          <w:lang w:val="it-IT"/>
        </w:rPr>
        <w:instrText xml:space="preserve"> SEQ Tabella \* ARABIC </w:instrText>
      </w:r>
      <w:r w:rsidRPr="006F07C8">
        <w:rPr>
          <w:rFonts w:ascii="Times New Roman" w:hAnsi="Times New Roman" w:cs="Times New Roman"/>
          <w:sz w:val="20"/>
          <w:szCs w:val="20"/>
          <w:lang w:val="it-IT"/>
        </w:rPr>
        <w:fldChar w:fldCharType="separate"/>
      </w:r>
      <w:r w:rsidR="00087B27" w:rsidRPr="006F07C8">
        <w:rPr>
          <w:rFonts w:ascii="Times New Roman" w:hAnsi="Times New Roman" w:cs="Times New Roman"/>
          <w:noProof/>
          <w:sz w:val="20"/>
          <w:szCs w:val="20"/>
          <w:lang w:val="it-IT"/>
        </w:rPr>
        <w:t>7</w:t>
      </w:r>
      <w:r w:rsidRPr="006F07C8">
        <w:rPr>
          <w:rFonts w:ascii="Times New Roman" w:hAnsi="Times New Roman" w:cs="Times New Roman"/>
          <w:sz w:val="20"/>
          <w:szCs w:val="20"/>
          <w:lang w:val="it-IT"/>
        </w:rPr>
        <w:fldChar w:fldCharType="end"/>
      </w:r>
      <w:bookmarkEnd w:id="22"/>
      <w:r w:rsidRPr="006F07C8">
        <w:rPr>
          <w:rFonts w:ascii="Times New Roman" w:hAnsi="Times New Roman" w:cs="Times New Roman"/>
          <w:sz w:val="20"/>
          <w:szCs w:val="20"/>
          <w:lang w:val="it-IT"/>
        </w:rPr>
        <w:t xml:space="preserve"> : </w:t>
      </w:r>
      <w:r w:rsidR="00053EE0" w:rsidRPr="006F07C8">
        <w:rPr>
          <w:rFonts w:ascii="Times New Roman" w:hAnsi="Times New Roman" w:cs="Times New Roman"/>
          <w:sz w:val="20"/>
          <w:szCs w:val="20"/>
          <w:lang w:val="it-IT"/>
        </w:rPr>
        <w:t xml:space="preserve">Lingue </w:t>
      </w:r>
      <w:r w:rsidR="006F66A0" w:rsidRPr="006F07C8">
        <w:rPr>
          <w:rFonts w:ascii="Times New Roman" w:hAnsi="Times New Roman" w:cs="Times New Roman"/>
          <w:sz w:val="20"/>
          <w:szCs w:val="20"/>
          <w:lang w:val="it-IT"/>
        </w:rPr>
        <w:t xml:space="preserve">delle </w:t>
      </w:r>
      <w:r w:rsidR="00CC4A78" w:rsidRPr="006F07C8">
        <w:rPr>
          <w:rFonts w:ascii="Times New Roman" w:hAnsi="Times New Roman" w:cs="Times New Roman"/>
          <w:sz w:val="20"/>
          <w:szCs w:val="20"/>
          <w:lang w:val="it-IT"/>
        </w:rPr>
        <w:t>pagine</w:t>
      </w:r>
      <w:r w:rsidR="00053EE0" w:rsidRPr="006F07C8">
        <w:rPr>
          <w:rFonts w:ascii="Times New Roman" w:hAnsi="Times New Roman" w:cs="Times New Roman"/>
          <w:sz w:val="20"/>
          <w:szCs w:val="20"/>
          <w:lang w:val="it-IT"/>
        </w:rPr>
        <w:t xml:space="preserve"> </w:t>
      </w:r>
      <w:bookmarkEnd w:id="23"/>
      <w:r w:rsidR="00053EE0" w:rsidRPr="006F07C8">
        <w:rPr>
          <w:rFonts w:ascii="Times New Roman" w:hAnsi="Times New Roman" w:cs="Times New Roman"/>
          <w:sz w:val="20"/>
          <w:szCs w:val="20"/>
          <w:lang w:val="it-IT"/>
        </w:rPr>
        <w:t>d’introduzione</w:t>
      </w:r>
      <w:r w:rsidR="006F66A0" w:rsidRPr="006F07C8">
        <w:rPr>
          <w:rFonts w:ascii="Times New Roman" w:hAnsi="Times New Roman" w:cs="Times New Roman"/>
          <w:sz w:val="20"/>
          <w:szCs w:val="20"/>
          <w:lang w:val="it-IT"/>
        </w:rPr>
        <w:t xml:space="preserve"> ai siti Internet delle </w:t>
      </w:r>
      <w:r w:rsidR="00CC4A78" w:rsidRPr="006F07C8">
        <w:rPr>
          <w:rFonts w:ascii="Times New Roman" w:hAnsi="Times New Roman" w:cs="Times New Roman"/>
          <w:sz w:val="20"/>
          <w:szCs w:val="20"/>
          <w:lang w:val="it-IT"/>
        </w:rPr>
        <w:t>D</w:t>
      </w:r>
      <w:r w:rsidR="00053EE0" w:rsidRPr="006F07C8">
        <w:rPr>
          <w:rFonts w:ascii="Times New Roman" w:hAnsi="Times New Roman" w:cs="Times New Roman"/>
          <w:sz w:val="20"/>
          <w:szCs w:val="20"/>
          <w:lang w:val="it-IT"/>
        </w:rPr>
        <w:t xml:space="preserve">irezioni </w:t>
      </w:r>
      <w:r w:rsidR="00CC4A78" w:rsidRPr="006F07C8">
        <w:rPr>
          <w:rFonts w:ascii="Times New Roman" w:hAnsi="Times New Roman" w:cs="Times New Roman"/>
          <w:sz w:val="20"/>
          <w:szCs w:val="20"/>
          <w:lang w:val="it-IT"/>
        </w:rPr>
        <w:t>G</w:t>
      </w:r>
      <w:r w:rsidR="00053EE0" w:rsidRPr="006F07C8">
        <w:rPr>
          <w:rFonts w:ascii="Times New Roman" w:hAnsi="Times New Roman" w:cs="Times New Roman"/>
          <w:sz w:val="20"/>
          <w:szCs w:val="20"/>
          <w:lang w:val="it-IT"/>
        </w:rPr>
        <w:t xml:space="preserve">enerali </w:t>
      </w:r>
      <w:r w:rsidR="00CC4A78" w:rsidRPr="006F07C8">
        <w:rPr>
          <w:rFonts w:ascii="Times New Roman" w:hAnsi="Times New Roman" w:cs="Times New Roman"/>
          <w:sz w:val="20"/>
          <w:szCs w:val="20"/>
          <w:lang w:val="it-IT"/>
        </w:rPr>
        <w:t>della Commissione europea</w:t>
      </w:r>
    </w:p>
    <w:tbl>
      <w:tblPr>
        <w:tblStyle w:val="TableGrid"/>
        <w:tblW w:w="8699" w:type="dxa"/>
        <w:tblLook w:val="04A0" w:firstRow="1" w:lastRow="0" w:firstColumn="1" w:lastColumn="0" w:noHBand="0" w:noVBand="1"/>
      </w:tblPr>
      <w:tblGrid>
        <w:gridCol w:w="5920"/>
        <w:gridCol w:w="2779"/>
      </w:tblGrid>
      <w:tr w:rsidR="00053EE0" w:rsidRPr="006F07C8" w:rsidTr="00511F1C">
        <w:trPr>
          <w:trHeight w:val="312"/>
        </w:trPr>
        <w:tc>
          <w:tcPr>
            <w:tcW w:w="5920" w:type="dxa"/>
          </w:tcPr>
          <w:p w:rsidR="00053EE0" w:rsidRPr="006F07C8" w:rsidRDefault="00CC4A78" w:rsidP="002F52A9">
            <w:pPr>
              <w:jc w:val="center"/>
              <w:rPr>
                <w:rFonts w:ascii="Times New Roman" w:hAnsi="Times New Roman" w:cs="Times New Roman"/>
                <w:b/>
                <w:sz w:val="20"/>
                <w:szCs w:val="20"/>
                <w:lang w:val="it-IT" w:eastAsia="fr-CH"/>
              </w:rPr>
            </w:pPr>
            <w:r w:rsidRPr="006F07C8">
              <w:rPr>
                <w:rFonts w:ascii="Times New Roman" w:hAnsi="Times New Roman" w:cs="Times New Roman"/>
                <w:b/>
                <w:sz w:val="20"/>
                <w:szCs w:val="20"/>
                <w:lang w:val="it-IT" w:eastAsia="fr-CH"/>
              </w:rPr>
              <w:t>Direzioni G</w:t>
            </w:r>
            <w:r w:rsidR="00053EE0" w:rsidRPr="006F07C8">
              <w:rPr>
                <w:rFonts w:ascii="Times New Roman" w:hAnsi="Times New Roman" w:cs="Times New Roman"/>
                <w:b/>
                <w:sz w:val="20"/>
                <w:szCs w:val="20"/>
                <w:lang w:val="it-IT" w:eastAsia="fr-CH"/>
              </w:rPr>
              <w:t>enerali</w:t>
            </w:r>
            <w:r w:rsidRPr="006F07C8">
              <w:rPr>
                <w:rFonts w:ascii="Times New Roman" w:hAnsi="Times New Roman" w:cs="Times New Roman"/>
                <w:b/>
                <w:sz w:val="20"/>
                <w:szCs w:val="20"/>
                <w:lang w:val="it-IT" w:eastAsia="fr-CH"/>
              </w:rPr>
              <w:t xml:space="preserve"> (DG)</w:t>
            </w:r>
          </w:p>
        </w:tc>
        <w:tc>
          <w:tcPr>
            <w:tcW w:w="2779" w:type="dxa"/>
          </w:tcPr>
          <w:p w:rsidR="00053EE0" w:rsidRPr="006F07C8" w:rsidRDefault="00053EE0" w:rsidP="002F52A9">
            <w:pPr>
              <w:jc w:val="center"/>
              <w:rPr>
                <w:rFonts w:ascii="Times New Roman" w:hAnsi="Times New Roman" w:cs="Times New Roman"/>
                <w:b/>
                <w:color w:val="000000"/>
                <w:sz w:val="20"/>
                <w:szCs w:val="20"/>
                <w:lang w:val="it-IT" w:eastAsia="fr-CH"/>
              </w:rPr>
            </w:pPr>
            <w:r w:rsidRPr="006F07C8">
              <w:rPr>
                <w:rFonts w:ascii="Times New Roman" w:hAnsi="Times New Roman" w:cs="Times New Roman"/>
                <w:b/>
                <w:color w:val="000000"/>
                <w:sz w:val="20"/>
                <w:szCs w:val="20"/>
                <w:lang w:val="it-IT" w:eastAsia="fr-CH"/>
              </w:rPr>
              <w:t>Lingue</w:t>
            </w:r>
          </w:p>
        </w:tc>
      </w:tr>
      <w:tr w:rsidR="00053EE0" w:rsidRPr="006F07C8" w:rsidTr="00511F1C">
        <w:trPr>
          <w:trHeight w:val="177"/>
        </w:trPr>
        <w:tc>
          <w:tcPr>
            <w:tcW w:w="5920" w:type="dxa"/>
            <w:hideMark/>
          </w:tcPr>
          <w:p w:rsidR="00053EE0" w:rsidRPr="006F07C8" w:rsidRDefault="00053EE0" w:rsidP="002F52A9">
            <w:pPr>
              <w:pStyle w:val="ListParagraph"/>
              <w:numPr>
                <w:ilvl w:val="0"/>
                <w:numId w:val="8"/>
              </w:numPr>
              <w:rPr>
                <w:rFonts w:ascii="Times New Roman" w:hAnsi="Times New Roman" w:cs="Times New Roman"/>
                <w:sz w:val="20"/>
                <w:szCs w:val="20"/>
                <w:lang w:val="it-IT"/>
              </w:rPr>
            </w:pPr>
            <w:r w:rsidRPr="006F07C8">
              <w:rPr>
                <w:rFonts w:ascii="Times New Roman" w:hAnsi="Times New Roman" w:cs="Times New Roman"/>
                <w:sz w:val="20"/>
                <w:szCs w:val="20"/>
                <w:lang w:val="it-IT"/>
              </w:rPr>
              <w:t>Affari economici e finanziari (ECFIN)</w:t>
            </w:r>
          </w:p>
        </w:tc>
        <w:tc>
          <w:tcPr>
            <w:tcW w:w="2779" w:type="dxa"/>
            <w:hideMark/>
          </w:tcPr>
          <w:p w:rsidR="00053EE0" w:rsidRPr="006F07C8" w:rsidRDefault="00884149"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Inglese</w:t>
            </w:r>
          </w:p>
        </w:tc>
      </w:tr>
      <w:tr w:rsidR="00053EE0" w:rsidRPr="006F07C8" w:rsidTr="00511F1C">
        <w:trPr>
          <w:trHeight w:val="116"/>
        </w:trPr>
        <w:tc>
          <w:tcPr>
            <w:tcW w:w="5920" w:type="dxa"/>
            <w:hideMark/>
          </w:tcPr>
          <w:p w:rsidR="00053EE0" w:rsidRPr="006F07C8" w:rsidRDefault="00053EE0" w:rsidP="002F52A9">
            <w:pPr>
              <w:pStyle w:val="ListParagraph"/>
              <w:numPr>
                <w:ilvl w:val="0"/>
                <w:numId w:val="8"/>
              </w:numPr>
              <w:rPr>
                <w:rFonts w:ascii="Times New Roman" w:hAnsi="Times New Roman" w:cs="Times New Roman"/>
                <w:sz w:val="20"/>
                <w:szCs w:val="20"/>
                <w:lang w:val="it-IT"/>
              </w:rPr>
            </w:pPr>
            <w:r w:rsidRPr="006F07C8">
              <w:rPr>
                <w:rFonts w:ascii="Times New Roman" w:hAnsi="Times New Roman" w:cs="Times New Roman"/>
                <w:sz w:val="20"/>
                <w:szCs w:val="20"/>
                <w:lang w:val="it-IT"/>
              </w:rPr>
              <w:t>Affari interni (HOME)</w:t>
            </w:r>
          </w:p>
        </w:tc>
        <w:tc>
          <w:tcPr>
            <w:tcW w:w="2779" w:type="dxa"/>
            <w:hideMark/>
          </w:tcPr>
          <w:p w:rsidR="00053EE0" w:rsidRPr="006F07C8" w:rsidRDefault="00884149"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Inglese</w:t>
            </w:r>
          </w:p>
        </w:tc>
      </w:tr>
      <w:tr w:rsidR="00053EE0" w:rsidRPr="006F07C8" w:rsidTr="00511F1C">
        <w:trPr>
          <w:trHeight w:val="133"/>
        </w:trPr>
        <w:tc>
          <w:tcPr>
            <w:tcW w:w="5920" w:type="dxa"/>
            <w:hideMark/>
          </w:tcPr>
          <w:p w:rsidR="00053EE0" w:rsidRPr="006F07C8" w:rsidRDefault="00053EE0" w:rsidP="002F52A9">
            <w:pPr>
              <w:pStyle w:val="ListParagraph"/>
              <w:numPr>
                <w:ilvl w:val="0"/>
                <w:numId w:val="8"/>
              </w:numPr>
              <w:rPr>
                <w:rFonts w:ascii="Times New Roman" w:hAnsi="Times New Roman" w:cs="Times New Roman"/>
                <w:sz w:val="20"/>
                <w:szCs w:val="20"/>
                <w:lang w:val="it-IT"/>
              </w:rPr>
            </w:pPr>
            <w:r w:rsidRPr="006F07C8">
              <w:rPr>
                <w:rFonts w:ascii="Times New Roman" w:hAnsi="Times New Roman" w:cs="Times New Roman"/>
                <w:sz w:val="20"/>
                <w:szCs w:val="20"/>
                <w:lang w:val="it-IT"/>
              </w:rPr>
              <w:t>Affari marittimi e pesca (MARE)</w:t>
            </w:r>
          </w:p>
        </w:tc>
        <w:tc>
          <w:tcPr>
            <w:tcW w:w="2779" w:type="dxa"/>
            <w:hideMark/>
          </w:tcPr>
          <w:p w:rsidR="00053EE0" w:rsidRPr="006F07C8" w:rsidRDefault="00884149"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22 lingue</w:t>
            </w:r>
          </w:p>
        </w:tc>
      </w:tr>
      <w:tr w:rsidR="00053EE0" w:rsidRPr="006F07C8" w:rsidTr="00511F1C">
        <w:trPr>
          <w:trHeight w:val="121"/>
        </w:trPr>
        <w:tc>
          <w:tcPr>
            <w:tcW w:w="5920" w:type="dxa"/>
            <w:hideMark/>
          </w:tcPr>
          <w:p w:rsidR="00053EE0" w:rsidRPr="006F07C8" w:rsidRDefault="00053EE0" w:rsidP="002F52A9">
            <w:pPr>
              <w:pStyle w:val="ListParagraph"/>
              <w:numPr>
                <w:ilvl w:val="0"/>
                <w:numId w:val="8"/>
              </w:numPr>
              <w:rPr>
                <w:rFonts w:ascii="Times New Roman" w:hAnsi="Times New Roman" w:cs="Times New Roman"/>
                <w:sz w:val="20"/>
                <w:szCs w:val="20"/>
                <w:lang w:val="it-IT"/>
              </w:rPr>
            </w:pPr>
            <w:r w:rsidRPr="006F07C8">
              <w:rPr>
                <w:rFonts w:ascii="Times New Roman" w:hAnsi="Times New Roman" w:cs="Times New Roman"/>
                <w:sz w:val="20"/>
                <w:szCs w:val="20"/>
                <w:lang w:val="it-IT"/>
              </w:rPr>
              <w:t>Agricoltura e sviluppo rurale (AGRI)</w:t>
            </w:r>
          </w:p>
        </w:tc>
        <w:tc>
          <w:tcPr>
            <w:tcW w:w="2779" w:type="dxa"/>
            <w:hideMark/>
          </w:tcPr>
          <w:p w:rsidR="00053EE0" w:rsidRPr="006F07C8" w:rsidRDefault="00884149"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Francese-tedesco-inglese</w:t>
            </w:r>
          </w:p>
        </w:tc>
      </w:tr>
      <w:tr w:rsidR="00053EE0" w:rsidRPr="006F07C8" w:rsidTr="00511F1C">
        <w:trPr>
          <w:trHeight w:val="195"/>
        </w:trPr>
        <w:tc>
          <w:tcPr>
            <w:tcW w:w="5920" w:type="dxa"/>
            <w:hideMark/>
          </w:tcPr>
          <w:p w:rsidR="00053EE0" w:rsidRPr="006F07C8" w:rsidRDefault="00053EE0" w:rsidP="002F52A9">
            <w:pPr>
              <w:pStyle w:val="ListParagraph"/>
              <w:numPr>
                <w:ilvl w:val="0"/>
                <w:numId w:val="8"/>
              </w:numPr>
              <w:rPr>
                <w:rFonts w:ascii="Times New Roman" w:hAnsi="Times New Roman" w:cs="Times New Roman"/>
                <w:sz w:val="20"/>
                <w:szCs w:val="20"/>
                <w:lang w:val="it-IT"/>
              </w:rPr>
            </w:pPr>
            <w:r w:rsidRPr="006F07C8">
              <w:rPr>
                <w:rFonts w:ascii="Times New Roman" w:hAnsi="Times New Roman" w:cs="Times New Roman"/>
                <w:sz w:val="20"/>
                <w:szCs w:val="20"/>
                <w:lang w:val="it-IT"/>
              </w:rPr>
              <w:lastRenderedPageBreak/>
              <w:t>Aiuti umanitari e protezione civile (ECHO)</w:t>
            </w:r>
          </w:p>
        </w:tc>
        <w:tc>
          <w:tcPr>
            <w:tcW w:w="2779" w:type="dxa"/>
            <w:hideMark/>
          </w:tcPr>
          <w:p w:rsidR="00053EE0" w:rsidRPr="006F07C8" w:rsidRDefault="00884149"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Francese-inglese</w:t>
            </w:r>
          </w:p>
        </w:tc>
      </w:tr>
      <w:tr w:rsidR="00053EE0" w:rsidRPr="006F07C8" w:rsidTr="00511F1C">
        <w:trPr>
          <w:trHeight w:val="127"/>
        </w:trPr>
        <w:tc>
          <w:tcPr>
            <w:tcW w:w="5920" w:type="dxa"/>
            <w:hideMark/>
          </w:tcPr>
          <w:p w:rsidR="00053EE0" w:rsidRPr="006F07C8" w:rsidRDefault="00053EE0" w:rsidP="002F52A9">
            <w:pPr>
              <w:pStyle w:val="ListParagraph"/>
              <w:numPr>
                <w:ilvl w:val="0"/>
                <w:numId w:val="8"/>
              </w:numPr>
              <w:rPr>
                <w:rFonts w:ascii="Times New Roman" w:hAnsi="Times New Roman" w:cs="Times New Roman"/>
                <w:sz w:val="20"/>
                <w:szCs w:val="20"/>
                <w:lang w:val="it-IT"/>
              </w:rPr>
            </w:pPr>
            <w:r w:rsidRPr="006F07C8">
              <w:rPr>
                <w:rFonts w:ascii="Times New Roman" w:hAnsi="Times New Roman" w:cs="Times New Roman"/>
                <w:sz w:val="20"/>
                <w:szCs w:val="20"/>
                <w:lang w:val="it-IT"/>
              </w:rPr>
              <w:t>Allargamento (ELARG)</w:t>
            </w:r>
          </w:p>
        </w:tc>
        <w:tc>
          <w:tcPr>
            <w:tcW w:w="2779" w:type="dxa"/>
            <w:hideMark/>
          </w:tcPr>
          <w:p w:rsidR="00053EE0" w:rsidRPr="006F07C8" w:rsidRDefault="00884149"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Francese-tedesco-inglese</w:t>
            </w:r>
          </w:p>
        </w:tc>
      </w:tr>
      <w:tr w:rsidR="00053EE0" w:rsidRPr="006F07C8" w:rsidTr="00511F1C">
        <w:trPr>
          <w:trHeight w:val="73"/>
        </w:trPr>
        <w:tc>
          <w:tcPr>
            <w:tcW w:w="5920" w:type="dxa"/>
            <w:hideMark/>
          </w:tcPr>
          <w:p w:rsidR="00053EE0" w:rsidRPr="006F07C8" w:rsidRDefault="00053EE0" w:rsidP="002F52A9">
            <w:pPr>
              <w:pStyle w:val="ListParagraph"/>
              <w:numPr>
                <w:ilvl w:val="0"/>
                <w:numId w:val="8"/>
              </w:numPr>
              <w:rPr>
                <w:rFonts w:ascii="Times New Roman" w:hAnsi="Times New Roman" w:cs="Times New Roman"/>
                <w:sz w:val="20"/>
                <w:szCs w:val="20"/>
                <w:lang w:val="it-IT"/>
              </w:rPr>
            </w:pPr>
            <w:r w:rsidRPr="006F07C8">
              <w:rPr>
                <w:rFonts w:ascii="Times New Roman" w:hAnsi="Times New Roman" w:cs="Times New Roman"/>
                <w:sz w:val="20"/>
                <w:szCs w:val="20"/>
                <w:lang w:val="it-IT"/>
              </w:rPr>
              <w:t xml:space="preserve">Ambiente (ENV) </w:t>
            </w:r>
          </w:p>
        </w:tc>
        <w:tc>
          <w:tcPr>
            <w:tcW w:w="2779" w:type="dxa"/>
            <w:hideMark/>
          </w:tcPr>
          <w:p w:rsidR="00053EE0" w:rsidRPr="006F07C8" w:rsidRDefault="00884149"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Inglese</w:t>
            </w:r>
          </w:p>
        </w:tc>
      </w:tr>
      <w:tr w:rsidR="00053EE0" w:rsidRPr="006F07C8" w:rsidTr="00511F1C">
        <w:trPr>
          <w:trHeight w:val="147"/>
        </w:trPr>
        <w:tc>
          <w:tcPr>
            <w:tcW w:w="5920" w:type="dxa"/>
            <w:hideMark/>
          </w:tcPr>
          <w:p w:rsidR="00053EE0" w:rsidRPr="006F07C8" w:rsidRDefault="00053EE0" w:rsidP="002F52A9">
            <w:pPr>
              <w:pStyle w:val="ListParagraph"/>
              <w:numPr>
                <w:ilvl w:val="0"/>
                <w:numId w:val="8"/>
              </w:numPr>
              <w:rPr>
                <w:rFonts w:ascii="Times New Roman" w:hAnsi="Times New Roman" w:cs="Times New Roman"/>
                <w:sz w:val="20"/>
                <w:szCs w:val="20"/>
                <w:lang w:val="it-IT"/>
              </w:rPr>
            </w:pPr>
            <w:r w:rsidRPr="006F07C8">
              <w:rPr>
                <w:rFonts w:ascii="Times New Roman" w:hAnsi="Times New Roman" w:cs="Times New Roman"/>
                <w:sz w:val="20"/>
                <w:szCs w:val="20"/>
                <w:lang w:val="it-IT"/>
              </w:rPr>
              <w:t>Azione per il clima (CLIMA)</w:t>
            </w:r>
          </w:p>
        </w:tc>
        <w:tc>
          <w:tcPr>
            <w:tcW w:w="2779" w:type="dxa"/>
            <w:hideMark/>
          </w:tcPr>
          <w:p w:rsidR="00053EE0" w:rsidRPr="006F07C8" w:rsidRDefault="00884149"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Inglese</w:t>
            </w:r>
          </w:p>
        </w:tc>
      </w:tr>
      <w:tr w:rsidR="00053EE0" w:rsidRPr="006F07C8" w:rsidTr="00511F1C">
        <w:trPr>
          <w:trHeight w:val="221"/>
        </w:trPr>
        <w:tc>
          <w:tcPr>
            <w:tcW w:w="5920" w:type="dxa"/>
            <w:hideMark/>
          </w:tcPr>
          <w:p w:rsidR="00053EE0" w:rsidRPr="006F07C8" w:rsidRDefault="00053EE0" w:rsidP="002F52A9">
            <w:pPr>
              <w:pStyle w:val="ListParagraph"/>
              <w:numPr>
                <w:ilvl w:val="0"/>
                <w:numId w:val="8"/>
              </w:numPr>
              <w:rPr>
                <w:rFonts w:ascii="Times New Roman" w:hAnsi="Times New Roman" w:cs="Times New Roman"/>
                <w:sz w:val="20"/>
                <w:szCs w:val="20"/>
                <w:lang w:val="it-IT"/>
              </w:rPr>
            </w:pPr>
            <w:r w:rsidRPr="006F07C8">
              <w:rPr>
                <w:rFonts w:ascii="Times New Roman" w:hAnsi="Times New Roman" w:cs="Times New Roman"/>
                <w:sz w:val="20"/>
                <w:szCs w:val="20"/>
                <w:lang w:val="it-IT"/>
              </w:rPr>
              <w:t>Bilancio (BUDG)</w:t>
            </w:r>
          </w:p>
        </w:tc>
        <w:tc>
          <w:tcPr>
            <w:tcW w:w="2779" w:type="dxa"/>
            <w:hideMark/>
          </w:tcPr>
          <w:p w:rsidR="00053EE0" w:rsidRPr="006F07C8" w:rsidRDefault="00053EE0"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22</w:t>
            </w:r>
            <w:r w:rsidR="00884149" w:rsidRPr="006F07C8">
              <w:rPr>
                <w:rFonts w:ascii="Times New Roman" w:hAnsi="Times New Roman" w:cs="Times New Roman"/>
                <w:color w:val="000000"/>
                <w:sz w:val="20"/>
                <w:szCs w:val="20"/>
                <w:lang w:val="it-IT" w:eastAsia="fr-CH"/>
              </w:rPr>
              <w:t xml:space="preserve"> lingue</w:t>
            </w:r>
          </w:p>
        </w:tc>
      </w:tr>
      <w:tr w:rsidR="00053EE0" w:rsidRPr="006F07C8" w:rsidTr="00511F1C">
        <w:trPr>
          <w:trHeight w:val="139"/>
        </w:trPr>
        <w:tc>
          <w:tcPr>
            <w:tcW w:w="5920" w:type="dxa"/>
            <w:hideMark/>
          </w:tcPr>
          <w:p w:rsidR="00053EE0" w:rsidRPr="006F07C8" w:rsidRDefault="00053EE0" w:rsidP="002F52A9">
            <w:pPr>
              <w:pStyle w:val="ListParagraph"/>
              <w:numPr>
                <w:ilvl w:val="0"/>
                <w:numId w:val="8"/>
              </w:numPr>
              <w:rPr>
                <w:rFonts w:ascii="Times New Roman" w:hAnsi="Times New Roman" w:cs="Times New Roman"/>
                <w:sz w:val="20"/>
                <w:szCs w:val="20"/>
                <w:lang w:val="it-IT"/>
              </w:rPr>
            </w:pPr>
            <w:r w:rsidRPr="006F07C8">
              <w:rPr>
                <w:rFonts w:ascii="Times New Roman" w:hAnsi="Times New Roman" w:cs="Times New Roman"/>
                <w:sz w:val="20"/>
                <w:szCs w:val="20"/>
                <w:lang w:val="it-IT"/>
              </w:rPr>
              <w:t>Centro comune di ricerca (JRC)</w:t>
            </w:r>
          </w:p>
        </w:tc>
        <w:tc>
          <w:tcPr>
            <w:tcW w:w="2779" w:type="dxa"/>
            <w:hideMark/>
          </w:tcPr>
          <w:p w:rsidR="00053EE0" w:rsidRPr="006F07C8" w:rsidRDefault="00884149"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Inglese</w:t>
            </w:r>
          </w:p>
        </w:tc>
      </w:tr>
      <w:tr w:rsidR="00053EE0" w:rsidRPr="006F07C8" w:rsidTr="00511F1C">
        <w:trPr>
          <w:trHeight w:val="213"/>
        </w:trPr>
        <w:tc>
          <w:tcPr>
            <w:tcW w:w="5920" w:type="dxa"/>
            <w:hideMark/>
          </w:tcPr>
          <w:p w:rsidR="00053EE0" w:rsidRPr="006F07C8" w:rsidRDefault="00053EE0" w:rsidP="002F52A9">
            <w:pPr>
              <w:pStyle w:val="ListParagraph"/>
              <w:numPr>
                <w:ilvl w:val="0"/>
                <w:numId w:val="8"/>
              </w:numPr>
              <w:rPr>
                <w:rFonts w:ascii="Times New Roman" w:hAnsi="Times New Roman" w:cs="Times New Roman"/>
                <w:sz w:val="20"/>
                <w:szCs w:val="20"/>
                <w:lang w:val="it-IT"/>
              </w:rPr>
            </w:pPr>
            <w:r w:rsidRPr="006F07C8">
              <w:rPr>
                <w:rFonts w:ascii="Times New Roman" w:hAnsi="Times New Roman" w:cs="Times New Roman"/>
                <w:sz w:val="20"/>
                <w:szCs w:val="20"/>
                <w:lang w:val="it-IT"/>
              </w:rPr>
              <w:t xml:space="preserve">Commercio (TRADE) </w:t>
            </w:r>
          </w:p>
        </w:tc>
        <w:tc>
          <w:tcPr>
            <w:tcW w:w="2779" w:type="dxa"/>
            <w:hideMark/>
          </w:tcPr>
          <w:p w:rsidR="00053EE0" w:rsidRPr="006F07C8" w:rsidRDefault="00884149"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Inglese</w:t>
            </w:r>
          </w:p>
        </w:tc>
      </w:tr>
      <w:tr w:rsidR="00053EE0" w:rsidRPr="006F07C8" w:rsidTr="00511F1C">
        <w:trPr>
          <w:trHeight w:val="145"/>
        </w:trPr>
        <w:tc>
          <w:tcPr>
            <w:tcW w:w="5920" w:type="dxa"/>
            <w:hideMark/>
          </w:tcPr>
          <w:p w:rsidR="00053EE0" w:rsidRPr="006F07C8" w:rsidRDefault="00053EE0" w:rsidP="002F52A9">
            <w:pPr>
              <w:pStyle w:val="ListParagraph"/>
              <w:numPr>
                <w:ilvl w:val="0"/>
                <w:numId w:val="8"/>
              </w:numPr>
              <w:rPr>
                <w:rFonts w:ascii="Times New Roman" w:hAnsi="Times New Roman" w:cs="Times New Roman"/>
                <w:sz w:val="20"/>
                <w:szCs w:val="20"/>
                <w:lang w:val="it-IT"/>
              </w:rPr>
            </w:pPr>
            <w:r w:rsidRPr="006F07C8">
              <w:rPr>
                <w:rFonts w:ascii="Times New Roman" w:hAnsi="Times New Roman" w:cs="Times New Roman"/>
                <w:sz w:val="20"/>
                <w:szCs w:val="20"/>
                <w:lang w:val="it-IT"/>
              </w:rPr>
              <w:t>Comunicazione (COMM)</w:t>
            </w:r>
          </w:p>
        </w:tc>
        <w:tc>
          <w:tcPr>
            <w:tcW w:w="2779" w:type="dxa"/>
            <w:hideMark/>
          </w:tcPr>
          <w:p w:rsidR="00053EE0" w:rsidRPr="006F07C8" w:rsidRDefault="00884149"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Francese-tedesco-inglese</w:t>
            </w:r>
          </w:p>
        </w:tc>
      </w:tr>
      <w:tr w:rsidR="00053EE0" w:rsidRPr="006F07C8" w:rsidTr="00511F1C">
        <w:trPr>
          <w:trHeight w:val="220"/>
        </w:trPr>
        <w:tc>
          <w:tcPr>
            <w:tcW w:w="5920" w:type="dxa"/>
            <w:hideMark/>
          </w:tcPr>
          <w:p w:rsidR="00053EE0" w:rsidRPr="006F07C8" w:rsidRDefault="00053EE0" w:rsidP="002F52A9">
            <w:pPr>
              <w:pStyle w:val="ListParagraph"/>
              <w:numPr>
                <w:ilvl w:val="0"/>
                <w:numId w:val="8"/>
              </w:numPr>
              <w:rPr>
                <w:rFonts w:ascii="Times New Roman" w:hAnsi="Times New Roman" w:cs="Times New Roman"/>
                <w:sz w:val="20"/>
                <w:szCs w:val="20"/>
                <w:lang w:val="it-IT"/>
              </w:rPr>
            </w:pPr>
            <w:r w:rsidRPr="006F07C8">
              <w:rPr>
                <w:rFonts w:ascii="Times New Roman" w:hAnsi="Times New Roman" w:cs="Times New Roman"/>
                <w:sz w:val="20"/>
                <w:szCs w:val="20"/>
                <w:lang w:val="it-IT"/>
              </w:rPr>
              <w:t>Concorrenza (COMP)</w:t>
            </w:r>
          </w:p>
        </w:tc>
        <w:tc>
          <w:tcPr>
            <w:tcW w:w="2779" w:type="dxa"/>
            <w:hideMark/>
          </w:tcPr>
          <w:p w:rsidR="00053EE0" w:rsidRPr="006F07C8" w:rsidRDefault="00053EE0"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22</w:t>
            </w:r>
            <w:r w:rsidR="00884149" w:rsidRPr="006F07C8">
              <w:rPr>
                <w:rFonts w:ascii="Times New Roman" w:hAnsi="Times New Roman" w:cs="Times New Roman"/>
                <w:color w:val="000000"/>
                <w:sz w:val="20"/>
                <w:szCs w:val="20"/>
                <w:lang w:val="it-IT" w:eastAsia="fr-CH"/>
              </w:rPr>
              <w:t xml:space="preserve"> lingue</w:t>
            </w:r>
          </w:p>
        </w:tc>
      </w:tr>
      <w:tr w:rsidR="00053EE0" w:rsidRPr="006F07C8" w:rsidTr="00511F1C">
        <w:trPr>
          <w:trHeight w:val="137"/>
        </w:trPr>
        <w:tc>
          <w:tcPr>
            <w:tcW w:w="5920" w:type="dxa"/>
            <w:hideMark/>
          </w:tcPr>
          <w:p w:rsidR="00053EE0" w:rsidRPr="006F07C8" w:rsidRDefault="00053EE0" w:rsidP="002F52A9">
            <w:pPr>
              <w:pStyle w:val="ListParagraph"/>
              <w:numPr>
                <w:ilvl w:val="0"/>
                <w:numId w:val="8"/>
              </w:numPr>
              <w:rPr>
                <w:rFonts w:ascii="Times New Roman" w:hAnsi="Times New Roman" w:cs="Times New Roman"/>
                <w:sz w:val="20"/>
                <w:szCs w:val="20"/>
                <w:lang w:val="it-IT"/>
              </w:rPr>
            </w:pPr>
            <w:r w:rsidRPr="006F07C8">
              <w:rPr>
                <w:rFonts w:ascii="Times New Roman" w:hAnsi="Times New Roman" w:cs="Times New Roman"/>
                <w:sz w:val="20"/>
                <w:szCs w:val="20"/>
                <w:lang w:val="it-IT"/>
              </w:rPr>
              <w:t>Energia (ENER)</w:t>
            </w:r>
          </w:p>
        </w:tc>
        <w:tc>
          <w:tcPr>
            <w:tcW w:w="2779" w:type="dxa"/>
            <w:hideMark/>
          </w:tcPr>
          <w:p w:rsidR="00053EE0" w:rsidRPr="006F07C8" w:rsidRDefault="00884149"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Inglese</w:t>
            </w:r>
          </w:p>
        </w:tc>
      </w:tr>
      <w:tr w:rsidR="00053EE0" w:rsidRPr="006F07C8" w:rsidTr="00511F1C">
        <w:trPr>
          <w:trHeight w:val="225"/>
        </w:trPr>
        <w:tc>
          <w:tcPr>
            <w:tcW w:w="5920" w:type="dxa"/>
            <w:hideMark/>
          </w:tcPr>
          <w:p w:rsidR="00053EE0" w:rsidRPr="006F07C8" w:rsidRDefault="00053EE0" w:rsidP="002F52A9">
            <w:pPr>
              <w:pStyle w:val="ListParagraph"/>
              <w:numPr>
                <w:ilvl w:val="0"/>
                <w:numId w:val="8"/>
              </w:numPr>
              <w:rPr>
                <w:rFonts w:ascii="Times New Roman" w:hAnsi="Times New Roman" w:cs="Times New Roman"/>
                <w:sz w:val="20"/>
                <w:szCs w:val="20"/>
                <w:lang w:val="it-IT"/>
              </w:rPr>
            </w:pPr>
            <w:r w:rsidRPr="006F07C8">
              <w:rPr>
                <w:rFonts w:ascii="Times New Roman" w:hAnsi="Times New Roman" w:cs="Times New Roman"/>
                <w:sz w:val="20"/>
                <w:szCs w:val="20"/>
                <w:lang w:val="it-IT"/>
              </w:rPr>
              <w:t>EuropeAid - Sviluppo e cooperazione (DEVCO)</w:t>
            </w:r>
          </w:p>
        </w:tc>
        <w:tc>
          <w:tcPr>
            <w:tcW w:w="2779" w:type="dxa"/>
            <w:hideMark/>
          </w:tcPr>
          <w:p w:rsidR="00053EE0" w:rsidRPr="006F07C8" w:rsidRDefault="00884149"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22 lingue</w:t>
            </w:r>
          </w:p>
        </w:tc>
      </w:tr>
      <w:tr w:rsidR="00053EE0" w:rsidRPr="006F07C8" w:rsidTr="00511F1C">
        <w:trPr>
          <w:trHeight w:val="143"/>
        </w:trPr>
        <w:tc>
          <w:tcPr>
            <w:tcW w:w="5920" w:type="dxa"/>
            <w:hideMark/>
          </w:tcPr>
          <w:p w:rsidR="00053EE0" w:rsidRPr="006F07C8" w:rsidRDefault="00053EE0" w:rsidP="002F52A9">
            <w:pPr>
              <w:pStyle w:val="ListParagraph"/>
              <w:numPr>
                <w:ilvl w:val="0"/>
                <w:numId w:val="8"/>
              </w:numPr>
              <w:rPr>
                <w:rFonts w:ascii="Times New Roman" w:hAnsi="Times New Roman" w:cs="Times New Roman"/>
                <w:sz w:val="20"/>
                <w:szCs w:val="20"/>
                <w:lang w:val="it-IT"/>
              </w:rPr>
            </w:pPr>
            <w:r w:rsidRPr="006F07C8">
              <w:rPr>
                <w:rFonts w:ascii="Times New Roman" w:hAnsi="Times New Roman" w:cs="Times New Roman"/>
                <w:sz w:val="20"/>
                <w:szCs w:val="20"/>
                <w:lang w:val="it-IT"/>
              </w:rPr>
              <w:t>Fiscalità e unione doganale (TAXUD)</w:t>
            </w:r>
          </w:p>
        </w:tc>
        <w:tc>
          <w:tcPr>
            <w:tcW w:w="2779" w:type="dxa"/>
            <w:hideMark/>
          </w:tcPr>
          <w:p w:rsidR="00053EE0" w:rsidRPr="006F07C8" w:rsidRDefault="00884149"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Francese-tedesco-inglese</w:t>
            </w:r>
          </w:p>
        </w:tc>
      </w:tr>
      <w:tr w:rsidR="00053EE0" w:rsidRPr="006F07C8" w:rsidTr="00511F1C">
        <w:trPr>
          <w:trHeight w:val="217"/>
        </w:trPr>
        <w:tc>
          <w:tcPr>
            <w:tcW w:w="5920" w:type="dxa"/>
            <w:hideMark/>
          </w:tcPr>
          <w:p w:rsidR="00053EE0" w:rsidRPr="006F07C8" w:rsidRDefault="00053EE0" w:rsidP="002F52A9">
            <w:pPr>
              <w:pStyle w:val="ListParagraph"/>
              <w:numPr>
                <w:ilvl w:val="0"/>
                <w:numId w:val="8"/>
              </w:numPr>
              <w:rPr>
                <w:rFonts w:ascii="Times New Roman" w:hAnsi="Times New Roman" w:cs="Times New Roman"/>
                <w:sz w:val="20"/>
                <w:szCs w:val="20"/>
                <w:lang w:val="it-IT"/>
              </w:rPr>
            </w:pPr>
            <w:r w:rsidRPr="006F07C8">
              <w:rPr>
                <w:rFonts w:ascii="Times New Roman" w:hAnsi="Times New Roman" w:cs="Times New Roman"/>
                <w:sz w:val="20"/>
                <w:szCs w:val="20"/>
                <w:lang w:val="it-IT"/>
              </w:rPr>
              <w:t>Giustizia (JUST)</w:t>
            </w:r>
          </w:p>
        </w:tc>
        <w:tc>
          <w:tcPr>
            <w:tcW w:w="2779" w:type="dxa"/>
            <w:hideMark/>
          </w:tcPr>
          <w:p w:rsidR="00053EE0" w:rsidRPr="006F07C8" w:rsidRDefault="00053EE0"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24</w:t>
            </w:r>
            <w:r w:rsidR="00884149" w:rsidRPr="006F07C8">
              <w:rPr>
                <w:rFonts w:ascii="Times New Roman" w:hAnsi="Times New Roman" w:cs="Times New Roman"/>
                <w:color w:val="000000"/>
                <w:sz w:val="20"/>
                <w:szCs w:val="20"/>
                <w:lang w:val="it-IT" w:eastAsia="fr-CH"/>
              </w:rPr>
              <w:t xml:space="preserve"> lingue</w:t>
            </w:r>
          </w:p>
        </w:tc>
      </w:tr>
      <w:tr w:rsidR="00053EE0" w:rsidRPr="006F07C8" w:rsidTr="00511F1C">
        <w:trPr>
          <w:trHeight w:val="149"/>
        </w:trPr>
        <w:tc>
          <w:tcPr>
            <w:tcW w:w="5920" w:type="dxa"/>
            <w:hideMark/>
          </w:tcPr>
          <w:p w:rsidR="00053EE0" w:rsidRPr="006F07C8" w:rsidRDefault="00053EE0" w:rsidP="002F52A9">
            <w:pPr>
              <w:pStyle w:val="ListParagraph"/>
              <w:numPr>
                <w:ilvl w:val="0"/>
                <w:numId w:val="8"/>
              </w:numPr>
              <w:rPr>
                <w:rFonts w:ascii="Times New Roman" w:hAnsi="Times New Roman" w:cs="Times New Roman"/>
                <w:sz w:val="20"/>
                <w:szCs w:val="20"/>
                <w:lang w:val="it-IT"/>
              </w:rPr>
            </w:pPr>
            <w:r w:rsidRPr="006F07C8">
              <w:rPr>
                <w:rFonts w:ascii="Times New Roman" w:hAnsi="Times New Roman" w:cs="Times New Roman"/>
                <w:sz w:val="20"/>
                <w:szCs w:val="20"/>
                <w:lang w:val="it-IT"/>
              </w:rPr>
              <w:t>Imprese e industria (ENTR)</w:t>
            </w:r>
          </w:p>
        </w:tc>
        <w:tc>
          <w:tcPr>
            <w:tcW w:w="2779" w:type="dxa"/>
            <w:hideMark/>
          </w:tcPr>
          <w:p w:rsidR="00053EE0" w:rsidRPr="006F07C8" w:rsidRDefault="00053EE0"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24</w:t>
            </w:r>
            <w:r w:rsidR="00884149" w:rsidRPr="006F07C8">
              <w:rPr>
                <w:rFonts w:ascii="Times New Roman" w:hAnsi="Times New Roman" w:cs="Times New Roman"/>
                <w:color w:val="000000"/>
                <w:sz w:val="20"/>
                <w:szCs w:val="20"/>
                <w:lang w:val="it-IT" w:eastAsia="fr-CH"/>
              </w:rPr>
              <w:t xml:space="preserve"> lingue</w:t>
            </w:r>
          </w:p>
        </w:tc>
      </w:tr>
      <w:tr w:rsidR="00053EE0" w:rsidRPr="006F07C8" w:rsidTr="00511F1C">
        <w:trPr>
          <w:trHeight w:val="209"/>
        </w:trPr>
        <w:tc>
          <w:tcPr>
            <w:tcW w:w="5920" w:type="dxa"/>
            <w:hideMark/>
          </w:tcPr>
          <w:p w:rsidR="00053EE0" w:rsidRPr="006F07C8" w:rsidRDefault="00053EE0" w:rsidP="002F52A9">
            <w:pPr>
              <w:pStyle w:val="ListParagraph"/>
              <w:numPr>
                <w:ilvl w:val="0"/>
                <w:numId w:val="8"/>
              </w:numPr>
              <w:rPr>
                <w:rFonts w:ascii="Times New Roman" w:hAnsi="Times New Roman" w:cs="Times New Roman"/>
                <w:sz w:val="20"/>
                <w:szCs w:val="20"/>
                <w:lang w:val="it-IT"/>
              </w:rPr>
            </w:pPr>
            <w:r w:rsidRPr="006F07C8">
              <w:rPr>
                <w:rFonts w:ascii="Times New Roman" w:hAnsi="Times New Roman" w:cs="Times New Roman"/>
                <w:sz w:val="20"/>
                <w:szCs w:val="20"/>
                <w:lang w:val="it-IT"/>
              </w:rPr>
              <w:t>Informatica (DIGIT)</w:t>
            </w:r>
          </w:p>
        </w:tc>
        <w:tc>
          <w:tcPr>
            <w:tcW w:w="2779" w:type="dxa"/>
            <w:hideMark/>
          </w:tcPr>
          <w:p w:rsidR="00053EE0" w:rsidRPr="006F07C8" w:rsidRDefault="00053EE0"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22</w:t>
            </w:r>
            <w:r w:rsidR="00884149" w:rsidRPr="006F07C8">
              <w:rPr>
                <w:rFonts w:ascii="Times New Roman" w:hAnsi="Times New Roman" w:cs="Times New Roman"/>
                <w:color w:val="000000"/>
                <w:sz w:val="20"/>
                <w:szCs w:val="20"/>
                <w:lang w:val="it-IT" w:eastAsia="fr-CH"/>
              </w:rPr>
              <w:t xml:space="preserve"> lingue</w:t>
            </w:r>
          </w:p>
        </w:tc>
      </w:tr>
      <w:tr w:rsidR="00053EE0" w:rsidRPr="006F07C8" w:rsidTr="00511F1C">
        <w:trPr>
          <w:trHeight w:val="141"/>
        </w:trPr>
        <w:tc>
          <w:tcPr>
            <w:tcW w:w="5920" w:type="dxa"/>
            <w:hideMark/>
          </w:tcPr>
          <w:p w:rsidR="00053EE0" w:rsidRPr="006F07C8" w:rsidRDefault="00053EE0" w:rsidP="002F52A9">
            <w:pPr>
              <w:pStyle w:val="ListParagraph"/>
              <w:numPr>
                <w:ilvl w:val="0"/>
                <w:numId w:val="8"/>
              </w:numPr>
              <w:rPr>
                <w:rFonts w:ascii="Times New Roman" w:hAnsi="Times New Roman" w:cs="Times New Roman"/>
                <w:sz w:val="20"/>
                <w:szCs w:val="20"/>
                <w:lang w:val="it-IT"/>
              </w:rPr>
            </w:pPr>
            <w:r w:rsidRPr="006F07C8">
              <w:rPr>
                <w:rFonts w:ascii="Times New Roman" w:hAnsi="Times New Roman" w:cs="Times New Roman"/>
                <w:sz w:val="20"/>
                <w:szCs w:val="20"/>
                <w:lang w:val="it-IT"/>
              </w:rPr>
              <w:t>Interpretazione (SCIC)</w:t>
            </w:r>
          </w:p>
        </w:tc>
        <w:tc>
          <w:tcPr>
            <w:tcW w:w="2779" w:type="dxa"/>
            <w:hideMark/>
          </w:tcPr>
          <w:p w:rsidR="00053EE0" w:rsidRPr="006F07C8" w:rsidRDefault="00053EE0"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23</w:t>
            </w:r>
            <w:r w:rsidR="00884149" w:rsidRPr="006F07C8">
              <w:rPr>
                <w:rFonts w:ascii="Times New Roman" w:hAnsi="Times New Roman" w:cs="Times New Roman"/>
                <w:color w:val="000000"/>
                <w:sz w:val="20"/>
                <w:szCs w:val="20"/>
                <w:lang w:val="it-IT" w:eastAsia="fr-CH"/>
              </w:rPr>
              <w:t xml:space="preserve"> lingue</w:t>
            </w:r>
          </w:p>
        </w:tc>
      </w:tr>
      <w:tr w:rsidR="00053EE0" w:rsidRPr="006F07C8" w:rsidTr="00511F1C">
        <w:trPr>
          <w:trHeight w:val="216"/>
        </w:trPr>
        <w:tc>
          <w:tcPr>
            <w:tcW w:w="5920" w:type="dxa"/>
            <w:hideMark/>
          </w:tcPr>
          <w:p w:rsidR="00053EE0" w:rsidRPr="006F07C8" w:rsidRDefault="00053EE0" w:rsidP="002F52A9">
            <w:pPr>
              <w:pStyle w:val="ListParagraph"/>
              <w:numPr>
                <w:ilvl w:val="0"/>
                <w:numId w:val="8"/>
              </w:numPr>
              <w:rPr>
                <w:rFonts w:ascii="Times New Roman" w:hAnsi="Times New Roman" w:cs="Times New Roman"/>
                <w:sz w:val="20"/>
                <w:szCs w:val="20"/>
                <w:lang w:val="it-IT"/>
              </w:rPr>
            </w:pPr>
            <w:r w:rsidRPr="006F07C8">
              <w:rPr>
                <w:rFonts w:ascii="Times New Roman" w:hAnsi="Times New Roman" w:cs="Times New Roman"/>
                <w:sz w:val="20"/>
                <w:szCs w:val="20"/>
                <w:lang w:val="it-IT"/>
              </w:rPr>
              <w:t>Istituto statistico - Eurostat (ESTAT)</w:t>
            </w:r>
          </w:p>
        </w:tc>
        <w:tc>
          <w:tcPr>
            <w:tcW w:w="2779" w:type="dxa"/>
            <w:hideMark/>
          </w:tcPr>
          <w:p w:rsidR="00053EE0" w:rsidRPr="006F07C8" w:rsidRDefault="00884149"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Francese-tedesco-inglese</w:t>
            </w:r>
          </w:p>
        </w:tc>
      </w:tr>
      <w:tr w:rsidR="00053EE0" w:rsidRPr="006F07C8" w:rsidTr="00511F1C">
        <w:trPr>
          <w:trHeight w:val="147"/>
        </w:trPr>
        <w:tc>
          <w:tcPr>
            <w:tcW w:w="5920" w:type="dxa"/>
            <w:hideMark/>
          </w:tcPr>
          <w:p w:rsidR="00053EE0" w:rsidRPr="006F07C8" w:rsidRDefault="00053EE0" w:rsidP="002F52A9">
            <w:pPr>
              <w:pStyle w:val="ListParagraph"/>
              <w:numPr>
                <w:ilvl w:val="0"/>
                <w:numId w:val="8"/>
              </w:numPr>
              <w:rPr>
                <w:rFonts w:ascii="Times New Roman" w:hAnsi="Times New Roman" w:cs="Times New Roman"/>
                <w:sz w:val="20"/>
                <w:szCs w:val="20"/>
                <w:lang w:val="it-IT"/>
              </w:rPr>
            </w:pPr>
            <w:r w:rsidRPr="006F07C8">
              <w:rPr>
                <w:rFonts w:ascii="Times New Roman" w:hAnsi="Times New Roman" w:cs="Times New Roman"/>
                <w:sz w:val="20"/>
                <w:szCs w:val="20"/>
                <w:lang w:val="it-IT"/>
              </w:rPr>
              <w:t>Istruzione e cultura (EAC)</w:t>
            </w:r>
          </w:p>
        </w:tc>
        <w:tc>
          <w:tcPr>
            <w:tcW w:w="2779" w:type="dxa"/>
            <w:hideMark/>
          </w:tcPr>
          <w:p w:rsidR="00053EE0" w:rsidRPr="006F07C8" w:rsidRDefault="00884149"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Francese-tedesco-inglese</w:t>
            </w:r>
          </w:p>
        </w:tc>
      </w:tr>
      <w:tr w:rsidR="00053EE0" w:rsidRPr="006F07C8" w:rsidTr="00511F1C">
        <w:trPr>
          <w:trHeight w:val="221"/>
        </w:trPr>
        <w:tc>
          <w:tcPr>
            <w:tcW w:w="5920" w:type="dxa"/>
            <w:hideMark/>
          </w:tcPr>
          <w:p w:rsidR="00053EE0" w:rsidRPr="006F07C8" w:rsidRDefault="00053EE0" w:rsidP="002F52A9">
            <w:pPr>
              <w:pStyle w:val="ListParagraph"/>
              <w:numPr>
                <w:ilvl w:val="0"/>
                <w:numId w:val="8"/>
              </w:numPr>
              <w:rPr>
                <w:rFonts w:ascii="Times New Roman" w:hAnsi="Times New Roman" w:cs="Times New Roman"/>
                <w:sz w:val="20"/>
                <w:szCs w:val="20"/>
                <w:lang w:val="it-IT"/>
              </w:rPr>
            </w:pPr>
            <w:r w:rsidRPr="006F07C8">
              <w:rPr>
                <w:rFonts w:ascii="Times New Roman" w:hAnsi="Times New Roman" w:cs="Times New Roman"/>
                <w:sz w:val="20"/>
                <w:szCs w:val="20"/>
                <w:lang w:val="it-IT"/>
              </w:rPr>
              <w:t>Mercato interno e servizi (MARKT)</w:t>
            </w:r>
          </w:p>
        </w:tc>
        <w:tc>
          <w:tcPr>
            <w:tcW w:w="2779" w:type="dxa"/>
            <w:hideMark/>
          </w:tcPr>
          <w:p w:rsidR="00053EE0" w:rsidRPr="006F07C8" w:rsidRDefault="00884149"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Francese-tedesco-inglese</w:t>
            </w:r>
          </w:p>
        </w:tc>
      </w:tr>
      <w:tr w:rsidR="00053EE0" w:rsidRPr="006F07C8" w:rsidTr="00511F1C">
        <w:trPr>
          <w:trHeight w:val="153"/>
        </w:trPr>
        <w:tc>
          <w:tcPr>
            <w:tcW w:w="5920" w:type="dxa"/>
            <w:hideMark/>
          </w:tcPr>
          <w:p w:rsidR="00053EE0" w:rsidRPr="006F07C8" w:rsidRDefault="00053EE0" w:rsidP="002F52A9">
            <w:pPr>
              <w:pStyle w:val="ListParagraph"/>
              <w:numPr>
                <w:ilvl w:val="0"/>
                <w:numId w:val="8"/>
              </w:numPr>
              <w:rPr>
                <w:rFonts w:ascii="Times New Roman" w:hAnsi="Times New Roman" w:cs="Times New Roman"/>
                <w:sz w:val="20"/>
                <w:szCs w:val="20"/>
                <w:lang w:val="it-IT"/>
              </w:rPr>
            </w:pPr>
            <w:r w:rsidRPr="006F07C8">
              <w:rPr>
                <w:rFonts w:ascii="Times New Roman" w:hAnsi="Times New Roman" w:cs="Times New Roman"/>
                <w:sz w:val="20"/>
                <w:szCs w:val="20"/>
                <w:lang w:val="it-IT"/>
              </w:rPr>
              <w:t>Mobilità e trasporti (MOVE)</w:t>
            </w:r>
          </w:p>
        </w:tc>
        <w:tc>
          <w:tcPr>
            <w:tcW w:w="2779" w:type="dxa"/>
            <w:hideMark/>
          </w:tcPr>
          <w:p w:rsidR="00053EE0" w:rsidRPr="006F07C8" w:rsidRDefault="00884149"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Inglese</w:t>
            </w:r>
          </w:p>
        </w:tc>
      </w:tr>
      <w:tr w:rsidR="00053EE0" w:rsidRPr="006F07C8" w:rsidTr="00511F1C">
        <w:trPr>
          <w:trHeight w:val="227"/>
        </w:trPr>
        <w:tc>
          <w:tcPr>
            <w:tcW w:w="5920" w:type="dxa"/>
            <w:hideMark/>
          </w:tcPr>
          <w:p w:rsidR="00053EE0" w:rsidRPr="006F07C8" w:rsidRDefault="00053EE0" w:rsidP="002F52A9">
            <w:pPr>
              <w:pStyle w:val="ListParagraph"/>
              <w:numPr>
                <w:ilvl w:val="0"/>
                <w:numId w:val="8"/>
              </w:numPr>
              <w:rPr>
                <w:rFonts w:ascii="Times New Roman" w:hAnsi="Times New Roman" w:cs="Times New Roman"/>
                <w:sz w:val="20"/>
                <w:szCs w:val="20"/>
                <w:lang w:val="it-IT"/>
              </w:rPr>
            </w:pPr>
            <w:r w:rsidRPr="006F07C8">
              <w:rPr>
                <w:rFonts w:ascii="Times New Roman" w:hAnsi="Times New Roman" w:cs="Times New Roman"/>
                <w:sz w:val="20"/>
                <w:szCs w:val="20"/>
                <w:lang w:val="it-IT"/>
              </w:rPr>
              <w:t>Occupazione, affari sociali e integrazione (EMPL)</w:t>
            </w:r>
          </w:p>
        </w:tc>
        <w:tc>
          <w:tcPr>
            <w:tcW w:w="2779" w:type="dxa"/>
            <w:hideMark/>
          </w:tcPr>
          <w:p w:rsidR="00053EE0" w:rsidRPr="006F07C8" w:rsidRDefault="00053EE0"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24</w:t>
            </w:r>
            <w:r w:rsidR="00884149" w:rsidRPr="006F07C8">
              <w:rPr>
                <w:rFonts w:ascii="Times New Roman" w:hAnsi="Times New Roman" w:cs="Times New Roman"/>
                <w:color w:val="000000"/>
                <w:sz w:val="20"/>
                <w:szCs w:val="20"/>
                <w:lang w:val="it-IT" w:eastAsia="fr-CH"/>
              </w:rPr>
              <w:t xml:space="preserve"> lingue</w:t>
            </w:r>
          </w:p>
        </w:tc>
      </w:tr>
      <w:tr w:rsidR="00053EE0" w:rsidRPr="006F07C8" w:rsidTr="00511F1C">
        <w:trPr>
          <w:trHeight w:val="145"/>
        </w:trPr>
        <w:tc>
          <w:tcPr>
            <w:tcW w:w="5920" w:type="dxa"/>
            <w:hideMark/>
          </w:tcPr>
          <w:p w:rsidR="00053EE0" w:rsidRPr="006F07C8" w:rsidRDefault="00053EE0" w:rsidP="002F52A9">
            <w:pPr>
              <w:pStyle w:val="ListParagraph"/>
              <w:numPr>
                <w:ilvl w:val="0"/>
                <w:numId w:val="8"/>
              </w:numPr>
              <w:rPr>
                <w:rFonts w:ascii="Times New Roman" w:hAnsi="Times New Roman" w:cs="Times New Roman"/>
                <w:sz w:val="20"/>
                <w:szCs w:val="20"/>
                <w:lang w:val="it-IT"/>
              </w:rPr>
            </w:pPr>
            <w:r w:rsidRPr="006F07C8">
              <w:rPr>
                <w:rFonts w:ascii="Times New Roman" w:hAnsi="Times New Roman" w:cs="Times New Roman"/>
                <w:sz w:val="20"/>
                <w:szCs w:val="20"/>
                <w:lang w:val="it-IT"/>
              </w:rPr>
              <w:t>Politica regionale (REGIO)</w:t>
            </w:r>
          </w:p>
        </w:tc>
        <w:tc>
          <w:tcPr>
            <w:tcW w:w="2779" w:type="dxa"/>
            <w:hideMark/>
          </w:tcPr>
          <w:p w:rsidR="00053EE0" w:rsidRPr="006F07C8" w:rsidRDefault="00053EE0"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23</w:t>
            </w:r>
            <w:r w:rsidR="00884149" w:rsidRPr="006F07C8">
              <w:rPr>
                <w:rFonts w:ascii="Times New Roman" w:hAnsi="Times New Roman" w:cs="Times New Roman"/>
                <w:color w:val="000000"/>
                <w:sz w:val="20"/>
                <w:szCs w:val="20"/>
                <w:lang w:val="it-IT" w:eastAsia="fr-CH"/>
              </w:rPr>
              <w:t xml:space="preserve"> lingue</w:t>
            </w:r>
          </w:p>
        </w:tc>
      </w:tr>
      <w:tr w:rsidR="00053EE0" w:rsidRPr="006F07C8" w:rsidTr="00511F1C">
        <w:trPr>
          <w:trHeight w:val="219"/>
        </w:trPr>
        <w:tc>
          <w:tcPr>
            <w:tcW w:w="5920" w:type="dxa"/>
            <w:hideMark/>
          </w:tcPr>
          <w:p w:rsidR="00053EE0" w:rsidRPr="006F07C8" w:rsidRDefault="00053EE0" w:rsidP="002F52A9">
            <w:pPr>
              <w:pStyle w:val="ListParagraph"/>
              <w:numPr>
                <w:ilvl w:val="0"/>
                <w:numId w:val="8"/>
              </w:numPr>
              <w:rPr>
                <w:rFonts w:ascii="Times New Roman" w:hAnsi="Times New Roman" w:cs="Times New Roman"/>
                <w:sz w:val="20"/>
                <w:szCs w:val="20"/>
                <w:lang w:val="it-IT"/>
              </w:rPr>
            </w:pPr>
            <w:r w:rsidRPr="006F07C8">
              <w:rPr>
                <w:rFonts w:ascii="Times New Roman" w:hAnsi="Times New Roman" w:cs="Times New Roman"/>
                <w:sz w:val="20"/>
                <w:szCs w:val="20"/>
                <w:lang w:val="it-IT"/>
              </w:rPr>
              <w:t>Reti di comunicazione, contenuti e tecnologie (CNECT)</w:t>
            </w:r>
          </w:p>
        </w:tc>
        <w:tc>
          <w:tcPr>
            <w:tcW w:w="2779" w:type="dxa"/>
            <w:hideMark/>
          </w:tcPr>
          <w:p w:rsidR="00053EE0" w:rsidRPr="006F07C8" w:rsidRDefault="00884149"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Inglese</w:t>
            </w:r>
          </w:p>
        </w:tc>
      </w:tr>
      <w:tr w:rsidR="00053EE0" w:rsidRPr="006F07C8" w:rsidTr="00511F1C">
        <w:trPr>
          <w:trHeight w:val="137"/>
        </w:trPr>
        <w:tc>
          <w:tcPr>
            <w:tcW w:w="5920" w:type="dxa"/>
            <w:hideMark/>
          </w:tcPr>
          <w:p w:rsidR="00053EE0" w:rsidRPr="006F07C8" w:rsidRDefault="00053EE0" w:rsidP="002F52A9">
            <w:pPr>
              <w:pStyle w:val="ListParagraph"/>
              <w:numPr>
                <w:ilvl w:val="0"/>
                <w:numId w:val="8"/>
              </w:numPr>
              <w:rPr>
                <w:rFonts w:ascii="Times New Roman" w:hAnsi="Times New Roman" w:cs="Times New Roman"/>
                <w:sz w:val="20"/>
                <w:szCs w:val="20"/>
                <w:lang w:val="it-IT"/>
              </w:rPr>
            </w:pPr>
            <w:r w:rsidRPr="006F07C8">
              <w:rPr>
                <w:rFonts w:ascii="Times New Roman" w:hAnsi="Times New Roman" w:cs="Times New Roman"/>
                <w:sz w:val="20"/>
                <w:szCs w:val="20"/>
                <w:lang w:val="it-IT"/>
              </w:rPr>
              <w:t>Ricerca e innovazione (RTD)</w:t>
            </w:r>
          </w:p>
        </w:tc>
        <w:tc>
          <w:tcPr>
            <w:tcW w:w="2779" w:type="dxa"/>
            <w:hideMark/>
          </w:tcPr>
          <w:p w:rsidR="00053EE0" w:rsidRPr="006F07C8" w:rsidRDefault="00884149"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Inglese</w:t>
            </w:r>
          </w:p>
        </w:tc>
      </w:tr>
      <w:tr w:rsidR="00053EE0" w:rsidRPr="006F07C8" w:rsidTr="00511F1C">
        <w:trPr>
          <w:trHeight w:val="211"/>
        </w:trPr>
        <w:tc>
          <w:tcPr>
            <w:tcW w:w="5920" w:type="dxa"/>
            <w:hideMark/>
          </w:tcPr>
          <w:p w:rsidR="00053EE0" w:rsidRPr="006F07C8" w:rsidRDefault="00053EE0" w:rsidP="002F52A9">
            <w:pPr>
              <w:pStyle w:val="ListParagraph"/>
              <w:numPr>
                <w:ilvl w:val="0"/>
                <w:numId w:val="8"/>
              </w:numPr>
              <w:rPr>
                <w:rFonts w:ascii="Times New Roman" w:hAnsi="Times New Roman" w:cs="Times New Roman"/>
                <w:sz w:val="20"/>
                <w:szCs w:val="20"/>
                <w:lang w:val="it-IT"/>
              </w:rPr>
            </w:pPr>
            <w:r w:rsidRPr="006F07C8">
              <w:rPr>
                <w:rFonts w:ascii="Times New Roman" w:hAnsi="Times New Roman" w:cs="Times New Roman"/>
                <w:sz w:val="20"/>
                <w:szCs w:val="20"/>
                <w:lang w:val="it-IT"/>
              </w:rPr>
              <w:t>Risorse umane e sicurezza (HR)</w:t>
            </w:r>
          </w:p>
        </w:tc>
        <w:tc>
          <w:tcPr>
            <w:tcW w:w="2779" w:type="dxa"/>
            <w:hideMark/>
          </w:tcPr>
          <w:p w:rsidR="00053EE0" w:rsidRPr="006F07C8" w:rsidRDefault="00053EE0"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11</w:t>
            </w:r>
            <w:r w:rsidR="00884149" w:rsidRPr="006F07C8">
              <w:rPr>
                <w:rFonts w:ascii="Times New Roman" w:hAnsi="Times New Roman" w:cs="Times New Roman"/>
                <w:color w:val="000000"/>
                <w:sz w:val="20"/>
                <w:szCs w:val="20"/>
                <w:lang w:val="it-IT" w:eastAsia="fr-CH"/>
              </w:rPr>
              <w:t xml:space="preserve"> lingue</w:t>
            </w:r>
          </w:p>
        </w:tc>
      </w:tr>
      <w:tr w:rsidR="00053EE0" w:rsidRPr="006F07C8" w:rsidTr="00511F1C">
        <w:trPr>
          <w:trHeight w:val="231"/>
        </w:trPr>
        <w:tc>
          <w:tcPr>
            <w:tcW w:w="5920" w:type="dxa"/>
            <w:hideMark/>
          </w:tcPr>
          <w:p w:rsidR="00053EE0" w:rsidRPr="006F07C8" w:rsidRDefault="00053EE0" w:rsidP="002F52A9">
            <w:pPr>
              <w:pStyle w:val="ListParagraph"/>
              <w:numPr>
                <w:ilvl w:val="0"/>
                <w:numId w:val="8"/>
              </w:numPr>
              <w:rPr>
                <w:rFonts w:ascii="Times New Roman" w:hAnsi="Times New Roman" w:cs="Times New Roman"/>
                <w:sz w:val="20"/>
                <w:szCs w:val="20"/>
                <w:lang w:val="it-IT"/>
              </w:rPr>
            </w:pPr>
            <w:r w:rsidRPr="006F07C8">
              <w:rPr>
                <w:rFonts w:ascii="Times New Roman" w:hAnsi="Times New Roman" w:cs="Times New Roman"/>
                <w:sz w:val="20"/>
                <w:szCs w:val="20"/>
                <w:lang w:val="it-IT"/>
              </w:rPr>
              <w:t>Salute e consumatori (SANCO)</w:t>
            </w:r>
          </w:p>
        </w:tc>
        <w:tc>
          <w:tcPr>
            <w:tcW w:w="2779" w:type="dxa"/>
            <w:hideMark/>
          </w:tcPr>
          <w:p w:rsidR="00053EE0" w:rsidRPr="006F07C8" w:rsidRDefault="00884149"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Francese-tedesco-inglese</w:t>
            </w:r>
          </w:p>
        </w:tc>
      </w:tr>
      <w:tr w:rsidR="00053EE0" w:rsidRPr="006F07C8" w:rsidTr="00511F1C">
        <w:trPr>
          <w:trHeight w:val="135"/>
        </w:trPr>
        <w:tc>
          <w:tcPr>
            <w:tcW w:w="5920" w:type="dxa"/>
            <w:hideMark/>
          </w:tcPr>
          <w:p w:rsidR="00053EE0" w:rsidRPr="006F07C8" w:rsidRDefault="00053EE0" w:rsidP="002F52A9">
            <w:pPr>
              <w:pStyle w:val="ListParagraph"/>
              <w:numPr>
                <w:ilvl w:val="0"/>
                <w:numId w:val="8"/>
              </w:numPr>
              <w:rPr>
                <w:rFonts w:ascii="Times New Roman" w:hAnsi="Times New Roman" w:cs="Times New Roman"/>
                <w:sz w:val="20"/>
                <w:szCs w:val="20"/>
                <w:lang w:val="it-IT"/>
              </w:rPr>
            </w:pPr>
            <w:r w:rsidRPr="006F07C8">
              <w:rPr>
                <w:rFonts w:ascii="Times New Roman" w:hAnsi="Times New Roman" w:cs="Times New Roman"/>
                <w:sz w:val="20"/>
                <w:szCs w:val="20"/>
                <w:lang w:val="it-IT"/>
              </w:rPr>
              <w:t>Segretariato generale (SG)</w:t>
            </w:r>
          </w:p>
        </w:tc>
        <w:tc>
          <w:tcPr>
            <w:tcW w:w="2779" w:type="dxa"/>
            <w:hideMark/>
          </w:tcPr>
          <w:p w:rsidR="00053EE0" w:rsidRPr="006F07C8" w:rsidRDefault="00053EE0"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24</w:t>
            </w:r>
            <w:r w:rsidR="00884149" w:rsidRPr="006F07C8">
              <w:rPr>
                <w:rFonts w:ascii="Times New Roman" w:hAnsi="Times New Roman" w:cs="Times New Roman"/>
                <w:color w:val="000000"/>
                <w:sz w:val="20"/>
                <w:szCs w:val="20"/>
                <w:lang w:val="it-IT" w:eastAsia="fr-CH"/>
              </w:rPr>
              <w:t xml:space="preserve"> lingue</w:t>
            </w:r>
          </w:p>
        </w:tc>
      </w:tr>
      <w:tr w:rsidR="00053EE0" w:rsidRPr="006F07C8" w:rsidTr="00511F1C">
        <w:trPr>
          <w:trHeight w:val="209"/>
        </w:trPr>
        <w:tc>
          <w:tcPr>
            <w:tcW w:w="5920" w:type="dxa"/>
            <w:hideMark/>
          </w:tcPr>
          <w:p w:rsidR="00053EE0" w:rsidRPr="006F07C8" w:rsidRDefault="00053EE0" w:rsidP="002F52A9">
            <w:pPr>
              <w:pStyle w:val="ListParagraph"/>
              <w:numPr>
                <w:ilvl w:val="0"/>
                <w:numId w:val="8"/>
              </w:numPr>
              <w:rPr>
                <w:rFonts w:ascii="Times New Roman" w:hAnsi="Times New Roman" w:cs="Times New Roman"/>
                <w:sz w:val="20"/>
                <w:szCs w:val="20"/>
                <w:lang w:val="it-IT"/>
              </w:rPr>
            </w:pPr>
            <w:r w:rsidRPr="006F07C8">
              <w:rPr>
                <w:rFonts w:ascii="Times New Roman" w:hAnsi="Times New Roman" w:cs="Times New Roman"/>
                <w:sz w:val="20"/>
                <w:szCs w:val="20"/>
                <w:lang w:val="it-IT"/>
              </w:rPr>
              <w:t>Servizio degli strumenti di politica estera (FPI)</w:t>
            </w:r>
          </w:p>
        </w:tc>
        <w:tc>
          <w:tcPr>
            <w:tcW w:w="2779" w:type="dxa"/>
            <w:hideMark/>
          </w:tcPr>
          <w:p w:rsidR="00053EE0" w:rsidRPr="006F07C8" w:rsidRDefault="00884149"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Inglese</w:t>
            </w:r>
          </w:p>
        </w:tc>
      </w:tr>
      <w:tr w:rsidR="00053EE0" w:rsidRPr="006F07C8" w:rsidTr="00511F1C">
        <w:trPr>
          <w:trHeight w:val="141"/>
        </w:trPr>
        <w:tc>
          <w:tcPr>
            <w:tcW w:w="5920" w:type="dxa"/>
            <w:hideMark/>
          </w:tcPr>
          <w:p w:rsidR="00053EE0" w:rsidRPr="006F07C8" w:rsidRDefault="00053EE0" w:rsidP="002F52A9">
            <w:pPr>
              <w:pStyle w:val="ListParagraph"/>
              <w:numPr>
                <w:ilvl w:val="0"/>
                <w:numId w:val="8"/>
              </w:numPr>
              <w:rPr>
                <w:rFonts w:ascii="Times New Roman" w:hAnsi="Times New Roman" w:cs="Times New Roman"/>
                <w:sz w:val="20"/>
                <w:szCs w:val="20"/>
                <w:lang w:val="it-IT"/>
              </w:rPr>
            </w:pPr>
            <w:r w:rsidRPr="006F07C8">
              <w:rPr>
                <w:rFonts w:ascii="Times New Roman" w:hAnsi="Times New Roman" w:cs="Times New Roman"/>
                <w:sz w:val="20"/>
                <w:szCs w:val="20"/>
                <w:lang w:val="it-IT"/>
              </w:rPr>
              <w:t>Traduzione (DGT)</w:t>
            </w:r>
          </w:p>
        </w:tc>
        <w:tc>
          <w:tcPr>
            <w:tcW w:w="2779" w:type="dxa"/>
            <w:hideMark/>
          </w:tcPr>
          <w:p w:rsidR="00053EE0" w:rsidRPr="006F07C8" w:rsidRDefault="00884149"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Francese-tedesco-inglese</w:t>
            </w:r>
          </w:p>
        </w:tc>
      </w:tr>
    </w:tbl>
    <w:p w:rsidR="00D90A7A" w:rsidRPr="006F07C8" w:rsidRDefault="00D90A7A" w:rsidP="002F52A9">
      <w:pPr>
        <w:keepNext/>
        <w:keepLines/>
        <w:spacing w:after="0" w:line="240" w:lineRule="auto"/>
        <w:jc w:val="both"/>
        <w:rPr>
          <w:rFonts w:ascii="Times New Roman" w:hAnsi="Times New Roman" w:cs="Times New Roman"/>
          <w:i/>
          <w:sz w:val="20"/>
          <w:szCs w:val="20"/>
          <w:lang w:val="it-IT"/>
        </w:rPr>
      </w:pPr>
      <w:r w:rsidRPr="006F07C8">
        <w:rPr>
          <w:rFonts w:ascii="Times New Roman" w:hAnsi="Times New Roman" w:cs="Times New Roman"/>
          <w:i/>
          <w:sz w:val="20"/>
          <w:szCs w:val="20"/>
        </w:rPr>
        <w:t xml:space="preserve">Fonte: </w:t>
      </w:r>
      <w:hyperlink r:id="rId8" w:history="1">
        <w:r w:rsidR="00053EE0" w:rsidRPr="006F07C8">
          <w:rPr>
            <w:rStyle w:val="Hyperlink"/>
            <w:rFonts w:ascii="Times New Roman" w:hAnsi="Times New Roman" w:cs="Times New Roman"/>
            <w:i/>
            <w:sz w:val="20"/>
            <w:szCs w:val="20"/>
          </w:rPr>
          <w:t>http://ec.europa.eu/about/ds_it.htm</w:t>
        </w:r>
      </w:hyperlink>
      <w:r w:rsidRPr="006F07C8">
        <w:rPr>
          <w:rFonts w:ascii="Times New Roman" w:hAnsi="Times New Roman" w:cs="Times New Roman"/>
          <w:i/>
          <w:sz w:val="20"/>
          <w:szCs w:val="20"/>
        </w:rPr>
        <w:t xml:space="preserve">. </w:t>
      </w:r>
      <w:r w:rsidRPr="006F07C8">
        <w:rPr>
          <w:rFonts w:ascii="Times New Roman" w:hAnsi="Times New Roman" w:cs="Times New Roman"/>
          <w:i/>
          <w:sz w:val="20"/>
          <w:szCs w:val="20"/>
          <w:lang w:val="it-IT"/>
        </w:rPr>
        <w:t>Tabella elaborata dall’autore</w:t>
      </w:r>
    </w:p>
    <w:p w:rsidR="00D90A7A" w:rsidRPr="006F07C8" w:rsidRDefault="00D90A7A" w:rsidP="002F52A9">
      <w:pPr>
        <w:spacing w:line="240" w:lineRule="auto"/>
        <w:jc w:val="both"/>
        <w:rPr>
          <w:rFonts w:ascii="Times New Roman" w:hAnsi="Times New Roman" w:cs="Times New Roman"/>
          <w:sz w:val="20"/>
          <w:lang w:val="it-IT"/>
        </w:rPr>
      </w:pPr>
    </w:p>
    <w:p w:rsidR="002D47F6" w:rsidRPr="006F07C8" w:rsidRDefault="008564D0" w:rsidP="002F52A9">
      <w:pPr>
        <w:spacing w:line="240" w:lineRule="auto"/>
        <w:jc w:val="both"/>
        <w:rPr>
          <w:rFonts w:ascii="Times New Roman" w:hAnsi="Times New Roman" w:cs="Times New Roman"/>
          <w:sz w:val="24"/>
          <w:szCs w:val="24"/>
          <w:lang w:val="it-IT"/>
        </w:rPr>
      </w:pPr>
      <w:r w:rsidRPr="006F07C8">
        <w:rPr>
          <w:rFonts w:ascii="Times New Roman" w:hAnsi="Times New Roman" w:cs="Times New Roman"/>
          <w:sz w:val="24"/>
          <w:szCs w:val="24"/>
          <w:lang w:val="it-IT"/>
        </w:rPr>
        <w:t>Come si</w:t>
      </w:r>
      <w:r w:rsidR="00BB60F2" w:rsidRPr="006F07C8">
        <w:rPr>
          <w:rFonts w:ascii="Times New Roman" w:hAnsi="Times New Roman" w:cs="Times New Roman"/>
          <w:sz w:val="24"/>
          <w:szCs w:val="24"/>
          <w:lang w:val="it-IT"/>
        </w:rPr>
        <w:t xml:space="preserve"> può osservare un terzo </w:t>
      </w:r>
      <w:r w:rsidR="000765C3" w:rsidRPr="006F07C8">
        <w:rPr>
          <w:rFonts w:ascii="Times New Roman" w:hAnsi="Times New Roman" w:cs="Times New Roman"/>
          <w:sz w:val="24"/>
          <w:szCs w:val="24"/>
          <w:lang w:val="it-IT"/>
        </w:rPr>
        <w:t>di tutte le pagine introduttive sono disponibili solo in inglese</w:t>
      </w:r>
      <w:r w:rsidR="0092052C" w:rsidRPr="006F07C8">
        <w:rPr>
          <w:rFonts w:ascii="Times New Roman" w:hAnsi="Times New Roman" w:cs="Times New Roman"/>
          <w:sz w:val="24"/>
          <w:szCs w:val="24"/>
          <w:lang w:val="it-IT"/>
        </w:rPr>
        <w:t xml:space="preserve"> e un terzo in tutte le lingue ufficiali dell’Unione o quasi</w:t>
      </w:r>
      <w:r w:rsidR="00870247" w:rsidRPr="006F07C8">
        <w:rPr>
          <w:rFonts w:ascii="Times New Roman" w:hAnsi="Times New Roman" w:cs="Times New Roman"/>
          <w:sz w:val="24"/>
          <w:szCs w:val="24"/>
          <w:lang w:val="it-IT"/>
        </w:rPr>
        <w:t xml:space="preserve"> (s</w:t>
      </w:r>
      <w:r w:rsidR="0092052C" w:rsidRPr="006F07C8">
        <w:rPr>
          <w:rFonts w:ascii="Times New Roman" w:hAnsi="Times New Roman" w:cs="Times New Roman"/>
          <w:sz w:val="24"/>
          <w:szCs w:val="24"/>
          <w:lang w:val="it-IT"/>
        </w:rPr>
        <w:t xml:space="preserve">olitamente mancano </w:t>
      </w:r>
      <w:r w:rsidR="00870247" w:rsidRPr="006F07C8">
        <w:rPr>
          <w:rFonts w:ascii="Times New Roman" w:hAnsi="Times New Roman" w:cs="Times New Roman"/>
          <w:sz w:val="24"/>
          <w:szCs w:val="24"/>
          <w:lang w:val="it-IT"/>
        </w:rPr>
        <w:t xml:space="preserve">ancora </w:t>
      </w:r>
      <w:r w:rsidR="0092052C" w:rsidRPr="006F07C8">
        <w:rPr>
          <w:rFonts w:ascii="Times New Roman" w:hAnsi="Times New Roman" w:cs="Times New Roman"/>
          <w:sz w:val="24"/>
          <w:szCs w:val="24"/>
          <w:lang w:val="it-IT"/>
        </w:rPr>
        <w:t xml:space="preserve">le traduzioni verso </w:t>
      </w:r>
      <w:r w:rsidR="00216B16" w:rsidRPr="006F07C8">
        <w:rPr>
          <w:rFonts w:ascii="Times New Roman" w:hAnsi="Times New Roman" w:cs="Times New Roman"/>
          <w:sz w:val="24"/>
          <w:szCs w:val="24"/>
          <w:lang w:val="it-IT"/>
        </w:rPr>
        <w:t xml:space="preserve">l’irlandese e </w:t>
      </w:r>
      <w:r w:rsidR="0092052C" w:rsidRPr="006F07C8">
        <w:rPr>
          <w:rFonts w:ascii="Times New Roman" w:hAnsi="Times New Roman" w:cs="Times New Roman"/>
          <w:sz w:val="24"/>
          <w:szCs w:val="24"/>
          <w:lang w:val="it-IT"/>
        </w:rPr>
        <w:t>il croa</w:t>
      </w:r>
      <w:r w:rsidR="00216B16" w:rsidRPr="006F07C8">
        <w:rPr>
          <w:rFonts w:ascii="Times New Roman" w:hAnsi="Times New Roman" w:cs="Times New Roman"/>
          <w:sz w:val="24"/>
          <w:szCs w:val="24"/>
          <w:lang w:val="it-IT"/>
        </w:rPr>
        <w:t xml:space="preserve">to, lingua divenuta ufficiale solamente </w:t>
      </w:r>
      <w:r w:rsidR="0092052C" w:rsidRPr="006F07C8">
        <w:rPr>
          <w:rFonts w:ascii="Times New Roman" w:hAnsi="Times New Roman" w:cs="Times New Roman"/>
          <w:sz w:val="24"/>
          <w:szCs w:val="24"/>
          <w:lang w:val="it-IT"/>
        </w:rPr>
        <w:t>nel 2013</w:t>
      </w:r>
      <w:r w:rsidR="00870247" w:rsidRPr="006F07C8">
        <w:rPr>
          <w:rFonts w:ascii="Times New Roman" w:hAnsi="Times New Roman" w:cs="Times New Roman"/>
          <w:sz w:val="24"/>
          <w:szCs w:val="24"/>
          <w:lang w:val="it-IT"/>
        </w:rPr>
        <w:t>)</w:t>
      </w:r>
      <w:r w:rsidR="00216B16" w:rsidRPr="006F07C8">
        <w:rPr>
          <w:rFonts w:ascii="Times New Roman" w:hAnsi="Times New Roman" w:cs="Times New Roman"/>
          <w:sz w:val="24"/>
          <w:szCs w:val="24"/>
          <w:lang w:val="it-IT"/>
        </w:rPr>
        <w:t>. T</w:t>
      </w:r>
      <w:r w:rsidRPr="006F07C8">
        <w:rPr>
          <w:rFonts w:ascii="Times New Roman" w:hAnsi="Times New Roman" w:cs="Times New Roman"/>
          <w:sz w:val="24"/>
          <w:szCs w:val="24"/>
          <w:lang w:val="it-IT"/>
        </w:rPr>
        <w:t>uttavia,</w:t>
      </w:r>
      <w:r w:rsidR="0092052C" w:rsidRPr="006F07C8">
        <w:rPr>
          <w:rFonts w:ascii="Times New Roman" w:hAnsi="Times New Roman" w:cs="Times New Roman"/>
          <w:sz w:val="24"/>
          <w:szCs w:val="24"/>
          <w:lang w:val="it-IT"/>
        </w:rPr>
        <w:t xml:space="preserve"> </w:t>
      </w:r>
      <w:r w:rsidR="00312D1C" w:rsidRPr="006F07C8">
        <w:rPr>
          <w:rFonts w:ascii="Times New Roman" w:hAnsi="Times New Roman" w:cs="Times New Roman"/>
          <w:sz w:val="24"/>
          <w:szCs w:val="24"/>
          <w:lang w:val="it-IT"/>
        </w:rPr>
        <w:t xml:space="preserve">l’utilizzo delle 24 lingue ufficiali non </w:t>
      </w:r>
      <w:r w:rsidR="00CC4A78" w:rsidRPr="006F07C8">
        <w:rPr>
          <w:rFonts w:ascii="Times New Roman" w:hAnsi="Times New Roman" w:cs="Times New Roman"/>
          <w:sz w:val="24"/>
          <w:szCs w:val="24"/>
          <w:lang w:val="it-IT"/>
        </w:rPr>
        <w:t xml:space="preserve">è sempre esteso a tutte le pagine </w:t>
      </w:r>
      <w:r w:rsidR="00216B16" w:rsidRPr="006F07C8">
        <w:rPr>
          <w:rFonts w:ascii="Times New Roman" w:hAnsi="Times New Roman" w:cs="Times New Roman"/>
          <w:sz w:val="24"/>
          <w:szCs w:val="24"/>
          <w:lang w:val="it-IT"/>
        </w:rPr>
        <w:t xml:space="preserve">che costituiscono il </w:t>
      </w:r>
      <w:r w:rsidR="00CC4A78" w:rsidRPr="006F07C8">
        <w:rPr>
          <w:rFonts w:ascii="Times New Roman" w:hAnsi="Times New Roman" w:cs="Times New Roman"/>
          <w:sz w:val="24"/>
          <w:szCs w:val="24"/>
          <w:lang w:val="it-IT"/>
        </w:rPr>
        <w:t xml:space="preserve">sito di una </w:t>
      </w:r>
      <w:r w:rsidR="00216B16" w:rsidRPr="006F07C8">
        <w:rPr>
          <w:rFonts w:ascii="Times New Roman" w:hAnsi="Times New Roman" w:cs="Times New Roman"/>
          <w:sz w:val="24"/>
          <w:szCs w:val="24"/>
          <w:lang w:val="it-IT"/>
        </w:rPr>
        <w:t xml:space="preserve">certa </w:t>
      </w:r>
      <w:r w:rsidR="00CC4A78" w:rsidRPr="006F07C8">
        <w:rPr>
          <w:rFonts w:ascii="Times New Roman" w:hAnsi="Times New Roman" w:cs="Times New Roman"/>
          <w:sz w:val="24"/>
          <w:szCs w:val="24"/>
          <w:lang w:val="it-IT"/>
        </w:rPr>
        <w:t>D</w:t>
      </w:r>
      <w:r w:rsidR="0077189F" w:rsidRPr="006F07C8">
        <w:rPr>
          <w:rFonts w:ascii="Times New Roman" w:hAnsi="Times New Roman" w:cs="Times New Roman"/>
          <w:sz w:val="24"/>
          <w:szCs w:val="24"/>
          <w:lang w:val="it-IT"/>
        </w:rPr>
        <w:t>G</w:t>
      </w:r>
      <w:r w:rsidR="00216B16" w:rsidRPr="006F07C8">
        <w:rPr>
          <w:rFonts w:ascii="Times New Roman" w:hAnsi="Times New Roman" w:cs="Times New Roman"/>
          <w:sz w:val="24"/>
          <w:szCs w:val="24"/>
          <w:lang w:val="it-IT"/>
        </w:rPr>
        <w:t>, e n</w:t>
      </w:r>
      <w:r w:rsidR="0077189F" w:rsidRPr="006F07C8">
        <w:rPr>
          <w:rFonts w:ascii="Times New Roman" w:hAnsi="Times New Roman" w:cs="Times New Roman"/>
          <w:sz w:val="24"/>
          <w:szCs w:val="24"/>
          <w:lang w:val="it-IT"/>
        </w:rPr>
        <w:t xml:space="preserve">on </w:t>
      </w:r>
      <w:r w:rsidR="00CC4A78" w:rsidRPr="006F07C8">
        <w:rPr>
          <w:rFonts w:ascii="Times New Roman" w:hAnsi="Times New Roman" w:cs="Times New Roman"/>
          <w:sz w:val="24"/>
          <w:szCs w:val="24"/>
          <w:lang w:val="it-IT"/>
        </w:rPr>
        <w:t xml:space="preserve">si tratta </w:t>
      </w:r>
      <w:r w:rsidR="00870247" w:rsidRPr="006F07C8">
        <w:rPr>
          <w:rFonts w:ascii="Times New Roman" w:hAnsi="Times New Roman" w:cs="Times New Roman"/>
          <w:sz w:val="24"/>
          <w:szCs w:val="24"/>
          <w:lang w:val="it-IT"/>
        </w:rPr>
        <w:t xml:space="preserve">sempre </w:t>
      </w:r>
      <w:r w:rsidR="00CC4A78" w:rsidRPr="006F07C8">
        <w:rPr>
          <w:rFonts w:ascii="Times New Roman" w:hAnsi="Times New Roman" w:cs="Times New Roman"/>
          <w:sz w:val="24"/>
          <w:szCs w:val="24"/>
          <w:lang w:val="it-IT"/>
        </w:rPr>
        <w:t>di pagine secondarie. La sezione “appalti e finanziamenti” della DG Affari marini e pesca, ad esempio, contiene solo bandi in inglese,</w:t>
      </w:r>
      <w:r w:rsidR="00112B5E" w:rsidRPr="006F07C8">
        <w:rPr>
          <w:rStyle w:val="FootnoteReference"/>
          <w:rFonts w:ascii="Times New Roman" w:hAnsi="Times New Roman" w:cs="Times New Roman"/>
          <w:sz w:val="24"/>
          <w:szCs w:val="24"/>
          <w:lang w:val="it-IT"/>
        </w:rPr>
        <w:footnoteReference w:id="31"/>
      </w:r>
      <w:r w:rsidR="00CC4A78" w:rsidRPr="006F07C8">
        <w:rPr>
          <w:rFonts w:ascii="Times New Roman" w:hAnsi="Times New Roman" w:cs="Times New Roman"/>
          <w:sz w:val="24"/>
          <w:szCs w:val="24"/>
          <w:lang w:val="it-IT"/>
        </w:rPr>
        <w:t xml:space="preserve"> così come </w:t>
      </w:r>
      <w:r w:rsidR="00401DC8" w:rsidRPr="006F07C8">
        <w:rPr>
          <w:rFonts w:ascii="Times New Roman" w:hAnsi="Times New Roman" w:cs="Times New Roman"/>
          <w:sz w:val="24"/>
          <w:szCs w:val="24"/>
          <w:lang w:val="it-IT"/>
        </w:rPr>
        <w:t>sono disponibili solo in inglese tutti i testi dei bandi di gara e delle richieste di sovvenzione nel</w:t>
      </w:r>
      <w:r w:rsidR="00CC4A78" w:rsidRPr="006F07C8">
        <w:rPr>
          <w:rFonts w:ascii="Times New Roman" w:hAnsi="Times New Roman" w:cs="Times New Roman"/>
          <w:sz w:val="24"/>
          <w:szCs w:val="24"/>
          <w:lang w:val="it-IT"/>
        </w:rPr>
        <w:t xml:space="preserve">la sezione “appalti e </w:t>
      </w:r>
      <w:r w:rsidR="00401DC8" w:rsidRPr="006F07C8">
        <w:rPr>
          <w:rFonts w:ascii="Times New Roman" w:hAnsi="Times New Roman" w:cs="Times New Roman"/>
          <w:sz w:val="24"/>
          <w:szCs w:val="24"/>
          <w:lang w:val="it-IT"/>
        </w:rPr>
        <w:t xml:space="preserve">sovvenzioni” della DG Imprese e industria e i testi contenuti nella sezione “novità” della </w:t>
      </w:r>
      <w:r w:rsidR="0077189F" w:rsidRPr="006F07C8">
        <w:rPr>
          <w:rFonts w:ascii="Times New Roman" w:hAnsi="Times New Roman" w:cs="Times New Roman"/>
          <w:sz w:val="24"/>
          <w:szCs w:val="24"/>
          <w:lang w:val="it-IT"/>
        </w:rPr>
        <w:t>medesima</w:t>
      </w:r>
      <w:r w:rsidR="00401DC8" w:rsidRPr="006F07C8">
        <w:rPr>
          <w:rFonts w:ascii="Times New Roman" w:hAnsi="Times New Roman" w:cs="Times New Roman"/>
          <w:sz w:val="24"/>
          <w:szCs w:val="24"/>
          <w:lang w:val="it-IT"/>
        </w:rPr>
        <w:t xml:space="preserve"> DG</w:t>
      </w:r>
      <w:r w:rsidR="0077189F" w:rsidRPr="006F07C8">
        <w:rPr>
          <w:rFonts w:ascii="Times New Roman" w:hAnsi="Times New Roman" w:cs="Times New Roman"/>
          <w:sz w:val="24"/>
          <w:szCs w:val="24"/>
          <w:lang w:val="it-IT"/>
        </w:rPr>
        <w:t xml:space="preserve"> dove si possono trovare </w:t>
      </w:r>
      <w:r w:rsidR="00401DC8" w:rsidRPr="006F07C8">
        <w:rPr>
          <w:rFonts w:ascii="Times New Roman" w:hAnsi="Times New Roman" w:cs="Times New Roman"/>
          <w:sz w:val="24"/>
          <w:szCs w:val="24"/>
          <w:lang w:val="it-IT"/>
        </w:rPr>
        <w:t xml:space="preserve">numerosi studi e rapporti </w:t>
      </w:r>
      <w:r w:rsidR="00112B5E" w:rsidRPr="006F07C8">
        <w:rPr>
          <w:rFonts w:ascii="Times New Roman" w:hAnsi="Times New Roman" w:cs="Times New Roman"/>
          <w:sz w:val="24"/>
          <w:szCs w:val="24"/>
          <w:lang w:val="it-IT"/>
        </w:rPr>
        <w:t xml:space="preserve">generali. </w:t>
      </w:r>
      <w:r w:rsidR="00216B16" w:rsidRPr="006F07C8">
        <w:rPr>
          <w:rFonts w:ascii="Times New Roman" w:hAnsi="Times New Roman" w:cs="Times New Roman"/>
          <w:sz w:val="24"/>
          <w:szCs w:val="24"/>
          <w:lang w:val="it-IT"/>
        </w:rPr>
        <w:t xml:space="preserve">È evidente che avere accesso ai testi e ai bandi dei concorsi </w:t>
      </w:r>
      <w:r w:rsidR="002D47F6" w:rsidRPr="006F07C8">
        <w:rPr>
          <w:rFonts w:ascii="Times New Roman" w:hAnsi="Times New Roman" w:cs="Times New Roman"/>
          <w:sz w:val="24"/>
          <w:szCs w:val="24"/>
          <w:lang w:val="it-IT"/>
        </w:rPr>
        <w:t xml:space="preserve">in una lingua che si padroneggia pienamente </w:t>
      </w:r>
      <w:r w:rsidR="00216B16" w:rsidRPr="006F07C8">
        <w:rPr>
          <w:rFonts w:ascii="Times New Roman" w:hAnsi="Times New Roman" w:cs="Times New Roman"/>
          <w:sz w:val="24"/>
          <w:szCs w:val="24"/>
          <w:lang w:val="it-IT"/>
        </w:rPr>
        <w:t>dà un indubbio vantaggio competiti</w:t>
      </w:r>
      <w:r w:rsidR="00CC607F" w:rsidRPr="006F07C8">
        <w:rPr>
          <w:rFonts w:ascii="Times New Roman" w:hAnsi="Times New Roman" w:cs="Times New Roman"/>
          <w:sz w:val="24"/>
          <w:szCs w:val="24"/>
          <w:lang w:val="it-IT"/>
        </w:rPr>
        <w:t>vo sui concorrenti.</w:t>
      </w:r>
    </w:p>
    <w:p w:rsidR="00A502AE" w:rsidRPr="006F07C8" w:rsidRDefault="002D47F6" w:rsidP="002F52A9">
      <w:pPr>
        <w:spacing w:line="240" w:lineRule="auto"/>
        <w:jc w:val="both"/>
        <w:rPr>
          <w:rFonts w:ascii="Times New Roman" w:hAnsi="Times New Roman" w:cs="Times New Roman"/>
          <w:sz w:val="24"/>
          <w:szCs w:val="24"/>
          <w:lang w:val="it-IT"/>
        </w:rPr>
      </w:pPr>
      <w:r w:rsidRPr="006F07C8">
        <w:rPr>
          <w:rFonts w:ascii="Times New Roman" w:hAnsi="Times New Roman" w:cs="Times New Roman"/>
          <w:sz w:val="24"/>
          <w:szCs w:val="24"/>
          <w:lang w:val="it-IT"/>
        </w:rPr>
        <w:t xml:space="preserve">È </w:t>
      </w:r>
      <w:r w:rsidR="00CC607F" w:rsidRPr="006F07C8">
        <w:rPr>
          <w:rFonts w:ascii="Times New Roman" w:hAnsi="Times New Roman" w:cs="Times New Roman"/>
          <w:sz w:val="24"/>
          <w:szCs w:val="24"/>
          <w:lang w:val="it-IT"/>
        </w:rPr>
        <w:t xml:space="preserve">necessario quindi </w:t>
      </w:r>
      <w:r w:rsidR="003F411A" w:rsidRPr="006F07C8">
        <w:rPr>
          <w:rFonts w:ascii="Times New Roman" w:hAnsi="Times New Roman" w:cs="Times New Roman"/>
          <w:sz w:val="24"/>
          <w:szCs w:val="24"/>
          <w:lang w:val="it-IT"/>
        </w:rPr>
        <w:t>effettua</w:t>
      </w:r>
      <w:r w:rsidR="00CC607F" w:rsidRPr="006F07C8">
        <w:rPr>
          <w:rFonts w:ascii="Times New Roman" w:hAnsi="Times New Roman" w:cs="Times New Roman"/>
          <w:sz w:val="24"/>
          <w:szCs w:val="24"/>
          <w:lang w:val="it-IT"/>
        </w:rPr>
        <w:t>re</w:t>
      </w:r>
      <w:r w:rsidR="003F411A" w:rsidRPr="006F07C8">
        <w:rPr>
          <w:rFonts w:ascii="Times New Roman" w:hAnsi="Times New Roman" w:cs="Times New Roman"/>
          <w:sz w:val="24"/>
          <w:szCs w:val="24"/>
          <w:lang w:val="it-IT"/>
        </w:rPr>
        <w:t xml:space="preserve"> </w:t>
      </w:r>
      <w:r w:rsidR="00870247" w:rsidRPr="006F07C8">
        <w:rPr>
          <w:rFonts w:ascii="Times New Roman" w:hAnsi="Times New Roman" w:cs="Times New Roman"/>
          <w:sz w:val="24"/>
          <w:szCs w:val="24"/>
          <w:lang w:val="it-IT"/>
        </w:rPr>
        <w:t>una prima valutazione dell’efficacia dei regimi linguistici adottati da diverse DG utilizzando i</w:t>
      </w:r>
      <w:r w:rsidR="003F411A" w:rsidRPr="006F07C8">
        <w:rPr>
          <w:rFonts w:ascii="Times New Roman" w:hAnsi="Times New Roman" w:cs="Times New Roman"/>
          <w:sz w:val="24"/>
          <w:szCs w:val="24"/>
          <w:lang w:val="it-IT"/>
        </w:rPr>
        <w:t>l</w:t>
      </w:r>
      <w:r w:rsidR="00870247" w:rsidRPr="006F07C8">
        <w:rPr>
          <w:rFonts w:ascii="Times New Roman" w:hAnsi="Times New Roman" w:cs="Times New Roman"/>
          <w:sz w:val="24"/>
          <w:szCs w:val="24"/>
          <w:lang w:val="it-IT"/>
        </w:rPr>
        <w:t xml:space="preserve"> tass</w:t>
      </w:r>
      <w:r w:rsidR="003F411A" w:rsidRPr="006F07C8">
        <w:rPr>
          <w:rFonts w:ascii="Times New Roman" w:hAnsi="Times New Roman" w:cs="Times New Roman"/>
          <w:sz w:val="24"/>
          <w:szCs w:val="24"/>
          <w:lang w:val="it-IT"/>
        </w:rPr>
        <w:t>o</w:t>
      </w:r>
      <w:r w:rsidR="00870247" w:rsidRPr="006F07C8">
        <w:rPr>
          <w:rFonts w:ascii="Times New Roman" w:hAnsi="Times New Roman" w:cs="Times New Roman"/>
          <w:sz w:val="24"/>
          <w:szCs w:val="24"/>
          <w:lang w:val="it-IT"/>
        </w:rPr>
        <w:t xml:space="preserve"> di esclusione linguistica</w:t>
      </w:r>
      <w:r w:rsidR="003F411A" w:rsidRPr="006F07C8">
        <w:rPr>
          <w:rFonts w:ascii="Times New Roman" w:hAnsi="Times New Roman" w:cs="Times New Roman"/>
          <w:sz w:val="24"/>
          <w:szCs w:val="24"/>
          <w:lang w:val="it-IT"/>
        </w:rPr>
        <w:t xml:space="preserve"> come indicatore di</w:t>
      </w:r>
      <w:r w:rsidR="00CC607F" w:rsidRPr="006F07C8">
        <w:rPr>
          <w:rFonts w:ascii="Times New Roman" w:hAnsi="Times New Roman" w:cs="Times New Roman"/>
          <w:sz w:val="24"/>
          <w:szCs w:val="24"/>
          <w:lang w:val="it-IT"/>
        </w:rPr>
        <w:t xml:space="preserve"> risultato</w:t>
      </w:r>
      <w:r w:rsidR="00870247" w:rsidRPr="006F07C8">
        <w:rPr>
          <w:rFonts w:ascii="Times New Roman" w:hAnsi="Times New Roman" w:cs="Times New Roman"/>
          <w:sz w:val="24"/>
          <w:szCs w:val="24"/>
          <w:lang w:val="it-IT"/>
        </w:rPr>
        <w:t>. L</w:t>
      </w:r>
      <w:r w:rsidR="0075665E" w:rsidRPr="006F07C8">
        <w:rPr>
          <w:rFonts w:ascii="Times New Roman" w:hAnsi="Times New Roman" w:cs="Times New Roman"/>
          <w:sz w:val="24"/>
          <w:szCs w:val="24"/>
          <w:lang w:val="it-IT"/>
        </w:rPr>
        <w:t xml:space="preserve">a </w:t>
      </w:r>
      <w:r w:rsidR="0075665E" w:rsidRPr="006F07C8">
        <w:rPr>
          <w:rFonts w:ascii="Times New Roman" w:hAnsi="Times New Roman" w:cs="Times New Roman"/>
          <w:sz w:val="24"/>
          <w:szCs w:val="24"/>
          <w:lang w:val="it-IT"/>
        </w:rPr>
        <w:fldChar w:fldCharType="begin"/>
      </w:r>
      <w:r w:rsidR="0075665E" w:rsidRPr="006F07C8">
        <w:rPr>
          <w:rFonts w:ascii="Times New Roman" w:hAnsi="Times New Roman" w:cs="Times New Roman"/>
          <w:sz w:val="24"/>
          <w:szCs w:val="24"/>
          <w:lang w:val="it-IT"/>
        </w:rPr>
        <w:instrText xml:space="preserve"> REF _Ref378689843 \h </w:instrText>
      </w:r>
      <w:r w:rsidR="000F4745" w:rsidRPr="006F07C8">
        <w:rPr>
          <w:rFonts w:ascii="Times New Roman" w:hAnsi="Times New Roman" w:cs="Times New Roman"/>
          <w:sz w:val="24"/>
          <w:szCs w:val="24"/>
          <w:lang w:val="it-IT"/>
        </w:rPr>
        <w:instrText xml:space="preserve"> \* MERGEFORMAT </w:instrText>
      </w:r>
      <w:r w:rsidR="0075665E" w:rsidRPr="006F07C8">
        <w:rPr>
          <w:rFonts w:ascii="Times New Roman" w:hAnsi="Times New Roman" w:cs="Times New Roman"/>
          <w:sz w:val="24"/>
          <w:szCs w:val="24"/>
          <w:lang w:val="it-IT"/>
        </w:rPr>
      </w:r>
      <w:r w:rsidR="0075665E" w:rsidRPr="006F07C8">
        <w:rPr>
          <w:rFonts w:ascii="Times New Roman" w:hAnsi="Times New Roman" w:cs="Times New Roman"/>
          <w:sz w:val="24"/>
          <w:szCs w:val="24"/>
          <w:lang w:val="it-IT"/>
        </w:rPr>
        <w:fldChar w:fldCharType="separate"/>
      </w:r>
      <w:r w:rsidR="00087B27" w:rsidRPr="006F07C8">
        <w:rPr>
          <w:rFonts w:ascii="Times New Roman" w:hAnsi="Times New Roman" w:cs="Times New Roman"/>
          <w:sz w:val="24"/>
          <w:szCs w:val="24"/>
          <w:lang w:val="it-IT"/>
        </w:rPr>
        <w:t xml:space="preserve">Tabella </w:t>
      </w:r>
      <w:r w:rsidR="00087B27" w:rsidRPr="006F07C8">
        <w:rPr>
          <w:rFonts w:ascii="Times New Roman" w:hAnsi="Times New Roman" w:cs="Times New Roman"/>
          <w:noProof/>
          <w:sz w:val="24"/>
          <w:szCs w:val="24"/>
          <w:lang w:val="it-IT"/>
        </w:rPr>
        <w:t>8</w:t>
      </w:r>
      <w:r w:rsidR="0075665E" w:rsidRPr="006F07C8">
        <w:rPr>
          <w:rFonts w:ascii="Times New Roman" w:hAnsi="Times New Roman" w:cs="Times New Roman"/>
          <w:sz w:val="24"/>
          <w:szCs w:val="24"/>
          <w:lang w:val="it-IT"/>
        </w:rPr>
        <w:fldChar w:fldCharType="end"/>
      </w:r>
      <w:r w:rsidR="0075665E" w:rsidRPr="006F07C8">
        <w:rPr>
          <w:rFonts w:ascii="Times New Roman" w:hAnsi="Times New Roman" w:cs="Times New Roman"/>
          <w:sz w:val="24"/>
          <w:szCs w:val="24"/>
          <w:lang w:val="it-IT"/>
        </w:rPr>
        <w:t xml:space="preserve"> mostra i tassi di esclusione linguistica </w:t>
      </w:r>
      <w:r w:rsidR="00960644" w:rsidRPr="006F07C8">
        <w:rPr>
          <w:rFonts w:ascii="Times New Roman" w:hAnsi="Times New Roman" w:cs="Times New Roman"/>
          <w:sz w:val="24"/>
          <w:szCs w:val="24"/>
          <w:lang w:val="it-IT"/>
        </w:rPr>
        <w:t>assoluta</w:t>
      </w:r>
      <w:r w:rsidR="006642CD" w:rsidRPr="006F07C8">
        <w:rPr>
          <w:rFonts w:ascii="Times New Roman" w:hAnsi="Times New Roman" w:cs="Times New Roman"/>
          <w:sz w:val="24"/>
          <w:szCs w:val="24"/>
          <w:lang w:val="it-IT"/>
        </w:rPr>
        <w:t xml:space="preserve"> </w:t>
      </w:r>
      <w:r w:rsidR="00960644" w:rsidRPr="006F07C8">
        <w:rPr>
          <w:rFonts w:ascii="Times New Roman" w:hAnsi="Times New Roman" w:cs="Times New Roman"/>
          <w:sz w:val="24"/>
          <w:szCs w:val="24"/>
          <w:lang w:val="it-IT"/>
        </w:rPr>
        <w:t>e relativa</w:t>
      </w:r>
      <w:r w:rsidR="001904E7" w:rsidRPr="006F07C8">
        <w:rPr>
          <w:rFonts w:ascii="Times New Roman" w:hAnsi="Times New Roman" w:cs="Times New Roman"/>
          <w:sz w:val="24"/>
          <w:szCs w:val="24"/>
          <w:lang w:val="it-IT"/>
        </w:rPr>
        <w:t xml:space="preserve"> </w:t>
      </w:r>
      <w:r w:rsidR="00BD5D8A" w:rsidRPr="006F07C8">
        <w:rPr>
          <w:rFonts w:ascii="Times New Roman" w:hAnsi="Times New Roman" w:cs="Times New Roman"/>
          <w:sz w:val="24"/>
          <w:szCs w:val="24"/>
          <w:lang w:val="it-IT"/>
        </w:rPr>
        <w:t xml:space="preserve">per classe di attività economica. Si prendono in esame i </w:t>
      </w:r>
      <w:r w:rsidR="006642CD" w:rsidRPr="006F07C8">
        <w:rPr>
          <w:rFonts w:ascii="Times New Roman" w:hAnsi="Times New Roman" w:cs="Times New Roman"/>
          <w:sz w:val="24"/>
          <w:szCs w:val="24"/>
          <w:lang w:val="it-IT"/>
        </w:rPr>
        <w:t>tre regimi linguistici alternativi già praticati di fatto dalle DG della Commissione</w:t>
      </w:r>
      <w:r w:rsidR="008E7EC7" w:rsidRPr="006F07C8">
        <w:rPr>
          <w:rFonts w:ascii="Times New Roman" w:hAnsi="Times New Roman" w:cs="Times New Roman"/>
          <w:sz w:val="24"/>
          <w:szCs w:val="24"/>
          <w:lang w:val="it-IT"/>
        </w:rPr>
        <w:t xml:space="preserve"> nelle proprie pagine Internet</w:t>
      </w:r>
      <w:r w:rsidR="006642CD" w:rsidRPr="006F07C8">
        <w:rPr>
          <w:rFonts w:ascii="Times New Roman" w:hAnsi="Times New Roman" w:cs="Times New Roman"/>
          <w:sz w:val="24"/>
          <w:szCs w:val="24"/>
          <w:lang w:val="it-IT"/>
        </w:rPr>
        <w:t>, vale a dire, multilinguismo completo, trilin</w:t>
      </w:r>
      <w:r w:rsidR="006642CD" w:rsidRPr="006F07C8">
        <w:rPr>
          <w:rFonts w:ascii="Times New Roman" w:hAnsi="Times New Roman" w:cs="Times New Roman"/>
          <w:sz w:val="24"/>
          <w:szCs w:val="24"/>
          <w:lang w:val="it-IT"/>
        </w:rPr>
        <w:lastRenderedPageBreak/>
        <w:t xml:space="preserve">guismo </w:t>
      </w:r>
      <w:r w:rsidR="003F411A" w:rsidRPr="006F07C8">
        <w:rPr>
          <w:rFonts w:ascii="Times New Roman" w:hAnsi="Times New Roman" w:cs="Times New Roman"/>
          <w:sz w:val="24"/>
          <w:szCs w:val="24"/>
          <w:lang w:val="it-IT"/>
        </w:rPr>
        <w:t xml:space="preserve">oligarchico </w:t>
      </w:r>
      <w:r w:rsidR="006642CD" w:rsidRPr="006F07C8">
        <w:rPr>
          <w:rFonts w:ascii="Times New Roman" w:hAnsi="Times New Roman" w:cs="Times New Roman"/>
          <w:sz w:val="24"/>
          <w:szCs w:val="24"/>
          <w:lang w:val="it-IT"/>
        </w:rPr>
        <w:t xml:space="preserve">(francese, inglese, tedesco) e </w:t>
      </w:r>
      <w:r w:rsidR="003F411A" w:rsidRPr="006F07C8">
        <w:rPr>
          <w:rFonts w:ascii="Times New Roman" w:hAnsi="Times New Roman" w:cs="Times New Roman"/>
          <w:sz w:val="24"/>
          <w:szCs w:val="24"/>
          <w:lang w:val="it-IT"/>
        </w:rPr>
        <w:t xml:space="preserve">il monolinguismo </w:t>
      </w:r>
      <w:r w:rsidR="006642CD" w:rsidRPr="006F07C8">
        <w:rPr>
          <w:rFonts w:ascii="Times New Roman" w:hAnsi="Times New Roman" w:cs="Times New Roman"/>
          <w:sz w:val="24"/>
          <w:szCs w:val="24"/>
          <w:lang w:val="it-IT"/>
        </w:rPr>
        <w:t>inglese.</w:t>
      </w:r>
      <w:r w:rsidR="008E7EC7" w:rsidRPr="006F07C8">
        <w:rPr>
          <w:rFonts w:ascii="Times New Roman" w:hAnsi="Times New Roman" w:cs="Times New Roman"/>
          <w:sz w:val="24"/>
          <w:szCs w:val="24"/>
          <w:lang w:val="it-IT"/>
        </w:rPr>
        <w:t xml:space="preserve"> </w:t>
      </w:r>
      <w:r w:rsidR="00BD5D8A" w:rsidRPr="006F07C8">
        <w:rPr>
          <w:rFonts w:ascii="Times New Roman" w:hAnsi="Times New Roman" w:cs="Times New Roman"/>
          <w:sz w:val="24"/>
          <w:szCs w:val="24"/>
          <w:lang w:val="it-IT"/>
        </w:rPr>
        <w:t xml:space="preserve">Le </w:t>
      </w:r>
      <w:r w:rsidR="008E7EC7" w:rsidRPr="006F07C8">
        <w:rPr>
          <w:rFonts w:ascii="Times New Roman" w:hAnsi="Times New Roman" w:cs="Times New Roman"/>
          <w:sz w:val="24"/>
          <w:szCs w:val="24"/>
          <w:lang w:val="it-IT"/>
        </w:rPr>
        <w:t>class</w:t>
      </w:r>
      <w:r w:rsidR="00BD5D8A" w:rsidRPr="006F07C8">
        <w:rPr>
          <w:rFonts w:ascii="Times New Roman" w:hAnsi="Times New Roman" w:cs="Times New Roman"/>
          <w:sz w:val="24"/>
          <w:szCs w:val="24"/>
          <w:lang w:val="it-IT"/>
        </w:rPr>
        <w:t>i</w:t>
      </w:r>
      <w:r w:rsidR="008E7EC7" w:rsidRPr="006F07C8">
        <w:rPr>
          <w:rFonts w:ascii="Times New Roman" w:hAnsi="Times New Roman" w:cs="Times New Roman"/>
          <w:sz w:val="24"/>
          <w:szCs w:val="24"/>
          <w:lang w:val="it-IT"/>
        </w:rPr>
        <w:t xml:space="preserve"> di attività economica </w:t>
      </w:r>
      <w:r w:rsidR="00BD5D8A" w:rsidRPr="006F07C8">
        <w:rPr>
          <w:rFonts w:ascii="Times New Roman" w:hAnsi="Times New Roman" w:cs="Times New Roman"/>
          <w:sz w:val="24"/>
          <w:szCs w:val="24"/>
          <w:lang w:val="it-IT"/>
        </w:rPr>
        <w:t>sono definite in base al</w:t>
      </w:r>
      <w:r w:rsidR="008E7EC7" w:rsidRPr="006F07C8">
        <w:rPr>
          <w:rFonts w:ascii="Times New Roman" w:hAnsi="Times New Roman" w:cs="Times New Roman"/>
          <w:sz w:val="24"/>
          <w:szCs w:val="24"/>
          <w:lang w:val="it-IT"/>
        </w:rPr>
        <w:t xml:space="preserve">la </w:t>
      </w:r>
      <w:r w:rsidR="003F411A" w:rsidRPr="006F07C8">
        <w:rPr>
          <w:rFonts w:ascii="Times New Roman" w:hAnsi="Times New Roman" w:cs="Times New Roman"/>
          <w:sz w:val="24"/>
          <w:szCs w:val="24"/>
          <w:lang w:val="it-IT"/>
        </w:rPr>
        <w:t xml:space="preserve">nomenclatura seguita nella IEA, cioè la </w:t>
      </w:r>
      <w:r w:rsidR="00130ABB" w:rsidRPr="006F07C8">
        <w:rPr>
          <w:rFonts w:ascii="Times New Roman" w:hAnsi="Times New Roman" w:cs="Times New Roman"/>
          <w:i/>
          <w:sz w:val="24"/>
          <w:szCs w:val="24"/>
          <w:lang w:val="it-IT"/>
        </w:rPr>
        <w:t>Classificazione statistica delle attività economiche nelle Comunità europee</w:t>
      </w:r>
      <w:r w:rsidR="00130ABB" w:rsidRPr="006F07C8">
        <w:rPr>
          <w:rFonts w:ascii="Times New Roman" w:hAnsi="Times New Roman" w:cs="Times New Roman"/>
          <w:sz w:val="24"/>
          <w:szCs w:val="24"/>
          <w:lang w:val="it-IT"/>
        </w:rPr>
        <w:t xml:space="preserve"> o NACE</w:t>
      </w:r>
      <w:r w:rsidR="009B57F8" w:rsidRPr="006F07C8">
        <w:rPr>
          <w:rFonts w:ascii="Times New Roman" w:hAnsi="Times New Roman" w:cs="Times New Roman"/>
          <w:sz w:val="24"/>
          <w:szCs w:val="24"/>
          <w:lang w:val="it-IT"/>
        </w:rPr>
        <w:t xml:space="preserve"> (Rev. 1.1)</w:t>
      </w:r>
      <w:r w:rsidR="000F4745" w:rsidRPr="006F07C8">
        <w:rPr>
          <w:rFonts w:ascii="Times New Roman" w:hAnsi="Times New Roman" w:cs="Times New Roman"/>
          <w:sz w:val="24"/>
          <w:szCs w:val="24"/>
          <w:lang w:val="it-IT"/>
        </w:rPr>
        <w:t xml:space="preserve">. Nella </w:t>
      </w:r>
      <w:r w:rsidR="000F4745" w:rsidRPr="006F07C8">
        <w:rPr>
          <w:rFonts w:ascii="Times New Roman" w:hAnsi="Times New Roman" w:cs="Times New Roman"/>
          <w:sz w:val="24"/>
          <w:szCs w:val="24"/>
          <w:lang w:val="it-IT"/>
        </w:rPr>
        <w:fldChar w:fldCharType="begin"/>
      </w:r>
      <w:r w:rsidR="000F4745" w:rsidRPr="006F07C8">
        <w:rPr>
          <w:rFonts w:ascii="Times New Roman" w:hAnsi="Times New Roman" w:cs="Times New Roman"/>
          <w:sz w:val="24"/>
          <w:szCs w:val="24"/>
          <w:lang w:val="it-IT"/>
        </w:rPr>
        <w:instrText xml:space="preserve"> REF _Ref378689843 \h  \* MERGEFORMAT </w:instrText>
      </w:r>
      <w:r w:rsidR="000F4745" w:rsidRPr="006F07C8">
        <w:rPr>
          <w:rFonts w:ascii="Times New Roman" w:hAnsi="Times New Roman" w:cs="Times New Roman"/>
          <w:sz w:val="24"/>
          <w:szCs w:val="24"/>
          <w:lang w:val="it-IT"/>
        </w:rPr>
      </w:r>
      <w:r w:rsidR="000F4745" w:rsidRPr="006F07C8">
        <w:rPr>
          <w:rFonts w:ascii="Times New Roman" w:hAnsi="Times New Roman" w:cs="Times New Roman"/>
          <w:sz w:val="24"/>
          <w:szCs w:val="24"/>
          <w:lang w:val="it-IT"/>
        </w:rPr>
        <w:fldChar w:fldCharType="separate"/>
      </w:r>
      <w:r w:rsidR="00087B27" w:rsidRPr="006F07C8">
        <w:rPr>
          <w:rFonts w:ascii="Times New Roman" w:hAnsi="Times New Roman" w:cs="Times New Roman"/>
          <w:sz w:val="24"/>
          <w:szCs w:val="24"/>
          <w:lang w:val="it-IT"/>
        </w:rPr>
        <w:t xml:space="preserve">Tabella </w:t>
      </w:r>
      <w:r w:rsidR="00087B27" w:rsidRPr="006F07C8">
        <w:rPr>
          <w:rFonts w:ascii="Times New Roman" w:hAnsi="Times New Roman" w:cs="Times New Roman"/>
          <w:noProof/>
          <w:sz w:val="24"/>
          <w:szCs w:val="24"/>
          <w:lang w:val="it-IT"/>
        </w:rPr>
        <w:t>8</w:t>
      </w:r>
      <w:r w:rsidR="000F4745" w:rsidRPr="006F07C8">
        <w:rPr>
          <w:rFonts w:ascii="Times New Roman" w:hAnsi="Times New Roman" w:cs="Times New Roman"/>
          <w:sz w:val="24"/>
          <w:szCs w:val="24"/>
          <w:lang w:val="it-IT"/>
        </w:rPr>
        <w:fldChar w:fldCharType="end"/>
      </w:r>
      <w:r w:rsidR="000F4745" w:rsidRPr="006F07C8">
        <w:rPr>
          <w:rFonts w:ascii="Times New Roman" w:hAnsi="Times New Roman" w:cs="Times New Roman"/>
          <w:sz w:val="24"/>
          <w:szCs w:val="24"/>
          <w:lang w:val="it-IT"/>
        </w:rPr>
        <w:t xml:space="preserve"> sono esclusi </w:t>
      </w:r>
      <w:r w:rsidR="00BD5D8A" w:rsidRPr="006F07C8">
        <w:rPr>
          <w:rFonts w:ascii="Times New Roman" w:hAnsi="Times New Roman" w:cs="Times New Roman"/>
          <w:sz w:val="24"/>
          <w:szCs w:val="24"/>
          <w:lang w:val="it-IT"/>
        </w:rPr>
        <w:t>i residenti</w:t>
      </w:r>
      <w:r w:rsidR="000F4745" w:rsidRPr="006F07C8">
        <w:rPr>
          <w:rFonts w:ascii="Times New Roman" w:hAnsi="Times New Roman" w:cs="Times New Roman"/>
          <w:sz w:val="24"/>
          <w:szCs w:val="24"/>
          <w:lang w:val="it-IT"/>
        </w:rPr>
        <w:t xml:space="preserve"> che non sono occupati nel senso chiarito nella sezione</w:t>
      </w:r>
      <w:r w:rsidRPr="006F07C8">
        <w:rPr>
          <w:rFonts w:ascii="Times New Roman" w:hAnsi="Times New Roman" w:cs="Times New Roman"/>
          <w:sz w:val="24"/>
          <w:szCs w:val="24"/>
          <w:lang w:val="it-IT"/>
        </w:rPr>
        <w:t xml:space="preserve"> 4.2</w:t>
      </w:r>
      <w:r w:rsidR="005246A0" w:rsidRPr="006F07C8">
        <w:rPr>
          <w:rFonts w:ascii="Times New Roman" w:hAnsi="Times New Roman" w:cs="Times New Roman"/>
          <w:sz w:val="24"/>
          <w:szCs w:val="24"/>
          <w:lang w:val="it-IT"/>
        </w:rPr>
        <w:t xml:space="preserve">, </w:t>
      </w:r>
      <w:r w:rsidR="00BD5D8A" w:rsidRPr="006F07C8">
        <w:rPr>
          <w:rFonts w:ascii="Times New Roman" w:hAnsi="Times New Roman" w:cs="Times New Roman"/>
          <w:sz w:val="24"/>
          <w:szCs w:val="24"/>
          <w:lang w:val="it-IT"/>
        </w:rPr>
        <w:t xml:space="preserve">chi </w:t>
      </w:r>
      <w:r w:rsidR="005246A0" w:rsidRPr="006F07C8">
        <w:rPr>
          <w:rFonts w:ascii="Times New Roman" w:hAnsi="Times New Roman" w:cs="Times New Roman"/>
          <w:sz w:val="24"/>
          <w:szCs w:val="24"/>
          <w:lang w:val="it-IT"/>
        </w:rPr>
        <w:t>non ha voluto o saputo rispondere e i residenti in Italia</w:t>
      </w:r>
      <w:r w:rsidR="00D127A6" w:rsidRPr="006F07C8">
        <w:rPr>
          <w:rFonts w:ascii="Times New Roman" w:hAnsi="Times New Roman" w:cs="Times New Roman"/>
          <w:sz w:val="24"/>
          <w:szCs w:val="24"/>
          <w:lang w:val="it-IT"/>
        </w:rPr>
        <w:t>,</w:t>
      </w:r>
      <w:r w:rsidR="005246A0" w:rsidRPr="006F07C8">
        <w:rPr>
          <w:rFonts w:ascii="Times New Roman" w:hAnsi="Times New Roman" w:cs="Times New Roman"/>
          <w:sz w:val="24"/>
          <w:szCs w:val="24"/>
          <w:lang w:val="it-IT"/>
        </w:rPr>
        <w:t xml:space="preserve"> </w:t>
      </w:r>
      <w:r w:rsidR="008B77B9" w:rsidRPr="006F07C8">
        <w:rPr>
          <w:rFonts w:ascii="Times New Roman" w:hAnsi="Times New Roman" w:cs="Times New Roman"/>
          <w:sz w:val="24"/>
          <w:szCs w:val="24"/>
          <w:lang w:val="it-IT"/>
        </w:rPr>
        <w:t>perché</w:t>
      </w:r>
      <w:r w:rsidR="005246A0" w:rsidRPr="006F07C8">
        <w:rPr>
          <w:rFonts w:ascii="Times New Roman" w:hAnsi="Times New Roman" w:cs="Times New Roman"/>
          <w:sz w:val="24"/>
          <w:szCs w:val="24"/>
          <w:lang w:val="it-IT"/>
        </w:rPr>
        <w:t xml:space="preserve"> questo paese non ha raccolto dati per la variabile </w:t>
      </w:r>
      <w:r w:rsidR="008B77B9" w:rsidRPr="006F07C8">
        <w:rPr>
          <w:rFonts w:ascii="Times New Roman" w:hAnsi="Times New Roman" w:cs="Times New Roman"/>
          <w:sz w:val="24"/>
          <w:szCs w:val="24"/>
          <w:lang w:val="it-IT"/>
        </w:rPr>
        <w:t xml:space="preserve">della IEA chiamata </w:t>
      </w:r>
      <w:r w:rsidR="005246A0" w:rsidRPr="006F07C8">
        <w:rPr>
          <w:rFonts w:ascii="Times New Roman" w:hAnsi="Times New Roman" w:cs="Times New Roman"/>
          <w:sz w:val="24"/>
          <w:szCs w:val="24"/>
          <w:lang w:val="it-IT"/>
        </w:rPr>
        <w:t xml:space="preserve">“attività economica”. </w:t>
      </w:r>
      <w:r w:rsidR="00CC607F" w:rsidRPr="006F07C8">
        <w:rPr>
          <w:rFonts w:ascii="Times New Roman" w:hAnsi="Times New Roman" w:cs="Times New Roman"/>
          <w:sz w:val="24"/>
          <w:szCs w:val="24"/>
          <w:lang w:val="it-IT"/>
        </w:rPr>
        <w:t xml:space="preserve">I risultati si riferiscono </w:t>
      </w:r>
      <w:r w:rsidR="00807445" w:rsidRPr="006F07C8">
        <w:rPr>
          <w:rFonts w:ascii="Times New Roman" w:hAnsi="Times New Roman" w:cs="Times New Roman"/>
          <w:sz w:val="24"/>
          <w:szCs w:val="24"/>
          <w:lang w:val="it-IT"/>
        </w:rPr>
        <w:t xml:space="preserve">quindi </w:t>
      </w:r>
      <w:r w:rsidR="00CC607F" w:rsidRPr="006F07C8">
        <w:rPr>
          <w:rFonts w:ascii="Times New Roman" w:hAnsi="Times New Roman" w:cs="Times New Roman"/>
          <w:sz w:val="24"/>
          <w:szCs w:val="24"/>
          <w:lang w:val="it-IT"/>
        </w:rPr>
        <w:t xml:space="preserve">alla popolazione residente in </w:t>
      </w:r>
      <w:r w:rsidR="005246A0" w:rsidRPr="006F07C8">
        <w:rPr>
          <w:rFonts w:ascii="Times New Roman" w:hAnsi="Times New Roman" w:cs="Times New Roman"/>
          <w:sz w:val="24"/>
          <w:szCs w:val="24"/>
          <w:lang w:val="it-IT"/>
        </w:rPr>
        <w:t>23 Stati Membri</w:t>
      </w:r>
      <w:r w:rsidR="00CC607F" w:rsidRPr="006F07C8">
        <w:rPr>
          <w:rFonts w:ascii="Times New Roman" w:hAnsi="Times New Roman" w:cs="Times New Roman"/>
          <w:sz w:val="24"/>
          <w:szCs w:val="24"/>
          <w:lang w:val="it-IT"/>
        </w:rPr>
        <w:t xml:space="preserve"> della UE</w:t>
      </w:r>
      <w:r w:rsidR="005246A0" w:rsidRPr="006F07C8">
        <w:rPr>
          <w:rFonts w:ascii="Times New Roman" w:hAnsi="Times New Roman" w:cs="Times New Roman"/>
          <w:sz w:val="24"/>
          <w:szCs w:val="24"/>
          <w:lang w:val="it-IT"/>
        </w:rPr>
        <w:t>.</w:t>
      </w:r>
    </w:p>
    <w:p w:rsidR="0075665E" w:rsidRPr="006F07C8" w:rsidRDefault="0075665E" w:rsidP="002F52A9">
      <w:pPr>
        <w:pStyle w:val="Caption"/>
        <w:rPr>
          <w:rFonts w:ascii="Times New Roman" w:hAnsi="Times New Roman" w:cs="Times New Roman"/>
          <w:sz w:val="20"/>
          <w:szCs w:val="20"/>
          <w:lang w:val="it-IT"/>
        </w:rPr>
      </w:pPr>
      <w:bookmarkStart w:id="24" w:name="_Ref378689843"/>
      <w:r w:rsidRPr="006F07C8">
        <w:rPr>
          <w:rFonts w:ascii="Times New Roman" w:hAnsi="Times New Roman" w:cs="Times New Roman"/>
          <w:sz w:val="20"/>
          <w:szCs w:val="20"/>
          <w:lang w:val="it-IT"/>
        </w:rPr>
        <w:t xml:space="preserve">Tabella </w:t>
      </w:r>
      <w:r w:rsidRPr="006F07C8">
        <w:rPr>
          <w:rFonts w:ascii="Times New Roman" w:hAnsi="Times New Roman" w:cs="Times New Roman"/>
          <w:sz w:val="20"/>
          <w:szCs w:val="20"/>
          <w:lang w:val="it-IT"/>
        </w:rPr>
        <w:fldChar w:fldCharType="begin"/>
      </w:r>
      <w:r w:rsidRPr="006F07C8">
        <w:rPr>
          <w:rFonts w:ascii="Times New Roman" w:hAnsi="Times New Roman" w:cs="Times New Roman"/>
          <w:sz w:val="20"/>
          <w:szCs w:val="20"/>
          <w:lang w:val="it-IT"/>
        </w:rPr>
        <w:instrText xml:space="preserve"> SEQ Tabella \* ARABIC </w:instrText>
      </w:r>
      <w:r w:rsidRPr="006F07C8">
        <w:rPr>
          <w:rFonts w:ascii="Times New Roman" w:hAnsi="Times New Roman" w:cs="Times New Roman"/>
          <w:sz w:val="20"/>
          <w:szCs w:val="20"/>
          <w:lang w:val="it-IT"/>
        </w:rPr>
        <w:fldChar w:fldCharType="separate"/>
      </w:r>
      <w:r w:rsidR="00087B27" w:rsidRPr="006F07C8">
        <w:rPr>
          <w:rFonts w:ascii="Times New Roman" w:hAnsi="Times New Roman" w:cs="Times New Roman"/>
          <w:noProof/>
          <w:sz w:val="20"/>
          <w:szCs w:val="20"/>
          <w:lang w:val="it-IT"/>
        </w:rPr>
        <w:t>8</w:t>
      </w:r>
      <w:r w:rsidRPr="006F07C8">
        <w:rPr>
          <w:rFonts w:ascii="Times New Roman" w:hAnsi="Times New Roman" w:cs="Times New Roman"/>
          <w:sz w:val="20"/>
          <w:szCs w:val="20"/>
          <w:lang w:val="it-IT"/>
        </w:rPr>
        <w:fldChar w:fldCharType="end"/>
      </w:r>
      <w:bookmarkEnd w:id="24"/>
      <w:r w:rsidRPr="006F07C8">
        <w:rPr>
          <w:rFonts w:ascii="Times New Roman" w:hAnsi="Times New Roman" w:cs="Times New Roman"/>
          <w:sz w:val="20"/>
          <w:szCs w:val="20"/>
          <w:lang w:val="it-IT"/>
        </w:rPr>
        <w:t xml:space="preserve"> : </w:t>
      </w:r>
      <w:r w:rsidR="000F4745" w:rsidRPr="006F07C8">
        <w:rPr>
          <w:rFonts w:ascii="Times New Roman" w:hAnsi="Times New Roman" w:cs="Times New Roman"/>
          <w:sz w:val="20"/>
          <w:szCs w:val="20"/>
          <w:lang w:val="it-IT"/>
        </w:rPr>
        <w:t>Tassi di</w:t>
      </w:r>
      <w:r w:rsidR="00960644" w:rsidRPr="006F07C8">
        <w:rPr>
          <w:rFonts w:ascii="Times New Roman" w:hAnsi="Times New Roman" w:cs="Times New Roman"/>
          <w:sz w:val="20"/>
          <w:szCs w:val="20"/>
          <w:lang w:val="it-IT"/>
        </w:rPr>
        <w:t xml:space="preserve"> esclusione linguistica assoluta</w:t>
      </w:r>
      <w:r w:rsidR="000F4745" w:rsidRPr="006F07C8">
        <w:rPr>
          <w:rFonts w:ascii="Times New Roman" w:hAnsi="Times New Roman" w:cs="Times New Roman"/>
          <w:sz w:val="20"/>
          <w:szCs w:val="20"/>
          <w:lang w:val="it-IT"/>
        </w:rPr>
        <w:t xml:space="preserve"> </w:t>
      </w:r>
      <w:r w:rsidR="00960644" w:rsidRPr="006F07C8">
        <w:rPr>
          <w:rFonts w:ascii="Times New Roman" w:hAnsi="Times New Roman" w:cs="Times New Roman"/>
          <w:sz w:val="20"/>
          <w:szCs w:val="20"/>
          <w:lang w:val="it-IT"/>
        </w:rPr>
        <w:t>e relativa</w:t>
      </w:r>
      <w:r w:rsidR="001904E7" w:rsidRPr="006F07C8">
        <w:rPr>
          <w:rFonts w:ascii="Times New Roman" w:hAnsi="Times New Roman" w:cs="Times New Roman"/>
          <w:sz w:val="20"/>
          <w:szCs w:val="20"/>
          <w:lang w:val="it-IT"/>
        </w:rPr>
        <w:t xml:space="preserve"> </w:t>
      </w:r>
      <w:r w:rsidR="000F4745" w:rsidRPr="006F07C8">
        <w:rPr>
          <w:rFonts w:ascii="Times New Roman" w:hAnsi="Times New Roman" w:cs="Times New Roman"/>
          <w:sz w:val="20"/>
          <w:szCs w:val="20"/>
          <w:lang w:val="it-IT"/>
        </w:rPr>
        <w:t>per attività economica</w:t>
      </w:r>
      <w:r w:rsidR="00176813" w:rsidRPr="006F07C8">
        <w:rPr>
          <w:rFonts w:ascii="Times New Roman" w:hAnsi="Times New Roman" w:cs="Times New Roman"/>
          <w:sz w:val="20"/>
          <w:szCs w:val="20"/>
          <w:lang w:val="it-IT"/>
        </w:rPr>
        <w:t xml:space="preserve"> e per regime linguistico</w:t>
      </w:r>
      <w:r w:rsidR="000F4745" w:rsidRPr="006F07C8">
        <w:rPr>
          <w:rFonts w:ascii="Times New Roman" w:hAnsi="Times New Roman" w:cs="Times New Roman"/>
          <w:sz w:val="20"/>
          <w:szCs w:val="20"/>
          <w:lang w:val="it-IT"/>
        </w:rPr>
        <w:t>, UE-23</w:t>
      </w:r>
      <w:r w:rsidR="00C6336A" w:rsidRPr="006F07C8">
        <w:rPr>
          <w:rFonts w:ascii="Times New Roman" w:hAnsi="Times New Roman" w:cs="Times New Roman"/>
          <w:sz w:val="20"/>
          <w:szCs w:val="20"/>
          <w:lang w:val="it-IT"/>
        </w:rPr>
        <w:t>. Dati in percentuale</w:t>
      </w:r>
    </w:p>
    <w:tbl>
      <w:tblPr>
        <w:tblStyle w:val="TableGrid"/>
        <w:tblW w:w="9246" w:type="dxa"/>
        <w:jc w:val="center"/>
        <w:tblLayout w:type="fixed"/>
        <w:tblLook w:val="04A0" w:firstRow="1" w:lastRow="0" w:firstColumn="1" w:lastColumn="0" w:noHBand="0" w:noVBand="1"/>
      </w:tblPr>
      <w:tblGrid>
        <w:gridCol w:w="4907"/>
        <w:gridCol w:w="723"/>
        <w:gridCol w:w="723"/>
        <w:gridCol w:w="723"/>
        <w:gridCol w:w="723"/>
        <w:gridCol w:w="723"/>
        <w:gridCol w:w="724"/>
      </w:tblGrid>
      <w:tr w:rsidR="00E75100" w:rsidRPr="006F07C8" w:rsidTr="00176813">
        <w:trPr>
          <w:trHeight w:val="312"/>
          <w:jc w:val="center"/>
        </w:trPr>
        <w:tc>
          <w:tcPr>
            <w:tcW w:w="4907" w:type="dxa"/>
          </w:tcPr>
          <w:p w:rsidR="00E75100" w:rsidRPr="006F07C8" w:rsidRDefault="00E75100" w:rsidP="002F52A9">
            <w:pPr>
              <w:jc w:val="center"/>
              <w:rPr>
                <w:rFonts w:ascii="Times New Roman" w:hAnsi="Times New Roman" w:cs="Times New Roman"/>
                <w:b/>
                <w:sz w:val="20"/>
                <w:szCs w:val="20"/>
                <w:lang w:val="it-IT" w:eastAsia="fr-CH"/>
              </w:rPr>
            </w:pPr>
            <w:r w:rsidRPr="006F07C8">
              <w:rPr>
                <w:rFonts w:ascii="Times New Roman" w:hAnsi="Times New Roman" w:cs="Times New Roman"/>
                <w:b/>
                <w:sz w:val="20"/>
                <w:szCs w:val="20"/>
                <w:lang w:val="it-IT" w:eastAsia="fr-CH"/>
              </w:rPr>
              <w:t>Attività economica</w:t>
            </w:r>
          </w:p>
        </w:tc>
        <w:tc>
          <w:tcPr>
            <w:tcW w:w="1446" w:type="dxa"/>
            <w:gridSpan w:val="2"/>
            <w:vAlign w:val="center"/>
          </w:tcPr>
          <w:p w:rsidR="00E75100" w:rsidRPr="006F07C8" w:rsidRDefault="008B77B9" w:rsidP="002F52A9">
            <w:pPr>
              <w:jc w:val="center"/>
              <w:rPr>
                <w:rFonts w:ascii="Times New Roman" w:hAnsi="Times New Roman" w:cs="Times New Roman"/>
                <w:b/>
                <w:color w:val="000000"/>
                <w:sz w:val="20"/>
                <w:szCs w:val="20"/>
                <w:lang w:val="it-IT" w:eastAsia="fr-CH"/>
              </w:rPr>
            </w:pPr>
            <w:r w:rsidRPr="006F07C8">
              <w:rPr>
                <w:rFonts w:ascii="Times New Roman" w:hAnsi="Times New Roman" w:cs="Times New Roman"/>
                <w:b/>
                <w:color w:val="000000"/>
                <w:sz w:val="20"/>
                <w:szCs w:val="20"/>
                <w:lang w:val="it-IT" w:eastAsia="fr-CH"/>
              </w:rPr>
              <w:t>Monolingue</w:t>
            </w:r>
          </w:p>
        </w:tc>
        <w:tc>
          <w:tcPr>
            <w:tcW w:w="1446" w:type="dxa"/>
            <w:gridSpan w:val="2"/>
            <w:vAlign w:val="center"/>
          </w:tcPr>
          <w:p w:rsidR="00E75100" w:rsidRPr="006F07C8" w:rsidRDefault="008B77B9" w:rsidP="002F52A9">
            <w:pPr>
              <w:jc w:val="center"/>
              <w:rPr>
                <w:rFonts w:ascii="Times New Roman" w:hAnsi="Times New Roman" w:cs="Times New Roman"/>
                <w:b/>
                <w:color w:val="000000"/>
                <w:sz w:val="20"/>
                <w:szCs w:val="20"/>
                <w:lang w:val="it-IT" w:eastAsia="fr-CH"/>
              </w:rPr>
            </w:pPr>
            <w:r w:rsidRPr="006F07C8">
              <w:rPr>
                <w:rFonts w:ascii="Times New Roman" w:hAnsi="Times New Roman" w:cs="Times New Roman"/>
                <w:b/>
                <w:color w:val="000000"/>
                <w:sz w:val="20"/>
                <w:szCs w:val="20"/>
                <w:lang w:val="it-IT" w:eastAsia="fr-CH"/>
              </w:rPr>
              <w:t>Oligarchico</w:t>
            </w:r>
          </w:p>
        </w:tc>
        <w:tc>
          <w:tcPr>
            <w:tcW w:w="1447" w:type="dxa"/>
            <w:gridSpan w:val="2"/>
            <w:vAlign w:val="center"/>
          </w:tcPr>
          <w:p w:rsidR="00E75100" w:rsidRPr="006F07C8" w:rsidRDefault="00E75100" w:rsidP="002F52A9">
            <w:pPr>
              <w:jc w:val="center"/>
              <w:rPr>
                <w:rFonts w:ascii="Times New Roman" w:hAnsi="Times New Roman" w:cs="Times New Roman"/>
                <w:b/>
                <w:color w:val="000000"/>
                <w:sz w:val="20"/>
                <w:szCs w:val="20"/>
                <w:lang w:val="it-IT" w:eastAsia="fr-CH"/>
              </w:rPr>
            </w:pPr>
            <w:r w:rsidRPr="006F07C8">
              <w:rPr>
                <w:rFonts w:ascii="Times New Roman" w:hAnsi="Times New Roman" w:cs="Times New Roman"/>
                <w:b/>
                <w:color w:val="000000"/>
                <w:sz w:val="20"/>
                <w:szCs w:val="20"/>
                <w:lang w:val="it-IT" w:eastAsia="fr-CH"/>
              </w:rPr>
              <w:t>Multilinguismo</w:t>
            </w:r>
          </w:p>
        </w:tc>
      </w:tr>
      <w:tr w:rsidR="00176813" w:rsidRPr="006F07C8" w:rsidTr="00865801">
        <w:trPr>
          <w:trHeight w:val="426"/>
          <w:jc w:val="center"/>
        </w:trPr>
        <w:tc>
          <w:tcPr>
            <w:tcW w:w="4907" w:type="dxa"/>
            <w:vAlign w:val="bottom"/>
          </w:tcPr>
          <w:p w:rsidR="00E75100" w:rsidRPr="006F07C8" w:rsidRDefault="00E75100" w:rsidP="002F52A9">
            <w:pPr>
              <w:pStyle w:val="NormalWeb"/>
              <w:spacing w:before="0" w:beforeAutospacing="0" w:after="0" w:afterAutospacing="0"/>
              <w:textAlignment w:val="bottom"/>
              <w:rPr>
                <w:kern w:val="24"/>
                <w:sz w:val="20"/>
                <w:szCs w:val="20"/>
                <w:lang w:val="it-IT"/>
              </w:rPr>
            </w:pPr>
          </w:p>
        </w:tc>
        <w:tc>
          <w:tcPr>
            <w:tcW w:w="723" w:type="dxa"/>
            <w:vAlign w:val="center"/>
          </w:tcPr>
          <w:p w:rsidR="00E75100" w:rsidRPr="006F07C8" w:rsidRDefault="00E75100" w:rsidP="002F52A9">
            <w:pPr>
              <w:jc w:val="center"/>
              <w:rPr>
                <w:rFonts w:ascii="Times New Roman" w:hAnsi="Times New Roman" w:cs="Times New Roman"/>
                <w:i/>
                <w:color w:val="000000"/>
                <w:sz w:val="20"/>
                <w:szCs w:val="20"/>
                <w:vertAlign w:val="subscript"/>
                <w:lang w:val="it-IT" w:eastAsia="fr-CH"/>
              </w:rPr>
            </w:pPr>
            <w:r w:rsidRPr="006F07C8">
              <w:rPr>
                <w:rFonts w:ascii="Times New Roman" w:hAnsi="Times New Roman" w:cs="Times New Roman"/>
                <w:i/>
                <w:color w:val="000000"/>
                <w:sz w:val="20"/>
                <w:szCs w:val="20"/>
                <w:lang w:val="it-IT" w:eastAsia="fr-CH"/>
              </w:rPr>
              <w:t>E</w:t>
            </w:r>
            <w:r w:rsidRPr="006F07C8">
              <w:rPr>
                <w:rFonts w:ascii="Times New Roman" w:hAnsi="Times New Roman" w:cs="Times New Roman"/>
                <w:i/>
                <w:color w:val="000000"/>
                <w:sz w:val="20"/>
                <w:szCs w:val="20"/>
                <w:vertAlign w:val="subscript"/>
                <w:lang w:val="it-IT" w:eastAsia="fr-CH"/>
              </w:rPr>
              <w:t>a</w:t>
            </w:r>
          </w:p>
        </w:tc>
        <w:tc>
          <w:tcPr>
            <w:tcW w:w="723" w:type="dxa"/>
            <w:vAlign w:val="center"/>
          </w:tcPr>
          <w:p w:rsidR="00E75100" w:rsidRPr="006F07C8" w:rsidRDefault="00E75100" w:rsidP="002F52A9">
            <w:pPr>
              <w:jc w:val="center"/>
              <w:rPr>
                <w:rFonts w:ascii="Times New Roman" w:hAnsi="Times New Roman" w:cs="Times New Roman"/>
                <w:i/>
                <w:color w:val="000000"/>
                <w:sz w:val="20"/>
                <w:szCs w:val="20"/>
                <w:vertAlign w:val="superscript"/>
                <w:lang w:val="it-IT" w:eastAsia="fr-CH"/>
              </w:rPr>
            </w:pPr>
            <w:r w:rsidRPr="006F07C8">
              <w:rPr>
                <w:rFonts w:ascii="Times New Roman" w:hAnsi="Times New Roman" w:cs="Times New Roman"/>
                <w:i/>
                <w:color w:val="000000"/>
                <w:sz w:val="20"/>
                <w:szCs w:val="20"/>
                <w:lang w:val="it-IT" w:eastAsia="fr-CH"/>
              </w:rPr>
              <w:t>E</w:t>
            </w:r>
            <w:r w:rsidRPr="006F07C8">
              <w:rPr>
                <w:rFonts w:ascii="Times New Roman" w:hAnsi="Times New Roman" w:cs="Times New Roman"/>
                <w:i/>
                <w:color w:val="000000"/>
                <w:sz w:val="20"/>
                <w:szCs w:val="20"/>
                <w:vertAlign w:val="subscript"/>
                <w:lang w:val="it-IT" w:eastAsia="fr-CH"/>
              </w:rPr>
              <w:t>r</w:t>
            </w:r>
            <w:r w:rsidR="00865801" w:rsidRPr="006F07C8">
              <w:rPr>
                <w:rFonts w:ascii="Times New Roman" w:hAnsi="Times New Roman" w:cs="Times New Roman"/>
                <w:i/>
                <w:color w:val="000000"/>
                <w:sz w:val="20"/>
                <w:szCs w:val="20"/>
                <w:vertAlign w:val="subscript"/>
                <w:lang w:val="it-IT" w:eastAsia="fr-CH"/>
              </w:rPr>
              <w:t xml:space="preserve"> </w:t>
            </w:r>
            <w:r w:rsidR="00865801" w:rsidRPr="006F07C8">
              <w:rPr>
                <w:rFonts w:ascii="Times New Roman" w:hAnsi="Times New Roman" w:cs="Times New Roman"/>
                <w:i/>
                <w:color w:val="000000"/>
                <w:sz w:val="20"/>
                <w:szCs w:val="20"/>
                <w:vertAlign w:val="superscript"/>
                <w:lang w:val="it-IT" w:eastAsia="fr-CH"/>
              </w:rPr>
              <w:t>*</w:t>
            </w:r>
          </w:p>
        </w:tc>
        <w:tc>
          <w:tcPr>
            <w:tcW w:w="723" w:type="dxa"/>
            <w:vAlign w:val="center"/>
          </w:tcPr>
          <w:p w:rsidR="00E75100" w:rsidRPr="006F07C8" w:rsidRDefault="00E75100" w:rsidP="002F52A9">
            <w:pPr>
              <w:jc w:val="center"/>
              <w:rPr>
                <w:rFonts w:ascii="Times New Roman" w:hAnsi="Times New Roman" w:cs="Times New Roman"/>
                <w:i/>
                <w:color w:val="000000"/>
                <w:sz w:val="20"/>
                <w:szCs w:val="20"/>
                <w:vertAlign w:val="subscript"/>
                <w:lang w:val="it-IT" w:eastAsia="fr-CH"/>
              </w:rPr>
            </w:pPr>
            <w:r w:rsidRPr="006F07C8">
              <w:rPr>
                <w:rFonts w:ascii="Times New Roman" w:hAnsi="Times New Roman" w:cs="Times New Roman"/>
                <w:i/>
                <w:color w:val="000000"/>
                <w:sz w:val="20"/>
                <w:szCs w:val="20"/>
                <w:lang w:val="it-IT" w:eastAsia="fr-CH"/>
              </w:rPr>
              <w:t>E</w:t>
            </w:r>
            <w:r w:rsidRPr="006F07C8">
              <w:rPr>
                <w:rFonts w:ascii="Times New Roman" w:hAnsi="Times New Roman" w:cs="Times New Roman"/>
                <w:i/>
                <w:color w:val="000000"/>
                <w:sz w:val="20"/>
                <w:szCs w:val="20"/>
                <w:vertAlign w:val="subscript"/>
                <w:lang w:val="it-IT" w:eastAsia="fr-CH"/>
              </w:rPr>
              <w:t>a</w:t>
            </w:r>
          </w:p>
        </w:tc>
        <w:tc>
          <w:tcPr>
            <w:tcW w:w="723" w:type="dxa"/>
            <w:vAlign w:val="center"/>
          </w:tcPr>
          <w:p w:rsidR="00E75100" w:rsidRPr="006F07C8" w:rsidRDefault="00865801" w:rsidP="002F52A9">
            <w:pPr>
              <w:jc w:val="center"/>
              <w:rPr>
                <w:rFonts w:ascii="Times New Roman" w:hAnsi="Times New Roman" w:cs="Times New Roman"/>
                <w:i/>
                <w:color w:val="000000"/>
                <w:sz w:val="20"/>
                <w:szCs w:val="20"/>
                <w:vertAlign w:val="subscript"/>
                <w:lang w:val="it-IT" w:eastAsia="fr-CH"/>
              </w:rPr>
            </w:pPr>
            <w:r w:rsidRPr="006F07C8">
              <w:rPr>
                <w:rFonts w:ascii="Times New Roman" w:hAnsi="Times New Roman" w:cs="Times New Roman"/>
                <w:i/>
                <w:color w:val="000000"/>
                <w:sz w:val="20"/>
                <w:szCs w:val="20"/>
                <w:lang w:val="it-IT" w:eastAsia="fr-CH"/>
              </w:rPr>
              <w:t>E</w:t>
            </w:r>
            <w:r w:rsidRPr="006F07C8">
              <w:rPr>
                <w:rFonts w:ascii="Times New Roman" w:hAnsi="Times New Roman" w:cs="Times New Roman"/>
                <w:i/>
                <w:color w:val="000000"/>
                <w:sz w:val="20"/>
                <w:szCs w:val="20"/>
                <w:vertAlign w:val="subscript"/>
                <w:lang w:val="it-IT" w:eastAsia="fr-CH"/>
              </w:rPr>
              <w:t xml:space="preserve">r </w:t>
            </w:r>
            <w:r w:rsidRPr="006F07C8">
              <w:rPr>
                <w:rFonts w:ascii="Times New Roman" w:hAnsi="Times New Roman" w:cs="Times New Roman"/>
                <w:i/>
                <w:color w:val="000000"/>
                <w:sz w:val="20"/>
                <w:szCs w:val="20"/>
                <w:vertAlign w:val="superscript"/>
                <w:lang w:val="it-IT" w:eastAsia="fr-CH"/>
              </w:rPr>
              <w:t>*</w:t>
            </w:r>
          </w:p>
        </w:tc>
        <w:tc>
          <w:tcPr>
            <w:tcW w:w="723" w:type="dxa"/>
            <w:vAlign w:val="center"/>
          </w:tcPr>
          <w:p w:rsidR="00E75100" w:rsidRPr="006F07C8" w:rsidRDefault="00E75100" w:rsidP="002F52A9">
            <w:pPr>
              <w:jc w:val="center"/>
              <w:rPr>
                <w:rFonts w:ascii="Times New Roman" w:hAnsi="Times New Roman" w:cs="Times New Roman"/>
                <w:i/>
                <w:color w:val="000000"/>
                <w:sz w:val="20"/>
                <w:szCs w:val="20"/>
                <w:vertAlign w:val="subscript"/>
                <w:lang w:val="it-IT" w:eastAsia="fr-CH"/>
              </w:rPr>
            </w:pPr>
            <w:r w:rsidRPr="006F07C8">
              <w:rPr>
                <w:rFonts w:ascii="Times New Roman" w:hAnsi="Times New Roman" w:cs="Times New Roman"/>
                <w:i/>
                <w:color w:val="000000"/>
                <w:sz w:val="20"/>
                <w:szCs w:val="20"/>
                <w:lang w:val="it-IT" w:eastAsia="fr-CH"/>
              </w:rPr>
              <w:t>E</w:t>
            </w:r>
            <w:r w:rsidRPr="006F07C8">
              <w:rPr>
                <w:rFonts w:ascii="Times New Roman" w:hAnsi="Times New Roman" w:cs="Times New Roman"/>
                <w:i/>
                <w:color w:val="000000"/>
                <w:sz w:val="20"/>
                <w:szCs w:val="20"/>
                <w:vertAlign w:val="subscript"/>
                <w:lang w:val="it-IT" w:eastAsia="fr-CH"/>
              </w:rPr>
              <w:t>a</w:t>
            </w:r>
          </w:p>
        </w:tc>
        <w:tc>
          <w:tcPr>
            <w:tcW w:w="724" w:type="dxa"/>
            <w:vAlign w:val="center"/>
          </w:tcPr>
          <w:p w:rsidR="00E75100" w:rsidRPr="006F07C8" w:rsidRDefault="00865801" w:rsidP="002F52A9">
            <w:pPr>
              <w:jc w:val="center"/>
              <w:rPr>
                <w:rFonts w:ascii="Times New Roman" w:hAnsi="Times New Roman" w:cs="Times New Roman"/>
                <w:i/>
                <w:color w:val="000000"/>
                <w:sz w:val="20"/>
                <w:szCs w:val="20"/>
                <w:vertAlign w:val="subscript"/>
                <w:lang w:val="it-IT" w:eastAsia="fr-CH"/>
              </w:rPr>
            </w:pPr>
            <w:r w:rsidRPr="006F07C8">
              <w:rPr>
                <w:rFonts w:ascii="Times New Roman" w:hAnsi="Times New Roman" w:cs="Times New Roman"/>
                <w:i/>
                <w:color w:val="000000"/>
                <w:sz w:val="20"/>
                <w:szCs w:val="20"/>
                <w:lang w:val="it-IT" w:eastAsia="fr-CH"/>
              </w:rPr>
              <w:t>E</w:t>
            </w:r>
            <w:r w:rsidRPr="006F07C8">
              <w:rPr>
                <w:rFonts w:ascii="Times New Roman" w:hAnsi="Times New Roman" w:cs="Times New Roman"/>
                <w:i/>
                <w:color w:val="000000"/>
                <w:sz w:val="20"/>
                <w:szCs w:val="20"/>
                <w:vertAlign w:val="subscript"/>
                <w:lang w:val="it-IT" w:eastAsia="fr-CH"/>
              </w:rPr>
              <w:t xml:space="preserve">r </w:t>
            </w:r>
            <w:r w:rsidRPr="006F07C8">
              <w:rPr>
                <w:rFonts w:ascii="Times New Roman" w:hAnsi="Times New Roman" w:cs="Times New Roman"/>
                <w:i/>
                <w:color w:val="000000"/>
                <w:sz w:val="20"/>
                <w:szCs w:val="20"/>
                <w:vertAlign w:val="superscript"/>
                <w:lang w:val="it-IT" w:eastAsia="fr-CH"/>
              </w:rPr>
              <w:t>*</w:t>
            </w:r>
          </w:p>
        </w:tc>
      </w:tr>
      <w:tr w:rsidR="00176813" w:rsidRPr="006F07C8" w:rsidTr="00176813">
        <w:trPr>
          <w:trHeight w:val="177"/>
          <w:jc w:val="center"/>
        </w:trPr>
        <w:tc>
          <w:tcPr>
            <w:tcW w:w="4907" w:type="dxa"/>
            <w:vAlign w:val="bottom"/>
          </w:tcPr>
          <w:p w:rsidR="00E75100" w:rsidRPr="006F07C8" w:rsidRDefault="00E75100" w:rsidP="002F52A9">
            <w:pPr>
              <w:pStyle w:val="NormalWeb"/>
              <w:spacing w:before="0" w:beforeAutospacing="0" w:after="0" w:afterAutospacing="0"/>
              <w:textAlignment w:val="bottom"/>
              <w:rPr>
                <w:b/>
                <w:sz w:val="20"/>
                <w:szCs w:val="20"/>
                <w:lang w:val="it-IT"/>
              </w:rPr>
            </w:pPr>
            <w:r w:rsidRPr="006F07C8">
              <w:rPr>
                <w:kern w:val="24"/>
                <w:sz w:val="20"/>
                <w:szCs w:val="20"/>
                <w:lang w:val="it-IT"/>
              </w:rPr>
              <w:t>A. Agricoltura, allevamento bestiame, caccia e silvicoltura</w:t>
            </w:r>
          </w:p>
        </w:tc>
        <w:tc>
          <w:tcPr>
            <w:tcW w:w="723" w:type="dxa"/>
            <w:vAlign w:val="center"/>
          </w:tcPr>
          <w:p w:rsidR="00E75100" w:rsidRPr="006F07C8" w:rsidRDefault="00E75100"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79</w:t>
            </w:r>
          </w:p>
        </w:tc>
        <w:tc>
          <w:tcPr>
            <w:tcW w:w="723" w:type="dxa"/>
            <w:vAlign w:val="center"/>
          </w:tcPr>
          <w:p w:rsidR="00E75100" w:rsidRPr="006F07C8" w:rsidRDefault="00176813"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94</w:t>
            </w:r>
          </w:p>
        </w:tc>
        <w:tc>
          <w:tcPr>
            <w:tcW w:w="723" w:type="dxa"/>
            <w:vAlign w:val="center"/>
          </w:tcPr>
          <w:p w:rsidR="00E75100" w:rsidRPr="006F07C8" w:rsidRDefault="00E75100"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61</w:t>
            </w:r>
          </w:p>
        </w:tc>
        <w:tc>
          <w:tcPr>
            <w:tcW w:w="723" w:type="dxa"/>
            <w:vAlign w:val="center"/>
          </w:tcPr>
          <w:p w:rsidR="00E75100" w:rsidRPr="006F07C8" w:rsidRDefault="00176813"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75</w:t>
            </w:r>
          </w:p>
        </w:tc>
        <w:tc>
          <w:tcPr>
            <w:tcW w:w="723" w:type="dxa"/>
            <w:vAlign w:val="center"/>
          </w:tcPr>
          <w:p w:rsidR="00E75100" w:rsidRPr="006F07C8" w:rsidRDefault="007B6A80"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0</w:t>
            </w:r>
          </w:p>
        </w:tc>
        <w:tc>
          <w:tcPr>
            <w:tcW w:w="724" w:type="dxa"/>
            <w:vAlign w:val="center"/>
          </w:tcPr>
          <w:p w:rsidR="00E75100" w:rsidRPr="006F07C8" w:rsidRDefault="00842F25"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3</w:t>
            </w:r>
          </w:p>
        </w:tc>
      </w:tr>
      <w:tr w:rsidR="00176813" w:rsidRPr="006F07C8" w:rsidTr="00176813">
        <w:trPr>
          <w:trHeight w:val="116"/>
          <w:jc w:val="center"/>
        </w:trPr>
        <w:tc>
          <w:tcPr>
            <w:tcW w:w="4907" w:type="dxa"/>
            <w:vAlign w:val="bottom"/>
          </w:tcPr>
          <w:p w:rsidR="007B6A80" w:rsidRPr="006F07C8" w:rsidRDefault="007B6A80" w:rsidP="002F52A9">
            <w:pPr>
              <w:pStyle w:val="NormalWeb"/>
              <w:spacing w:before="0" w:beforeAutospacing="0" w:after="0" w:afterAutospacing="0"/>
              <w:textAlignment w:val="bottom"/>
              <w:rPr>
                <w:b/>
                <w:i/>
                <w:sz w:val="20"/>
                <w:szCs w:val="20"/>
                <w:lang w:val="it-IT"/>
              </w:rPr>
            </w:pPr>
            <w:r w:rsidRPr="006F07C8">
              <w:rPr>
                <w:i/>
                <w:kern w:val="24"/>
                <w:sz w:val="20"/>
                <w:szCs w:val="20"/>
                <w:lang w:val="it-IT"/>
              </w:rPr>
              <w:t>B. Pesca e allevamento pesci</w:t>
            </w:r>
          </w:p>
        </w:tc>
        <w:tc>
          <w:tcPr>
            <w:tcW w:w="723" w:type="dxa"/>
            <w:vAlign w:val="center"/>
          </w:tcPr>
          <w:p w:rsidR="007B6A80" w:rsidRPr="006F07C8" w:rsidRDefault="007B6A80" w:rsidP="002F52A9">
            <w:pPr>
              <w:jc w:val="center"/>
              <w:rPr>
                <w:rFonts w:ascii="Times New Roman" w:hAnsi="Times New Roman" w:cs="Times New Roman"/>
                <w:i/>
                <w:color w:val="000000"/>
                <w:sz w:val="20"/>
                <w:szCs w:val="20"/>
                <w:lang w:val="it-IT" w:eastAsia="fr-CH"/>
              </w:rPr>
            </w:pPr>
            <w:r w:rsidRPr="006F07C8">
              <w:rPr>
                <w:rFonts w:ascii="Times New Roman" w:hAnsi="Times New Roman" w:cs="Times New Roman"/>
                <w:i/>
                <w:color w:val="000000"/>
                <w:sz w:val="20"/>
                <w:szCs w:val="20"/>
                <w:lang w:val="it-IT" w:eastAsia="fr-CH"/>
              </w:rPr>
              <w:t>n.d</w:t>
            </w:r>
          </w:p>
        </w:tc>
        <w:tc>
          <w:tcPr>
            <w:tcW w:w="723" w:type="dxa"/>
            <w:vAlign w:val="center"/>
          </w:tcPr>
          <w:p w:rsidR="007B6A80" w:rsidRPr="006F07C8" w:rsidRDefault="007B6A80" w:rsidP="002F52A9">
            <w:pPr>
              <w:jc w:val="center"/>
              <w:rPr>
                <w:rFonts w:ascii="Times New Roman" w:hAnsi="Times New Roman" w:cs="Times New Roman"/>
                <w:i/>
                <w:color w:val="000000"/>
                <w:sz w:val="20"/>
                <w:szCs w:val="20"/>
                <w:lang w:val="it-IT" w:eastAsia="fr-CH"/>
              </w:rPr>
            </w:pPr>
            <w:r w:rsidRPr="006F07C8">
              <w:rPr>
                <w:rFonts w:ascii="Times New Roman" w:hAnsi="Times New Roman" w:cs="Times New Roman"/>
                <w:i/>
                <w:color w:val="000000"/>
                <w:sz w:val="20"/>
                <w:szCs w:val="20"/>
                <w:lang w:val="it-IT" w:eastAsia="fr-CH"/>
              </w:rPr>
              <w:t>n.d</w:t>
            </w:r>
          </w:p>
        </w:tc>
        <w:tc>
          <w:tcPr>
            <w:tcW w:w="723" w:type="dxa"/>
            <w:vAlign w:val="center"/>
          </w:tcPr>
          <w:p w:rsidR="007B6A80" w:rsidRPr="006F07C8" w:rsidRDefault="007B6A80" w:rsidP="002F52A9">
            <w:pPr>
              <w:jc w:val="center"/>
              <w:rPr>
                <w:rFonts w:ascii="Times New Roman" w:hAnsi="Times New Roman" w:cs="Times New Roman"/>
                <w:i/>
                <w:color w:val="000000"/>
                <w:sz w:val="20"/>
                <w:szCs w:val="20"/>
                <w:lang w:val="it-IT" w:eastAsia="fr-CH"/>
              </w:rPr>
            </w:pPr>
            <w:r w:rsidRPr="006F07C8">
              <w:rPr>
                <w:rFonts w:ascii="Times New Roman" w:hAnsi="Times New Roman" w:cs="Times New Roman"/>
                <w:i/>
                <w:color w:val="000000"/>
                <w:sz w:val="20"/>
                <w:szCs w:val="20"/>
                <w:lang w:val="it-IT" w:eastAsia="fr-CH"/>
              </w:rPr>
              <w:t>n.d</w:t>
            </w:r>
          </w:p>
        </w:tc>
        <w:tc>
          <w:tcPr>
            <w:tcW w:w="723" w:type="dxa"/>
            <w:vAlign w:val="center"/>
          </w:tcPr>
          <w:p w:rsidR="007B6A80" w:rsidRPr="006F07C8" w:rsidRDefault="007B6A80" w:rsidP="002F52A9">
            <w:pPr>
              <w:jc w:val="center"/>
              <w:rPr>
                <w:rFonts w:ascii="Times New Roman" w:hAnsi="Times New Roman" w:cs="Times New Roman"/>
                <w:i/>
                <w:color w:val="000000"/>
                <w:sz w:val="20"/>
                <w:szCs w:val="20"/>
                <w:lang w:val="it-IT" w:eastAsia="fr-CH"/>
              </w:rPr>
            </w:pPr>
            <w:r w:rsidRPr="006F07C8">
              <w:rPr>
                <w:rFonts w:ascii="Times New Roman" w:hAnsi="Times New Roman" w:cs="Times New Roman"/>
                <w:i/>
                <w:color w:val="000000"/>
                <w:sz w:val="20"/>
                <w:szCs w:val="20"/>
                <w:lang w:val="it-IT" w:eastAsia="fr-CH"/>
              </w:rPr>
              <w:t>n.d</w:t>
            </w:r>
          </w:p>
        </w:tc>
        <w:tc>
          <w:tcPr>
            <w:tcW w:w="723" w:type="dxa"/>
            <w:vAlign w:val="center"/>
          </w:tcPr>
          <w:p w:rsidR="007B6A80" w:rsidRPr="006F07C8" w:rsidRDefault="007B6A80" w:rsidP="002F52A9">
            <w:pPr>
              <w:jc w:val="center"/>
              <w:rPr>
                <w:rFonts w:ascii="Times New Roman" w:hAnsi="Times New Roman" w:cs="Times New Roman"/>
                <w:i/>
                <w:color w:val="000000"/>
                <w:sz w:val="20"/>
                <w:szCs w:val="20"/>
                <w:lang w:val="it-IT" w:eastAsia="fr-CH"/>
              </w:rPr>
            </w:pPr>
            <w:r w:rsidRPr="006F07C8">
              <w:rPr>
                <w:rFonts w:ascii="Times New Roman" w:hAnsi="Times New Roman" w:cs="Times New Roman"/>
                <w:i/>
                <w:color w:val="000000"/>
                <w:sz w:val="20"/>
                <w:szCs w:val="20"/>
                <w:lang w:val="it-IT" w:eastAsia="fr-CH"/>
              </w:rPr>
              <w:t>n.d</w:t>
            </w:r>
          </w:p>
        </w:tc>
        <w:tc>
          <w:tcPr>
            <w:tcW w:w="724" w:type="dxa"/>
            <w:vAlign w:val="center"/>
          </w:tcPr>
          <w:p w:rsidR="007B6A80" w:rsidRPr="006F07C8" w:rsidRDefault="007B6A80" w:rsidP="002F52A9">
            <w:pPr>
              <w:jc w:val="center"/>
              <w:rPr>
                <w:rFonts w:ascii="Times New Roman" w:hAnsi="Times New Roman" w:cs="Times New Roman"/>
                <w:i/>
                <w:color w:val="000000"/>
                <w:sz w:val="20"/>
                <w:szCs w:val="20"/>
                <w:lang w:val="it-IT" w:eastAsia="fr-CH"/>
              </w:rPr>
            </w:pPr>
            <w:r w:rsidRPr="006F07C8">
              <w:rPr>
                <w:rFonts w:ascii="Times New Roman" w:hAnsi="Times New Roman" w:cs="Times New Roman"/>
                <w:i/>
                <w:color w:val="000000"/>
                <w:sz w:val="20"/>
                <w:szCs w:val="20"/>
                <w:lang w:val="it-IT" w:eastAsia="fr-CH"/>
              </w:rPr>
              <w:t>n.d</w:t>
            </w:r>
          </w:p>
        </w:tc>
      </w:tr>
      <w:tr w:rsidR="00176813" w:rsidRPr="006F07C8" w:rsidTr="00176813">
        <w:trPr>
          <w:trHeight w:val="133"/>
          <w:jc w:val="center"/>
        </w:trPr>
        <w:tc>
          <w:tcPr>
            <w:tcW w:w="4907" w:type="dxa"/>
            <w:vAlign w:val="bottom"/>
          </w:tcPr>
          <w:p w:rsidR="007B6A80" w:rsidRPr="006F07C8" w:rsidRDefault="007B6A80" w:rsidP="002F52A9">
            <w:pPr>
              <w:pStyle w:val="NormalWeb"/>
              <w:spacing w:before="0" w:beforeAutospacing="0" w:after="0" w:afterAutospacing="0"/>
              <w:textAlignment w:val="bottom"/>
              <w:rPr>
                <w:b/>
                <w:i/>
                <w:sz w:val="20"/>
                <w:szCs w:val="20"/>
                <w:lang w:val="it-IT"/>
              </w:rPr>
            </w:pPr>
            <w:r w:rsidRPr="006F07C8">
              <w:rPr>
                <w:i/>
                <w:kern w:val="24"/>
                <w:sz w:val="20"/>
                <w:szCs w:val="20"/>
                <w:lang w:val="it-IT"/>
              </w:rPr>
              <w:t xml:space="preserve">C. </w:t>
            </w:r>
            <w:r w:rsidRPr="006F07C8">
              <w:rPr>
                <w:i/>
                <w:sz w:val="20"/>
                <w:szCs w:val="20"/>
                <w:lang w:val="it-IT"/>
              </w:rPr>
              <w:t>Estrazione di minerali</w:t>
            </w:r>
          </w:p>
        </w:tc>
        <w:tc>
          <w:tcPr>
            <w:tcW w:w="723" w:type="dxa"/>
            <w:vAlign w:val="center"/>
          </w:tcPr>
          <w:p w:rsidR="007B6A80" w:rsidRPr="006F07C8" w:rsidRDefault="007B6A80" w:rsidP="002F52A9">
            <w:pPr>
              <w:jc w:val="center"/>
              <w:rPr>
                <w:rFonts w:ascii="Times New Roman" w:hAnsi="Times New Roman" w:cs="Times New Roman"/>
                <w:i/>
                <w:color w:val="000000"/>
                <w:sz w:val="20"/>
                <w:szCs w:val="20"/>
                <w:lang w:val="it-IT" w:eastAsia="fr-CH"/>
              </w:rPr>
            </w:pPr>
            <w:r w:rsidRPr="006F07C8">
              <w:rPr>
                <w:rFonts w:ascii="Times New Roman" w:hAnsi="Times New Roman" w:cs="Times New Roman"/>
                <w:i/>
                <w:color w:val="000000"/>
                <w:sz w:val="20"/>
                <w:szCs w:val="20"/>
                <w:lang w:val="it-IT" w:eastAsia="fr-CH"/>
              </w:rPr>
              <w:t>n.d</w:t>
            </w:r>
          </w:p>
        </w:tc>
        <w:tc>
          <w:tcPr>
            <w:tcW w:w="723" w:type="dxa"/>
            <w:vAlign w:val="center"/>
          </w:tcPr>
          <w:p w:rsidR="007B6A80" w:rsidRPr="006F07C8" w:rsidRDefault="007B6A80" w:rsidP="002F52A9">
            <w:pPr>
              <w:jc w:val="center"/>
              <w:rPr>
                <w:rFonts w:ascii="Times New Roman" w:hAnsi="Times New Roman" w:cs="Times New Roman"/>
                <w:i/>
                <w:color w:val="000000"/>
                <w:sz w:val="20"/>
                <w:szCs w:val="20"/>
                <w:lang w:val="it-IT" w:eastAsia="fr-CH"/>
              </w:rPr>
            </w:pPr>
            <w:r w:rsidRPr="006F07C8">
              <w:rPr>
                <w:rFonts w:ascii="Times New Roman" w:hAnsi="Times New Roman" w:cs="Times New Roman"/>
                <w:i/>
                <w:color w:val="000000"/>
                <w:sz w:val="20"/>
                <w:szCs w:val="20"/>
                <w:lang w:val="it-IT" w:eastAsia="fr-CH"/>
              </w:rPr>
              <w:t>n.d</w:t>
            </w:r>
          </w:p>
        </w:tc>
        <w:tc>
          <w:tcPr>
            <w:tcW w:w="723" w:type="dxa"/>
            <w:vAlign w:val="center"/>
          </w:tcPr>
          <w:p w:rsidR="007B6A80" w:rsidRPr="006F07C8" w:rsidRDefault="007B6A80" w:rsidP="002F52A9">
            <w:pPr>
              <w:jc w:val="center"/>
              <w:rPr>
                <w:rFonts w:ascii="Times New Roman" w:hAnsi="Times New Roman" w:cs="Times New Roman"/>
                <w:i/>
                <w:color w:val="000000"/>
                <w:sz w:val="20"/>
                <w:szCs w:val="20"/>
                <w:lang w:val="it-IT" w:eastAsia="fr-CH"/>
              </w:rPr>
            </w:pPr>
            <w:r w:rsidRPr="006F07C8">
              <w:rPr>
                <w:rFonts w:ascii="Times New Roman" w:hAnsi="Times New Roman" w:cs="Times New Roman"/>
                <w:i/>
                <w:color w:val="000000"/>
                <w:sz w:val="20"/>
                <w:szCs w:val="20"/>
                <w:lang w:val="it-IT" w:eastAsia="fr-CH"/>
              </w:rPr>
              <w:t>n.d</w:t>
            </w:r>
          </w:p>
        </w:tc>
        <w:tc>
          <w:tcPr>
            <w:tcW w:w="723" w:type="dxa"/>
            <w:vAlign w:val="center"/>
          </w:tcPr>
          <w:p w:rsidR="007B6A80" w:rsidRPr="006F07C8" w:rsidRDefault="007B6A80" w:rsidP="002F52A9">
            <w:pPr>
              <w:jc w:val="center"/>
              <w:rPr>
                <w:rFonts w:ascii="Times New Roman" w:hAnsi="Times New Roman" w:cs="Times New Roman"/>
                <w:i/>
                <w:color w:val="000000"/>
                <w:sz w:val="20"/>
                <w:szCs w:val="20"/>
                <w:lang w:val="it-IT" w:eastAsia="fr-CH"/>
              </w:rPr>
            </w:pPr>
            <w:r w:rsidRPr="006F07C8">
              <w:rPr>
                <w:rFonts w:ascii="Times New Roman" w:hAnsi="Times New Roman" w:cs="Times New Roman"/>
                <w:i/>
                <w:color w:val="000000"/>
                <w:sz w:val="20"/>
                <w:szCs w:val="20"/>
                <w:lang w:val="it-IT" w:eastAsia="fr-CH"/>
              </w:rPr>
              <w:t>n.d</w:t>
            </w:r>
          </w:p>
        </w:tc>
        <w:tc>
          <w:tcPr>
            <w:tcW w:w="723" w:type="dxa"/>
            <w:vAlign w:val="center"/>
          </w:tcPr>
          <w:p w:rsidR="007B6A80" w:rsidRPr="006F07C8" w:rsidRDefault="007B6A80" w:rsidP="002F52A9">
            <w:pPr>
              <w:jc w:val="center"/>
              <w:rPr>
                <w:rFonts w:ascii="Times New Roman" w:hAnsi="Times New Roman" w:cs="Times New Roman"/>
                <w:i/>
                <w:color w:val="000000"/>
                <w:sz w:val="20"/>
                <w:szCs w:val="20"/>
                <w:lang w:val="it-IT" w:eastAsia="fr-CH"/>
              </w:rPr>
            </w:pPr>
            <w:r w:rsidRPr="006F07C8">
              <w:rPr>
                <w:rFonts w:ascii="Times New Roman" w:hAnsi="Times New Roman" w:cs="Times New Roman"/>
                <w:i/>
                <w:color w:val="000000"/>
                <w:sz w:val="20"/>
                <w:szCs w:val="20"/>
                <w:lang w:val="it-IT" w:eastAsia="fr-CH"/>
              </w:rPr>
              <w:t>n.d</w:t>
            </w:r>
          </w:p>
        </w:tc>
        <w:tc>
          <w:tcPr>
            <w:tcW w:w="724" w:type="dxa"/>
            <w:vAlign w:val="center"/>
          </w:tcPr>
          <w:p w:rsidR="007B6A80" w:rsidRPr="006F07C8" w:rsidRDefault="007B6A80" w:rsidP="002F52A9">
            <w:pPr>
              <w:jc w:val="center"/>
              <w:rPr>
                <w:rFonts w:ascii="Times New Roman" w:hAnsi="Times New Roman" w:cs="Times New Roman"/>
                <w:i/>
                <w:color w:val="000000"/>
                <w:sz w:val="20"/>
                <w:szCs w:val="20"/>
                <w:lang w:val="it-IT" w:eastAsia="fr-CH"/>
              </w:rPr>
            </w:pPr>
            <w:r w:rsidRPr="006F07C8">
              <w:rPr>
                <w:rFonts w:ascii="Times New Roman" w:hAnsi="Times New Roman" w:cs="Times New Roman"/>
                <w:i/>
                <w:color w:val="000000"/>
                <w:sz w:val="20"/>
                <w:szCs w:val="20"/>
                <w:lang w:val="it-IT" w:eastAsia="fr-CH"/>
              </w:rPr>
              <w:t>n.d</w:t>
            </w:r>
          </w:p>
        </w:tc>
      </w:tr>
      <w:tr w:rsidR="00176813" w:rsidRPr="006F07C8" w:rsidTr="00176813">
        <w:trPr>
          <w:trHeight w:val="121"/>
          <w:jc w:val="center"/>
        </w:trPr>
        <w:tc>
          <w:tcPr>
            <w:tcW w:w="4907" w:type="dxa"/>
            <w:vAlign w:val="bottom"/>
          </w:tcPr>
          <w:p w:rsidR="00E75100" w:rsidRPr="006F07C8" w:rsidRDefault="00E75100" w:rsidP="002F52A9">
            <w:pPr>
              <w:pStyle w:val="NormalWeb"/>
              <w:spacing w:before="0" w:beforeAutospacing="0" w:after="0" w:afterAutospacing="0"/>
              <w:textAlignment w:val="bottom"/>
              <w:rPr>
                <w:b/>
                <w:sz w:val="20"/>
                <w:szCs w:val="20"/>
                <w:lang w:val="it-IT"/>
              </w:rPr>
            </w:pPr>
            <w:r w:rsidRPr="006F07C8">
              <w:rPr>
                <w:sz w:val="20"/>
                <w:szCs w:val="20"/>
                <w:lang w:val="it-IT"/>
              </w:rPr>
              <w:t>D. Produzione/fabbricazione</w:t>
            </w:r>
          </w:p>
        </w:tc>
        <w:tc>
          <w:tcPr>
            <w:tcW w:w="723" w:type="dxa"/>
            <w:vAlign w:val="center"/>
          </w:tcPr>
          <w:p w:rsidR="00E75100" w:rsidRPr="006F07C8" w:rsidRDefault="00E75100"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52</w:t>
            </w:r>
          </w:p>
        </w:tc>
        <w:tc>
          <w:tcPr>
            <w:tcW w:w="723" w:type="dxa"/>
            <w:vAlign w:val="center"/>
          </w:tcPr>
          <w:p w:rsidR="00E75100" w:rsidRPr="006F07C8" w:rsidRDefault="00176813"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82</w:t>
            </w:r>
          </w:p>
        </w:tc>
        <w:tc>
          <w:tcPr>
            <w:tcW w:w="723" w:type="dxa"/>
            <w:vAlign w:val="center"/>
          </w:tcPr>
          <w:p w:rsidR="00E75100" w:rsidRPr="006F07C8" w:rsidRDefault="00E75100"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28</w:t>
            </w:r>
          </w:p>
        </w:tc>
        <w:tc>
          <w:tcPr>
            <w:tcW w:w="723" w:type="dxa"/>
            <w:vAlign w:val="center"/>
          </w:tcPr>
          <w:p w:rsidR="00E75100" w:rsidRPr="006F07C8" w:rsidRDefault="00176813"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50</w:t>
            </w:r>
          </w:p>
        </w:tc>
        <w:tc>
          <w:tcPr>
            <w:tcW w:w="723" w:type="dxa"/>
            <w:vAlign w:val="center"/>
          </w:tcPr>
          <w:p w:rsidR="00E75100" w:rsidRPr="006F07C8" w:rsidRDefault="007B6A80"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0</w:t>
            </w:r>
          </w:p>
        </w:tc>
        <w:tc>
          <w:tcPr>
            <w:tcW w:w="724" w:type="dxa"/>
            <w:vAlign w:val="center"/>
          </w:tcPr>
          <w:p w:rsidR="00E75100" w:rsidRPr="006F07C8" w:rsidRDefault="00842F25"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4</w:t>
            </w:r>
          </w:p>
        </w:tc>
      </w:tr>
      <w:tr w:rsidR="00176813" w:rsidRPr="006F07C8" w:rsidTr="00176813">
        <w:trPr>
          <w:trHeight w:val="195"/>
          <w:jc w:val="center"/>
        </w:trPr>
        <w:tc>
          <w:tcPr>
            <w:tcW w:w="4907" w:type="dxa"/>
            <w:vAlign w:val="bottom"/>
          </w:tcPr>
          <w:p w:rsidR="00E75100" w:rsidRPr="006F07C8" w:rsidRDefault="00E75100" w:rsidP="002F52A9">
            <w:pPr>
              <w:pStyle w:val="NormalWeb"/>
              <w:spacing w:before="0" w:beforeAutospacing="0" w:after="0" w:afterAutospacing="0"/>
              <w:textAlignment w:val="bottom"/>
              <w:rPr>
                <w:b/>
                <w:sz w:val="20"/>
                <w:szCs w:val="20"/>
                <w:lang w:val="it-IT"/>
              </w:rPr>
            </w:pPr>
            <w:r w:rsidRPr="006F07C8">
              <w:rPr>
                <w:kern w:val="24"/>
                <w:sz w:val="20"/>
                <w:szCs w:val="20"/>
                <w:lang w:val="it-IT"/>
              </w:rPr>
              <w:t xml:space="preserve">E. </w:t>
            </w:r>
            <w:r w:rsidRPr="006F07C8">
              <w:rPr>
                <w:sz w:val="20"/>
                <w:szCs w:val="20"/>
                <w:lang w:val="it-IT"/>
              </w:rPr>
              <w:t>Approvvigionamento di elettricità, gas ed acqua</w:t>
            </w:r>
          </w:p>
        </w:tc>
        <w:tc>
          <w:tcPr>
            <w:tcW w:w="723" w:type="dxa"/>
            <w:vAlign w:val="center"/>
          </w:tcPr>
          <w:p w:rsidR="00E75100" w:rsidRPr="006F07C8" w:rsidRDefault="00E75100"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46</w:t>
            </w:r>
          </w:p>
        </w:tc>
        <w:tc>
          <w:tcPr>
            <w:tcW w:w="723" w:type="dxa"/>
            <w:vAlign w:val="center"/>
          </w:tcPr>
          <w:p w:rsidR="00E75100" w:rsidRPr="006F07C8" w:rsidRDefault="00176813"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80</w:t>
            </w:r>
          </w:p>
        </w:tc>
        <w:tc>
          <w:tcPr>
            <w:tcW w:w="723" w:type="dxa"/>
            <w:vAlign w:val="center"/>
          </w:tcPr>
          <w:p w:rsidR="00E75100" w:rsidRPr="006F07C8" w:rsidRDefault="00E75100"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29</w:t>
            </w:r>
          </w:p>
        </w:tc>
        <w:tc>
          <w:tcPr>
            <w:tcW w:w="723" w:type="dxa"/>
            <w:vAlign w:val="center"/>
          </w:tcPr>
          <w:p w:rsidR="00E75100" w:rsidRPr="006F07C8" w:rsidRDefault="00176813"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54</w:t>
            </w:r>
          </w:p>
        </w:tc>
        <w:tc>
          <w:tcPr>
            <w:tcW w:w="723" w:type="dxa"/>
            <w:vAlign w:val="center"/>
          </w:tcPr>
          <w:p w:rsidR="00E75100" w:rsidRPr="006F07C8" w:rsidRDefault="007B6A80"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0</w:t>
            </w:r>
          </w:p>
        </w:tc>
        <w:tc>
          <w:tcPr>
            <w:tcW w:w="724" w:type="dxa"/>
            <w:vAlign w:val="center"/>
          </w:tcPr>
          <w:p w:rsidR="00E75100" w:rsidRPr="006F07C8" w:rsidRDefault="00842F25"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2</w:t>
            </w:r>
          </w:p>
        </w:tc>
      </w:tr>
      <w:tr w:rsidR="00176813" w:rsidRPr="006F07C8" w:rsidTr="00176813">
        <w:trPr>
          <w:trHeight w:val="127"/>
          <w:jc w:val="center"/>
        </w:trPr>
        <w:tc>
          <w:tcPr>
            <w:tcW w:w="4907" w:type="dxa"/>
            <w:vAlign w:val="bottom"/>
          </w:tcPr>
          <w:p w:rsidR="00E75100" w:rsidRPr="006F07C8" w:rsidRDefault="00E75100" w:rsidP="002F52A9">
            <w:pPr>
              <w:pStyle w:val="NormalWeb"/>
              <w:spacing w:before="0" w:beforeAutospacing="0" w:after="0" w:afterAutospacing="0"/>
              <w:textAlignment w:val="bottom"/>
              <w:rPr>
                <w:b/>
                <w:sz w:val="20"/>
                <w:szCs w:val="20"/>
                <w:lang w:val="it-IT"/>
              </w:rPr>
            </w:pPr>
            <w:r w:rsidRPr="006F07C8">
              <w:rPr>
                <w:kern w:val="24"/>
                <w:sz w:val="20"/>
                <w:szCs w:val="20"/>
                <w:lang w:val="it-IT"/>
              </w:rPr>
              <w:t xml:space="preserve">F. </w:t>
            </w:r>
            <w:r w:rsidRPr="006F07C8">
              <w:rPr>
                <w:sz w:val="20"/>
                <w:szCs w:val="20"/>
                <w:lang w:val="it-IT"/>
              </w:rPr>
              <w:t>Costruzioni</w:t>
            </w:r>
          </w:p>
        </w:tc>
        <w:tc>
          <w:tcPr>
            <w:tcW w:w="723" w:type="dxa"/>
            <w:vAlign w:val="center"/>
          </w:tcPr>
          <w:p w:rsidR="00E75100" w:rsidRPr="006F07C8" w:rsidRDefault="00E75100"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59</w:t>
            </w:r>
          </w:p>
        </w:tc>
        <w:tc>
          <w:tcPr>
            <w:tcW w:w="723" w:type="dxa"/>
            <w:vAlign w:val="center"/>
          </w:tcPr>
          <w:p w:rsidR="00E75100" w:rsidRPr="006F07C8" w:rsidRDefault="00176813"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83</w:t>
            </w:r>
          </w:p>
        </w:tc>
        <w:tc>
          <w:tcPr>
            <w:tcW w:w="723" w:type="dxa"/>
            <w:vAlign w:val="center"/>
          </w:tcPr>
          <w:p w:rsidR="00E75100" w:rsidRPr="006F07C8" w:rsidRDefault="00E75100"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35</w:t>
            </w:r>
          </w:p>
        </w:tc>
        <w:tc>
          <w:tcPr>
            <w:tcW w:w="723" w:type="dxa"/>
            <w:vAlign w:val="center"/>
          </w:tcPr>
          <w:p w:rsidR="00E75100" w:rsidRPr="006F07C8" w:rsidRDefault="00176813"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56</w:t>
            </w:r>
          </w:p>
        </w:tc>
        <w:tc>
          <w:tcPr>
            <w:tcW w:w="723" w:type="dxa"/>
            <w:vAlign w:val="center"/>
          </w:tcPr>
          <w:p w:rsidR="00E75100" w:rsidRPr="006F07C8" w:rsidRDefault="007B6A80"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0</w:t>
            </w:r>
          </w:p>
        </w:tc>
        <w:tc>
          <w:tcPr>
            <w:tcW w:w="724" w:type="dxa"/>
            <w:vAlign w:val="center"/>
          </w:tcPr>
          <w:p w:rsidR="00E75100" w:rsidRPr="006F07C8" w:rsidRDefault="00842F25"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5</w:t>
            </w:r>
          </w:p>
        </w:tc>
      </w:tr>
      <w:tr w:rsidR="00176813" w:rsidRPr="006F07C8" w:rsidTr="00176813">
        <w:trPr>
          <w:trHeight w:val="73"/>
          <w:jc w:val="center"/>
        </w:trPr>
        <w:tc>
          <w:tcPr>
            <w:tcW w:w="4907" w:type="dxa"/>
            <w:vAlign w:val="bottom"/>
          </w:tcPr>
          <w:p w:rsidR="007B6A80" w:rsidRPr="006F07C8" w:rsidRDefault="007B6A80" w:rsidP="002F52A9">
            <w:pPr>
              <w:pStyle w:val="NormalWeb"/>
              <w:textAlignment w:val="bottom"/>
              <w:rPr>
                <w:b/>
                <w:sz w:val="20"/>
                <w:szCs w:val="20"/>
                <w:lang w:val="it-IT"/>
              </w:rPr>
            </w:pPr>
            <w:r w:rsidRPr="006F07C8">
              <w:rPr>
                <w:sz w:val="20"/>
                <w:szCs w:val="20"/>
                <w:lang w:val="it-IT"/>
              </w:rPr>
              <w:t>G. Commercio all’ingrosso e al dettaglio; riparazione di veicoli, motocicli e beni personali/della casa</w:t>
            </w:r>
          </w:p>
        </w:tc>
        <w:tc>
          <w:tcPr>
            <w:tcW w:w="723" w:type="dxa"/>
            <w:vAlign w:val="center"/>
          </w:tcPr>
          <w:p w:rsidR="007B6A80" w:rsidRPr="006F07C8" w:rsidRDefault="007B6A80"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46</w:t>
            </w:r>
          </w:p>
        </w:tc>
        <w:tc>
          <w:tcPr>
            <w:tcW w:w="723" w:type="dxa"/>
            <w:vAlign w:val="center"/>
          </w:tcPr>
          <w:p w:rsidR="007B6A80" w:rsidRPr="006F07C8" w:rsidRDefault="00176813"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80</w:t>
            </w:r>
          </w:p>
        </w:tc>
        <w:tc>
          <w:tcPr>
            <w:tcW w:w="723" w:type="dxa"/>
            <w:vAlign w:val="center"/>
          </w:tcPr>
          <w:p w:rsidR="007B6A80" w:rsidRPr="006F07C8" w:rsidRDefault="007B6A80"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23</w:t>
            </w:r>
          </w:p>
        </w:tc>
        <w:tc>
          <w:tcPr>
            <w:tcW w:w="723" w:type="dxa"/>
            <w:vAlign w:val="center"/>
          </w:tcPr>
          <w:p w:rsidR="007B6A80" w:rsidRPr="006F07C8" w:rsidRDefault="00176813"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51</w:t>
            </w:r>
          </w:p>
        </w:tc>
        <w:tc>
          <w:tcPr>
            <w:tcW w:w="723" w:type="dxa"/>
            <w:vAlign w:val="center"/>
          </w:tcPr>
          <w:p w:rsidR="007B6A80" w:rsidRPr="006F07C8" w:rsidRDefault="007B6A80"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0</w:t>
            </w:r>
          </w:p>
        </w:tc>
        <w:tc>
          <w:tcPr>
            <w:tcW w:w="724" w:type="dxa"/>
            <w:vAlign w:val="center"/>
          </w:tcPr>
          <w:p w:rsidR="007B6A80" w:rsidRPr="006F07C8" w:rsidRDefault="00842F25"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4</w:t>
            </w:r>
          </w:p>
        </w:tc>
      </w:tr>
      <w:tr w:rsidR="00176813" w:rsidRPr="006F07C8" w:rsidTr="00176813">
        <w:trPr>
          <w:trHeight w:val="147"/>
          <w:jc w:val="center"/>
        </w:trPr>
        <w:tc>
          <w:tcPr>
            <w:tcW w:w="4907" w:type="dxa"/>
            <w:vAlign w:val="bottom"/>
          </w:tcPr>
          <w:p w:rsidR="007B6A80" w:rsidRPr="006F07C8" w:rsidRDefault="007B6A80" w:rsidP="002F52A9">
            <w:pPr>
              <w:pStyle w:val="NormalWeb"/>
              <w:spacing w:before="0" w:beforeAutospacing="0" w:after="0" w:afterAutospacing="0"/>
              <w:textAlignment w:val="bottom"/>
              <w:rPr>
                <w:b/>
                <w:sz w:val="20"/>
                <w:szCs w:val="20"/>
                <w:lang w:val="it-IT"/>
              </w:rPr>
            </w:pPr>
            <w:r w:rsidRPr="006F07C8">
              <w:rPr>
                <w:kern w:val="24"/>
                <w:sz w:val="20"/>
                <w:szCs w:val="20"/>
                <w:lang w:val="it-IT"/>
              </w:rPr>
              <w:t xml:space="preserve">H. </w:t>
            </w:r>
            <w:r w:rsidRPr="006F07C8">
              <w:rPr>
                <w:sz w:val="20"/>
                <w:szCs w:val="20"/>
                <w:lang w:val="it-IT"/>
              </w:rPr>
              <w:t>Hotel, ristoranti e bar</w:t>
            </w:r>
          </w:p>
        </w:tc>
        <w:tc>
          <w:tcPr>
            <w:tcW w:w="723" w:type="dxa"/>
            <w:vAlign w:val="center"/>
          </w:tcPr>
          <w:p w:rsidR="007B6A80" w:rsidRPr="006F07C8" w:rsidRDefault="007B6A80"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49</w:t>
            </w:r>
          </w:p>
        </w:tc>
        <w:tc>
          <w:tcPr>
            <w:tcW w:w="723" w:type="dxa"/>
            <w:vAlign w:val="center"/>
          </w:tcPr>
          <w:p w:rsidR="007B6A80" w:rsidRPr="006F07C8" w:rsidRDefault="00176813"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82</w:t>
            </w:r>
          </w:p>
        </w:tc>
        <w:tc>
          <w:tcPr>
            <w:tcW w:w="723" w:type="dxa"/>
            <w:vAlign w:val="center"/>
          </w:tcPr>
          <w:p w:rsidR="007B6A80" w:rsidRPr="006F07C8" w:rsidRDefault="007B6A80"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25</w:t>
            </w:r>
          </w:p>
        </w:tc>
        <w:tc>
          <w:tcPr>
            <w:tcW w:w="723" w:type="dxa"/>
            <w:vAlign w:val="center"/>
          </w:tcPr>
          <w:p w:rsidR="007B6A80" w:rsidRPr="006F07C8" w:rsidRDefault="00176813"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54</w:t>
            </w:r>
          </w:p>
        </w:tc>
        <w:tc>
          <w:tcPr>
            <w:tcW w:w="723" w:type="dxa"/>
            <w:vAlign w:val="center"/>
          </w:tcPr>
          <w:p w:rsidR="007B6A80" w:rsidRPr="006F07C8" w:rsidRDefault="007B6A80"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0</w:t>
            </w:r>
          </w:p>
        </w:tc>
        <w:tc>
          <w:tcPr>
            <w:tcW w:w="724" w:type="dxa"/>
            <w:vAlign w:val="center"/>
          </w:tcPr>
          <w:p w:rsidR="007B6A80" w:rsidRPr="006F07C8" w:rsidRDefault="00842F25"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9</w:t>
            </w:r>
          </w:p>
        </w:tc>
      </w:tr>
      <w:tr w:rsidR="00176813" w:rsidRPr="006F07C8" w:rsidTr="00176813">
        <w:trPr>
          <w:trHeight w:val="221"/>
          <w:jc w:val="center"/>
        </w:trPr>
        <w:tc>
          <w:tcPr>
            <w:tcW w:w="4907" w:type="dxa"/>
            <w:vAlign w:val="bottom"/>
          </w:tcPr>
          <w:p w:rsidR="007B6A80" w:rsidRPr="006F07C8" w:rsidRDefault="007B6A80" w:rsidP="002F52A9">
            <w:pPr>
              <w:pStyle w:val="NormalWeb"/>
              <w:spacing w:before="0" w:beforeAutospacing="0" w:after="0" w:afterAutospacing="0"/>
              <w:textAlignment w:val="bottom"/>
              <w:rPr>
                <w:b/>
                <w:kern w:val="24"/>
                <w:sz w:val="20"/>
                <w:szCs w:val="20"/>
                <w:lang w:val="it-IT"/>
              </w:rPr>
            </w:pPr>
            <w:r w:rsidRPr="006F07C8">
              <w:rPr>
                <w:kern w:val="24"/>
                <w:sz w:val="20"/>
                <w:szCs w:val="20"/>
                <w:lang w:val="it-IT"/>
              </w:rPr>
              <w:t xml:space="preserve">I. </w:t>
            </w:r>
            <w:r w:rsidRPr="006F07C8">
              <w:rPr>
                <w:sz w:val="20"/>
                <w:szCs w:val="20"/>
                <w:lang w:val="it-IT"/>
              </w:rPr>
              <w:t>Trasporti, magazzinaggio e comunicazioni</w:t>
            </w:r>
          </w:p>
        </w:tc>
        <w:tc>
          <w:tcPr>
            <w:tcW w:w="723" w:type="dxa"/>
            <w:vAlign w:val="center"/>
          </w:tcPr>
          <w:p w:rsidR="007B6A80" w:rsidRPr="006F07C8" w:rsidRDefault="007B6A80"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45</w:t>
            </w:r>
          </w:p>
        </w:tc>
        <w:tc>
          <w:tcPr>
            <w:tcW w:w="723" w:type="dxa"/>
            <w:vAlign w:val="center"/>
          </w:tcPr>
          <w:p w:rsidR="007B6A80" w:rsidRPr="006F07C8" w:rsidRDefault="00176813"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75</w:t>
            </w:r>
          </w:p>
        </w:tc>
        <w:tc>
          <w:tcPr>
            <w:tcW w:w="723" w:type="dxa"/>
            <w:vAlign w:val="center"/>
          </w:tcPr>
          <w:p w:rsidR="007B6A80" w:rsidRPr="006F07C8" w:rsidRDefault="007B6A80"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23</w:t>
            </w:r>
          </w:p>
        </w:tc>
        <w:tc>
          <w:tcPr>
            <w:tcW w:w="723" w:type="dxa"/>
            <w:vAlign w:val="center"/>
          </w:tcPr>
          <w:p w:rsidR="007B6A80" w:rsidRPr="006F07C8" w:rsidRDefault="00176813"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49</w:t>
            </w:r>
          </w:p>
        </w:tc>
        <w:tc>
          <w:tcPr>
            <w:tcW w:w="723" w:type="dxa"/>
            <w:vAlign w:val="center"/>
          </w:tcPr>
          <w:p w:rsidR="007B6A80" w:rsidRPr="006F07C8" w:rsidRDefault="007B6A80"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0</w:t>
            </w:r>
          </w:p>
        </w:tc>
        <w:tc>
          <w:tcPr>
            <w:tcW w:w="724" w:type="dxa"/>
            <w:vAlign w:val="center"/>
          </w:tcPr>
          <w:p w:rsidR="007B6A80" w:rsidRPr="006F07C8" w:rsidRDefault="00842F25"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3</w:t>
            </w:r>
          </w:p>
        </w:tc>
      </w:tr>
      <w:tr w:rsidR="00176813" w:rsidRPr="006F07C8" w:rsidTr="00176813">
        <w:trPr>
          <w:trHeight w:val="139"/>
          <w:jc w:val="center"/>
        </w:trPr>
        <w:tc>
          <w:tcPr>
            <w:tcW w:w="4907" w:type="dxa"/>
            <w:vAlign w:val="bottom"/>
          </w:tcPr>
          <w:p w:rsidR="007B6A80" w:rsidRPr="006F07C8" w:rsidRDefault="007B6A80" w:rsidP="002F52A9">
            <w:pPr>
              <w:pStyle w:val="NormalWeb"/>
              <w:spacing w:before="0" w:beforeAutospacing="0" w:after="0" w:afterAutospacing="0"/>
              <w:textAlignment w:val="bottom"/>
              <w:rPr>
                <w:b/>
                <w:kern w:val="24"/>
                <w:sz w:val="20"/>
                <w:szCs w:val="20"/>
                <w:lang w:val="it-IT"/>
              </w:rPr>
            </w:pPr>
            <w:r w:rsidRPr="006F07C8">
              <w:rPr>
                <w:kern w:val="24"/>
                <w:sz w:val="20"/>
                <w:szCs w:val="20"/>
                <w:lang w:val="it-IT"/>
              </w:rPr>
              <w:t xml:space="preserve">J. </w:t>
            </w:r>
            <w:r w:rsidRPr="006F07C8">
              <w:rPr>
                <w:sz w:val="20"/>
                <w:szCs w:val="20"/>
                <w:lang w:val="it-IT"/>
              </w:rPr>
              <w:t>Intermediazione finanziaria</w:t>
            </w:r>
          </w:p>
        </w:tc>
        <w:tc>
          <w:tcPr>
            <w:tcW w:w="723" w:type="dxa"/>
            <w:vAlign w:val="center"/>
          </w:tcPr>
          <w:p w:rsidR="007B6A80" w:rsidRPr="006F07C8" w:rsidRDefault="007B6A80"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21</w:t>
            </w:r>
          </w:p>
        </w:tc>
        <w:tc>
          <w:tcPr>
            <w:tcW w:w="723" w:type="dxa"/>
            <w:vAlign w:val="center"/>
          </w:tcPr>
          <w:p w:rsidR="007B6A80" w:rsidRPr="006F07C8" w:rsidRDefault="00176813"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65</w:t>
            </w:r>
          </w:p>
        </w:tc>
        <w:tc>
          <w:tcPr>
            <w:tcW w:w="723" w:type="dxa"/>
            <w:vAlign w:val="center"/>
          </w:tcPr>
          <w:p w:rsidR="007B6A80" w:rsidRPr="006F07C8" w:rsidRDefault="007B6A80"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8</w:t>
            </w:r>
          </w:p>
        </w:tc>
        <w:tc>
          <w:tcPr>
            <w:tcW w:w="723" w:type="dxa"/>
            <w:vAlign w:val="center"/>
          </w:tcPr>
          <w:p w:rsidR="007B6A80" w:rsidRPr="006F07C8" w:rsidRDefault="00176813"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36</w:t>
            </w:r>
          </w:p>
        </w:tc>
        <w:tc>
          <w:tcPr>
            <w:tcW w:w="723" w:type="dxa"/>
            <w:vAlign w:val="center"/>
          </w:tcPr>
          <w:p w:rsidR="007B6A80" w:rsidRPr="006F07C8" w:rsidRDefault="007B6A80"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0</w:t>
            </w:r>
          </w:p>
        </w:tc>
        <w:tc>
          <w:tcPr>
            <w:tcW w:w="724" w:type="dxa"/>
            <w:vAlign w:val="center"/>
          </w:tcPr>
          <w:p w:rsidR="007B6A80" w:rsidRPr="006F07C8" w:rsidRDefault="00842F25"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1</w:t>
            </w:r>
          </w:p>
        </w:tc>
      </w:tr>
      <w:tr w:rsidR="00176813" w:rsidRPr="006F07C8" w:rsidTr="00176813">
        <w:trPr>
          <w:trHeight w:val="213"/>
          <w:jc w:val="center"/>
        </w:trPr>
        <w:tc>
          <w:tcPr>
            <w:tcW w:w="4907" w:type="dxa"/>
            <w:vAlign w:val="bottom"/>
          </w:tcPr>
          <w:p w:rsidR="007B6A80" w:rsidRPr="006F07C8" w:rsidRDefault="007B6A80" w:rsidP="002F52A9">
            <w:pPr>
              <w:pStyle w:val="NormalWeb"/>
              <w:spacing w:before="0" w:beforeAutospacing="0" w:after="0" w:afterAutospacing="0"/>
              <w:textAlignment w:val="bottom"/>
              <w:rPr>
                <w:b/>
                <w:kern w:val="24"/>
                <w:sz w:val="20"/>
                <w:szCs w:val="20"/>
                <w:lang w:val="it-IT"/>
              </w:rPr>
            </w:pPr>
            <w:r w:rsidRPr="006F07C8">
              <w:rPr>
                <w:kern w:val="24"/>
                <w:sz w:val="20"/>
                <w:szCs w:val="20"/>
                <w:lang w:val="it-IT"/>
              </w:rPr>
              <w:t xml:space="preserve">K. </w:t>
            </w:r>
            <w:r w:rsidRPr="006F07C8">
              <w:rPr>
                <w:sz w:val="20"/>
                <w:szCs w:val="20"/>
                <w:lang w:val="it-IT"/>
              </w:rPr>
              <w:t>Attività relative ai beni immobili, affitti, intermediazioni e consulenze</w:t>
            </w:r>
          </w:p>
        </w:tc>
        <w:tc>
          <w:tcPr>
            <w:tcW w:w="723" w:type="dxa"/>
            <w:vAlign w:val="center"/>
          </w:tcPr>
          <w:p w:rsidR="007B6A80" w:rsidRPr="006F07C8" w:rsidRDefault="007B6A80"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25</w:t>
            </w:r>
          </w:p>
        </w:tc>
        <w:tc>
          <w:tcPr>
            <w:tcW w:w="723" w:type="dxa"/>
            <w:vAlign w:val="center"/>
          </w:tcPr>
          <w:p w:rsidR="007B6A80" w:rsidRPr="006F07C8" w:rsidRDefault="00176813"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62</w:t>
            </w:r>
          </w:p>
        </w:tc>
        <w:tc>
          <w:tcPr>
            <w:tcW w:w="723" w:type="dxa"/>
            <w:vAlign w:val="center"/>
          </w:tcPr>
          <w:p w:rsidR="007B6A80" w:rsidRPr="006F07C8" w:rsidRDefault="007B6A80"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10</w:t>
            </w:r>
          </w:p>
        </w:tc>
        <w:tc>
          <w:tcPr>
            <w:tcW w:w="723" w:type="dxa"/>
            <w:vAlign w:val="center"/>
          </w:tcPr>
          <w:p w:rsidR="007B6A80" w:rsidRPr="006F07C8" w:rsidRDefault="00176813"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34</w:t>
            </w:r>
          </w:p>
        </w:tc>
        <w:tc>
          <w:tcPr>
            <w:tcW w:w="723" w:type="dxa"/>
            <w:vAlign w:val="center"/>
          </w:tcPr>
          <w:p w:rsidR="007B6A80" w:rsidRPr="006F07C8" w:rsidRDefault="007B6A80"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0</w:t>
            </w:r>
          </w:p>
        </w:tc>
        <w:tc>
          <w:tcPr>
            <w:tcW w:w="724" w:type="dxa"/>
            <w:vAlign w:val="center"/>
          </w:tcPr>
          <w:p w:rsidR="007B6A80" w:rsidRPr="006F07C8" w:rsidRDefault="00842F25"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3</w:t>
            </w:r>
          </w:p>
        </w:tc>
      </w:tr>
      <w:tr w:rsidR="00176813" w:rsidRPr="006F07C8" w:rsidTr="00176813">
        <w:trPr>
          <w:trHeight w:val="145"/>
          <w:jc w:val="center"/>
        </w:trPr>
        <w:tc>
          <w:tcPr>
            <w:tcW w:w="4907" w:type="dxa"/>
            <w:vAlign w:val="bottom"/>
          </w:tcPr>
          <w:p w:rsidR="007B6A80" w:rsidRPr="006F07C8" w:rsidRDefault="007B6A80" w:rsidP="002F52A9">
            <w:pPr>
              <w:pStyle w:val="NormalWeb"/>
              <w:spacing w:before="0" w:beforeAutospacing="0" w:after="0" w:afterAutospacing="0"/>
              <w:textAlignment w:val="bottom"/>
              <w:rPr>
                <w:b/>
                <w:kern w:val="24"/>
                <w:sz w:val="20"/>
                <w:szCs w:val="20"/>
                <w:lang w:val="it-IT"/>
              </w:rPr>
            </w:pPr>
            <w:r w:rsidRPr="006F07C8">
              <w:rPr>
                <w:kern w:val="24"/>
                <w:sz w:val="20"/>
                <w:szCs w:val="20"/>
                <w:lang w:val="it-IT"/>
              </w:rPr>
              <w:t>L.</w:t>
            </w:r>
            <w:r w:rsidRPr="006F07C8">
              <w:rPr>
                <w:sz w:val="20"/>
                <w:szCs w:val="20"/>
                <w:lang w:val="it-IT"/>
              </w:rPr>
              <w:t xml:space="preserve"> Pubblica Amministrazione, difesa, sicurezza sociale obbligatoria</w:t>
            </w:r>
          </w:p>
        </w:tc>
        <w:tc>
          <w:tcPr>
            <w:tcW w:w="723" w:type="dxa"/>
            <w:vAlign w:val="center"/>
          </w:tcPr>
          <w:p w:rsidR="007B6A80" w:rsidRPr="006F07C8" w:rsidRDefault="007B6A80"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37</w:t>
            </w:r>
          </w:p>
        </w:tc>
        <w:tc>
          <w:tcPr>
            <w:tcW w:w="723" w:type="dxa"/>
            <w:vAlign w:val="center"/>
          </w:tcPr>
          <w:p w:rsidR="007B6A80" w:rsidRPr="006F07C8" w:rsidRDefault="00176813"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77</w:t>
            </w:r>
          </w:p>
        </w:tc>
        <w:tc>
          <w:tcPr>
            <w:tcW w:w="723" w:type="dxa"/>
            <w:vAlign w:val="center"/>
          </w:tcPr>
          <w:p w:rsidR="007B6A80" w:rsidRPr="006F07C8" w:rsidRDefault="007B6A80"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16</w:t>
            </w:r>
          </w:p>
        </w:tc>
        <w:tc>
          <w:tcPr>
            <w:tcW w:w="723" w:type="dxa"/>
            <w:vAlign w:val="center"/>
          </w:tcPr>
          <w:p w:rsidR="007B6A80" w:rsidRPr="006F07C8" w:rsidRDefault="00176813"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42</w:t>
            </w:r>
          </w:p>
        </w:tc>
        <w:tc>
          <w:tcPr>
            <w:tcW w:w="723" w:type="dxa"/>
            <w:vAlign w:val="center"/>
          </w:tcPr>
          <w:p w:rsidR="007B6A80" w:rsidRPr="006F07C8" w:rsidRDefault="007B6A80"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0</w:t>
            </w:r>
          </w:p>
        </w:tc>
        <w:tc>
          <w:tcPr>
            <w:tcW w:w="724" w:type="dxa"/>
            <w:vAlign w:val="center"/>
          </w:tcPr>
          <w:p w:rsidR="007B6A80" w:rsidRPr="006F07C8" w:rsidRDefault="00842F25"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1</w:t>
            </w:r>
          </w:p>
        </w:tc>
      </w:tr>
      <w:tr w:rsidR="00176813" w:rsidRPr="006F07C8" w:rsidTr="00176813">
        <w:trPr>
          <w:trHeight w:val="220"/>
          <w:jc w:val="center"/>
        </w:trPr>
        <w:tc>
          <w:tcPr>
            <w:tcW w:w="4907" w:type="dxa"/>
            <w:vAlign w:val="bottom"/>
          </w:tcPr>
          <w:p w:rsidR="007B6A80" w:rsidRPr="006F07C8" w:rsidRDefault="007B6A80" w:rsidP="002F52A9">
            <w:pPr>
              <w:pStyle w:val="NormalWeb"/>
              <w:spacing w:before="0" w:beforeAutospacing="0" w:after="0" w:afterAutospacing="0"/>
              <w:textAlignment w:val="bottom"/>
              <w:rPr>
                <w:b/>
                <w:kern w:val="24"/>
                <w:sz w:val="20"/>
                <w:szCs w:val="20"/>
                <w:lang w:val="it-IT"/>
              </w:rPr>
            </w:pPr>
            <w:r w:rsidRPr="006F07C8">
              <w:rPr>
                <w:kern w:val="24"/>
                <w:sz w:val="20"/>
                <w:szCs w:val="20"/>
                <w:lang w:val="it-IT"/>
              </w:rPr>
              <w:t xml:space="preserve">M. </w:t>
            </w:r>
            <w:r w:rsidRPr="006F07C8">
              <w:rPr>
                <w:sz w:val="20"/>
                <w:szCs w:val="20"/>
                <w:lang w:val="it-IT"/>
              </w:rPr>
              <w:t>Educazione</w:t>
            </w:r>
          </w:p>
        </w:tc>
        <w:tc>
          <w:tcPr>
            <w:tcW w:w="723" w:type="dxa"/>
            <w:vAlign w:val="center"/>
          </w:tcPr>
          <w:p w:rsidR="007B6A80" w:rsidRPr="006F07C8" w:rsidRDefault="007B6A80"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25</w:t>
            </w:r>
          </w:p>
        </w:tc>
        <w:tc>
          <w:tcPr>
            <w:tcW w:w="723" w:type="dxa"/>
            <w:vAlign w:val="center"/>
          </w:tcPr>
          <w:p w:rsidR="007B6A80" w:rsidRPr="006F07C8" w:rsidRDefault="00176813"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63</w:t>
            </w:r>
          </w:p>
        </w:tc>
        <w:tc>
          <w:tcPr>
            <w:tcW w:w="723" w:type="dxa"/>
            <w:vAlign w:val="center"/>
          </w:tcPr>
          <w:p w:rsidR="007B6A80" w:rsidRPr="006F07C8" w:rsidRDefault="007B6A80"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12</w:t>
            </w:r>
          </w:p>
        </w:tc>
        <w:tc>
          <w:tcPr>
            <w:tcW w:w="723" w:type="dxa"/>
            <w:vAlign w:val="center"/>
          </w:tcPr>
          <w:p w:rsidR="007B6A80" w:rsidRPr="006F07C8" w:rsidRDefault="00176813"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39</w:t>
            </w:r>
          </w:p>
        </w:tc>
        <w:tc>
          <w:tcPr>
            <w:tcW w:w="723" w:type="dxa"/>
            <w:vAlign w:val="center"/>
          </w:tcPr>
          <w:p w:rsidR="007B6A80" w:rsidRPr="006F07C8" w:rsidRDefault="007B6A80"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0</w:t>
            </w:r>
          </w:p>
        </w:tc>
        <w:tc>
          <w:tcPr>
            <w:tcW w:w="724" w:type="dxa"/>
            <w:vAlign w:val="center"/>
          </w:tcPr>
          <w:p w:rsidR="007B6A80" w:rsidRPr="006F07C8" w:rsidRDefault="00842F25"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2</w:t>
            </w:r>
          </w:p>
        </w:tc>
      </w:tr>
      <w:tr w:rsidR="00176813" w:rsidRPr="006F07C8" w:rsidTr="00176813">
        <w:trPr>
          <w:trHeight w:val="137"/>
          <w:jc w:val="center"/>
        </w:trPr>
        <w:tc>
          <w:tcPr>
            <w:tcW w:w="4907" w:type="dxa"/>
            <w:vAlign w:val="bottom"/>
          </w:tcPr>
          <w:p w:rsidR="007B6A80" w:rsidRPr="006F07C8" w:rsidRDefault="007B6A80" w:rsidP="002F52A9">
            <w:pPr>
              <w:pStyle w:val="NormalWeb"/>
              <w:spacing w:before="0" w:beforeAutospacing="0" w:after="0" w:afterAutospacing="0"/>
              <w:textAlignment w:val="bottom"/>
              <w:rPr>
                <w:b/>
                <w:kern w:val="24"/>
                <w:sz w:val="20"/>
                <w:szCs w:val="20"/>
                <w:lang w:val="it-IT"/>
              </w:rPr>
            </w:pPr>
            <w:r w:rsidRPr="006F07C8">
              <w:rPr>
                <w:kern w:val="24"/>
                <w:sz w:val="20"/>
                <w:szCs w:val="20"/>
                <w:lang w:val="it-IT"/>
              </w:rPr>
              <w:t>N.</w:t>
            </w:r>
            <w:r w:rsidRPr="006F07C8">
              <w:rPr>
                <w:sz w:val="20"/>
                <w:szCs w:val="20"/>
                <w:lang w:val="it-IT"/>
              </w:rPr>
              <w:t xml:space="preserve"> Sanità e servizi sociali</w:t>
            </w:r>
          </w:p>
        </w:tc>
        <w:tc>
          <w:tcPr>
            <w:tcW w:w="723" w:type="dxa"/>
            <w:vAlign w:val="center"/>
          </w:tcPr>
          <w:p w:rsidR="007B6A80" w:rsidRPr="006F07C8" w:rsidRDefault="007B6A80"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33</w:t>
            </w:r>
          </w:p>
        </w:tc>
        <w:tc>
          <w:tcPr>
            <w:tcW w:w="723" w:type="dxa"/>
            <w:vAlign w:val="center"/>
          </w:tcPr>
          <w:p w:rsidR="007B6A80" w:rsidRPr="006F07C8" w:rsidRDefault="00176813"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71</w:t>
            </w:r>
          </w:p>
        </w:tc>
        <w:tc>
          <w:tcPr>
            <w:tcW w:w="723" w:type="dxa"/>
            <w:vAlign w:val="center"/>
          </w:tcPr>
          <w:p w:rsidR="007B6A80" w:rsidRPr="006F07C8" w:rsidRDefault="007B6A80"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12</w:t>
            </w:r>
          </w:p>
        </w:tc>
        <w:tc>
          <w:tcPr>
            <w:tcW w:w="723" w:type="dxa"/>
            <w:vAlign w:val="center"/>
          </w:tcPr>
          <w:p w:rsidR="007B6A80" w:rsidRPr="006F07C8" w:rsidRDefault="00842F25"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35</w:t>
            </w:r>
          </w:p>
        </w:tc>
        <w:tc>
          <w:tcPr>
            <w:tcW w:w="723" w:type="dxa"/>
            <w:vAlign w:val="center"/>
          </w:tcPr>
          <w:p w:rsidR="007B6A80" w:rsidRPr="006F07C8" w:rsidRDefault="007B6A80"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0</w:t>
            </w:r>
          </w:p>
        </w:tc>
        <w:tc>
          <w:tcPr>
            <w:tcW w:w="724" w:type="dxa"/>
            <w:vAlign w:val="center"/>
          </w:tcPr>
          <w:p w:rsidR="007B6A80" w:rsidRPr="006F07C8" w:rsidRDefault="00842F25"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3</w:t>
            </w:r>
          </w:p>
        </w:tc>
      </w:tr>
      <w:tr w:rsidR="00176813" w:rsidRPr="006F07C8" w:rsidTr="00176813">
        <w:trPr>
          <w:trHeight w:val="225"/>
          <w:jc w:val="center"/>
        </w:trPr>
        <w:tc>
          <w:tcPr>
            <w:tcW w:w="4907" w:type="dxa"/>
            <w:vAlign w:val="bottom"/>
          </w:tcPr>
          <w:p w:rsidR="007B6A80" w:rsidRPr="006F07C8" w:rsidRDefault="007B6A80" w:rsidP="002F52A9">
            <w:pPr>
              <w:pStyle w:val="NormalWeb"/>
              <w:spacing w:before="0" w:beforeAutospacing="0" w:after="0" w:afterAutospacing="0"/>
              <w:textAlignment w:val="bottom"/>
              <w:rPr>
                <w:b/>
                <w:kern w:val="24"/>
                <w:sz w:val="20"/>
                <w:szCs w:val="20"/>
                <w:lang w:val="it-IT"/>
              </w:rPr>
            </w:pPr>
            <w:r w:rsidRPr="006F07C8">
              <w:rPr>
                <w:kern w:val="24"/>
                <w:sz w:val="20"/>
                <w:szCs w:val="20"/>
                <w:lang w:val="it-IT"/>
              </w:rPr>
              <w:t xml:space="preserve">O. </w:t>
            </w:r>
            <w:r w:rsidRPr="006F07C8">
              <w:rPr>
                <w:sz w:val="20"/>
                <w:szCs w:val="20"/>
                <w:lang w:val="it-IT"/>
              </w:rPr>
              <w:t>Altre attività sociali, personali e di comunità</w:t>
            </w:r>
          </w:p>
        </w:tc>
        <w:tc>
          <w:tcPr>
            <w:tcW w:w="723" w:type="dxa"/>
            <w:vAlign w:val="center"/>
          </w:tcPr>
          <w:p w:rsidR="007B6A80" w:rsidRPr="006F07C8" w:rsidRDefault="007B6A80"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41</w:t>
            </w:r>
          </w:p>
        </w:tc>
        <w:tc>
          <w:tcPr>
            <w:tcW w:w="723" w:type="dxa"/>
            <w:vAlign w:val="center"/>
          </w:tcPr>
          <w:p w:rsidR="007B6A80" w:rsidRPr="006F07C8" w:rsidRDefault="00176813"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78</w:t>
            </w:r>
          </w:p>
        </w:tc>
        <w:tc>
          <w:tcPr>
            <w:tcW w:w="723" w:type="dxa"/>
            <w:vAlign w:val="center"/>
          </w:tcPr>
          <w:p w:rsidR="007B6A80" w:rsidRPr="006F07C8" w:rsidRDefault="007B6A80"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21</w:t>
            </w:r>
          </w:p>
        </w:tc>
        <w:tc>
          <w:tcPr>
            <w:tcW w:w="723" w:type="dxa"/>
            <w:vAlign w:val="center"/>
          </w:tcPr>
          <w:p w:rsidR="007B6A80" w:rsidRPr="006F07C8" w:rsidRDefault="00842F25"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45</w:t>
            </w:r>
          </w:p>
        </w:tc>
        <w:tc>
          <w:tcPr>
            <w:tcW w:w="723" w:type="dxa"/>
            <w:vAlign w:val="center"/>
          </w:tcPr>
          <w:p w:rsidR="007B6A80" w:rsidRPr="006F07C8" w:rsidRDefault="007B6A80"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0</w:t>
            </w:r>
          </w:p>
        </w:tc>
        <w:tc>
          <w:tcPr>
            <w:tcW w:w="724" w:type="dxa"/>
            <w:vAlign w:val="center"/>
          </w:tcPr>
          <w:p w:rsidR="007B6A80" w:rsidRPr="006F07C8" w:rsidRDefault="00842F25"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4</w:t>
            </w:r>
          </w:p>
        </w:tc>
      </w:tr>
      <w:tr w:rsidR="00176813" w:rsidRPr="006F07C8" w:rsidTr="00176813">
        <w:trPr>
          <w:trHeight w:val="143"/>
          <w:jc w:val="center"/>
        </w:trPr>
        <w:tc>
          <w:tcPr>
            <w:tcW w:w="4907" w:type="dxa"/>
            <w:vAlign w:val="bottom"/>
          </w:tcPr>
          <w:p w:rsidR="007B6A80" w:rsidRPr="006F07C8" w:rsidRDefault="007B6A80" w:rsidP="002F52A9">
            <w:pPr>
              <w:pStyle w:val="NormalWeb"/>
              <w:spacing w:before="0" w:beforeAutospacing="0" w:after="0" w:afterAutospacing="0"/>
              <w:textAlignment w:val="bottom"/>
              <w:rPr>
                <w:b/>
                <w:kern w:val="24"/>
                <w:sz w:val="20"/>
                <w:szCs w:val="20"/>
                <w:lang w:val="it-IT"/>
              </w:rPr>
            </w:pPr>
            <w:r w:rsidRPr="006F07C8">
              <w:rPr>
                <w:kern w:val="24"/>
                <w:sz w:val="20"/>
                <w:szCs w:val="20"/>
                <w:lang w:val="it-IT"/>
              </w:rPr>
              <w:t xml:space="preserve">P. </w:t>
            </w:r>
            <w:r w:rsidRPr="006F07C8">
              <w:rPr>
                <w:sz w:val="20"/>
                <w:szCs w:val="20"/>
                <w:lang w:val="it-IT"/>
              </w:rPr>
              <w:t>Attività domestiche</w:t>
            </w:r>
          </w:p>
        </w:tc>
        <w:tc>
          <w:tcPr>
            <w:tcW w:w="723" w:type="dxa"/>
            <w:vAlign w:val="center"/>
          </w:tcPr>
          <w:p w:rsidR="007B6A80" w:rsidRPr="006F07C8" w:rsidRDefault="007B6A80"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76</w:t>
            </w:r>
          </w:p>
        </w:tc>
        <w:tc>
          <w:tcPr>
            <w:tcW w:w="723" w:type="dxa"/>
            <w:vAlign w:val="center"/>
          </w:tcPr>
          <w:p w:rsidR="007B6A80" w:rsidRPr="006F07C8" w:rsidRDefault="00176813"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93</w:t>
            </w:r>
          </w:p>
        </w:tc>
        <w:tc>
          <w:tcPr>
            <w:tcW w:w="723" w:type="dxa"/>
            <w:vAlign w:val="center"/>
          </w:tcPr>
          <w:p w:rsidR="007B6A80" w:rsidRPr="006F07C8" w:rsidRDefault="007B6A80"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46</w:t>
            </w:r>
          </w:p>
        </w:tc>
        <w:tc>
          <w:tcPr>
            <w:tcW w:w="723" w:type="dxa"/>
            <w:vAlign w:val="center"/>
          </w:tcPr>
          <w:p w:rsidR="007B6A80" w:rsidRPr="006F07C8" w:rsidRDefault="00842F25"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62</w:t>
            </w:r>
          </w:p>
        </w:tc>
        <w:tc>
          <w:tcPr>
            <w:tcW w:w="723" w:type="dxa"/>
            <w:vAlign w:val="center"/>
          </w:tcPr>
          <w:p w:rsidR="007B6A80" w:rsidRPr="006F07C8" w:rsidRDefault="007B6A80"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0</w:t>
            </w:r>
          </w:p>
        </w:tc>
        <w:tc>
          <w:tcPr>
            <w:tcW w:w="724" w:type="dxa"/>
            <w:vAlign w:val="center"/>
          </w:tcPr>
          <w:p w:rsidR="007B6A80" w:rsidRPr="006F07C8" w:rsidRDefault="00842F25"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9</w:t>
            </w:r>
          </w:p>
        </w:tc>
      </w:tr>
      <w:tr w:rsidR="00176813" w:rsidRPr="006F07C8" w:rsidTr="00176813">
        <w:trPr>
          <w:trHeight w:val="217"/>
          <w:jc w:val="center"/>
        </w:trPr>
        <w:tc>
          <w:tcPr>
            <w:tcW w:w="4907" w:type="dxa"/>
            <w:vAlign w:val="bottom"/>
          </w:tcPr>
          <w:p w:rsidR="007B6A80" w:rsidRPr="006F07C8" w:rsidRDefault="007B6A80" w:rsidP="002F52A9">
            <w:pPr>
              <w:pStyle w:val="NormalWeb"/>
              <w:spacing w:before="0" w:beforeAutospacing="0" w:after="0" w:afterAutospacing="0"/>
              <w:textAlignment w:val="bottom"/>
              <w:rPr>
                <w:b/>
                <w:kern w:val="24"/>
                <w:sz w:val="20"/>
                <w:szCs w:val="20"/>
                <w:lang w:val="it-IT"/>
              </w:rPr>
            </w:pPr>
            <w:r w:rsidRPr="006F07C8">
              <w:rPr>
                <w:kern w:val="24"/>
                <w:sz w:val="20"/>
                <w:szCs w:val="20"/>
                <w:lang w:val="it-IT"/>
              </w:rPr>
              <w:t xml:space="preserve">Q. </w:t>
            </w:r>
            <w:r w:rsidRPr="006F07C8">
              <w:rPr>
                <w:sz w:val="20"/>
                <w:szCs w:val="20"/>
                <w:lang w:val="it-IT"/>
              </w:rPr>
              <w:t>Attività di enti e organizzazioni non territoriali</w:t>
            </w:r>
          </w:p>
        </w:tc>
        <w:tc>
          <w:tcPr>
            <w:tcW w:w="723" w:type="dxa"/>
            <w:vAlign w:val="center"/>
          </w:tcPr>
          <w:p w:rsidR="007B6A80" w:rsidRPr="006F07C8" w:rsidRDefault="007B6A80"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26</w:t>
            </w:r>
          </w:p>
        </w:tc>
        <w:tc>
          <w:tcPr>
            <w:tcW w:w="723" w:type="dxa"/>
            <w:vAlign w:val="center"/>
          </w:tcPr>
          <w:p w:rsidR="007B6A80" w:rsidRPr="006F07C8" w:rsidRDefault="00176813"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58</w:t>
            </w:r>
          </w:p>
        </w:tc>
        <w:tc>
          <w:tcPr>
            <w:tcW w:w="723" w:type="dxa"/>
            <w:vAlign w:val="center"/>
          </w:tcPr>
          <w:p w:rsidR="007B6A80" w:rsidRPr="006F07C8" w:rsidRDefault="007B6A80"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12</w:t>
            </w:r>
          </w:p>
        </w:tc>
        <w:tc>
          <w:tcPr>
            <w:tcW w:w="723" w:type="dxa"/>
            <w:vAlign w:val="center"/>
          </w:tcPr>
          <w:p w:rsidR="007B6A80" w:rsidRPr="006F07C8" w:rsidRDefault="00842F25"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37</w:t>
            </w:r>
          </w:p>
        </w:tc>
        <w:tc>
          <w:tcPr>
            <w:tcW w:w="723" w:type="dxa"/>
            <w:vAlign w:val="center"/>
          </w:tcPr>
          <w:p w:rsidR="007B6A80" w:rsidRPr="006F07C8" w:rsidRDefault="007B6A80"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0</w:t>
            </w:r>
          </w:p>
        </w:tc>
        <w:tc>
          <w:tcPr>
            <w:tcW w:w="724" w:type="dxa"/>
            <w:vAlign w:val="center"/>
          </w:tcPr>
          <w:p w:rsidR="007B6A80" w:rsidRPr="006F07C8" w:rsidRDefault="00842F25"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3</w:t>
            </w:r>
          </w:p>
        </w:tc>
      </w:tr>
    </w:tbl>
    <w:p w:rsidR="00807445" w:rsidRPr="006F07C8" w:rsidRDefault="0075665E" w:rsidP="002F52A9">
      <w:pPr>
        <w:spacing w:after="0" w:line="240" w:lineRule="auto"/>
        <w:jc w:val="both"/>
        <w:rPr>
          <w:rFonts w:ascii="Times New Roman" w:hAnsi="Times New Roman" w:cs="Times New Roman"/>
          <w:i/>
          <w:sz w:val="20"/>
          <w:szCs w:val="20"/>
          <w:lang w:val="it-IT"/>
        </w:rPr>
      </w:pPr>
      <w:r w:rsidRPr="006F07C8">
        <w:rPr>
          <w:rFonts w:ascii="Times New Roman" w:hAnsi="Times New Roman" w:cs="Times New Roman"/>
          <w:i/>
          <w:sz w:val="20"/>
          <w:szCs w:val="20"/>
          <w:lang w:val="it-IT"/>
        </w:rPr>
        <w:t xml:space="preserve">Fonte: </w:t>
      </w:r>
      <w:r w:rsidR="00C6336A" w:rsidRPr="006F07C8">
        <w:rPr>
          <w:rFonts w:ascii="Times New Roman" w:hAnsi="Times New Roman" w:cs="Times New Roman"/>
          <w:i/>
          <w:sz w:val="20"/>
          <w:szCs w:val="20"/>
          <w:lang w:val="it-IT"/>
        </w:rPr>
        <w:t>Eurostat, IEA 2011</w:t>
      </w:r>
      <w:r w:rsidRPr="006F07C8">
        <w:rPr>
          <w:rFonts w:ascii="Times New Roman" w:hAnsi="Times New Roman" w:cs="Times New Roman"/>
          <w:i/>
          <w:sz w:val="20"/>
          <w:szCs w:val="20"/>
          <w:lang w:val="it-IT"/>
        </w:rPr>
        <w:t>. Tabella elaborata dall’autore</w:t>
      </w:r>
      <w:r w:rsidR="002F6939" w:rsidRPr="006F07C8">
        <w:rPr>
          <w:rFonts w:ascii="Times New Roman" w:hAnsi="Times New Roman" w:cs="Times New Roman"/>
          <w:i/>
          <w:sz w:val="20"/>
          <w:szCs w:val="20"/>
          <w:lang w:val="it-IT"/>
        </w:rPr>
        <w:t xml:space="preserve">. </w:t>
      </w:r>
    </w:p>
    <w:p w:rsidR="00865801" w:rsidRPr="006F07C8" w:rsidRDefault="002F6939" w:rsidP="002F52A9">
      <w:pPr>
        <w:spacing w:after="0" w:line="240" w:lineRule="auto"/>
        <w:jc w:val="both"/>
        <w:rPr>
          <w:rFonts w:ascii="Times New Roman" w:hAnsi="Times New Roman" w:cs="Times New Roman"/>
          <w:i/>
          <w:sz w:val="20"/>
          <w:szCs w:val="20"/>
          <w:lang w:val="it-IT"/>
        </w:rPr>
      </w:pPr>
      <w:r w:rsidRPr="006F07C8">
        <w:rPr>
          <w:rFonts w:ascii="Times New Roman" w:hAnsi="Times New Roman" w:cs="Times New Roman"/>
          <w:i/>
          <w:sz w:val="20"/>
          <w:szCs w:val="20"/>
          <w:lang w:val="it-IT"/>
        </w:rPr>
        <w:t>N.d</w:t>
      </w:r>
      <w:r w:rsidR="0041086E" w:rsidRPr="006F07C8">
        <w:rPr>
          <w:rFonts w:ascii="Times New Roman" w:hAnsi="Times New Roman" w:cs="Times New Roman"/>
          <w:i/>
          <w:sz w:val="20"/>
          <w:szCs w:val="20"/>
          <w:lang w:val="it-IT"/>
        </w:rPr>
        <w:t xml:space="preserve">. </w:t>
      </w:r>
      <w:r w:rsidRPr="006F07C8">
        <w:rPr>
          <w:rFonts w:ascii="Times New Roman" w:hAnsi="Times New Roman" w:cs="Times New Roman"/>
          <w:i/>
          <w:sz w:val="20"/>
          <w:szCs w:val="20"/>
          <w:lang w:val="it-IT"/>
        </w:rPr>
        <w:t>= osservazioni non disponibili</w:t>
      </w:r>
    </w:p>
    <w:p w:rsidR="00865801" w:rsidRPr="006F07C8" w:rsidRDefault="00865801" w:rsidP="002F52A9">
      <w:pPr>
        <w:spacing w:after="0" w:line="240" w:lineRule="auto"/>
        <w:jc w:val="both"/>
        <w:rPr>
          <w:rFonts w:ascii="Times New Roman" w:hAnsi="Times New Roman" w:cs="Times New Roman"/>
          <w:sz w:val="20"/>
          <w:szCs w:val="20"/>
          <w:lang w:val="it-IT"/>
        </w:rPr>
      </w:pPr>
      <w:r w:rsidRPr="006F07C8">
        <w:rPr>
          <w:rFonts w:ascii="Times New Roman" w:hAnsi="Times New Roman" w:cs="Times New Roman"/>
          <w:i/>
          <w:sz w:val="20"/>
          <w:szCs w:val="20"/>
          <w:lang w:val="it-IT"/>
        </w:rPr>
        <w:t>* Mancano i dati per livello competenza nelle lingue straniere (prima e seconda) per la Danimarca.</w:t>
      </w:r>
    </w:p>
    <w:p w:rsidR="00865801" w:rsidRPr="006F07C8" w:rsidRDefault="00865801" w:rsidP="002F52A9">
      <w:pPr>
        <w:spacing w:line="240" w:lineRule="auto"/>
        <w:jc w:val="both"/>
        <w:rPr>
          <w:rFonts w:ascii="Times New Roman" w:hAnsi="Times New Roman" w:cs="Times New Roman"/>
          <w:i/>
          <w:sz w:val="18"/>
          <w:lang w:val="it-IT"/>
        </w:rPr>
      </w:pPr>
    </w:p>
    <w:p w:rsidR="000F3F88" w:rsidRPr="006F07C8" w:rsidRDefault="00870247" w:rsidP="002F52A9">
      <w:pPr>
        <w:spacing w:line="240" w:lineRule="auto"/>
        <w:jc w:val="both"/>
        <w:rPr>
          <w:rFonts w:ascii="Times New Roman" w:hAnsi="Times New Roman" w:cs="Times New Roman"/>
          <w:sz w:val="24"/>
          <w:szCs w:val="24"/>
          <w:lang w:val="it-IT"/>
        </w:rPr>
      </w:pPr>
      <w:r w:rsidRPr="006F07C8">
        <w:rPr>
          <w:rFonts w:ascii="Times New Roman" w:hAnsi="Times New Roman" w:cs="Times New Roman"/>
          <w:sz w:val="24"/>
          <w:szCs w:val="24"/>
          <w:lang w:val="it-IT"/>
        </w:rPr>
        <w:t>Precisiamo che n</w:t>
      </w:r>
      <w:r w:rsidR="00066C39" w:rsidRPr="006F07C8">
        <w:rPr>
          <w:rFonts w:ascii="Times New Roman" w:hAnsi="Times New Roman" w:cs="Times New Roman"/>
          <w:sz w:val="24"/>
          <w:szCs w:val="24"/>
          <w:lang w:val="it-IT"/>
        </w:rPr>
        <w:t>on vi è una corrispondenza biunivoca fra ambiti di intervento delle politiche europee e settori di attività economica se</w:t>
      </w:r>
      <w:r w:rsidRPr="006F07C8">
        <w:rPr>
          <w:rFonts w:ascii="Times New Roman" w:hAnsi="Times New Roman" w:cs="Times New Roman"/>
          <w:sz w:val="24"/>
          <w:szCs w:val="24"/>
          <w:lang w:val="it-IT"/>
        </w:rPr>
        <w:t xml:space="preserve">condo la </w:t>
      </w:r>
      <w:r w:rsidR="00FF6F04" w:rsidRPr="006F07C8">
        <w:rPr>
          <w:rFonts w:ascii="Times New Roman" w:hAnsi="Times New Roman" w:cs="Times New Roman"/>
          <w:sz w:val="24"/>
          <w:szCs w:val="24"/>
          <w:lang w:val="it-IT"/>
        </w:rPr>
        <w:t>nomenclatura</w:t>
      </w:r>
      <w:r w:rsidRPr="006F07C8">
        <w:rPr>
          <w:rFonts w:ascii="Times New Roman" w:hAnsi="Times New Roman" w:cs="Times New Roman"/>
          <w:sz w:val="24"/>
          <w:szCs w:val="24"/>
          <w:lang w:val="it-IT"/>
        </w:rPr>
        <w:t xml:space="preserve"> NACE. Una valutazione più approfondita dovrebbe cercare di stabilire relazioni più chiare tra settori di attività economica e ambiti di intervento delle politiche europee. Tuttavia, </w:t>
      </w:r>
      <w:r w:rsidR="00066C39" w:rsidRPr="006F07C8">
        <w:rPr>
          <w:rFonts w:ascii="Times New Roman" w:hAnsi="Times New Roman" w:cs="Times New Roman"/>
          <w:sz w:val="24"/>
          <w:szCs w:val="24"/>
          <w:lang w:val="it-IT"/>
        </w:rPr>
        <w:t>lo studio dei tassi di esclusione linguistica per settore di attività economica può già fornire alcune informazioni preliminari per valutare l’efficacia della comunicazione di alcune DG.</w:t>
      </w:r>
    </w:p>
    <w:p w:rsidR="004823AD" w:rsidRPr="006F07C8" w:rsidRDefault="000F3F88" w:rsidP="002F52A9">
      <w:pPr>
        <w:spacing w:line="240" w:lineRule="auto"/>
        <w:jc w:val="both"/>
        <w:rPr>
          <w:rFonts w:ascii="Times New Roman" w:hAnsi="Times New Roman" w:cs="Times New Roman"/>
          <w:sz w:val="24"/>
          <w:szCs w:val="24"/>
          <w:lang w:val="it-IT"/>
        </w:rPr>
      </w:pPr>
      <w:r w:rsidRPr="006F07C8">
        <w:rPr>
          <w:rFonts w:ascii="Times New Roman" w:hAnsi="Times New Roman" w:cs="Times New Roman"/>
          <w:sz w:val="24"/>
          <w:szCs w:val="24"/>
          <w:lang w:val="it-IT"/>
        </w:rPr>
        <w:t xml:space="preserve">Il regime trilingue adottato dalla DG Agricoltura e sviluppo rurale, ad esempio, esclude </w:t>
      </w:r>
      <w:r w:rsidR="00CF0278" w:rsidRPr="006F07C8">
        <w:rPr>
          <w:rFonts w:ascii="Times New Roman" w:hAnsi="Times New Roman" w:cs="Times New Roman"/>
          <w:sz w:val="24"/>
          <w:szCs w:val="24"/>
          <w:lang w:val="it-IT"/>
        </w:rPr>
        <w:t>de</w:t>
      </w:r>
      <w:r w:rsidR="0025739E" w:rsidRPr="006F07C8">
        <w:rPr>
          <w:rFonts w:ascii="Times New Roman" w:hAnsi="Times New Roman" w:cs="Times New Roman"/>
          <w:sz w:val="24"/>
          <w:szCs w:val="24"/>
          <w:lang w:val="it-IT"/>
        </w:rPr>
        <w:t>l</w:t>
      </w:r>
      <w:r w:rsidR="00CF0278" w:rsidRPr="006F07C8">
        <w:rPr>
          <w:rFonts w:ascii="Times New Roman" w:hAnsi="Times New Roman" w:cs="Times New Roman"/>
          <w:sz w:val="24"/>
          <w:szCs w:val="24"/>
          <w:lang w:val="it-IT"/>
        </w:rPr>
        <w:t xml:space="preserve"> tutto o in parte </w:t>
      </w:r>
      <w:r w:rsidRPr="006F07C8">
        <w:rPr>
          <w:rFonts w:ascii="Times New Roman" w:hAnsi="Times New Roman" w:cs="Times New Roman"/>
          <w:sz w:val="24"/>
          <w:szCs w:val="24"/>
          <w:lang w:val="it-IT"/>
        </w:rPr>
        <w:t>fra il 61% e il 75% dei residenti operanti nel settore “</w:t>
      </w:r>
      <w:r w:rsidR="00CF0278" w:rsidRPr="006F07C8">
        <w:rPr>
          <w:rFonts w:ascii="Times New Roman" w:hAnsi="Times New Roman" w:cs="Times New Roman"/>
          <w:sz w:val="24"/>
          <w:szCs w:val="24"/>
          <w:lang w:val="it-IT"/>
        </w:rPr>
        <w:t>A</w:t>
      </w:r>
      <w:r w:rsidRPr="006F07C8">
        <w:rPr>
          <w:rFonts w:ascii="Times New Roman" w:hAnsi="Times New Roman" w:cs="Times New Roman"/>
          <w:sz w:val="24"/>
          <w:szCs w:val="24"/>
          <w:lang w:val="it-IT"/>
        </w:rPr>
        <w:t>: agricoltura, allevamento, bestiame, caccia e silvicoltura”. Si tratta di un ambito di azione importante</w:t>
      </w:r>
      <w:r w:rsidR="00271B90" w:rsidRPr="006F07C8">
        <w:rPr>
          <w:rFonts w:ascii="Times New Roman" w:hAnsi="Times New Roman" w:cs="Times New Roman"/>
          <w:sz w:val="24"/>
          <w:szCs w:val="24"/>
          <w:lang w:val="it-IT"/>
        </w:rPr>
        <w:t xml:space="preserve"> che meriterebbe forse una comunicazione più multilingue</w:t>
      </w:r>
      <w:r w:rsidRPr="006F07C8">
        <w:rPr>
          <w:rFonts w:ascii="Times New Roman" w:hAnsi="Times New Roman" w:cs="Times New Roman"/>
          <w:sz w:val="24"/>
          <w:szCs w:val="24"/>
          <w:lang w:val="it-IT"/>
        </w:rPr>
        <w:t xml:space="preserve"> </w:t>
      </w:r>
      <w:r w:rsidR="000A6C46" w:rsidRPr="006F07C8">
        <w:rPr>
          <w:rFonts w:ascii="Times New Roman" w:hAnsi="Times New Roman" w:cs="Times New Roman"/>
          <w:sz w:val="24"/>
          <w:szCs w:val="24"/>
          <w:lang w:val="it-IT"/>
        </w:rPr>
        <w:t>poiché</w:t>
      </w:r>
      <w:r w:rsidRPr="006F07C8">
        <w:rPr>
          <w:rFonts w:ascii="Times New Roman" w:hAnsi="Times New Roman" w:cs="Times New Roman"/>
          <w:sz w:val="24"/>
          <w:szCs w:val="24"/>
          <w:lang w:val="it-IT"/>
        </w:rPr>
        <w:t xml:space="preserve"> l’UE ha </w:t>
      </w:r>
      <w:r w:rsidR="00271B90" w:rsidRPr="006F07C8">
        <w:rPr>
          <w:rFonts w:ascii="Times New Roman" w:hAnsi="Times New Roman" w:cs="Times New Roman"/>
          <w:sz w:val="24"/>
          <w:szCs w:val="24"/>
          <w:lang w:val="it-IT"/>
        </w:rPr>
        <w:t xml:space="preserve">a riguardo </w:t>
      </w:r>
      <w:r w:rsidRPr="006F07C8">
        <w:rPr>
          <w:rFonts w:ascii="Times New Roman" w:hAnsi="Times New Roman" w:cs="Times New Roman"/>
          <w:sz w:val="24"/>
          <w:szCs w:val="24"/>
          <w:lang w:val="it-IT"/>
        </w:rPr>
        <w:t>una competenza concorrente</w:t>
      </w:r>
      <w:r w:rsidR="00271B90" w:rsidRPr="006F07C8">
        <w:rPr>
          <w:rFonts w:ascii="Times New Roman" w:hAnsi="Times New Roman" w:cs="Times New Roman"/>
          <w:sz w:val="24"/>
          <w:szCs w:val="24"/>
          <w:lang w:val="it-IT"/>
        </w:rPr>
        <w:t>.</w:t>
      </w:r>
      <w:r w:rsidR="00FD4103" w:rsidRPr="006F07C8">
        <w:rPr>
          <w:rStyle w:val="FootnoteReference"/>
          <w:rFonts w:ascii="Times New Roman" w:hAnsi="Times New Roman" w:cs="Times New Roman"/>
          <w:sz w:val="24"/>
          <w:szCs w:val="24"/>
          <w:lang w:val="it-IT"/>
        </w:rPr>
        <w:footnoteReference w:id="32"/>
      </w:r>
      <w:r w:rsidR="00271B90" w:rsidRPr="006F07C8">
        <w:rPr>
          <w:rFonts w:ascii="Times New Roman" w:hAnsi="Times New Roman" w:cs="Times New Roman"/>
          <w:sz w:val="24"/>
          <w:szCs w:val="24"/>
          <w:lang w:val="it-IT"/>
        </w:rPr>
        <w:t xml:space="preserve"> Nel settore dell’energia (“E”) il regime linguistico monolingue </w:t>
      </w:r>
      <w:r w:rsidR="000A6C46" w:rsidRPr="006F07C8">
        <w:rPr>
          <w:rFonts w:ascii="Times New Roman" w:hAnsi="Times New Roman" w:cs="Times New Roman"/>
          <w:sz w:val="24"/>
          <w:szCs w:val="24"/>
          <w:lang w:val="it-IT"/>
        </w:rPr>
        <w:t xml:space="preserve">praticato di </w:t>
      </w:r>
      <w:r w:rsidR="000A6C46" w:rsidRPr="006F07C8">
        <w:rPr>
          <w:rFonts w:ascii="Times New Roman" w:hAnsi="Times New Roman" w:cs="Times New Roman"/>
          <w:sz w:val="24"/>
          <w:szCs w:val="24"/>
          <w:lang w:val="it-IT"/>
        </w:rPr>
        <w:lastRenderedPageBreak/>
        <w:t>fatto dalla</w:t>
      </w:r>
      <w:r w:rsidR="00271B90" w:rsidRPr="006F07C8">
        <w:rPr>
          <w:rFonts w:ascii="Times New Roman" w:hAnsi="Times New Roman" w:cs="Times New Roman"/>
          <w:sz w:val="24"/>
          <w:szCs w:val="24"/>
          <w:lang w:val="it-IT"/>
        </w:rPr>
        <w:t xml:space="preserve"> DG Energia esclude </w:t>
      </w:r>
      <w:r w:rsidR="00B13DB7" w:rsidRPr="006F07C8">
        <w:rPr>
          <w:rFonts w:ascii="Times New Roman" w:hAnsi="Times New Roman" w:cs="Times New Roman"/>
          <w:sz w:val="24"/>
          <w:szCs w:val="24"/>
          <w:lang w:val="it-IT"/>
        </w:rPr>
        <w:t xml:space="preserve">o rende non agevole l’accesso alla comunicazione </w:t>
      </w:r>
      <w:r w:rsidR="00271B90" w:rsidRPr="006F07C8">
        <w:rPr>
          <w:rFonts w:ascii="Times New Roman" w:hAnsi="Times New Roman" w:cs="Times New Roman"/>
          <w:sz w:val="24"/>
          <w:szCs w:val="24"/>
          <w:lang w:val="it-IT"/>
        </w:rPr>
        <w:t>fra il 46% e l’80% degli operatori d</w:t>
      </w:r>
      <w:r w:rsidR="00B13DB7" w:rsidRPr="006F07C8">
        <w:rPr>
          <w:rFonts w:ascii="Times New Roman" w:hAnsi="Times New Roman" w:cs="Times New Roman"/>
          <w:sz w:val="24"/>
          <w:szCs w:val="24"/>
          <w:lang w:val="it-IT"/>
        </w:rPr>
        <w:t>el</w:t>
      </w:r>
      <w:r w:rsidR="00271B90" w:rsidRPr="006F07C8">
        <w:rPr>
          <w:rFonts w:ascii="Times New Roman" w:hAnsi="Times New Roman" w:cs="Times New Roman"/>
          <w:sz w:val="24"/>
          <w:szCs w:val="24"/>
          <w:lang w:val="it-IT"/>
        </w:rPr>
        <w:t xml:space="preserve"> settore. </w:t>
      </w:r>
      <w:r w:rsidR="00B13DB7" w:rsidRPr="006F07C8">
        <w:rPr>
          <w:rFonts w:ascii="Times New Roman" w:hAnsi="Times New Roman" w:cs="Times New Roman"/>
          <w:sz w:val="24"/>
          <w:szCs w:val="24"/>
          <w:lang w:val="it-IT"/>
        </w:rPr>
        <w:t xml:space="preserve">Anche in settori come quello dell’intermediazione finanziaria, dove si dà spesso per scontata un’ottima conoscenza dell’inglese, i tassi di esclusione linguistica restano </w:t>
      </w:r>
      <w:r w:rsidR="00CC607F" w:rsidRPr="006F07C8">
        <w:rPr>
          <w:rFonts w:ascii="Times New Roman" w:hAnsi="Times New Roman" w:cs="Times New Roman"/>
          <w:sz w:val="24"/>
          <w:szCs w:val="24"/>
          <w:lang w:val="it-IT"/>
        </w:rPr>
        <w:t xml:space="preserve">in realtà </w:t>
      </w:r>
      <w:r w:rsidR="00B13DB7" w:rsidRPr="006F07C8">
        <w:rPr>
          <w:rFonts w:ascii="Times New Roman" w:hAnsi="Times New Roman" w:cs="Times New Roman"/>
          <w:sz w:val="24"/>
          <w:szCs w:val="24"/>
          <w:lang w:val="it-IT"/>
        </w:rPr>
        <w:t xml:space="preserve">elevati. Il regime linguistico monolingue della DG Affari economici e finanziari, ad esempio, ostacola la comprensione delle informazioni per una percentuale compresa fra il </w:t>
      </w:r>
      <w:r w:rsidR="00820AB1" w:rsidRPr="006F07C8">
        <w:rPr>
          <w:rFonts w:ascii="Times New Roman" w:hAnsi="Times New Roman" w:cs="Times New Roman"/>
          <w:sz w:val="24"/>
          <w:szCs w:val="24"/>
          <w:lang w:val="it-IT"/>
        </w:rPr>
        <w:t>21% e il 65% degli opera</w:t>
      </w:r>
      <w:r w:rsidR="00CF0278" w:rsidRPr="006F07C8">
        <w:rPr>
          <w:rFonts w:ascii="Times New Roman" w:hAnsi="Times New Roman" w:cs="Times New Roman"/>
          <w:sz w:val="24"/>
          <w:szCs w:val="24"/>
          <w:lang w:val="it-IT"/>
        </w:rPr>
        <w:t xml:space="preserve">tori nel </w:t>
      </w:r>
      <w:r w:rsidR="00820AB1" w:rsidRPr="006F07C8">
        <w:rPr>
          <w:rFonts w:ascii="Times New Roman" w:hAnsi="Times New Roman" w:cs="Times New Roman"/>
          <w:sz w:val="24"/>
          <w:szCs w:val="24"/>
          <w:lang w:val="it-IT"/>
        </w:rPr>
        <w:t>settore</w:t>
      </w:r>
      <w:r w:rsidR="00CF0278" w:rsidRPr="006F07C8">
        <w:rPr>
          <w:rFonts w:ascii="Times New Roman" w:hAnsi="Times New Roman" w:cs="Times New Roman"/>
          <w:sz w:val="24"/>
          <w:szCs w:val="24"/>
          <w:lang w:val="it-IT"/>
        </w:rPr>
        <w:t xml:space="preserve"> dell’intermediazione finanziaria</w:t>
      </w:r>
      <w:r w:rsidR="00820AB1" w:rsidRPr="006F07C8">
        <w:rPr>
          <w:rFonts w:ascii="Times New Roman" w:hAnsi="Times New Roman" w:cs="Times New Roman"/>
          <w:sz w:val="24"/>
          <w:szCs w:val="24"/>
          <w:lang w:val="it-IT"/>
        </w:rPr>
        <w:t>. Già un regime linguistico trilingue, ad esempio, farebbe scendere i tassi di esclusione assoluta all’8% e quello di esclusione relativa al 36%. Nel ramo dei trasporti, fra il 45% e il 75% degli operatori ha potenzialmente un accesso difficoltoso o nullo alle pagine Internet della DG Mobilità e trasporti</w:t>
      </w:r>
      <w:r w:rsidR="00807445" w:rsidRPr="006F07C8">
        <w:rPr>
          <w:rFonts w:ascii="Times New Roman" w:hAnsi="Times New Roman" w:cs="Times New Roman"/>
          <w:sz w:val="24"/>
          <w:szCs w:val="24"/>
          <w:lang w:val="it-IT"/>
        </w:rPr>
        <w:t xml:space="preserve"> (disponibili solo in inglese)</w:t>
      </w:r>
      <w:r w:rsidR="00820AB1" w:rsidRPr="006F07C8">
        <w:rPr>
          <w:rFonts w:ascii="Times New Roman" w:hAnsi="Times New Roman" w:cs="Times New Roman"/>
          <w:sz w:val="24"/>
          <w:szCs w:val="24"/>
          <w:lang w:val="it-IT"/>
        </w:rPr>
        <w:t>, mentre il regime trilingue della DG Istruzione e cultura genera dei tassi di esclusione fra il 12% e il 39% degli operatori d</w:t>
      </w:r>
      <w:r w:rsidR="008C4C0D" w:rsidRPr="006F07C8">
        <w:rPr>
          <w:rFonts w:ascii="Times New Roman" w:hAnsi="Times New Roman" w:cs="Times New Roman"/>
          <w:sz w:val="24"/>
          <w:szCs w:val="24"/>
          <w:lang w:val="it-IT"/>
        </w:rPr>
        <w:t>el</w:t>
      </w:r>
      <w:r w:rsidR="00820AB1" w:rsidRPr="006F07C8">
        <w:rPr>
          <w:rFonts w:ascii="Times New Roman" w:hAnsi="Times New Roman" w:cs="Times New Roman"/>
          <w:sz w:val="24"/>
          <w:szCs w:val="24"/>
          <w:lang w:val="it-IT"/>
        </w:rPr>
        <w:t xml:space="preserve"> settore</w:t>
      </w:r>
      <w:r w:rsidR="008C4C0D" w:rsidRPr="006F07C8">
        <w:rPr>
          <w:rFonts w:ascii="Times New Roman" w:hAnsi="Times New Roman" w:cs="Times New Roman"/>
          <w:sz w:val="24"/>
          <w:szCs w:val="24"/>
          <w:lang w:val="it-IT"/>
        </w:rPr>
        <w:t xml:space="preserve"> “M-Educazione”</w:t>
      </w:r>
      <w:r w:rsidR="00820AB1" w:rsidRPr="006F07C8">
        <w:rPr>
          <w:rFonts w:ascii="Times New Roman" w:hAnsi="Times New Roman" w:cs="Times New Roman"/>
          <w:sz w:val="24"/>
          <w:szCs w:val="24"/>
          <w:lang w:val="it-IT"/>
        </w:rPr>
        <w:t>.</w:t>
      </w:r>
    </w:p>
    <w:p w:rsidR="00820AB1" w:rsidRPr="006F07C8" w:rsidRDefault="00820AB1" w:rsidP="002F52A9">
      <w:pPr>
        <w:spacing w:line="240" w:lineRule="auto"/>
        <w:jc w:val="both"/>
        <w:rPr>
          <w:rFonts w:ascii="Times New Roman" w:hAnsi="Times New Roman" w:cs="Times New Roman"/>
          <w:sz w:val="24"/>
          <w:szCs w:val="24"/>
          <w:lang w:val="it-IT"/>
        </w:rPr>
      </w:pPr>
      <w:r w:rsidRPr="006F07C8">
        <w:rPr>
          <w:rFonts w:ascii="Times New Roman" w:hAnsi="Times New Roman" w:cs="Times New Roman"/>
          <w:sz w:val="24"/>
          <w:szCs w:val="24"/>
          <w:lang w:val="it-IT"/>
        </w:rPr>
        <w:t xml:space="preserve">Anche in questo caso, si osserva che il multilinguismo è l’unico regime linguistico che permette una trasmissione veramente efficace delle informazioni a tutti gli operatori di settore. Percentuali </w:t>
      </w:r>
      <w:r w:rsidR="000A6C46" w:rsidRPr="006F07C8">
        <w:rPr>
          <w:rFonts w:ascii="Times New Roman" w:hAnsi="Times New Roman" w:cs="Times New Roman"/>
          <w:sz w:val="24"/>
          <w:szCs w:val="24"/>
          <w:lang w:val="it-IT"/>
        </w:rPr>
        <w:t xml:space="preserve">non trascurabili </w:t>
      </w:r>
      <w:r w:rsidRPr="006F07C8">
        <w:rPr>
          <w:rFonts w:ascii="Times New Roman" w:hAnsi="Times New Roman" w:cs="Times New Roman"/>
          <w:sz w:val="24"/>
          <w:szCs w:val="24"/>
          <w:lang w:val="it-IT"/>
        </w:rPr>
        <w:t xml:space="preserve">di esclusione linguistica (secondo la definizione relativa) si registrano solo nel settore “P-attività domestiche” e “H-hotel, ristoranti e bar”, dove </w:t>
      </w:r>
      <w:r w:rsidR="00CF0278" w:rsidRPr="006F07C8">
        <w:rPr>
          <w:rFonts w:ascii="Times New Roman" w:hAnsi="Times New Roman" w:cs="Times New Roman"/>
          <w:sz w:val="24"/>
          <w:szCs w:val="24"/>
          <w:lang w:val="it-IT"/>
        </w:rPr>
        <w:t xml:space="preserve">però </w:t>
      </w:r>
      <w:r w:rsidRPr="006F07C8">
        <w:rPr>
          <w:rFonts w:ascii="Times New Roman" w:hAnsi="Times New Roman" w:cs="Times New Roman"/>
          <w:sz w:val="24"/>
          <w:szCs w:val="24"/>
          <w:lang w:val="it-IT"/>
        </w:rPr>
        <w:t xml:space="preserve">il lavoro di origine straniera è </w:t>
      </w:r>
      <w:r w:rsidR="0025739E" w:rsidRPr="006F07C8">
        <w:rPr>
          <w:rFonts w:ascii="Times New Roman" w:hAnsi="Times New Roman" w:cs="Times New Roman"/>
          <w:sz w:val="24"/>
          <w:szCs w:val="24"/>
          <w:lang w:val="it-IT"/>
        </w:rPr>
        <w:t>sovrarappresentato</w:t>
      </w:r>
      <w:r w:rsidRPr="006F07C8">
        <w:rPr>
          <w:rFonts w:ascii="Times New Roman" w:hAnsi="Times New Roman" w:cs="Times New Roman"/>
          <w:sz w:val="24"/>
          <w:szCs w:val="24"/>
          <w:lang w:val="it-IT"/>
        </w:rPr>
        <w:t>.</w:t>
      </w:r>
    </w:p>
    <w:p w:rsidR="00820AB1" w:rsidRPr="006F07C8" w:rsidRDefault="008C4C0D" w:rsidP="002F52A9">
      <w:pPr>
        <w:spacing w:line="240" w:lineRule="auto"/>
        <w:jc w:val="both"/>
        <w:rPr>
          <w:rFonts w:ascii="Times New Roman" w:hAnsi="Times New Roman" w:cs="Times New Roman"/>
          <w:sz w:val="24"/>
          <w:szCs w:val="24"/>
          <w:lang w:val="it-IT"/>
        </w:rPr>
      </w:pPr>
      <w:r w:rsidRPr="006F07C8">
        <w:rPr>
          <w:rFonts w:ascii="Times New Roman" w:hAnsi="Times New Roman" w:cs="Times New Roman"/>
          <w:sz w:val="24"/>
          <w:szCs w:val="24"/>
          <w:lang w:val="it-IT"/>
        </w:rPr>
        <w:t xml:space="preserve">I risultati presentati nella </w:t>
      </w:r>
      <w:r w:rsidRPr="006F07C8">
        <w:rPr>
          <w:rFonts w:ascii="Times New Roman" w:hAnsi="Times New Roman" w:cs="Times New Roman"/>
          <w:sz w:val="24"/>
          <w:szCs w:val="24"/>
          <w:lang w:val="it-IT"/>
        </w:rPr>
        <w:fldChar w:fldCharType="begin"/>
      </w:r>
      <w:r w:rsidRPr="006F07C8">
        <w:rPr>
          <w:rFonts w:ascii="Times New Roman" w:hAnsi="Times New Roman" w:cs="Times New Roman"/>
          <w:sz w:val="24"/>
          <w:szCs w:val="24"/>
          <w:lang w:val="it-IT"/>
        </w:rPr>
        <w:instrText xml:space="preserve"> REF _Ref378689843 \h  \* MERGEFORMAT </w:instrText>
      </w:r>
      <w:r w:rsidRPr="006F07C8">
        <w:rPr>
          <w:rFonts w:ascii="Times New Roman" w:hAnsi="Times New Roman" w:cs="Times New Roman"/>
          <w:sz w:val="24"/>
          <w:szCs w:val="24"/>
          <w:lang w:val="it-IT"/>
        </w:rPr>
      </w:r>
      <w:r w:rsidRPr="006F07C8">
        <w:rPr>
          <w:rFonts w:ascii="Times New Roman" w:hAnsi="Times New Roman" w:cs="Times New Roman"/>
          <w:sz w:val="24"/>
          <w:szCs w:val="24"/>
          <w:lang w:val="it-IT"/>
        </w:rPr>
        <w:fldChar w:fldCharType="separate"/>
      </w:r>
      <w:r w:rsidR="00087B27" w:rsidRPr="006F07C8">
        <w:rPr>
          <w:rFonts w:ascii="Times New Roman" w:hAnsi="Times New Roman" w:cs="Times New Roman"/>
          <w:sz w:val="24"/>
          <w:szCs w:val="24"/>
          <w:lang w:val="it-IT"/>
        </w:rPr>
        <w:t xml:space="preserve">Tabella </w:t>
      </w:r>
      <w:r w:rsidR="00087B27" w:rsidRPr="006F07C8">
        <w:rPr>
          <w:rFonts w:ascii="Times New Roman" w:hAnsi="Times New Roman" w:cs="Times New Roman"/>
          <w:noProof/>
          <w:sz w:val="24"/>
          <w:szCs w:val="24"/>
          <w:lang w:val="it-IT"/>
        </w:rPr>
        <w:t>8</w:t>
      </w:r>
      <w:r w:rsidRPr="006F07C8">
        <w:rPr>
          <w:rFonts w:ascii="Times New Roman" w:hAnsi="Times New Roman" w:cs="Times New Roman"/>
          <w:sz w:val="24"/>
          <w:szCs w:val="24"/>
          <w:lang w:val="it-IT"/>
        </w:rPr>
        <w:fldChar w:fldCharType="end"/>
      </w:r>
      <w:r w:rsidRPr="006F07C8">
        <w:rPr>
          <w:rFonts w:ascii="Times New Roman" w:hAnsi="Times New Roman" w:cs="Times New Roman"/>
          <w:sz w:val="24"/>
          <w:szCs w:val="24"/>
          <w:lang w:val="it-IT"/>
        </w:rPr>
        <w:t xml:space="preserve"> </w:t>
      </w:r>
      <w:r w:rsidR="00686BAE" w:rsidRPr="006F07C8">
        <w:rPr>
          <w:rFonts w:ascii="Times New Roman" w:hAnsi="Times New Roman" w:cs="Times New Roman"/>
          <w:sz w:val="24"/>
          <w:szCs w:val="24"/>
          <w:lang w:val="it-IT"/>
        </w:rPr>
        <w:t xml:space="preserve">possono servire a elaborare una politica linguistica europea più efficace, </w:t>
      </w:r>
      <w:r w:rsidR="00BF1F73" w:rsidRPr="006F07C8">
        <w:rPr>
          <w:rFonts w:ascii="Times New Roman" w:hAnsi="Times New Roman" w:cs="Times New Roman"/>
          <w:sz w:val="24"/>
          <w:szCs w:val="24"/>
          <w:lang w:val="it-IT"/>
        </w:rPr>
        <w:t xml:space="preserve">indirizzando </w:t>
      </w:r>
      <w:r w:rsidR="00686BAE" w:rsidRPr="006F07C8">
        <w:rPr>
          <w:rFonts w:ascii="Times New Roman" w:hAnsi="Times New Roman" w:cs="Times New Roman"/>
          <w:sz w:val="24"/>
          <w:szCs w:val="24"/>
          <w:lang w:val="it-IT"/>
        </w:rPr>
        <w:t xml:space="preserve">le risorse disponibili per </w:t>
      </w:r>
      <w:r w:rsidR="00BF1F73" w:rsidRPr="006F07C8">
        <w:rPr>
          <w:rFonts w:ascii="Times New Roman" w:hAnsi="Times New Roman" w:cs="Times New Roman"/>
          <w:sz w:val="24"/>
          <w:szCs w:val="24"/>
          <w:lang w:val="it-IT"/>
        </w:rPr>
        <w:t xml:space="preserve">la traduzione </w:t>
      </w:r>
      <w:r w:rsidR="00686BAE" w:rsidRPr="006F07C8">
        <w:rPr>
          <w:rFonts w:ascii="Times New Roman" w:hAnsi="Times New Roman" w:cs="Times New Roman"/>
          <w:sz w:val="24"/>
          <w:szCs w:val="24"/>
          <w:lang w:val="it-IT"/>
        </w:rPr>
        <w:t xml:space="preserve">anzitutto nella comunicazione rivolta </w:t>
      </w:r>
      <w:r w:rsidR="00BF1F73" w:rsidRPr="006F07C8">
        <w:rPr>
          <w:rFonts w:ascii="Times New Roman" w:hAnsi="Times New Roman" w:cs="Times New Roman"/>
          <w:sz w:val="24"/>
          <w:szCs w:val="24"/>
          <w:lang w:val="it-IT"/>
        </w:rPr>
        <w:t>agli operatori che lavorano nei</w:t>
      </w:r>
      <w:r w:rsidR="00686BAE" w:rsidRPr="006F07C8">
        <w:rPr>
          <w:rFonts w:ascii="Times New Roman" w:hAnsi="Times New Roman" w:cs="Times New Roman"/>
          <w:sz w:val="24"/>
          <w:szCs w:val="24"/>
          <w:lang w:val="it-IT"/>
        </w:rPr>
        <w:t xml:space="preserve"> settori </w:t>
      </w:r>
      <w:r w:rsidR="006007E8" w:rsidRPr="006F07C8">
        <w:rPr>
          <w:rFonts w:ascii="Times New Roman" w:hAnsi="Times New Roman" w:cs="Times New Roman"/>
          <w:sz w:val="24"/>
          <w:szCs w:val="24"/>
          <w:lang w:val="it-IT"/>
        </w:rPr>
        <w:t xml:space="preserve">economici </w:t>
      </w:r>
      <w:r w:rsidR="00686BAE" w:rsidRPr="006F07C8">
        <w:rPr>
          <w:rFonts w:ascii="Times New Roman" w:hAnsi="Times New Roman" w:cs="Times New Roman"/>
          <w:sz w:val="24"/>
          <w:szCs w:val="24"/>
          <w:lang w:val="it-IT"/>
        </w:rPr>
        <w:t xml:space="preserve">dove i tassi di esclusione </w:t>
      </w:r>
      <w:r w:rsidR="006007E8" w:rsidRPr="006F07C8">
        <w:rPr>
          <w:rFonts w:ascii="Times New Roman" w:hAnsi="Times New Roman" w:cs="Times New Roman"/>
          <w:sz w:val="24"/>
          <w:szCs w:val="24"/>
          <w:lang w:val="it-IT"/>
        </w:rPr>
        <w:t xml:space="preserve">linguistica sono più alti. In altri termini, se le risorse disponibili in un dato momento non permettono di tradurre in tutte le lingue </w:t>
      </w:r>
      <w:r w:rsidR="004273C1" w:rsidRPr="006F07C8">
        <w:rPr>
          <w:rFonts w:ascii="Times New Roman" w:hAnsi="Times New Roman" w:cs="Times New Roman"/>
          <w:sz w:val="24"/>
          <w:szCs w:val="24"/>
          <w:lang w:val="it-IT"/>
        </w:rPr>
        <w:t xml:space="preserve">ufficiali </w:t>
      </w:r>
      <w:r w:rsidR="006007E8" w:rsidRPr="006F07C8">
        <w:rPr>
          <w:rFonts w:ascii="Times New Roman" w:hAnsi="Times New Roman" w:cs="Times New Roman"/>
          <w:sz w:val="24"/>
          <w:szCs w:val="24"/>
          <w:lang w:val="it-IT"/>
        </w:rPr>
        <w:t>le pagine Internet delle varie DG e i documenti di natura strategica come i bandi e gli appalti, meglio concentrare le risorse in quei settori di attività economica dove i tassi di esclusione linguistica sono più elevati (per esempio, agricoltura rispetto all’intermediazione finanziaria).</w:t>
      </w:r>
    </w:p>
    <w:p w:rsidR="006007E8" w:rsidRPr="006F07C8" w:rsidRDefault="004273C1" w:rsidP="002F52A9">
      <w:pPr>
        <w:spacing w:line="240" w:lineRule="auto"/>
        <w:jc w:val="both"/>
        <w:rPr>
          <w:rFonts w:ascii="Times New Roman" w:hAnsi="Times New Roman" w:cs="Times New Roman"/>
          <w:sz w:val="24"/>
          <w:szCs w:val="24"/>
          <w:lang w:val="it-IT"/>
        </w:rPr>
      </w:pPr>
      <w:r w:rsidRPr="006F07C8">
        <w:rPr>
          <w:rFonts w:ascii="Times New Roman" w:hAnsi="Times New Roman" w:cs="Times New Roman"/>
          <w:sz w:val="24"/>
          <w:szCs w:val="24"/>
          <w:lang w:val="it-IT"/>
        </w:rPr>
        <w:t>Si potrebbe obiettare che all’interno di un settore economico dato non tutte le categorie professionali sono interessate ad accedere ai documenti ufficiali, ai bandi, alle gare d’appalto e di sovvenzione e alle pagine inform</w:t>
      </w:r>
      <w:r w:rsidR="008C0952" w:rsidRPr="006F07C8">
        <w:rPr>
          <w:rFonts w:ascii="Times New Roman" w:hAnsi="Times New Roman" w:cs="Times New Roman"/>
          <w:sz w:val="24"/>
          <w:szCs w:val="24"/>
          <w:lang w:val="it-IT"/>
        </w:rPr>
        <w:t>ative della Commissione europea</w:t>
      </w:r>
      <w:r w:rsidRPr="006F07C8">
        <w:rPr>
          <w:rFonts w:ascii="Times New Roman" w:hAnsi="Times New Roman" w:cs="Times New Roman"/>
          <w:sz w:val="24"/>
          <w:szCs w:val="24"/>
          <w:lang w:val="it-IT"/>
        </w:rPr>
        <w:t>,</w:t>
      </w:r>
      <w:r w:rsidR="008C0952" w:rsidRPr="006F07C8">
        <w:rPr>
          <w:rFonts w:ascii="Times New Roman" w:hAnsi="Times New Roman" w:cs="Times New Roman"/>
          <w:sz w:val="24"/>
          <w:szCs w:val="24"/>
          <w:lang w:val="it-IT"/>
        </w:rPr>
        <w:t xml:space="preserve"> </w:t>
      </w:r>
      <w:r w:rsidRPr="006F07C8">
        <w:rPr>
          <w:rFonts w:ascii="Times New Roman" w:hAnsi="Times New Roman" w:cs="Times New Roman"/>
          <w:sz w:val="24"/>
          <w:szCs w:val="24"/>
          <w:lang w:val="it-IT"/>
        </w:rPr>
        <w:t xml:space="preserve">e che sono solitamente i dirigenti e i quadri intermedi ad avere necessità di accedere a questi documenti. </w:t>
      </w:r>
      <w:r w:rsidR="008C0952" w:rsidRPr="006F07C8">
        <w:rPr>
          <w:rFonts w:ascii="Times New Roman" w:hAnsi="Times New Roman" w:cs="Times New Roman"/>
          <w:sz w:val="24"/>
          <w:szCs w:val="24"/>
          <w:lang w:val="it-IT"/>
        </w:rPr>
        <w:t xml:space="preserve">L’obiezione è pertinente </w:t>
      </w:r>
      <w:r w:rsidR="00BF1F73" w:rsidRPr="006F07C8">
        <w:rPr>
          <w:rFonts w:ascii="Times New Roman" w:hAnsi="Times New Roman" w:cs="Times New Roman"/>
          <w:sz w:val="24"/>
          <w:szCs w:val="24"/>
          <w:lang w:val="it-IT"/>
        </w:rPr>
        <w:t>e fondata. È</w:t>
      </w:r>
      <w:r w:rsidRPr="006F07C8">
        <w:rPr>
          <w:rFonts w:ascii="Times New Roman" w:hAnsi="Times New Roman" w:cs="Times New Roman"/>
          <w:sz w:val="24"/>
          <w:szCs w:val="24"/>
          <w:lang w:val="it-IT"/>
        </w:rPr>
        <w:t xml:space="preserve"> quindi </w:t>
      </w:r>
      <w:r w:rsidR="00BF1F73" w:rsidRPr="006F07C8">
        <w:rPr>
          <w:rFonts w:ascii="Times New Roman" w:hAnsi="Times New Roman" w:cs="Times New Roman"/>
          <w:sz w:val="24"/>
          <w:szCs w:val="24"/>
          <w:lang w:val="it-IT"/>
        </w:rPr>
        <w:t xml:space="preserve">necessario </w:t>
      </w:r>
      <w:r w:rsidRPr="006F07C8">
        <w:rPr>
          <w:rFonts w:ascii="Times New Roman" w:hAnsi="Times New Roman" w:cs="Times New Roman"/>
          <w:sz w:val="24"/>
          <w:szCs w:val="24"/>
          <w:lang w:val="it-IT"/>
        </w:rPr>
        <w:t xml:space="preserve">studiare </w:t>
      </w:r>
      <w:r w:rsidR="00B9179C" w:rsidRPr="006F07C8">
        <w:rPr>
          <w:rFonts w:ascii="Times New Roman" w:hAnsi="Times New Roman" w:cs="Times New Roman"/>
          <w:sz w:val="24"/>
          <w:szCs w:val="24"/>
          <w:lang w:val="it-IT"/>
        </w:rPr>
        <w:t>la distribuzione de</w:t>
      </w:r>
      <w:r w:rsidRPr="006F07C8">
        <w:rPr>
          <w:rFonts w:ascii="Times New Roman" w:hAnsi="Times New Roman" w:cs="Times New Roman"/>
          <w:sz w:val="24"/>
          <w:szCs w:val="24"/>
          <w:lang w:val="it-IT"/>
        </w:rPr>
        <w:t xml:space="preserve">i tassi di esclusione linguistica </w:t>
      </w:r>
      <w:r w:rsidR="00BF1F73" w:rsidRPr="006F07C8">
        <w:rPr>
          <w:rFonts w:ascii="Times New Roman" w:hAnsi="Times New Roman" w:cs="Times New Roman"/>
          <w:sz w:val="24"/>
          <w:szCs w:val="24"/>
          <w:lang w:val="it-IT"/>
        </w:rPr>
        <w:t>per</w:t>
      </w:r>
      <w:r w:rsidR="00C37333" w:rsidRPr="006F07C8">
        <w:rPr>
          <w:rFonts w:ascii="Times New Roman" w:hAnsi="Times New Roman" w:cs="Times New Roman"/>
          <w:sz w:val="24"/>
          <w:szCs w:val="24"/>
          <w:lang w:val="it-IT"/>
        </w:rPr>
        <w:t xml:space="preserve"> tipo di professione.</w:t>
      </w:r>
    </w:p>
    <w:p w:rsidR="00C37333" w:rsidRPr="006F07C8" w:rsidRDefault="00C37333" w:rsidP="002F52A9">
      <w:pPr>
        <w:spacing w:line="240" w:lineRule="auto"/>
        <w:jc w:val="both"/>
        <w:rPr>
          <w:rFonts w:ascii="Times New Roman" w:hAnsi="Times New Roman" w:cs="Times New Roman"/>
          <w:sz w:val="24"/>
          <w:szCs w:val="24"/>
          <w:lang w:val="it-IT"/>
        </w:rPr>
      </w:pPr>
      <w:r w:rsidRPr="006F07C8">
        <w:rPr>
          <w:rFonts w:ascii="Times New Roman" w:hAnsi="Times New Roman" w:cs="Times New Roman"/>
          <w:sz w:val="24"/>
          <w:szCs w:val="24"/>
          <w:lang w:val="it-IT"/>
        </w:rPr>
        <w:t xml:space="preserve">La </w:t>
      </w:r>
      <w:r w:rsidRPr="006F07C8">
        <w:rPr>
          <w:rFonts w:ascii="Times New Roman" w:hAnsi="Times New Roman" w:cs="Times New Roman"/>
          <w:sz w:val="24"/>
          <w:szCs w:val="24"/>
          <w:lang w:val="it-IT"/>
        </w:rPr>
        <w:fldChar w:fldCharType="begin"/>
      </w:r>
      <w:r w:rsidRPr="006F07C8">
        <w:rPr>
          <w:rFonts w:ascii="Times New Roman" w:hAnsi="Times New Roman" w:cs="Times New Roman"/>
          <w:sz w:val="24"/>
          <w:szCs w:val="24"/>
          <w:lang w:val="it-IT"/>
        </w:rPr>
        <w:instrText xml:space="preserve"> REF _Ref378699931 \h  \* MERGEFORMAT </w:instrText>
      </w:r>
      <w:r w:rsidRPr="006F07C8">
        <w:rPr>
          <w:rFonts w:ascii="Times New Roman" w:hAnsi="Times New Roman" w:cs="Times New Roman"/>
          <w:sz w:val="24"/>
          <w:szCs w:val="24"/>
          <w:lang w:val="it-IT"/>
        </w:rPr>
      </w:r>
      <w:r w:rsidRPr="006F07C8">
        <w:rPr>
          <w:rFonts w:ascii="Times New Roman" w:hAnsi="Times New Roman" w:cs="Times New Roman"/>
          <w:sz w:val="24"/>
          <w:szCs w:val="24"/>
          <w:lang w:val="it-IT"/>
        </w:rPr>
        <w:fldChar w:fldCharType="separate"/>
      </w:r>
      <w:r w:rsidR="00087B27" w:rsidRPr="006F07C8">
        <w:rPr>
          <w:rFonts w:ascii="Times New Roman" w:hAnsi="Times New Roman" w:cs="Times New Roman"/>
          <w:sz w:val="24"/>
          <w:szCs w:val="24"/>
          <w:lang w:val="it-IT"/>
        </w:rPr>
        <w:t xml:space="preserve">Tabella </w:t>
      </w:r>
      <w:r w:rsidR="00087B27" w:rsidRPr="006F07C8">
        <w:rPr>
          <w:rFonts w:ascii="Times New Roman" w:hAnsi="Times New Roman" w:cs="Times New Roman"/>
          <w:noProof/>
          <w:sz w:val="24"/>
          <w:szCs w:val="24"/>
          <w:lang w:val="it-IT"/>
        </w:rPr>
        <w:t>9</w:t>
      </w:r>
      <w:r w:rsidRPr="006F07C8">
        <w:rPr>
          <w:rFonts w:ascii="Times New Roman" w:hAnsi="Times New Roman" w:cs="Times New Roman"/>
          <w:sz w:val="24"/>
          <w:szCs w:val="24"/>
          <w:lang w:val="it-IT"/>
        </w:rPr>
        <w:fldChar w:fldCharType="end"/>
      </w:r>
      <w:r w:rsidRPr="006F07C8">
        <w:rPr>
          <w:rFonts w:ascii="Times New Roman" w:hAnsi="Times New Roman" w:cs="Times New Roman"/>
          <w:sz w:val="24"/>
          <w:szCs w:val="24"/>
          <w:lang w:val="it-IT"/>
        </w:rPr>
        <w:t xml:space="preserve"> presenta i tassi di</w:t>
      </w:r>
      <w:r w:rsidR="00960644" w:rsidRPr="006F07C8">
        <w:rPr>
          <w:rFonts w:ascii="Times New Roman" w:hAnsi="Times New Roman" w:cs="Times New Roman"/>
          <w:sz w:val="24"/>
          <w:szCs w:val="24"/>
          <w:lang w:val="it-IT"/>
        </w:rPr>
        <w:t xml:space="preserve"> esclusione linguistica assoluta e relativa</w:t>
      </w:r>
      <w:r w:rsidRPr="006F07C8">
        <w:rPr>
          <w:rFonts w:ascii="Times New Roman" w:hAnsi="Times New Roman" w:cs="Times New Roman"/>
          <w:sz w:val="24"/>
          <w:szCs w:val="24"/>
          <w:lang w:val="it-IT"/>
        </w:rPr>
        <w:t xml:space="preserve"> per categoria professionale </w:t>
      </w:r>
      <w:r w:rsidR="00D127A6" w:rsidRPr="006F07C8">
        <w:rPr>
          <w:rFonts w:ascii="Times New Roman" w:hAnsi="Times New Roman" w:cs="Times New Roman"/>
          <w:sz w:val="24"/>
          <w:szCs w:val="24"/>
          <w:lang w:val="it-IT"/>
        </w:rPr>
        <w:t xml:space="preserve">che sono </w:t>
      </w:r>
      <w:r w:rsidRPr="006F07C8">
        <w:rPr>
          <w:rFonts w:ascii="Times New Roman" w:hAnsi="Times New Roman" w:cs="Times New Roman"/>
          <w:sz w:val="24"/>
          <w:szCs w:val="24"/>
          <w:lang w:val="it-IT"/>
        </w:rPr>
        <w:t xml:space="preserve">associati ai tre regimi linguistici </w:t>
      </w:r>
      <w:r w:rsidR="00A00ABB" w:rsidRPr="006F07C8">
        <w:rPr>
          <w:rFonts w:ascii="Times New Roman" w:hAnsi="Times New Roman" w:cs="Times New Roman"/>
          <w:sz w:val="24"/>
          <w:szCs w:val="24"/>
          <w:lang w:val="it-IT"/>
        </w:rPr>
        <w:t xml:space="preserve">praticati dalle varie DG. La </w:t>
      </w:r>
      <w:r w:rsidRPr="006F07C8">
        <w:rPr>
          <w:rFonts w:ascii="Times New Roman" w:hAnsi="Times New Roman" w:cs="Times New Roman"/>
          <w:sz w:val="24"/>
          <w:szCs w:val="24"/>
          <w:lang w:val="it-IT"/>
        </w:rPr>
        <w:t xml:space="preserve">professione </w:t>
      </w:r>
      <w:r w:rsidR="00A00ABB" w:rsidRPr="006F07C8">
        <w:rPr>
          <w:rFonts w:ascii="Times New Roman" w:hAnsi="Times New Roman" w:cs="Times New Roman"/>
          <w:sz w:val="24"/>
          <w:szCs w:val="24"/>
          <w:lang w:val="it-IT"/>
        </w:rPr>
        <w:t xml:space="preserve">è definita seguendo la nomenclatura adottata nella IEA, cioè la </w:t>
      </w:r>
      <w:r w:rsidR="004A6D92" w:rsidRPr="006F07C8">
        <w:rPr>
          <w:rFonts w:ascii="Times New Roman" w:hAnsi="Times New Roman" w:cs="Times New Roman"/>
          <w:i/>
          <w:sz w:val="24"/>
          <w:szCs w:val="24"/>
          <w:lang w:val="it-IT"/>
        </w:rPr>
        <w:t>Classificazione internazionale tipo delle professioni</w:t>
      </w:r>
      <w:r w:rsidR="004A6D92" w:rsidRPr="006F07C8">
        <w:rPr>
          <w:rFonts w:ascii="Times New Roman" w:hAnsi="Times New Roman" w:cs="Times New Roman"/>
          <w:sz w:val="24"/>
          <w:szCs w:val="24"/>
          <w:lang w:val="it-IT"/>
        </w:rPr>
        <w:t xml:space="preserve"> (ISCO-CITP </w:t>
      </w:r>
      <w:r w:rsidR="005A17D4" w:rsidRPr="006F07C8">
        <w:rPr>
          <w:rFonts w:ascii="Times New Roman" w:hAnsi="Times New Roman" w:cs="Times New Roman"/>
          <w:sz w:val="24"/>
          <w:szCs w:val="24"/>
          <w:lang w:val="it-IT"/>
        </w:rPr>
        <w:t>88</w:t>
      </w:r>
      <w:r w:rsidR="004A6D92" w:rsidRPr="006F07C8">
        <w:rPr>
          <w:rFonts w:ascii="Times New Roman" w:hAnsi="Times New Roman" w:cs="Times New Roman"/>
          <w:sz w:val="24"/>
          <w:szCs w:val="24"/>
          <w:lang w:val="it-IT"/>
        </w:rPr>
        <w:t>)</w:t>
      </w:r>
      <w:r w:rsidRPr="006F07C8">
        <w:rPr>
          <w:rFonts w:ascii="Times New Roman" w:hAnsi="Times New Roman" w:cs="Times New Roman"/>
          <w:sz w:val="24"/>
          <w:szCs w:val="24"/>
          <w:lang w:val="it-IT"/>
        </w:rPr>
        <w:t xml:space="preserve">. </w:t>
      </w:r>
      <w:r w:rsidR="004A6D92" w:rsidRPr="006F07C8">
        <w:rPr>
          <w:rFonts w:ascii="Times New Roman" w:hAnsi="Times New Roman" w:cs="Times New Roman"/>
          <w:sz w:val="24"/>
          <w:szCs w:val="24"/>
          <w:lang w:val="it-IT"/>
        </w:rPr>
        <w:t xml:space="preserve">I risultati nella </w:t>
      </w:r>
      <w:r w:rsidR="004A6D92" w:rsidRPr="006F07C8">
        <w:rPr>
          <w:rFonts w:ascii="Times New Roman" w:hAnsi="Times New Roman" w:cs="Times New Roman"/>
          <w:sz w:val="24"/>
          <w:szCs w:val="24"/>
          <w:lang w:val="it-IT"/>
        </w:rPr>
        <w:fldChar w:fldCharType="begin"/>
      </w:r>
      <w:r w:rsidR="004A6D92" w:rsidRPr="006F07C8">
        <w:rPr>
          <w:rFonts w:ascii="Times New Roman" w:hAnsi="Times New Roman" w:cs="Times New Roman"/>
          <w:sz w:val="24"/>
          <w:szCs w:val="24"/>
          <w:lang w:val="it-IT"/>
        </w:rPr>
        <w:instrText xml:space="preserve"> REF _Ref378699931 \h  \* MERGEFORMAT </w:instrText>
      </w:r>
      <w:r w:rsidR="004A6D92" w:rsidRPr="006F07C8">
        <w:rPr>
          <w:rFonts w:ascii="Times New Roman" w:hAnsi="Times New Roman" w:cs="Times New Roman"/>
          <w:sz w:val="24"/>
          <w:szCs w:val="24"/>
          <w:lang w:val="it-IT"/>
        </w:rPr>
      </w:r>
      <w:r w:rsidR="004A6D92" w:rsidRPr="006F07C8">
        <w:rPr>
          <w:rFonts w:ascii="Times New Roman" w:hAnsi="Times New Roman" w:cs="Times New Roman"/>
          <w:sz w:val="24"/>
          <w:szCs w:val="24"/>
          <w:lang w:val="it-IT"/>
        </w:rPr>
        <w:fldChar w:fldCharType="separate"/>
      </w:r>
      <w:r w:rsidR="00087B27" w:rsidRPr="006F07C8">
        <w:rPr>
          <w:rFonts w:ascii="Times New Roman" w:hAnsi="Times New Roman" w:cs="Times New Roman"/>
          <w:sz w:val="24"/>
          <w:szCs w:val="24"/>
          <w:lang w:val="it-IT"/>
        </w:rPr>
        <w:t xml:space="preserve">Tabella </w:t>
      </w:r>
      <w:r w:rsidR="00087B27" w:rsidRPr="006F07C8">
        <w:rPr>
          <w:rFonts w:ascii="Times New Roman" w:hAnsi="Times New Roman" w:cs="Times New Roman"/>
          <w:noProof/>
          <w:sz w:val="24"/>
          <w:szCs w:val="24"/>
          <w:lang w:val="it-IT"/>
        </w:rPr>
        <w:t>9</w:t>
      </w:r>
      <w:r w:rsidR="004A6D92" w:rsidRPr="006F07C8">
        <w:rPr>
          <w:rFonts w:ascii="Times New Roman" w:hAnsi="Times New Roman" w:cs="Times New Roman"/>
          <w:sz w:val="24"/>
          <w:szCs w:val="24"/>
          <w:lang w:val="it-IT"/>
        </w:rPr>
        <w:fldChar w:fldCharType="end"/>
      </w:r>
      <w:r w:rsidR="004A6D92" w:rsidRPr="006F07C8">
        <w:rPr>
          <w:rFonts w:ascii="Times New Roman" w:hAnsi="Times New Roman" w:cs="Times New Roman"/>
          <w:sz w:val="24"/>
          <w:szCs w:val="24"/>
          <w:lang w:val="it-IT"/>
        </w:rPr>
        <w:t xml:space="preserve"> non includono l’Italia perché non sono stati raccolti dati per </w:t>
      </w:r>
      <w:r w:rsidRPr="006F07C8">
        <w:rPr>
          <w:rFonts w:ascii="Times New Roman" w:hAnsi="Times New Roman" w:cs="Times New Roman"/>
          <w:sz w:val="24"/>
          <w:szCs w:val="24"/>
          <w:lang w:val="it-IT"/>
        </w:rPr>
        <w:t xml:space="preserve">questo paese </w:t>
      </w:r>
      <w:r w:rsidR="004A6D92" w:rsidRPr="006F07C8">
        <w:rPr>
          <w:rFonts w:ascii="Times New Roman" w:hAnsi="Times New Roman" w:cs="Times New Roman"/>
          <w:sz w:val="24"/>
          <w:szCs w:val="24"/>
          <w:lang w:val="it-IT"/>
        </w:rPr>
        <w:t xml:space="preserve">per </w:t>
      </w:r>
      <w:r w:rsidRPr="006F07C8">
        <w:rPr>
          <w:rFonts w:ascii="Times New Roman" w:hAnsi="Times New Roman" w:cs="Times New Roman"/>
          <w:sz w:val="24"/>
          <w:szCs w:val="24"/>
          <w:lang w:val="it-IT"/>
        </w:rPr>
        <w:t xml:space="preserve">la variabile </w:t>
      </w:r>
      <w:r w:rsidR="004A6D92" w:rsidRPr="006F07C8">
        <w:rPr>
          <w:rFonts w:ascii="Times New Roman" w:hAnsi="Times New Roman" w:cs="Times New Roman"/>
          <w:sz w:val="24"/>
          <w:szCs w:val="24"/>
          <w:lang w:val="it-IT"/>
        </w:rPr>
        <w:t xml:space="preserve">della IEA chiamata </w:t>
      </w:r>
      <w:r w:rsidRPr="006F07C8">
        <w:rPr>
          <w:rFonts w:ascii="Times New Roman" w:hAnsi="Times New Roman" w:cs="Times New Roman"/>
          <w:sz w:val="24"/>
          <w:szCs w:val="24"/>
          <w:lang w:val="it-IT"/>
        </w:rPr>
        <w:t>“</w:t>
      </w:r>
      <w:r w:rsidR="004A6D92" w:rsidRPr="006F07C8">
        <w:rPr>
          <w:rFonts w:ascii="Times New Roman" w:hAnsi="Times New Roman" w:cs="Times New Roman"/>
          <w:sz w:val="24"/>
          <w:szCs w:val="24"/>
          <w:lang w:val="it-IT"/>
        </w:rPr>
        <w:t>tipo di professione”.</w:t>
      </w:r>
      <w:r w:rsidR="00807445" w:rsidRPr="006F07C8">
        <w:rPr>
          <w:rFonts w:ascii="Times New Roman" w:hAnsi="Times New Roman" w:cs="Times New Roman"/>
          <w:sz w:val="24"/>
          <w:szCs w:val="24"/>
          <w:lang w:val="it-IT"/>
        </w:rPr>
        <w:t xml:space="preserve"> Anche in questo caso quindi i risultati si riferiscono a 23 paesi.</w:t>
      </w:r>
    </w:p>
    <w:p w:rsidR="00C37333" w:rsidRPr="006F07C8" w:rsidRDefault="00C37333" w:rsidP="004930BB">
      <w:pPr>
        <w:pStyle w:val="Caption"/>
        <w:keepNext/>
        <w:keepLines/>
        <w:rPr>
          <w:rFonts w:ascii="Times New Roman" w:hAnsi="Times New Roman" w:cs="Times New Roman"/>
          <w:sz w:val="20"/>
          <w:szCs w:val="20"/>
          <w:lang w:val="it-IT"/>
        </w:rPr>
      </w:pPr>
      <w:bookmarkStart w:id="25" w:name="_Ref378699931"/>
      <w:r w:rsidRPr="006F07C8">
        <w:rPr>
          <w:rFonts w:ascii="Times New Roman" w:hAnsi="Times New Roman" w:cs="Times New Roman"/>
          <w:sz w:val="20"/>
          <w:szCs w:val="20"/>
          <w:lang w:val="it-IT"/>
        </w:rPr>
        <w:lastRenderedPageBreak/>
        <w:t xml:space="preserve">Tabella </w:t>
      </w:r>
      <w:r w:rsidRPr="006F07C8">
        <w:rPr>
          <w:rFonts w:ascii="Times New Roman" w:hAnsi="Times New Roman" w:cs="Times New Roman"/>
          <w:sz w:val="20"/>
          <w:szCs w:val="20"/>
          <w:lang w:val="it-IT"/>
        </w:rPr>
        <w:fldChar w:fldCharType="begin"/>
      </w:r>
      <w:r w:rsidRPr="006F07C8">
        <w:rPr>
          <w:rFonts w:ascii="Times New Roman" w:hAnsi="Times New Roman" w:cs="Times New Roman"/>
          <w:sz w:val="20"/>
          <w:szCs w:val="20"/>
          <w:lang w:val="it-IT"/>
        </w:rPr>
        <w:instrText xml:space="preserve"> SEQ Tabella \* ARABIC </w:instrText>
      </w:r>
      <w:r w:rsidRPr="006F07C8">
        <w:rPr>
          <w:rFonts w:ascii="Times New Roman" w:hAnsi="Times New Roman" w:cs="Times New Roman"/>
          <w:sz w:val="20"/>
          <w:szCs w:val="20"/>
          <w:lang w:val="it-IT"/>
        </w:rPr>
        <w:fldChar w:fldCharType="separate"/>
      </w:r>
      <w:r w:rsidR="00087B27" w:rsidRPr="006F07C8">
        <w:rPr>
          <w:rFonts w:ascii="Times New Roman" w:hAnsi="Times New Roman" w:cs="Times New Roman"/>
          <w:noProof/>
          <w:sz w:val="20"/>
          <w:szCs w:val="20"/>
          <w:lang w:val="it-IT"/>
        </w:rPr>
        <w:t>9</w:t>
      </w:r>
      <w:r w:rsidRPr="006F07C8">
        <w:rPr>
          <w:rFonts w:ascii="Times New Roman" w:hAnsi="Times New Roman" w:cs="Times New Roman"/>
          <w:sz w:val="20"/>
          <w:szCs w:val="20"/>
          <w:lang w:val="it-IT"/>
        </w:rPr>
        <w:fldChar w:fldCharType="end"/>
      </w:r>
      <w:bookmarkEnd w:id="25"/>
      <w:r w:rsidRPr="006F07C8">
        <w:rPr>
          <w:rFonts w:ascii="Times New Roman" w:hAnsi="Times New Roman" w:cs="Times New Roman"/>
          <w:sz w:val="20"/>
          <w:szCs w:val="20"/>
          <w:lang w:val="it-IT"/>
        </w:rPr>
        <w:t> </w:t>
      </w:r>
      <w:bookmarkStart w:id="26" w:name="_Ref378699917"/>
      <w:r w:rsidRPr="006F07C8">
        <w:rPr>
          <w:rFonts w:ascii="Times New Roman" w:hAnsi="Times New Roman" w:cs="Times New Roman"/>
          <w:sz w:val="20"/>
          <w:szCs w:val="20"/>
          <w:lang w:val="it-IT"/>
        </w:rPr>
        <w:t>: Tassi di</w:t>
      </w:r>
      <w:r w:rsidR="00960644" w:rsidRPr="006F07C8">
        <w:rPr>
          <w:rFonts w:ascii="Times New Roman" w:hAnsi="Times New Roman" w:cs="Times New Roman"/>
          <w:sz w:val="20"/>
          <w:szCs w:val="20"/>
          <w:lang w:val="it-IT"/>
        </w:rPr>
        <w:t xml:space="preserve"> esclusione linguistica assoluta e relativa</w:t>
      </w:r>
      <w:r w:rsidRPr="006F07C8">
        <w:rPr>
          <w:rFonts w:ascii="Times New Roman" w:hAnsi="Times New Roman" w:cs="Times New Roman"/>
          <w:sz w:val="20"/>
          <w:szCs w:val="20"/>
          <w:lang w:val="it-IT"/>
        </w:rPr>
        <w:t xml:space="preserve"> per </w:t>
      </w:r>
      <w:r w:rsidR="004A6D92" w:rsidRPr="006F07C8">
        <w:rPr>
          <w:rFonts w:ascii="Times New Roman" w:hAnsi="Times New Roman" w:cs="Times New Roman"/>
          <w:sz w:val="20"/>
          <w:szCs w:val="20"/>
          <w:lang w:val="it-IT"/>
        </w:rPr>
        <w:t>professione</w:t>
      </w:r>
      <w:r w:rsidRPr="006F07C8">
        <w:rPr>
          <w:rFonts w:ascii="Times New Roman" w:hAnsi="Times New Roman" w:cs="Times New Roman"/>
          <w:sz w:val="20"/>
          <w:szCs w:val="20"/>
          <w:lang w:val="it-IT"/>
        </w:rPr>
        <w:t xml:space="preserve"> e per regime linguistico, UE-23. Dati in percentuale</w:t>
      </w:r>
      <w:bookmarkEnd w:id="26"/>
    </w:p>
    <w:tbl>
      <w:tblPr>
        <w:tblStyle w:val="TableGrid"/>
        <w:tblW w:w="9574" w:type="dxa"/>
        <w:tblLayout w:type="fixed"/>
        <w:tblLook w:val="04A0" w:firstRow="1" w:lastRow="0" w:firstColumn="1" w:lastColumn="0" w:noHBand="0" w:noVBand="1"/>
      </w:tblPr>
      <w:tblGrid>
        <w:gridCol w:w="4907"/>
        <w:gridCol w:w="723"/>
        <w:gridCol w:w="723"/>
        <w:gridCol w:w="236"/>
        <w:gridCol w:w="667"/>
        <w:gridCol w:w="723"/>
        <w:gridCol w:w="236"/>
        <w:gridCol w:w="635"/>
        <w:gridCol w:w="724"/>
      </w:tblGrid>
      <w:tr w:rsidR="000A6C46" w:rsidRPr="006F07C8" w:rsidTr="003F411A">
        <w:trPr>
          <w:trHeight w:val="312"/>
        </w:trPr>
        <w:tc>
          <w:tcPr>
            <w:tcW w:w="4907" w:type="dxa"/>
          </w:tcPr>
          <w:p w:rsidR="000A6C46" w:rsidRPr="006F07C8" w:rsidRDefault="000A6C46" w:rsidP="004930BB">
            <w:pPr>
              <w:keepNext/>
              <w:keepLines/>
              <w:jc w:val="center"/>
              <w:rPr>
                <w:rFonts w:ascii="Times New Roman" w:hAnsi="Times New Roman" w:cs="Times New Roman"/>
                <w:b/>
                <w:sz w:val="20"/>
                <w:szCs w:val="20"/>
                <w:lang w:val="it-IT" w:eastAsia="fr-CH"/>
              </w:rPr>
            </w:pPr>
            <w:r w:rsidRPr="006F07C8">
              <w:rPr>
                <w:rFonts w:ascii="Times New Roman" w:hAnsi="Times New Roman" w:cs="Times New Roman"/>
                <w:b/>
                <w:sz w:val="20"/>
                <w:szCs w:val="20"/>
                <w:lang w:val="it-IT" w:eastAsia="fr-CH"/>
              </w:rPr>
              <w:t>Professione</w:t>
            </w:r>
          </w:p>
        </w:tc>
        <w:tc>
          <w:tcPr>
            <w:tcW w:w="1446" w:type="dxa"/>
            <w:gridSpan w:val="2"/>
          </w:tcPr>
          <w:p w:rsidR="000A6C46" w:rsidRPr="006F07C8" w:rsidRDefault="000A6C46" w:rsidP="004930BB">
            <w:pPr>
              <w:keepNext/>
              <w:keepLines/>
              <w:jc w:val="center"/>
              <w:rPr>
                <w:rFonts w:ascii="Times New Roman" w:hAnsi="Times New Roman" w:cs="Times New Roman"/>
                <w:b/>
                <w:color w:val="000000"/>
                <w:sz w:val="20"/>
                <w:szCs w:val="20"/>
                <w:lang w:val="it-IT" w:eastAsia="fr-CH"/>
              </w:rPr>
            </w:pPr>
            <w:r w:rsidRPr="006F07C8">
              <w:rPr>
                <w:rFonts w:ascii="Times New Roman" w:hAnsi="Times New Roman" w:cs="Times New Roman"/>
                <w:b/>
                <w:color w:val="000000"/>
                <w:sz w:val="20"/>
                <w:szCs w:val="20"/>
                <w:lang w:val="it-IT" w:eastAsia="fr-CH"/>
              </w:rPr>
              <w:t>Monolingue</w:t>
            </w:r>
          </w:p>
        </w:tc>
        <w:tc>
          <w:tcPr>
            <w:tcW w:w="236" w:type="dxa"/>
          </w:tcPr>
          <w:p w:rsidR="000A6C46" w:rsidRPr="006F07C8" w:rsidRDefault="000A6C46" w:rsidP="004930BB">
            <w:pPr>
              <w:keepNext/>
              <w:keepLines/>
              <w:jc w:val="center"/>
              <w:rPr>
                <w:rFonts w:ascii="Times New Roman" w:hAnsi="Times New Roman" w:cs="Times New Roman"/>
                <w:b/>
                <w:color w:val="000000"/>
                <w:sz w:val="20"/>
                <w:szCs w:val="20"/>
                <w:lang w:val="it-IT" w:eastAsia="fr-CH"/>
              </w:rPr>
            </w:pPr>
          </w:p>
        </w:tc>
        <w:tc>
          <w:tcPr>
            <w:tcW w:w="1390" w:type="dxa"/>
            <w:gridSpan w:val="2"/>
          </w:tcPr>
          <w:p w:rsidR="000A6C46" w:rsidRPr="006F07C8" w:rsidRDefault="000A6C46" w:rsidP="004930BB">
            <w:pPr>
              <w:keepNext/>
              <w:keepLines/>
              <w:jc w:val="center"/>
              <w:rPr>
                <w:rFonts w:ascii="Times New Roman" w:hAnsi="Times New Roman" w:cs="Times New Roman"/>
                <w:b/>
                <w:color w:val="000000"/>
                <w:sz w:val="20"/>
                <w:szCs w:val="20"/>
                <w:lang w:val="it-IT" w:eastAsia="fr-CH"/>
              </w:rPr>
            </w:pPr>
            <w:r w:rsidRPr="006F07C8">
              <w:rPr>
                <w:rFonts w:ascii="Times New Roman" w:hAnsi="Times New Roman" w:cs="Times New Roman"/>
                <w:b/>
                <w:color w:val="000000"/>
                <w:sz w:val="20"/>
                <w:szCs w:val="20"/>
                <w:lang w:val="it-IT" w:eastAsia="fr-CH"/>
              </w:rPr>
              <w:t>Oligarchico</w:t>
            </w:r>
          </w:p>
        </w:tc>
        <w:tc>
          <w:tcPr>
            <w:tcW w:w="236" w:type="dxa"/>
          </w:tcPr>
          <w:p w:rsidR="000A6C46" w:rsidRPr="006F07C8" w:rsidRDefault="000A6C46" w:rsidP="004930BB">
            <w:pPr>
              <w:keepNext/>
              <w:keepLines/>
              <w:jc w:val="center"/>
              <w:rPr>
                <w:rFonts w:ascii="Times New Roman" w:hAnsi="Times New Roman" w:cs="Times New Roman"/>
                <w:b/>
                <w:color w:val="000000"/>
                <w:sz w:val="20"/>
                <w:szCs w:val="20"/>
                <w:lang w:val="it-IT" w:eastAsia="fr-CH"/>
              </w:rPr>
            </w:pPr>
          </w:p>
          <w:p w:rsidR="000A6C46" w:rsidRPr="006F07C8" w:rsidRDefault="000A6C46" w:rsidP="004930BB">
            <w:pPr>
              <w:keepNext/>
              <w:keepLines/>
              <w:jc w:val="center"/>
              <w:rPr>
                <w:rFonts w:ascii="Times New Roman" w:hAnsi="Times New Roman" w:cs="Times New Roman"/>
                <w:b/>
                <w:color w:val="000000"/>
                <w:sz w:val="20"/>
                <w:szCs w:val="20"/>
                <w:lang w:val="it-IT" w:eastAsia="fr-CH"/>
              </w:rPr>
            </w:pPr>
          </w:p>
        </w:tc>
        <w:tc>
          <w:tcPr>
            <w:tcW w:w="1359" w:type="dxa"/>
            <w:gridSpan w:val="2"/>
          </w:tcPr>
          <w:p w:rsidR="000A6C46" w:rsidRPr="006F07C8" w:rsidRDefault="000A6C46" w:rsidP="004930BB">
            <w:pPr>
              <w:keepNext/>
              <w:keepLines/>
              <w:jc w:val="center"/>
              <w:rPr>
                <w:rFonts w:ascii="Times New Roman" w:hAnsi="Times New Roman" w:cs="Times New Roman"/>
                <w:b/>
                <w:color w:val="000000"/>
                <w:sz w:val="20"/>
                <w:szCs w:val="20"/>
                <w:lang w:val="it-IT" w:eastAsia="fr-CH"/>
              </w:rPr>
            </w:pPr>
            <w:r w:rsidRPr="006F07C8">
              <w:rPr>
                <w:rFonts w:ascii="Times New Roman" w:hAnsi="Times New Roman" w:cs="Times New Roman"/>
                <w:b/>
                <w:color w:val="000000"/>
                <w:sz w:val="20"/>
                <w:szCs w:val="20"/>
                <w:lang w:val="it-IT" w:eastAsia="fr-CH"/>
              </w:rPr>
              <w:t>Multilingui</w:t>
            </w:r>
          </w:p>
          <w:p w:rsidR="000A6C46" w:rsidRPr="006F07C8" w:rsidRDefault="000A6C46" w:rsidP="004930BB">
            <w:pPr>
              <w:keepNext/>
              <w:keepLines/>
              <w:jc w:val="center"/>
              <w:rPr>
                <w:rFonts w:ascii="Times New Roman" w:hAnsi="Times New Roman" w:cs="Times New Roman"/>
                <w:b/>
                <w:color w:val="000000"/>
                <w:sz w:val="20"/>
                <w:szCs w:val="20"/>
                <w:lang w:val="it-IT" w:eastAsia="fr-CH"/>
              </w:rPr>
            </w:pPr>
            <w:r w:rsidRPr="006F07C8">
              <w:rPr>
                <w:rFonts w:ascii="Times New Roman" w:hAnsi="Times New Roman" w:cs="Times New Roman"/>
                <w:b/>
                <w:color w:val="000000"/>
                <w:sz w:val="20"/>
                <w:szCs w:val="20"/>
                <w:lang w:val="it-IT" w:eastAsia="fr-CH"/>
              </w:rPr>
              <w:t>smo</w:t>
            </w:r>
          </w:p>
        </w:tc>
      </w:tr>
      <w:tr w:rsidR="000A6C46" w:rsidRPr="006F07C8" w:rsidTr="003F411A">
        <w:trPr>
          <w:trHeight w:val="177"/>
        </w:trPr>
        <w:tc>
          <w:tcPr>
            <w:tcW w:w="4907" w:type="dxa"/>
          </w:tcPr>
          <w:p w:rsidR="000A6C46" w:rsidRPr="006F07C8" w:rsidRDefault="000A6C46" w:rsidP="004930BB">
            <w:pPr>
              <w:pStyle w:val="NormalWeb"/>
              <w:keepNext/>
              <w:keepLines/>
              <w:spacing w:before="0" w:beforeAutospacing="0" w:after="0" w:afterAutospacing="0"/>
              <w:rPr>
                <w:kern w:val="24"/>
                <w:sz w:val="20"/>
                <w:szCs w:val="20"/>
                <w:lang w:val="it-IT"/>
              </w:rPr>
            </w:pPr>
          </w:p>
        </w:tc>
        <w:tc>
          <w:tcPr>
            <w:tcW w:w="723" w:type="dxa"/>
          </w:tcPr>
          <w:p w:rsidR="000A6C46" w:rsidRPr="006F07C8" w:rsidRDefault="000A6C46" w:rsidP="004930BB">
            <w:pPr>
              <w:keepNext/>
              <w:keepLines/>
              <w:jc w:val="center"/>
              <w:rPr>
                <w:rFonts w:ascii="Times New Roman" w:hAnsi="Times New Roman" w:cs="Times New Roman"/>
                <w:i/>
                <w:color w:val="000000"/>
                <w:sz w:val="20"/>
                <w:szCs w:val="20"/>
                <w:vertAlign w:val="subscript"/>
                <w:lang w:val="it-IT" w:eastAsia="fr-CH"/>
              </w:rPr>
            </w:pPr>
            <w:r w:rsidRPr="006F07C8">
              <w:rPr>
                <w:rFonts w:ascii="Times New Roman" w:hAnsi="Times New Roman" w:cs="Times New Roman"/>
                <w:i/>
                <w:color w:val="000000"/>
                <w:sz w:val="20"/>
                <w:szCs w:val="20"/>
                <w:lang w:val="it-IT" w:eastAsia="fr-CH"/>
              </w:rPr>
              <w:t>E</w:t>
            </w:r>
            <w:r w:rsidRPr="006F07C8">
              <w:rPr>
                <w:rFonts w:ascii="Times New Roman" w:hAnsi="Times New Roman" w:cs="Times New Roman"/>
                <w:i/>
                <w:color w:val="000000"/>
                <w:sz w:val="20"/>
                <w:szCs w:val="20"/>
                <w:vertAlign w:val="subscript"/>
                <w:lang w:val="it-IT" w:eastAsia="fr-CH"/>
              </w:rPr>
              <w:t>a</w:t>
            </w:r>
          </w:p>
        </w:tc>
        <w:tc>
          <w:tcPr>
            <w:tcW w:w="723" w:type="dxa"/>
          </w:tcPr>
          <w:p w:rsidR="000A6C46" w:rsidRPr="006F07C8" w:rsidRDefault="000A6C46" w:rsidP="004930BB">
            <w:pPr>
              <w:keepNext/>
              <w:keepLines/>
              <w:jc w:val="center"/>
              <w:rPr>
                <w:rFonts w:ascii="Times New Roman" w:hAnsi="Times New Roman" w:cs="Times New Roman"/>
                <w:i/>
                <w:color w:val="000000"/>
                <w:sz w:val="20"/>
                <w:szCs w:val="20"/>
                <w:vertAlign w:val="subscript"/>
                <w:lang w:val="it-IT" w:eastAsia="fr-CH"/>
              </w:rPr>
            </w:pPr>
            <w:r w:rsidRPr="006F07C8">
              <w:rPr>
                <w:rFonts w:ascii="Times New Roman" w:hAnsi="Times New Roman" w:cs="Times New Roman"/>
                <w:i/>
                <w:color w:val="000000"/>
                <w:sz w:val="20"/>
                <w:szCs w:val="20"/>
                <w:lang w:val="it-IT" w:eastAsia="fr-CH"/>
              </w:rPr>
              <w:t>E</w:t>
            </w:r>
            <w:r w:rsidRPr="006F07C8">
              <w:rPr>
                <w:rFonts w:ascii="Times New Roman" w:hAnsi="Times New Roman" w:cs="Times New Roman"/>
                <w:i/>
                <w:color w:val="000000"/>
                <w:sz w:val="20"/>
                <w:szCs w:val="20"/>
                <w:vertAlign w:val="subscript"/>
                <w:lang w:val="it-IT" w:eastAsia="fr-CH"/>
              </w:rPr>
              <w:t xml:space="preserve">r </w:t>
            </w:r>
            <w:r w:rsidRPr="006F07C8">
              <w:rPr>
                <w:rFonts w:ascii="Times New Roman" w:hAnsi="Times New Roman" w:cs="Times New Roman"/>
                <w:i/>
                <w:color w:val="000000"/>
                <w:sz w:val="20"/>
                <w:szCs w:val="20"/>
                <w:vertAlign w:val="superscript"/>
                <w:lang w:val="it-IT" w:eastAsia="fr-CH"/>
              </w:rPr>
              <w:t>*</w:t>
            </w:r>
          </w:p>
        </w:tc>
        <w:tc>
          <w:tcPr>
            <w:tcW w:w="236" w:type="dxa"/>
          </w:tcPr>
          <w:p w:rsidR="000A6C46" w:rsidRPr="006F07C8" w:rsidRDefault="000A6C46" w:rsidP="004930BB">
            <w:pPr>
              <w:keepNext/>
              <w:keepLines/>
              <w:jc w:val="center"/>
              <w:rPr>
                <w:rFonts w:ascii="Times New Roman" w:hAnsi="Times New Roman" w:cs="Times New Roman"/>
                <w:i/>
                <w:color w:val="000000"/>
                <w:sz w:val="20"/>
                <w:szCs w:val="20"/>
                <w:vertAlign w:val="subscript"/>
                <w:lang w:val="it-IT" w:eastAsia="fr-CH"/>
              </w:rPr>
            </w:pPr>
          </w:p>
        </w:tc>
        <w:tc>
          <w:tcPr>
            <w:tcW w:w="667" w:type="dxa"/>
          </w:tcPr>
          <w:p w:rsidR="000A6C46" w:rsidRPr="006F07C8" w:rsidRDefault="000A6C46" w:rsidP="004930BB">
            <w:pPr>
              <w:keepNext/>
              <w:keepLines/>
              <w:jc w:val="center"/>
              <w:rPr>
                <w:rFonts w:ascii="Times New Roman" w:hAnsi="Times New Roman" w:cs="Times New Roman"/>
                <w:i/>
                <w:color w:val="000000"/>
                <w:sz w:val="20"/>
                <w:szCs w:val="20"/>
                <w:vertAlign w:val="subscript"/>
                <w:lang w:val="it-IT" w:eastAsia="fr-CH"/>
              </w:rPr>
            </w:pPr>
            <w:r w:rsidRPr="006F07C8">
              <w:rPr>
                <w:rFonts w:ascii="Times New Roman" w:hAnsi="Times New Roman" w:cs="Times New Roman"/>
                <w:i/>
                <w:color w:val="000000"/>
                <w:sz w:val="20"/>
                <w:szCs w:val="20"/>
                <w:lang w:val="it-IT" w:eastAsia="fr-CH"/>
              </w:rPr>
              <w:t>E</w:t>
            </w:r>
            <w:r w:rsidRPr="006F07C8">
              <w:rPr>
                <w:rFonts w:ascii="Times New Roman" w:hAnsi="Times New Roman" w:cs="Times New Roman"/>
                <w:i/>
                <w:color w:val="000000"/>
                <w:sz w:val="20"/>
                <w:szCs w:val="20"/>
                <w:vertAlign w:val="subscript"/>
                <w:lang w:val="it-IT" w:eastAsia="fr-CH"/>
              </w:rPr>
              <w:t>a</w:t>
            </w:r>
          </w:p>
        </w:tc>
        <w:tc>
          <w:tcPr>
            <w:tcW w:w="723" w:type="dxa"/>
          </w:tcPr>
          <w:p w:rsidR="000A6C46" w:rsidRPr="006F07C8" w:rsidRDefault="000A6C46" w:rsidP="004930BB">
            <w:pPr>
              <w:keepNext/>
              <w:keepLines/>
              <w:jc w:val="center"/>
              <w:rPr>
                <w:rFonts w:ascii="Times New Roman" w:hAnsi="Times New Roman" w:cs="Times New Roman"/>
                <w:i/>
                <w:color w:val="000000"/>
                <w:sz w:val="20"/>
                <w:szCs w:val="20"/>
                <w:vertAlign w:val="subscript"/>
                <w:lang w:val="it-IT" w:eastAsia="fr-CH"/>
              </w:rPr>
            </w:pPr>
            <w:r w:rsidRPr="006F07C8">
              <w:rPr>
                <w:rFonts w:ascii="Times New Roman" w:hAnsi="Times New Roman" w:cs="Times New Roman"/>
                <w:i/>
                <w:color w:val="000000"/>
                <w:sz w:val="20"/>
                <w:szCs w:val="20"/>
                <w:lang w:val="it-IT" w:eastAsia="fr-CH"/>
              </w:rPr>
              <w:t>E</w:t>
            </w:r>
            <w:r w:rsidRPr="006F07C8">
              <w:rPr>
                <w:rFonts w:ascii="Times New Roman" w:hAnsi="Times New Roman" w:cs="Times New Roman"/>
                <w:i/>
                <w:color w:val="000000"/>
                <w:sz w:val="20"/>
                <w:szCs w:val="20"/>
                <w:vertAlign w:val="subscript"/>
                <w:lang w:val="it-IT" w:eastAsia="fr-CH"/>
              </w:rPr>
              <w:t xml:space="preserve">r </w:t>
            </w:r>
            <w:r w:rsidRPr="006F07C8">
              <w:rPr>
                <w:rFonts w:ascii="Times New Roman" w:hAnsi="Times New Roman" w:cs="Times New Roman"/>
                <w:i/>
                <w:color w:val="000000"/>
                <w:sz w:val="20"/>
                <w:szCs w:val="20"/>
                <w:vertAlign w:val="superscript"/>
                <w:lang w:val="it-IT" w:eastAsia="fr-CH"/>
              </w:rPr>
              <w:t>*</w:t>
            </w:r>
          </w:p>
        </w:tc>
        <w:tc>
          <w:tcPr>
            <w:tcW w:w="236" w:type="dxa"/>
          </w:tcPr>
          <w:p w:rsidR="000A6C46" w:rsidRPr="006F07C8" w:rsidRDefault="000A6C46" w:rsidP="004930BB">
            <w:pPr>
              <w:keepNext/>
              <w:keepLines/>
              <w:jc w:val="center"/>
              <w:rPr>
                <w:rFonts w:ascii="Times New Roman" w:hAnsi="Times New Roman" w:cs="Times New Roman"/>
                <w:i/>
                <w:color w:val="000000"/>
                <w:sz w:val="20"/>
                <w:szCs w:val="20"/>
                <w:vertAlign w:val="subscript"/>
                <w:lang w:val="it-IT" w:eastAsia="fr-CH"/>
              </w:rPr>
            </w:pPr>
          </w:p>
        </w:tc>
        <w:tc>
          <w:tcPr>
            <w:tcW w:w="635" w:type="dxa"/>
          </w:tcPr>
          <w:p w:rsidR="000A6C46" w:rsidRPr="006F07C8" w:rsidRDefault="000A6C46" w:rsidP="004930BB">
            <w:pPr>
              <w:keepNext/>
              <w:keepLines/>
              <w:jc w:val="center"/>
              <w:rPr>
                <w:rFonts w:ascii="Times New Roman" w:hAnsi="Times New Roman" w:cs="Times New Roman"/>
                <w:i/>
                <w:color w:val="000000"/>
                <w:sz w:val="20"/>
                <w:szCs w:val="20"/>
                <w:vertAlign w:val="subscript"/>
                <w:lang w:val="it-IT" w:eastAsia="fr-CH"/>
              </w:rPr>
            </w:pPr>
            <w:r w:rsidRPr="006F07C8">
              <w:rPr>
                <w:rFonts w:ascii="Times New Roman" w:hAnsi="Times New Roman" w:cs="Times New Roman"/>
                <w:i/>
                <w:color w:val="000000"/>
                <w:sz w:val="20"/>
                <w:szCs w:val="20"/>
                <w:lang w:val="it-IT" w:eastAsia="fr-CH"/>
              </w:rPr>
              <w:t>E</w:t>
            </w:r>
            <w:r w:rsidRPr="006F07C8">
              <w:rPr>
                <w:rFonts w:ascii="Times New Roman" w:hAnsi="Times New Roman" w:cs="Times New Roman"/>
                <w:i/>
                <w:color w:val="000000"/>
                <w:sz w:val="20"/>
                <w:szCs w:val="20"/>
                <w:vertAlign w:val="subscript"/>
                <w:lang w:val="it-IT" w:eastAsia="fr-CH"/>
              </w:rPr>
              <w:t>a</w:t>
            </w:r>
          </w:p>
        </w:tc>
        <w:tc>
          <w:tcPr>
            <w:tcW w:w="724" w:type="dxa"/>
          </w:tcPr>
          <w:p w:rsidR="000A6C46" w:rsidRPr="006F07C8" w:rsidRDefault="000A6C46" w:rsidP="004930BB">
            <w:pPr>
              <w:keepNext/>
              <w:keepLines/>
              <w:jc w:val="center"/>
              <w:rPr>
                <w:rFonts w:ascii="Times New Roman" w:hAnsi="Times New Roman" w:cs="Times New Roman"/>
                <w:i/>
                <w:color w:val="000000"/>
                <w:sz w:val="20"/>
                <w:szCs w:val="20"/>
                <w:vertAlign w:val="subscript"/>
                <w:lang w:val="it-IT" w:eastAsia="fr-CH"/>
              </w:rPr>
            </w:pPr>
            <w:r w:rsidRPr="006F07C8">
              <w:rPr>
                <w:rFonts w:ascii="Times New Roman" w:hAnsi="Times New Roman" w:cs="Times New Roman"/>
                <w:i/>
                <w:color w:val="000000"/>
                <w:sz w:val="20"/>
                <w:szCs w:val="20"/>
                <w:lang w:val="it-IT" w:eastAsia="fr-CH"/>
              </w:rPr>
              <w:t>E</w:t>
            </w:r>
            <w:r w:rsidRPr="006F07C8">
              <w:rPr>
                <w:rFonts w:ascii="Times New Roman" w:hAnsi="Times New Roman" w:cs="Times New Roman"/>
                <w:i/>
                <w:color w:val="000000"/>
                <w:sz w:val="20"/>
                <w:szCs w:val="20"/>
                <w:vertAlign w:val="subscript"/>
                <w:lang w:val="it-IT" w:eastAsia="fr-CH"/>
              </w:rPr>
              <w:t xml:space="preserve">r </w:t>
            </w:r>
            <w:r w:rsidRPr="006F07C8">
              <w:rPr>
                <w:rFonts w:ascii="Times New Roman" w:hAnsi="Times New Roman" w:cs="Times New Roman"/>
                <w:i/>
                <w:color w:val="000000"/>
                <w:sz w:val="20"/>
                <w:szCs w:val="20"/>
                <w:vertAlign w:val="superscript"/>
                <w:lang w:val="it-IT" w:eastAsia="fr-CH"/>
              </w:rPr>
              <w:t>*</w:t>
            </w:r>
          </w:p>
        </w:tc>
      </w:tr>
      <w:tr w:rsidR="000A6C46" w:rsidRPr="006F07C8" w:rsidTr="003F411A">
        <w:trPr>
          <w:trHeight w:val="177"/>
        </w:trPr>
        <w:tc>
          <w:tcPr>
            <w:tcW w:w="4907" w:type="dxa"/>
          </w:tcPr>
          <w:p w:rsidR="000A6C46" w:rsidRPr="006F07C8" w:rsidRDefault="000A6C46" w:rsidP="004930BB">
            <w:pPr>
              <w:pStyle w:val="NormalWeb"/>
              <w:keepNext/>
              <w:keepLines/>
              <w:spacing w:before="0" w:beforeAutospacing="0" w:after="0"/>
              <w:rPr>
                <w:sz w:val="20"/>
                <w:szCs w:val="20"/>
                <w:lang w:val="it-IT"/>
              </w:rPr>
            </w:pPr>
            <w:r w:rsidRPr="006F07C8">
              <w:rPr>
                <w:sz w:val="20"/>
                <w:szCs w:val="20"/>
                <w:lang w:val="it-IT"/>
              </w:rPr>
              <w:t>1. Dirigenti (membri dell’esecutivo e dei corpi legislativi, quadri superiori della pubblica amministrazione, dirigenti e quadri superiori di impresa)</w:t>
            </w:r>
          </w:p>
        </w:tc>
        <w:tc>
          <w:tcPr>
            <w:tcW w:w="723" w:type="dxa"/>
          </w:tcPr>
          <w:p w:rsidR="000A6C46" w:rsidRPr="006F07C8" w:rsidRDefault="000A6C46" w:rsidP="004930BB">
            <w:pPr>
              <w:keepNext/>
              <w:keepLines/>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35</w:t>
            </w:r>
          </w:p>
        </w:tc>
        <w:tc>
          <w:tcPr>
            <w:tcW w:w="723" w:type="dxa"/>
          </w:tcPr>
          <w:p w:rsidR="000A6C46" w:rsidRPr="006F07C8" w:rsidRDefault="000A6C46" w:rsidP="004930BB">
            <w:pPr>
              <w:keepNext/>
              <w:keepLines/>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66</w:t>
            </w:r>
          </w:p>
        </w:tc>
        <w:tc>
          <w:tcPr>
            <w:tcW w:w="236" w:type="dxa"/>
          </w:tcPr>
          <w:p w:rsidR="000A6C46" w:rsidRPr="006F07C8" w:rsidRDefault="000A6C46" w:rsidP="004930BB">
            <w:pPr>
              <w:keepNext/>
              <w:keepLines/>
              <w:jc w:val="center"/>
              <w:rPr>
                <w:rFonts w:ascii="Times New Roman" w:hAnsi="Times New Roman" w:cs="Times New Roman"/>
                <w:color w:val="000000"/>
                <w:sz w:val="20"/>
                <w:szCs w:val="20"/>
                <w:lang w:val="it-IT" w:eastAsia="fr-CH"/>
              </w:rPr>
            </w:pPr>
          </w:p>
        </w:tc>
        <w:tc>
          <w:tcPr>
            <w:tcW w:w="667" w:type="dxa"/>
          </w:tcPr>
          <w:p w:rsidR="000A6C46" w:rsidRPr="006F07C8" w:rsidRDefault="000A6C46" w:rsidP="004930BB">
            <w:pPr>
              <w:keepNext/>
              <w:keepLines/>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21</w:t>
            </w:r>
          </w:p>
        </w:tc>
        <w:tc>
          <w:tcPr>
            <w:tcW w:w="723" w:type="dxa"/>
          </w:tcPr>
          <w:p w:rsidR="000A6C46" w:rsidRPr="006F07C8" w:rsidRDefault="000A6C46" w:rsidP="004930BB">
            <w:pPr>
              <w:keepNext/>
              <w:keepLines/>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44</w:t>
            </w:r>
          </w:p>
        </w:tc>
        <w:tc>
          <w:tcPr>
            <w:tcW w:w="236" w:type="dxa"/>
          </w:tcPr>
          <w:p w:rsidR="000A6C46" w:rsidRPr="006F07C8" w:rsidRDefault="000A6C46" w:rsidP="004930BB">
            <w:pPr>
              <w:keepNext/>
              <w:keepLines/>
              <w:jc w:val="center"/>
              <w:rPr>
                <w:rFonts w:ascii="Times New Roman" w:hAnsi="Times New Roman" w:cs="Times New Roman"/>
                <w:color w:val="000000"/>
                <w:sz w:val="20"/>
                <w:szCs w:val="20"/>
                <w:lang w:val="it-IT" w:eastAsia="fr-CH"/>
              </w:rPr>
            </w:pPr>
          </w:p>
        </w:tc>
        <w:tc>
          <w:tcPr>
            <w:tcW w:w="635" w:type="dxa"/>
          </w:tcPr>
          <w:p w:rsidR="000A6C46" w:rsidRPr="006F07C8" w:rsidRDefault="000A6C46" w:rsidP="004930BB">
            <w:pPr>
              <w:keepNext/>
              <w:keepLines/>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0</w:t>
            </w:r>
          </w:p>
        </w:tc>
        <w:tc>
          <w:tcPr>
            <w:tcW w:w="724" w:type="dxa"/>
          </w:tcPr>
          <w:p w:rsidR="000A6C46" w:rsidRPr="006F07C8" w:rsidRDefault="000A6C46" w:rsidP="004930BB">
            <w:pPr>
              <w:keepNext/>
              <w:keepLines/>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3</w:t>
            </w:r>
          </w:p>
        </w:tc>
      </w:tr>
      <w:tr w:rsidR="000A6C46" w:rsidRPr="006F07C8" w:rsidTr="003F411A">
        <w:trPr>
          <w:trHeight w:val="116"/>
        </w:trPr>
        <w:tc>
          <w:tcPr>
            <w:tcW w:w="4907" w:type="dxa"/>
          </w:tcPr>
          <w:p w:rsidR="000A6C46" w:rsidRPr="006F07C8" w:rsidRDefault="000A6C46" w:rsidP="004930BB">
            <w:pPr>
              <w:pStyle w:val="NormalWeb"/>
              <w:keepNext/>
              <w:keepLines/>
              <w:spacing w:before="0" w:beforeAutospacing="0" w:after="0" w:afterAutospacing="0"/>
              <w:rPr>
                <w:i/>
                <w:sz w:val="20"/>
                <w:szCs w:val="20"/>
                <w:lang w:val="it-IT"/>
              </w:rPr>
            </w:pPr>
            <w:r w:rsidRPr="006F07C8">
              <w:rPr>
                <w:sz w:val="20"/>
                <w:szCs w:val="20"/>
                <w:lang w:val="it-IT"/>
              </w:rPr>
              <w:t>2. Professioni intellettuali e scientifiche</w:t>
            </w:r>
          </w:p>
        </w:tc>
        <w:tc>
          <w:tcPr>
            <w:tcW w:w="723" w:type="dxa"/>
          </w:tcPr>
          <w:p w:rsidR="000A6C46" w:rsidRPr="006F07C8" w:rsidRDefault="000A6C46" w:rsidP="004930BB">
            <w:pPr>
              <w:keepNext/>
              <w:keepLines/>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16</w:t>
            </w:r>
          </w:p>
        </w:tc>
        <w:tc>
          <w:tcPr>
            <w:tcW w:w="723" w:type="dxa"/>
          </w:tcPr>
          <w:p w:rsidR="000A6C46" w:rsidRPr="006F07C8" w:rsidRDefault="000A6C46" w:rsidP="004930BB">
            <w:pPr>
              <w:keepNext/>
              <w:keepLines/>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60</w:t>
            </w:r>
          </w:p>
        </w:tc>
        <w:tc>
          <w:tcPr>
            <w:tcW w:w="236" w:type="dxa"/>
          </w:tcPr>
          <w:p w:rsidR="000A6C46" w:rsidRPr="006F07C8" w:rsidRDefault="000A6C46" w:rsidP="004930BB">
            <w:pPr>
              <w:keepNext/>
              <w:keepLines/>
              <w:jc w:val="center"/>
              <w:rPr>
                <w:rFonts w:ascii="Times New Roman" w:hAnsi="Times New Roman" w:cs="Times New Roman"/>
                <w:color w:val="000000"/>
                <w:sz w:val="20"/>
                <w:szCs w:val="20"/>
                <w:lang w:val="it-IT" w:eastAsia="fr-CH"/>
              </w:rPr>
            </w:pPr>
          </w:p>
        </w:tc>
        <w:tc>
          <w:tcPr>
            <w:tcW w:w="667" w:type="dxa"/>
          </w:tcPr>
          <w:p w:rsidR="000A6C46" w:rsidRPr="006F07C8" w:rsidRDefault="000A6C46" w:rsidP="004930BB">
            <w:pPr>
              <w:keepNext/>
              <w:keepLines/>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7</w:t>
            </w:r>
          </w:p>
        </w:tc>
        <w:tc>
          <w:tcPr>
            <w:tcW w:w="723" w:type="dxa"/>
          </w:tcPr>
          <w:p w:rsidR="000A6C46" w:rsidRPr="006F07C8" w:rsidRDefault="000A6C46" w:rsidP="004930BB">
            <w:pPr>
              <w:keepNext/>
              <w:keepLines/>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35</w:t>
            </w:r>
          </w:p>
        </w:tc>
        <w:tc>
          <w:tcPr>
            <w:tcW w:w="236" w:type="dxa"/>
          </w:tcPr>
          <w:p w:rsidR="000A6C46" w:rsidRPr="006F07C8" w:rsidRDefault="000A6C46" w:rsidP="004930BB">
            <w:pPr>
              <w:keepNext/>
              <w:keepLines/>
              <w:jc w:val="center"/>
              <w:rPr>
                <w:rFonts w:ascii="Times New Roman" w:hAnsi="Times New Roman" w:cs="Times New Roman"/>
                <w:color w:val="000000"/>
                <w:sz w:val="20"/>
                <w:szCs w:val="20"/>
                <w:lang w:val="it-IT" w:eastAsia="fr-CH"/>
              </w:rPr>
            </w:pPr>
          </w:p>
        </w:tc>
        <w:tc>
          <w:tcPr>
            <w:tcW w:w="635" w:type="dxa"/>
          </w:tcPr>
          <w:p w:rsidR="000A6C46" w:rsidRPr="006F07C8" w:rsidRDefault="000A6C46" w:rsidP="004930BB">
            <w:pPr>
              <w:keepNext/>
              <w:keepLines/>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0</w:t>
            </w:r>
          </w:p>
        </w:tc>
        <w:tc>
          <w:tcPr>
            <w:tcW w:w="724" w:type="dxa"/>
          </w:tcPr>
          <w:p w:rsidR="000A6C46" w:rsidRPr="006F07C8" w:rsidRDefault="000A6C46" w:rsidP="004930BB">
            <w:pPr>
              <w:keepNext/>
              <w:keepLines/>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1</w:t>
            </w:r>
          </w:p>
        </w:tc>
      </w:tr>
      <w:tr w:rsidR="000A6C46" w:rsidRPr="006F07C8" w:rsidTr="003F411A">
        <w:trPr>
          <w:trHeight w:val="133"/>
        </w:trPr>
        <w:tc>
          <w:tcPr>
            <w:tcW w:w="4907" w:type="dxa"/>
          </w:tcPr>
          <w:p w:rsidR="000A6C46" w:rsidRPr="006F07C8" w:rsidRDefault="000A6C46" w:rsidP="004930BB">
            <w:pPr>
              <w:pStyle w:val="NormalWeb"/>
              <w:keepNext/>
              <w:keepLines/>
              <w:spacing w:before="0" w:beforeAutospacing="0" w:after="0" w:afterAutospacing="0"/>
              <w:rPr>
                <w:i/>
                <w:sz w:val="20"/>
                <w:szCs w:val="20"/>
                <w:lang w:val="it-IT"/>
              </w:rPr>
            </w:pPr>
            <w:r w:rsidRPr="006F07C8">
              <w:rPr>
                <w:sz w:val="20"/>
                <w:szCs w:val="20"/>
                <w:lang w:val="it-IT"/>
              </w:rPr>
              <w:t>3. Professioni intermedie</w:t>
            </w:r>
          </w:p>
        </w:tc>
        <w:tc>
          <w:tcPr>
            <w:tcW w:w="723" w:type="dxa"/>
          </w:tcPr>
          <w:p w:rsidR="000A6C46" w:rsidRPr="006F07C8" w:rsidRDefault="000A6C46" w:rsidP="004930BB">
            <w:pPr>
              <w:keepNext/>
              <w:keepLines/>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29</w:t>
            </w:r>
          </w:p>
        </w:tc>
        <w:tc>
          <w:tcPr>
            <w:tcW w:w="723" w:type="dxa"/>
          </w:tcPr>
          <w:p w:rsidR="000A6C46" w:rsidRPr="006F07C8" w:rsidRDefault="000A6C46" w:rsidP="004930BB">
            <w:pPr>
              <w:keepNext/>
              <w:keepLines/>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74</w:t>
            </w:r>
          </w:p>
        </w:tc>
        <w:tc>
          <w:tcPr>
            <w:tcW w:w="236" w:type="dxa"/>
          </w:tcPr>
          <w:p w:rsidR="000A6C46" w:rsidRPr="006F07C8" w:rsidRDefault="000A6C46" w:rsidP="004930BB">
            <w:pPr>
              <w:keepNext/>
              <w:keepLines/>
              <w:jc w:val="center"/>
              <w:rPr>
                <w:rFonts w:ascii="Times New Roman" w:hAnsi="Times New Roman" w:cs="Times New Roman"/>
                <w:color w:val="000000"/>
                <w:sz w:val="20"/>
                <w:szCs w:val="20"/>
                <w:lang w:val="it-IT" w:eastAsia="fr-CH"/>
              </w:rPr>
            </w:pPr>
          </w:p>
        </w:tc>
        <w:tc>
          <w:tcPr>
            <w:tcW w:w="667" w:type="dxa"/>
          </w:tcPr>
          <w:p w:rsidR="000A6C46" w:rsidRPr="006F07C8" w:rsidRDefault="000A6C46" w:rsidP="004930BB">
            <w:pPr>
              <w:keepNext/>
              <w:keepLines/>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12</w:t>
            </w:r>
          </w:p>
        </w:tc>
        <w:tc>
          <w:tcPr>
            <w:tcW w:w="723" w:type="dxa"/>
          </w:tcPr>
          <w:p w:rsidR="000A6C46" w:rsidRPr="006F07C8" w:rsidRDefault="000A6C46" w:rsidP="004930BB">
            <w:pPr>
              <w:keepNext/>
              <w:keepLines/>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38</w:t>
            </w:r>
          </w:p>
        </w:tc>
        <w:tc>
          <w:tcPr>
            <w:tcW w:w="236" w:type="dxa"/>
          </w:tcPr>
          <w:p w:rsidR="000A6C46" w:rsidRPr="006F07C8" w:rsidRDefault="000A6C46" w:rsidP="004930BB">
            <w:pPr>
              <w:keepNext/>
              <w:keepLines/>
              <w:jc w:val="center"/>
              <w:rPr>
                <w:rFonts w:ascii="Times New Roman" w:hAnsi="Times New Roman" w:cs="Times New Roman"/>
                <w:color w:val="000000"/>
                <w:sz w:val="20"/>
                <w:szCs w:val="20"/>
                <w:lang w:val="it-IT" w:eastAsia="fr-CH"/>
              </w:rPr>
            </w:pPr>
          </w:p>
        </w:tc>
        <w:tc>
          <w:tcPr>
            <w:tcW w:w="635" w:type="dxa"/>
          </w:tcPr>
          <w:p w:rsidR="000A6C46" w:rsidRPr="006F07C8" w:rsidRDefault="000A6C46" w:rsidP="004930BB">
            <w:pPr>
              <w:keepNext/>
              <w:keepLines/>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0</w:t>
            </w:r>
          </w:p>
        </w:tc>
        <w:tc>
          <w:tcPr>
            <w:tcW w:w="724" w:type="dxa"/>
          </w:tcPr>
          <w:p w:rsidR="000A6C46" w:rsidRPr="006F07C8" w:rsidRDefault="000A6C46" w:rsidP="004930BB">
            <w:pPr>
              <w:keepNext/>
              <w:keepLines/>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2</w:t>
            </w:r>
          </w:p>
        </w:tc>
      </w:tr>
      <w:tr w:rsidR="000A6C46" w:rsidRPr="006F07C8" w:rsidTr="003F411A">
        <w:trPr>
          <w:trHeight w:val="121"/>
        </w:trPr>
        <w:tc>
          <w:tcPr>
            <w:tcW w:w="4907" w:type="dxa"/>
          </w:tcPr>
          <w:p w:rsidR="000A6C46" w:rsidRPr="006F07C8" w:rsidRDefault="000A6C46" w:rsidP="004930BB">
            <w:pPr>
              <w:pStyle w:val="NormalWeb"/>
              <w:keepNext/>
              <w:keepLines/>
              <w:spacing w:before="0" w:beforeAutospacing="0" w:after="0" w:afterAutospacing="0"/>
              <w:rPr>
                <w:sz w:val="20"/>
                <w:szCs w:val="20"/>
                <w:lang w:val="it-IT"/>
              </w:rPr>
            </w:pPr>
            <w:r w:rsidRPr="006F07C8">
              <w:rPr>
                <w:sz w:val="20"/>
                <w:szCs w:val="20"/>
                <w:lang w:val="it-IT"/>
              </w:rPr>
              <w:t>4. Impiegati di tipo amministrativo</w:t>
            </w:r>
          </w:p>
        </w:tc>
        <w:tc>
          <w:tcPr>
            <w:tcW w:w="723" w:type="dxa"/>
          </w:tcPr>
          <w:p w:rsidR="000A6C46" w:rsidRPr="006F07C8" w:rsidRDefault="000A6C46" w:rsidP="004930BB">
            <w:pPr>
              <w:keepNext/>
              <w:keepLines/>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33</w:t>
            </w:r>
          </w:p>
        </w:tc>
        <w:tc>
          <w:tcPr>
            <w:tcW w:w="723" w:type="dxa"/>
          </w:tcPr>
          <w:p w:rsidR="000A6C46" w:rsidRPr="006F07C8" w:rsidRDefault="000A6C46" w:rsidP="004930BB">
            <w:pPr>
              <w:keepNext/>
              <w:keepLines/>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73</w:t>
            </w:r>
          </w:p>
        </w:tc>
        <w:tc>
          <w:tcPr>
            <w:tcW w:w="236" w:type="dxa"/>
          </w:tcPr>
          <w:p w:rsidR="000A6C46" w:rsidRPr="006F07C8" w:rsidRDefault="000A6C46" w:rsidP="004930BB">
            <w:pPr>
              <w:keepNext/>
              <w:keepLines/>
              <w:jc w:val="center"/>
              <w:rPr>
                <w:rFonts w:ascii="Times New Roman" w:hAnsi="Times New Roman" w:cs="Times New Roman"/>
                <w:color w:val="000000"/>
                <w:sz w:val="20"/>
                <w:szCs w:val="20"/>
                <w:lang w:val="it-IT" w:eastAsia="fr-CH"/>
              </w:rPr>
            </w:pPr>
          </w:p>
        </w:tc>
        <w:tc>
          <w:tcPr>
            <w:tcW w:w="667" w:type="dxa"/>
          </w:tcPr>
          <w:p w:rsidR="000A6C46" w:rsidRPr="006F07C8" w:rsidRDefault="000A6C46" w:rsidP="004930BB">
            <w:pPr>
              <w:keepNext/>
              <w:keepLines/>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13</w:t>
            </w:r>
          </w:p>
        </w:tc>
        <w:tc>
          <w:tcPr>
            <w:tcW w:w="723" w:type="dxa"/>
          </w:tcPr>
          <w:p w:rsidR="000A6C46" w:rsidRPr="006F07C8" w:rsidRDefault="000A6C46" w:rsidP="004930BB">
            <w:pPr>
              <w:keepNext/>
              <w:keepLines/>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40</w:t>
            </w:r>
          </w:p>
        </w:tc>
        <w:tc>
          <w:tcPr>
            <w:tcW w:w="236" w:type="dxa"/>
          </w:tcPr>
          <w:p w:rsidR="000A6C46" w:rsidRPr="006F07C8" w:rsidRDefault="000A6C46" w:rsidP="004930BB">
            <w:pPr>
              <w:keepNext/>
              <w:keepLines/>
              <w:jc w:val="center"/>
              <w:rPr>
                <w:rFonts w:ascii="Times New Roman" w:hAnsi="Times New Roman" w:cs="Times New Roman"/>
                <w:color w:val="000000"/>
                <w:sz w:val="20"/>
                <w:szCs w:val="20"/>
                <w:lang w:val="it-IT" w:eastAsia="fr-CH"/>
              </w:rPr>
            </w:pPr>
          </w:p>
        </w:tc>
        <w:tc>
          <w:tcPr>
            <w:tcW w:w="635" w:type="dxa"/>
          </w:tcPr>
          <w:p w:rsidR="000A6C46" w:rsidRPr="006F07C8" w:rsidRDefault="000A6C46" w:rsidP="004930BB">
            <w:pPr>
              <w:keepNext/>
              <w:keepLines/>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0</w:t>
            </w:r>
          </w:p>
        </w:tc>
        <w:tc>
          <w:tcPr>
            <w:tcW w:w="724" w:type="dxa"/>
          </w:tcPr>
          <w:p w:rsidR="000A6C46" w:rsidRPr="006F07C8" w:rsidRDefault="000A6C46" w:rsidP="004930BB">
            <w:pPr>
              <w:keepNext/>
              <w:keepLines/>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2</w:t>
            </w:r>
          </w:p>
        </w:tc>
      </w:tr>
      <w:tr w:rsidR="000A6C46" w:rsidRPr="006F07C8" w:rsidTr="003F411A">
        <w:trPr>
          <w:trHeight w:val="195"/>
        </w:trPr>
        <w:tc>
          <w:tcPr>
            <w:tcW w:w="4907" w:type="dxa"/>
          </w:tcPr>
          <w:p w:rsidR="000A6C46" w:rsidRPr="006F07C8" w:rsidRDefault="000A6C46" w:rsidP="004930BB">
            <w:pPr>
              <w:pStyle w:val="NormalWeb"/>
              <w:keepNext/>
              <w:keepLines/>
              <w:spacing w:before="0" w:beforeAutospacing="0" w:after="0" w:afterAutospacing="0"/>
              <w:rPr>
                <w:sz w:val="20"/>
                <w:szCs w:val="20"/>
                <w:lang w:val="it-IT"/>
              </w:rPr>
            </w:pPr>
            <w:r w:rsidRPr="006F07C8">
              <w:rPr>
                <w:sz w:val="20"/>
                <w:szCs w:val="20"/>
                <w:lang w:val="it-IT"/>
              </w:rPr>
              <w:t>5. Personale dei servizi e venditori di negozio e di mercato</w:t>
            </w:r>
          </w:p>
        </w:tc>
        <w:tc>
          <w:tcPr>
            <w:tcW w:w="723" w:type="dxa"/>
          </w:tcPr>
          <w:p w:rsidR="000A6C46" w:rsidRPr="006F07C8" w:rsidRDefault="000A6C46" w:rsidP="004930BB">
            <w:pPr>
              <w:keepNext/>
              <w:keepLines/>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46</w:t>
            </w:r>
          </w:p>
        </w:tc>
        <w:tc>
          <w:tcPr>
            <w:tcW w:w="723" w:type="dxa"/>
          </w:tcPr>
          <w:p w:rsidR="000A6C46" w:rsidRPr="006F07C8" w:rsidRDefault="000A6C46" w:rsidP="004930BB">
            <w:pPr>
              <w:keepNext/>
              <w:keepLines/>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79</w:t>
            </w:r>
          </w:p>
        </w:tc>
        <w:tc>
          <w:tcPr>
            <w:tcW w:w="236" w:type="dxa"/>
          </w:tcPr>
          <w:p w:rsidR="000A6C46" w:rsidRPr="006F07C8" w:rsidRDefault="000A6C46" w:rsidP="004930BB">
            <w:pPr>
              <w:keepNext/>
              <w:keepLines/>
              <w:jc w:val="center"/>
              <w:rPr>
                <w:rFonts w:ascii="Times New Roman" w:hAnsi="Times New Roman" w:cs="Times New Roman"/>
                <w:color w:val="000000"/>
                <w:sz w:val="20"/>
                <w:szCs w:val="20"/>
                <w:lang w:val="it-IT" w:eastAsia="fr-CH"/>
              </w:rPr>
            </w:pPr>
          </w:p>
        </w:tc>
        <w:tc>
          <w:tcPr>
            <w:tcW w:w="667" w:type="dxa"/>
          </w:tcPr>
          <w:p w:rsidR="000A6C46" w:rsidRPr="006F07C8" w:rsidRDefault="000A6C46" w:rsidP="004930BB">
            <w:pPr>
              <w:keepNext/>
              <w:keepLines/>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22</w:t>
            </w:r>
          </w:p>
        </w:tc>
        <w:tc>
          <w:tcPr>
            <w:tcW w:w="723" w:type="dxa"/>
          </w:tcPr>
          <w:p w:rsidR="000A6C46" w:rsidRPr="006F07C8" w:rsidRDefault="000A6C46" w:rsidP="004930BB">
            <w:pPr>
              <w:keepNext/>
              <w:keepLines/>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47</w:t>
            </w:r>
          </w:p>
        </w:tc>
        <w:tc>
          <w:tcPr>
            <w:tcW w:w="236" w:type="dxa"/>
          </w:tcPr>
          <w:p w:rsidR="000A6C46" w:rsidRPr="006F07C8" w:rsidRDefault="000A6C46" w:rsidP="004930BB">
            <w:pPr>
              <w:keepNext/>
              <w:keepLines/>
              <w:jc w:val="center"/>
              <w:rPr>
                <w:rFonts w:ascii="Times New Roman" w:hAnsi="Times New Roman" w:cs="Times New Roman"/>
                <w:color w:val="000000"/>
                <w:sz w:val="20"/>
                <w:szCs w:val="20"/>
                <w:lang w:val="it-IT" w:eastAsia="fr-CH"/>
              </w:rPr>
            </w:pPr>
          </w:p>
        </w:tc>
        <w:tc>
          <w:tcPr>
            <w:tcW w:w="635" w:type="dxa"/>
          </w:tcPr>
          <w:p w:rsidR="000A6C46" w:rsidRPr="006F07C8" w:rsidRDefault="000A6C46" w:rsidP="004930BB">
            <w:pPr>
              <w:keepNext/>
              <w:keepLines/>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0</w:t>
            </w:r>
          </w:p>
        </w:tc>
        <w:tc>
          <w:tcPr>
            <w:tcW w:w="724" w:type="dxa"/>
          </w:tcPr>
          <w:p w:rsidR="000A6C46" w:rsidRPr="006F07C8" w:rsidRDefault="000A6C46" w:rsidP="004930BB">
            <w:pPr>
              <w:keepNext/>
              <w:keepLines/>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3</w:t>
            </w:r>
          </w:p>
        </w:tc>
      </w:tr>
      <w:tr w:rsidR="000A6C46" w:rsidRPr="006F07C8" w:rsidTr="003F411A">
        <w:trPr>
          <w:trHeight w:val="73"/>
        </w:trPr>
        <w:tc>
          <w:tcPr>
            <w:tcW w:w="4907" w:type="dxa"/>
          </w:tcPr>
          <w:p w:rsidR="000A6C46" w:rsidRPr="006F07C8" w:rsidRDefault="000A6C46" w:rsidP="004930BB">
            <w:pPr>
              <w:keepNext/>
              <w:keepLines/>
              <w:rPr>
                <w:rFonts w:ascii="Times New Roman" w:hAnsi="Times New Roman" w:cs="Times New Roman"/>
                <w:sz w:val="20"/>
                <w:szCs w:val="20"/>
                <w:lang w:val="it-IT"/>
              </w:rPr>
            </w:pPr>
            <w:r w:rsidRPr="006F07C8">
              <w:rPr>
                <w:rFonts w:ascii="Times New Roman" w:eastAsia="Times New Roman" w:hAnsi="Times New Roman" w:cs="Times New Roman"/>
                <w:sz w:val="20"/>
                <w:szCs w:val="20"/>
                <w:lang w:val="it-IT" w:eastAsia="fr-CH"/>
              </w:rPr>
              <w:t>6. Agricoltori ed operai qualificati dell’agricoltura e della pesca</w:t>
            </w:r>
          </w:p>
        </w:tc>
        <w:tc>
          <w:tcPr>
            <w:tcW w:w="723" w:type="dxa"/>
          </w:tcPr>
          <w:p w:rsidR="000A6C46" w:rsidRPr="006F07C8" w:rsidRDefault="000A6C46" w:rsidP="004930BB">
            <w:pPr>
              <w:keepNext/>
              <w:keepLines/>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75</w:t>
            </w:r>
          </w:p>
        </w:tc>
        <w:tc>
          <w:tcPr>
            <w:tcW w:w="723" w:type="dxa"/>
          </w:tcPr>
          <w:p w:rsidR="000A6C46" w:rsidRPr="006F07C8" w:rsidRDefault="000A6C46" w:rsidP="004930BB">
            <w:pPr>
              <w:keepNext/>
              <w:keepLines/>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93</w:t>
            </w:r>
          </w:p>
        </w:tc>
        <w:tc>
          <w:tcPr>
            <w:tcW w:w="236" w:type="dxa"/>
          </w:tcPr>
          <w:p w:rsidR="000A6C46" w:rsidRPr="006F07C8" w:rsidRDefault="000A6C46" w:rsidP="004930BB">
            <w:pPr>
              <w:keepNext/>
              <w:keepLines/>
              <w:jc w:val="center"/>
              <w:rPr>
                <w:rFonts w:ascii="Times New Roman" w:hAnsi="Times New Roman" w:cs="Times New Roman"/>
                <w:color w:val="000000"/>
                <w:sz w:val="20"/>
                <w:szCs w:val="20"/>
                <w:lang w:val="it-IT" w:eastAsia="fr-CH"/>
              </w:rPr>
            </w:pPr>
          </w:p>
        </w:tc>
        <w:tc>
          <w:tcPr>
            <w:tcW w:w="667" w:type="dxa"/>
          </w:tcPr>
          <w:p w:rsidR="000A6C46" w:rsidRPr="006F07C8" w:rsidRDefault="000A6C46" w:rsidP="004930BB">
            <w:pPr>
              <w:keepNext/>
              <w:keepLines/>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52</w:t>
            </w:r>
          </w:p>
        </w:tc>
        <w:tc>
          <w:tcPr>
            <w:tcW w:w="723" w:type="dxa"/>
          </w:tcPr>
          <w:p w:rsidR="000A6C46" w:rsidRPr="006F07C8" w:rsidRDefault="000A6C46" w:rsidP="004930BB">
            <w:pPr>
              <w:keepNext/>
              <w:keepLines/>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67</w:t>
            </w:r>
          </w:p>
        </w:tc>
        <w:tc>
          <w:tcPr>
            <w:tcW w:w="236" w:type="dxa"/>
          </w:tcPr>
          <w:p w:rsidR="000A6C46" w:rsidRPr="006F07C8" w:rsidRDefault="000A6C46" w:rsidP="004930BB">
            <w:pPr>
              <w:keepNext/>
              <w:keepLines/>
              <w:jc w:val="center"/>
              <w:rPr>
                <w:rFonts w:ascii="Times New Roman" w:hAnsi="Times New Roman" w:cs="Times New Roman"/>
                <w:color w:val="000000"/>
                <w:sz w:val="20"/>
                <w:szCs w:val="20"/>
                <w:lang w:val="it-IT" w:eastAsia="fr-CH"/>
              </w:rPr>
            </w:pPr>
          </w:p>
        </w:tc>
        <w:tc>
          <w:tcPr>
            <w:tcW w:w="635" w:type="dxa"/>
          </w:tcPr>
          <w:p w:rsidR="000A6C46" w:rsidRPr="006F07C8" w:rsidRDefault="000A6C46" w:rsidP="004930BB">
            <w:pPr>
              <w:keepNext/>
              <w:keepLines/>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0</w:t>
            </w:r>
          </w:p>
        </w:tc>
        <w:tc>
          <w:tcPr>
            <w:tcW w:w="724" w:type="dxa"/>
          </w:tcPr>
          <w:p w:rsidR="000A6C46" w:rsidRPr="006F07C8" w:rsidRDefault="000A6C46" w:rsidP="004930BB">
            <w:pPr>
              <w:keepNext/>
              <w:keepLines/>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2</w:t>
            </w:r>
          </w:p>
        </w:tc>
      </w:tr>
      <w:tr w:rsidR="000A6C46" w:rsidRPr="006F07C8" w:rsidTr="003F411A">
        <w:trPr>
          <w:trHeight w:val="147"/>
        </w:trPr>
        <w:tc>
          <w:tcPr>
            <w:tcW w:w="4907" w:type="dxa"/>
          </w:tcPr>
          <w:p w:rsidR="000A6C46" w:rsidRPr="006F07C8" w:rsidRDefault="000A6C46" w:rsidP="004930BB">
            <w:pPr>
              <w:keepNext/>
              <w:keepLines/>
              <w:rPr>
                <w:rFonts w:ascii="Times New Roman" w:eastAsia="Times New Roman" w:hAnsi="Times New Roman" w:cs="Times New Roman"/>
                <w:sz w:val="20"/>
                <w:szCs w:val="20"/>
                <w:lang w:val="it-IT" w:eastAsia="fr-CH"/>
              </w:rPr>
            </w:pPr>
            <w:r w:rsidRPr="006F07C8">
              <w:rPr>
                <w:rFonts w:ascii="Times New Roman" w:eastAsia="Times New Roman" w:hAnsi="Times New Roman" w:cs="Times New Roman"/>
                <w:sz w:val="20"/>
                <w:szCs w:val="20"/>
                <w:lang w:val="it-IT" w:eastAsia="fr-CH"/>
              </w:rPr>
              <w:t xml:space="preserve">7. Artigiani ed operai dei mestieri di tipo artigianale </w:t>
            </w:r>
          </w:p>
        </w:tc>
        <w:tc>
          <w:tcPr>
            <w:tcW w:w="723" w:type="dxa"/>
          </w:tcPr>
          <w:p w:rsidR="000A6C46" w:rsidRPr="006F07C8" w:rsidRDefault="000A6C46" w:rsidP="004930BB">
            <w:pPr>
              <w:keepNext/>
              <w:keepLines/>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65</w:t>
            </w:r>
          </w:p>
        </w:tc>
        <w:tc>
          <w:tcPr>
            <w:tcW w:w="723" w:type="dxa"/>
          </w:tcPr>
          <w:p w:rsidR="000A6C46" w:rsidRPr="006F07C8" w:rsidRDefault="000A6C46" w:rsidP="004930BB">
            <w:pPr>
              <w:keepNext/>
              <w:keepLines/>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88</w:t>
            </w:r>
          </w:p>
        </w:tc>
        <w:tc>
          <w:tcPr>
            <w:tcW w:w="236" w:type="dxa"/>
          </w:tcPr>
          <w:p w:rsidR="000A6C46" w:rsidRPr="006F07C8" w:rsidRDefault="000A6C46" w:rsidP="004930BB">
            <w:pPr>
              <w:keepNext/>
              <w:keepLines/>
              <w:jc w:val="center"/>
              <w:rPr>
                <w:rFonts w:ascii="Times New Roman" w:hAnsi="Times New Roman" w:cs="Times New Roman"/>
                <w:color w:val="000000"/>
                <w:sz w:val="20"/>
                <w:szCs w:val="20"/>
                <w:lang w:val="it-IT" w:eastAsia="fr-CH"/>
              </w:rPr>
            </w:pPr>
          </w:p>
        </w:tc>
        <w:tc>
          <w:tcPr>
            <w:tcW w:w="667" w:type="dxa"/>
          </w:tcPr>
          <w:p w:rsidR="000A6C46" w:rsidRPr="006F07C8" w:rsidRDefault="000A6C46" w:rsidP="004930BB">
            <w:pPr>
              <w:keepNext/>
              <w:keepLines/>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37</w:t>
            </w:r>
          </w:p>
        </w:tc>
        <w:tc>
          <w:tcPr>
            <w:tcW w:w="723" w:type="dxa"/>
          </w:tcPr>
          <w:p w:rsidR="000A6C46" w:rsidRPr="006F07C8" w:rsidRDefault="000A6C46" w:rsidP="004930BB">
            <w:pPr>
              <w:keepNext/>
              <w:keepLines/>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57</w:t>
            </w:r>
          </w:p>
        </w:tc>
        <w:tc>
          <w:tcPr>
            <w:tcW w:w="236" w:type="dxa"/>
          </w:tcPr>
          <w:p w:rsidR="000A6C46" w:rsidRPr="006F07C8" w:rsidRDefault="000A6C46" w:rsidP="004930BB">
            <w:pPr>
              <w:keepNext/>
              <w:keepLines/>
              <w:jc w:val="center"/>
              <w:rPr>
                <w:rFonts w:ascii="Times New Roman" w:hAnsi="Times New Roman" w:cs="Times New Roman"/>
                <w:color w:val="000000"/>
                <w:sz w:val="20"/>
                <w:szCs w:val="20"/>
                <w:lang w:val="it-IT" w:eastAsia="fr-CH"/>
              </w:rPr>
            </w:pPr>
          </w:p>
        </w:tc>
        <w:tc>
          <w:tcPr>
            <w:tcW w:w="635" w:type="dxa"/>
          </w:tcPr>
          <w:p w:rsidR="000A6C46" w:rsidRPr="006F07C8" w:rsidRDefault="000A6C46" w:rsidP="004930BB">
            <w:pPr>
              <w:keepNext/>
              <w:keepLines/>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0</w:t>
            </w:r>
          </w:p>
        </w:tc>
        <w:tc>
          <w:tcPr>
            <w:tcW w:w="724" w:type="dxa"/>
          </w:tcPr>
          <w:p w:rsidR="000A6C46" w:rsidRPr="006F07C8" w:rsidRDefault="000A6C46" w:rsidP="004930BB">
            <w:pPr>
              <w:keepNext/>
              <w:keepLines/>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4</w:t>
            </w:r>
          </w:p>
        </w:tc>
      </w:tr>
      <w:tr w:rsidR="000A6C46" w:rsidRPr="006F07C8" w:rsidTr="003F411A">
        <w:trPr>
          <w:trHeight w:val="221"/>
        </w:trPr>
        <w:tc>
          <w:tcPr>
            <w:tcW w:w="4907" w:type="dxa"/>
          </w:tcPr>
          <w:p w:rsidR="000A6C46" w:rsidRPr="006F07C8" w:rsidRDefault="000A6C46" w:rsidP="004930BB">
            <w:pPr>
              <w:keepNext/>
              <w:keepLines/>
              <w:rPr>
                <w:rFonts w:ascii="Times New Roman" w:hAnsi="Times New Roman" w:cs="Times New Roman"/>
                <w:kern w:val="24"/>
                <w:sz w:val="20"/>
                <w:szCs w:val="20"/>
                <w:lang w:val="it-IT"/>
              </w:rPr>
            </w:pPr>
            <w:r w:rsidRPr="006F07C8">
              <w:rPr>
                <w:rFonts w:ascii="Times New Roman" w:eastAsia="Times New Roman" w:hAnsi="Times New Roman" w:cs="Times New Roman"/>
                <w:sz w:val="20"/>
                <w:szCs w:val="20"/>
                <w:lang w:val="it-IT" w:eastAsia="fr-CH"/>
              </w:rPr>
              <w:t xml:space="preserve">8. Conduttori di installazioni e di macchine e operai dell’assemblaggio </w:t>
            </w:r>
          </w:p>
        </w:tc>
        <w:tc>
          <w:tcPr>
            <w:tcW w:w="723" w:type="dxa"/>
          </w:tcPr>
          <w:p w:rsidR="000A6C46" w:rsidRPr="006F07C8" w:rsidRDefault="000A6C46" w:rsidP="004930BB">
            <w:pPr>
              <w:keepNext/>
              <w:keepLines/>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63</w:t>
            </w:r>
          </w:p>
        </w:tc>
        <w:tc>
          <w:tcPr>
            <w:tcW w:w="723" w:type="dxa"/>
          </w:tcPr>
          <w:p w:rsidR="000A6C46" w:rsidRPr="006F07C8" w:rsidRDefault="000A6C46" w:rsidP="004930BB">
            <w:pPr>
              <w:keepNext/>
              <w:keepLines/>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87</w:t>
            </w:r>
          </w:p>
        </w:tc>
        <w:tc>
          <w:tcPr>
            <w:tcW w:w="236" w:type="dxa"/>
          </w:tcPr>
          <w:p w:rsidR="000A6C46" w:rsidRPr="006F07C8" w:rsidRDefault="000A6C46" w:rsidP="004930BB">
            <w:pPr>
              <w:keepNext/>
              <w:keepLines/>
              <w:jc w:val="center"/>
              <w:rPr>
                <w:rFonts w:ascii="Times New Roman" w:hAnsi="Times New Roman" w:cs="Times New Roman"/>
                <w:color w:val="000000"/>
                <w:sz w:val="20"/>
                <w:szCs w:val="20"/>
                <w:lang w:val="it-IT" w:eastAsia="fr-CH"/>
              </w:rPr>
            </w:pPr>
          </w:p>
        </w:tc>
        <w:tc>
          <w:tcPr>
            <w:tcW w:w="667" w:type="dxa"/>
          </w:tcPr>
          <w:p w:rsidR="000A6C46" w:rsidRPr="006F07C8" w:rsidRDefault="000A6C46" w:rsidP="004930BB">
            <w:pPr>
              <w:keepNext/>
              <w:keepLines/>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34</w:t>
            </w:r>
          </w:p>
        </w:tc>
        <w:tc>
          <w:tcPr>
            <w:tcW w:w="723" w:type="dxa"/>
          </w:tcPr>
          <w:p w:rsidR="000A6C46" w:rsidRPr="006F07C8" w:rsidRDefault="000A6C46" w:rsidP="004930BB">
            <w:pPr>
              <w:keepNext/>
              <w:keepLines/>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57</w:t>
            </w:r>
          </w:p>
        </w:tc>
        <w:tc>
          <w:tcPr>
            <w:tcW w:w="236" w:type="dxa"/>
          </w:tcPr>
          <w:p w:rsidR="000A6C46" w:rsidRPr="006F07C8" w:rsidRDefault="000A6C46" w:rsidP="004930BB">
            <w:pPr>
              <w:keepNext/>
              <w:keepLines/>
              <w:jc w:val="center"/>
              <w:rPr>
                <w:rFonts w:ascii="Times New Roman" w:hAnsi="Times New Roman" w:cs="Times New Roman"/>
                <w:color w:val="000000"/>
                <w:sz w:val="20"/>
                <w:szCs w:val="20"/>
                <w:lang w:val="it-IT" w:eastAsia="fr-CH"/>
              </w:rPr>
            </w:pPr>
          </w:p>
        </w:tc>
        <w:tc>
          <w:tcPr>
            <w:tcW w:w="635" w:type="dxa"/>
          </w:tcPr>
          <w:p w:rsidR="000A6C46" w:rsidRPr="006F07C8" w:rsidRDefault="000A6C46" w:rsidP="004930BB">
            <w:pPr>
              <w:keepNext/>
              <w:keepLines/>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1</w:t>
            </w:r>
          </w:p>
        </w:tc>
        <w:tc>
          <w:tcPr>
            <w:tcW w:w="724" w:type="dxa"/>
          </w:tcPr>
          <w:p w:rsidR="000A6C46" w:rsidRPr="006F07C8" w:rsidRDefault="000A6C46" w:rsidP="004930BB">
            <w:pPr>
              <w:keepNext/>
              <w:keepLines/>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5</w:t>
            </w:r>
          </w:p>
        </w:tc>
      </w:tr>
      <w:tr w:rsidR="000A6C46" w:rsidRPr="006F07C8" w:rsidTr="003F411A">
        <w:trPr>
          <w:trHeight w:val="139"/>
        </w:trPr>
        <w:tc>
          <w:tcPr>
            <w:tcW w:w="4907" w:type="dxa"/>
          </w:tcPr>
          <w:p w:rsidR="000A6C46" w:rsidRPr="006F07C8" w:rsidRDefault="000A6C46" w:rsidP="004930BB">
            <w:pPr>
              <w:pStyle w:val="NormalWeb"/>
              <w:keepNext/>
              <w:keepLines/>
              <w:spacing w:before="0" w:beforeAutospacing="0" w:after="0" w:afterAutospacing="0"/>
              <w:rPr>
                <w:kern w:val="24"/>
                <w:sz w:val="20"/>
                <w:szCs w:val="20"/>
                <w:lang w:val="it-IT"/>
              </w:rPr>
            </w:pPr>
            <w:r w:rsidRPr="006F07C8">
              <w:rPr>
                <w:sz w:val="20"/>
                <w:szCs w:val="20"/>
                <w:lang w:val="it-IT"/>
              </w:rPr>
              <w:t>9. Operai ed impiegati non qualificati</w:t>
            </w:r>
          </w:p>
        </w:tc>
        <w:tc>
          <w:tcPr>
            <w:tcW w:w="723" w:type="dxa"/>
          </w:tcPr>
          <w:p w:rsidR="000A6C46" w:rsidRPr="006F07C8" w:rsidRDefault="000A6C46" w:rsidP="004930BB">
            <w:pPr>
              <w:keepNext/>
              <w:keepLines/>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69</w:t>
            </w:r>
          </w:p>
        </w:tc>
        <w:tc>
          <w:tcPr>
            <w:tcW w:w="723" w:type="dxa"/>
          </w:tcPr>
          <w:p w:rsidR="000A6C46" w:rsidRPr="006F07C8" w:rsidRDefault="000A6C46" w:rsidP="004930BB">
            <w:pPr>
              <w:keepNext/>
              <w:keepLines/>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86</w:t>
            </w:r>
          </w:p>
        </w:tc>
        <w:tc>
          <w:tcPr>
            <w:tcW w:w="236" w:type="dxa"/>
          </w:tcPr>
          <w:p w:rsidR="000A6C46" w:rsidRPr="006F07C8" w:rsidRDefault="000A6C46" w:rsidP="004930BB">
            <w:pPr>
              <w:keepNext/>
              <w:keepLines/>
              <w:jc w:val="center"/>
              <w:rPr>
                <w:rFonts w:ascii="Times New Roman" w:hAnsi="Times New Roman" w:cs="Times New Roman"/>
                <w:color w:val="000000"/>
                <w:sz w:val="20"/>
                <w:szCs w:val="20"/>
                <w:lang w:val="it-IT" w:eastAsia="fr-CH"/>
              </w:rPr>
            </w:pPr>
          </w:p>
        </w:tc>
        <w:tc>
          <w:tcPr>
            <w:tcW w:w="667" w:type="dxa"/>
          </w:tcPr>
          <w:p w:rsidR="000A6C46" w:rsidRPr="006F07C8" w:rsidRDefault="000A6C46" w:rsidP="004930BB">
            <w:pPr>
              <w:keepNext/>
              <w:keepLines/>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38</w:t>
            </w:r>
          </w:p>
        </w:tc>
        <w:tc>
          <w:tcPr>
            <w:tcW w:w="723" w:type="dxa"/>
          </w:tcPr>
          <w:p w:rsidR="000A6C46" w:rsidRPr="006F07C8" w:rsidRDefault="000A6C46" w:rsidP="004930BB">
            <w:pPr>
              <w:keepNext/>
              <w:keepLines/>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58</w:t>
            </w:r>
          </w:p>
        </w:tc>
        <w:tc>
          <w:tcPr>
            <w:tcW w:w="236" w:type="dxa"/>
          </w:tcPr>
          <w:p w:rsidR="000A6C46" w:rsidRPr="006F07C8" w:rsidRDefault="000A6C46" w:rsidP="004930BB">
            <w:pPr>
              <w:keepNext/>
              <w:keepLines/>
              <w:jc w:val="center"/>
              <w:rPr>
                <w:rFonts w:ascii="Times New Roman" w:hAnsi="Times New Roman" w:cs="Times New Roman"/>
                <w:color w:val="000000"/>
                <w:sz w:val="20"/>
                <w:szCs w:val="20"/>
                <w:lang w:val="it-IT" w:eastAsia="fr-CH"/>
              </w:rPr>
            </w:pPr>
          </w:p>
        </w:tc>
        <w:tc>
          <w:tcPr>
            <w:tcW w:w="635" w:type="dxa"/>
          </w:tcPr>
          <w:p w:rsidR="000A6C46" w:rsidRPr="006F07C8" w:rsidRDefault="000A6C46" w:rsidP="004930BB">
            <w:pPr>
              <w:keepNext/>
              <w:keepLines/>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1</w:t>
            </w:r>
          </w:p>
        </w:tc>
        <w:tc>
          <w:tcPr>
            <w:tcW w:w="724" w:type="dxa"/>
          </w:tcPr>
          <w:p w:rsidR="000A6C46" w:rsidRPr="006F07C8" w:rsidRDefault="000A6C46" w:rsidP="004930BB">
            <w:pPr>
              <w:keepNext/>
              <w:keepLines/>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9</w:t>
            </w:r>
          </w:p>
        </w:tc>
      </w:tr>
      <w:tr w:rsidR="000A6C46" w:rsidRPr="006F07C8" w:rsidTr="003F411A">
        <w:trPr>
          <w:trHeight w:val="213"/>
        </w:trPr>
        <w:tc>
          <w:tcPr>
            <w:tcW w:w="4907" w:type="dxa"/>
          </w:tcPr>
          <w:p w:rsidR="000A6C46" w:rsidRPr="006F07C8" w:rsidRDefault="000A6C46" w:rsidP="004930BB">
            <w:pPr>
              <w:pStyle w:val="NormalWeb"/>
              <w:keepNext/>
              <w:keepLines/>
              <w:spacing w:before="0" w:beforeAutospacing="0" w:after="0" w:afterAutospacing="0"/>
              <w:rPr>
                <w:kern w:val="24"/>
                <w:sz w:val="20"/>
                <w:szCs w:val="20"/>
                <w:lang w:val="it-IT"/>
              </w:rPr>
            </w:pPr>
            <w:r w:rsidRPr="006F07C8">
              <w:rPr>
                <w:sz w:val="20"/>
                <w:szCs w:val="20"/>
                <w:lang w:val="it-IT"/>
              </w:rPr>
              <w:t>10.Forze armate</w:t>
            </w:r>
          </w:p>
        </w:tc>
        <w:tc>
          <w:tcPr>
            <w:tcW w:w="723" w:type="dxa"/>
          </w:tcPr>
          <w:p w:rsidR="000A6C46" w:rsidRPr="006F07C8" w:rsidRDefault="000A6C46" w:rsidP="004930BB">
            <w:pPr>
              <w:keepNext/>
              <w:keepLines/>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32</w:t>
            </w:r>
          </w:p>
        </w:tc>
        <w:tc>
          <w:tcPr>
            <w:tcW w:w="723" w:type="dxa"/>
          </w:tcPr>
          <w:p w:rsidR="000A6C46" w:rsidRPr="006F07C8" w:rsidRDefault="000A6C46" w:rsidP="004930BB">
            <w:pPr>
              <w:keepNext/>
              <w:keepLines/>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88</w:t>
            </w:r>
          </w:p>
        </w:tc>
        <w:tc>
          <w:tcPr>
            <w:tcW w:w="236" w:type="dxa"/>
          </w:tcPr>
          <w:p w:rsidR="000A6C46" w:rsidRPr="006F07C8" w:rsidRDefault="000A6C46" w:rsidP="004930BB">
            <w:pPr>
              <w:keepNext/>
              <w:keepLines/>
              <w:jc w:val="center"/>
              <w:rPr>
                <w:rFonts w:ascii="Times New Roman" w:hAnsi="Times New Roman" w:cs="Times New Roman"/>
                <w:color w:val="000000"/>
                <w:sz w:val="20"/>
                <w:szCs w:val="20"/>
                <w:lang w:val="it-IT" w:eastAsia="fr-CH"/>
              </w:rPr>
            </w:pPr>
          </w:p>
        </w:tc>
        <w:tc>
          <w:tcPr>
            <w:tcW w:w="667" w:type="dxa"/>
          </w:tcPr>
          <w:p w:rsidR="000A6C46" w:rsidRPr="006F07C8" w:rsidRDefault="000A6C46" w:rsidP="004930BB">
            <w:pPr>
              <w:keepNext/>
              <w:keepLines/>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13</w:t>
            </w:r>
          </w:p>
        </w:tc>
        <w:tc>
          <w:tcPr>
            <w:tcW w:w="723" w:type="dxa"/>
          </w:tcPr>
          <w:p w:rsidR="000A6C46" w:rsidRPr="006F07C8" w:rsidRDefault="000A6C46" w:rsidP="004930BB">
            <w:pPr>
              <w:keepNext/>
              <w:keepLines/>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40</w:t>
            </w:r>
          </w:p>
        </w:tc>
        <w:tc>
          <w:tcPr>
            <w:tcW w:w="236" w:type="dxa"/>
          </w:tcPr>
          <w:p w:rsidR="000A6C46" w:rsidRPr="006F07C8" w:rsidRDefault="000A6C46" w:rsidP="004930BB">
            <w:pPr>
              <w:keepNext/>
              <w:keepLines/>
              <w:jc w:val="center"/>
              <w:rPr>
                <w:rFonts w:ascii="Times New Roman" w:hAnsi="Times New Roman" w:cs="Times New Roman"/>
                <w:color w:val="000000"/>
                <w:sz w:val="20"/>
                <w:szCs w:val="20"/>
                <w:lang w:val="it-IT" w:eastAsia="fr-CH"/>
              </w:rPr>
            </w:pPr>
          </w:p>
        </w:tc>
        <w:tc>
          <w:tcPr>
            <w:tcW w:w="635" w:type="dxa"/>
          </w:tcPr>
          <w:p w:rsidR="000A6C46" w:rsidRPr="006F07C8" w:rsidRDefault="000A6C46" w:rsidP="004930BB">
            <w:pPr>
              <w:keepNext/>
              <w:keepLines/>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0</w:t>
            </w:r>
          </w:p>
        </w:tc>
        <w:tc>
          <w:tcPr>
            <w:tcW w:w="724" w:type="dxa"/>
          </w:tcPr>
          <w:p w:rsidR="000A6C46" w:rsidRPr="006F07C8" w:rsidRDefault="000A6C46" w:rsidP="004930BB">
            <w:pPr>
              <w:keepNext/>
              <w:keepLines/>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1</w:t>
            </w:r>
          </w:p>
        </w:tc>
      </w:tr>
    </w:tbl>
    <w:p w:rsidR="00C37333" w:rsidRPr="006F07C8" w:rsidRDefault="00C37333" w:rsidP="004930BB">
      <w:pPr>
        <w:keepNext/>
        <w:keepLines/>
        <w:spacing w:after="0" w:line="240" w:lineRule="auto"/>
        <w:jc w:val="both"/>
        <w:rPr>
          <w:rFonts w:ascii="Times New Roman" w:hAnsi="Times New Roman" w:cs="Times New Roman"/>
          <w:i/>
          <w:sz w:val="20"/>
          <w:szCs w:val="20"/>
          <w:lang w:val="it-IT"/>
        </w:rPr>
      </w:pPr>
      <w:r w:rsidRPr="006F07C8">
        <w:rPr>
          <w:rFonts w:ascii="Times New Roman" w:hAnsi="Times New Roman" w:cs="Times New Roman"/>
          <w:i/>
          <w:sz w:val="20"/>
          <w:szCs w:val="20"/>
          <w:lang w:val="it-IT"/>
        </w:rPr>
        <w:t>Fonte: Eurostat, IEA 2011. Tabella elaborata dall’autore.</w:t>
      </w:r>
    </w:p>
    <w:p w:rsidR="00865801" w:rsidRPr="006F07C8" w:rsidRDefault="00865801" w:rsidP="004930BB">
      <w:pPr>
        <w:keepNext/>
        <w:keepLines/>
        <w:spacing w:after="0" w:line="240" w:lineRule="auto"/>
        <w:jc w:val="both"/>
        <w:rPr>
          <w:rFonts w:ascii="Times New Roman" w:hAnsi="Times New Roman" w:cs="Times New Roman"/>
          <w:sz w:val="20"/>
          <w:szCs w:val="20"/>
          <w:lang w:val="it-IT"/>
        </w:rPr>
      </w:pPr>
      <w:r w:rsidRPr="006F07C8">
        <w:rPr>
          <w:rFonts w:ascii="Times New Roman" w:hAnsi="Times New Roman" w:cs="Times New Roman"/>
          <w:i/>
          <w:sz w:val="20"/>
          <w:szCs w:val="20"/>
          <w:lang w:val="it-IT"/>
        </w:rPr>
        <w:t>* Mancano i dati per livello competenza nelle lingue straniere (prima e seconda) per la Danimarca.</w:t>
      </w:r>
    </w:p>
    <w:p w:rsidR="00FD38C8" w:rsidRPr="006F07C8" w:rsidRDefault="00FD38C8" w:rsidP="002F52A9">
      <w:pPr>
        <w:spacing w:line="240" w:lineRule="auto"/>
        <w:jc w:val="both"/>
        <w:rPr>
          <w:rFonts w:ascii="Times New Roman" w:hAnsi="Times New Roman" w:cs="Times New Roman"/>
          <w:sz w:val="24"/>
          <w:szCs w:val="24"/>
          <w:lang w:val="it-IT"/>
        </w:rPr>
      </w:pPr>
    </w:p>
    <w:p w:rsidR="00C77844" w:rsidRPr="006F07C8" w:rsidRDefault="00873BCE" w:rsidP="002F52A9">
      <w:pPr>
        <w:spacing w:line="240" w:lineRule="auto"/>
        <w:jc w:val="both"/>
        <w:rPr>
          <w:rFonts w:ascii="Times New Roman" w:hAnsi="Times New Roman" w:cs="Times New Roman"/>
          <w:sz w:val="24"/>
          <w:szCs w:val="24"/>
          <w:lang w:val="it-IT"/>
        </w:rPr>
      </w:pPr>
      <w:r w:rsidRPr="006F07C8">
        <w:rPr>
          <w:rFonts w:ascii="Times New Roman" w:hAnsi="Times New Roman" w:cs="Times New Roman"/>
          <w:sz w:val="24"/>
          <w:szCs w:val="24"/>
          <w:lang w:val="it-IT"/>
        </w:rPr>
        <w:t>Non sorprendentemente</w:t>
      </w:r>
      <w:r w:rsidR="00FF3FD2" w:rsidRPr="006F07C8">
        <w:rPr>
          <w:rFonts w:ascii="Times New Roman" w:hAnsi="Times New Roman" w:cs="Times New Roman"/>
          <w:sz w:val="24"/>
          <w:szCs w:val="24"/>
          <w:lang w:val="it-IT"/>
        </w:rPr>
        <w:t xml:space="preserve"> </w:t>
      </w:r>
      <w:r w:rsidRPr="006F07C8">
        <w:rPr>
          <w:rFonts w:ascii="Times New Roman" w:hAnsi="Times New Roman" w:cs="Times New Roman"/>
          <w:sz w:val="24"/>
          <w:szCs w:val="24"/>
          <w:lang w:val="it-IT"/>
        </w:rPr>
        <w:t xml:space="preserve">la </w:t>
      </w:r>
      <w:r w:rsidRPr="006F07C8">
        <w:rPr>
          <w:rFonts w:ascii="Times New Roman" w:hAnsi="Times New Roman" w:cs="Times New Roman"/>
          <w:sz w:val="24"/>
          <w:szCs w:val="24"/>
          <w:lang w:val="it-IT"/>
        </w:rPr>
        <w:fldChar w:fldCharType="begin"/>
      </w:r>
      <w:r w:rsidRPr="006F07C8">
        <w:rPr>
          <w:rFonts w:ascii="Times New Roman" w:hAnsi="Times New Roman" w:cs="Times New Roman"/>
          <w:sz w:val="24"/>
          <w:szCs w:val="24"/>
          <w:lang w:val="it-IT"/>
        </w:rPr>
        <w:instrText xml:space="preserve"> REF _Ref378699931 \h  \* MERGEFORMAT </w:instrText>
      </w:r>
      <w:r w:rsidRPr="006F07C8">
        <w:rPr>
          <w:rFonts w:ascii="Times New Roman" w:hAnsi="Times New Roman" w:cs="Times New Roman"/>
          <w:sz w:val="24"/>
          <w:szCs w:val="24"/>
          <w:lang w:val="it-IT"/>
        </w:rPr>
      </w:r>
      <w:r w:rsidRPr="006F07C8">
        <w:rPr>
          <w:rFonts w:ascii="Times New Roman" w:hAnsi="Times New Roman" w:cs="Times New Roman"/>
          <w:sz w:val="24"/>
          <w:szCs w:val="24"/>
          <w:lang w:val="it-IT"/>
        </w:rPr>
        <w:fldChar w:fldCharType="separate"/>
      </w:r>
      <w:r w:rsidR="00087B27" w:rsidRPr="006F07C8">
        <w:rPr>
          <w:rFonts w:ascii="Times New Roman" w:hAnsi="Times New Roman" w:cs="Times New Roman"/>
          <w:sz w:val="24"/>
          <w:szCs w:val="24"/>
          <w:lang w:val="it-IT"/>
        </w:rPr>
        <w:t xml:space="preserve">Tabella </w:t>
      </w:r>
      <w:r w:rsidR="00087B27" w:rsidRPr="006F07C8">
        <w:rPr>
          <w:rFonts w:ascii="Times New Roman" w:hAnsi="Times New Roman" w:cs="Times New Roman"/>
          <w:noProof/>
          <w:sz w:val="24"/>
          <w:szCs w:val="24"/>
          <w:lang w:val="it-IT"/>
        </w:rPr>
        <w:t>9</w:t>
      </w:r>
      <w:r w:rsidRPr="006F07C8">
        <w:rPr>
          <w:rFonts w:ascii="Times New Roman" w:hAnsi="Times New Roman" w:cs="Times New Roman"/>
          <w:sz w:val="24"/>
          <w:szCs w:val="24"/>
          <w:lang w:val="it-IT"/>
        </w:rPr>
        <w:fldChar w:fldCharType="end"/>
      </w:r>
      <w:r w:rsidRPr="006F07C8">
        <w:rPr>
          <w:rFonts w:ascii="Times New Roman" w:hAnsi="Times New Roman" w:cs="Times New Roman"/>
          <w:sz w:val="24"/>
          <w:szCs w:val="24"/>
          <w:lang w:val="it-IT"/>
        </w:rPr>
        <w:t xml:space="preserve"> rivela che i tassi di esclusione linguistica associati al regime monolingue inglese e al regime trilingue variano </w:t>
      </w:r>
      <w:r w:rsidR="00D127A6" w:rsidRPr="006F07C8">
        <w:rPr>
          <w:rFonts w:ascii="Times New Roman" w:hAnsi="Times New Roman" w:cs="Times New Roman"/>
          <w:sz w:val="24"/>
          <w:szCs w:val="24"/>
          <w:lang w:val="it-IT"/>
        </w:rPr>
        <w:t>secondo il</w:t>
      </w:r>
      <w:r w:rsidRPr="006F07C8">
        <w:rPr>
          <w:rFonts w:ascii="Times New Roman" w:hAnsi="Times New Roman" w:cs="Times New Roman"/>
          <w:sz w:val="24"/>
          <w:szCs w:val="24"/>
          <w:lang w:val="it-IT"/>
        </w:rPr>
        <w:t xml:space="preserve"> tipo di professione: molto alti per coloro che svolgono mansioni non qualificate (classe “9”) e meno alti per </w:t>
      </w:r>
      <w:r w:rsidR="00FF3FD2" w:rsidRPr="006F07C8">
        <w:rPr>
          <w:rFonts w:ascii="Times New Roman" w:hAnsi="Times New Roman" w:cs="Times New Roman"/>
          <w:sz w:val="24"/>
          <w:szCs w:val="24"/>
          <w:lang w:val="it-IT"/>
        </w:rPr>
        <w:t xml:space="preserve">coloro che esercitano professioni intellettuali e scientifiche </w:t>
      </w:r>
      <w:r w:rsidR="001475B0" w:rsidRPr="006F07C8">
        <w:rPr>
          <w:rFonts w:ascii="Times New Roman" w:hAnsi="Times New Roman" w:cs="Times New Roman"/>
          <w:sz w:val="24"/>
          <w:szCs w:val="24"/>
          <w:lang w:val="it-IT"/>
        </w:rPr>
        <w:t>(“classe 2”)</w:t>
      </w:r>
      <w:r w:rsidRPr="006F07C8">
        <w:rPr>
          <w:rFonts w:ascii="Times New Roman" w:hAnsi="Times New Roman" w:cs="Times New Roman"/>
          <w:sz w:val="24"/>
          <w:szCs w:val="24"/>
          <w:lang w:val="it-IT"/>
        </w:rPr>
        <w:t xml:space="preserve">. </w:t>
      </w:r>
      <w:r w:rsidR="005D7379" w:rsidRPr="006F07C8">
        <w:rPr>
          <w:rFonts w:ascii="Times New Roman" w:hAnsi="Times New Roman" w:cs="Times New Roman"/>
          <w:sz w:val="24"/>
          <w:szCs w:val="24"/>
          <w:lang w:val="it-IT"/>
        </w:rPr>
        <w:t>Più</w:t>
      </w:r>
      <w:r w:rsidRPr="006F07C8">
        <w:rPr>
          <w:rFonts w:ascii="Times New Roman" w:hAnsi="Times New Roman" w:cs="Times New Roman"/>
          <w:sz w:val="24"/>
          <w:szCs w:val="24"/>
          <w:lang w:val="it-IT"/>
        </w:rPr>
        <w:t xml:space="preserve"> interessante invece è </w:t>
      </w:r>
      <w:r w:rsidR="00DA22C1" w:rsidRPr="006F07C8">
        <w:rPr>
          <w:rFonts w:ascii="Times New Roman" w:hAnsi="Times New Roman" w:cs="Times New Roman"/>
          <w:sz w:val="24"/>
          <w:szCs w:val="24"/>
          <w:lang w:val="it-IT"/>
        </w:rPr>
        <w:t xml:space="preserve">osservare </w:t>
      </w:r>
      <w:r w:rsidRPr="006F07C8">
        <w:rPr>
          <w:rFonts w:ascii="Times New Roman" w:hAnsi="Times New Roman" w:cs="Times New Roman"/>
          <w:sz w:val="24"/>
          <w:szCs w:val="24"/>
          <w:lang w:val="it-IT"/>
        </w:rPr>
        <w:t xml:space="preserve">i tassi di esclusione linguistica </w:t>
      </w:r>
      <w:r w:rsidR="00DA22C1" w:rsidRPr="006F07C8">
        <w:rPr>
          <w:rFonts w:ascii="Times New Roman" w:hAnsi="Times New Roman" w:cs="Times New Roman"/>
          <w:sz w:val="24"/>
          <w:szCs w:val="24"/>
          <w:lang w:val="it-IT"/>
        </w:rPr>
        <w:t xml:space="preserve">per i dirigenti. Non solo questi tassi </w:t>
      </w:r>
      <w:r w:rsidR="005D7379" w:rsidRPr="006F07C8">
        <w:rPr>
          <w:rFonts w:ascii="Times New Roman" w:hAnsi="Times New Roman" w:cs="Times New Roman"/>
          <w:sz w:val="24"/>
          <w:szCs w:val="24"/>
          <w:lang w:val="it-IT"/>
        </w:rPr>
        <w:t>sono</w:t>
      </w:r>
      <w:r w:rsidRPr="006F07C8">
        <w:rPr>
          <w:rFonts w:ascii="Times New Roman" w:hAnsi="Times New Roman" w:cs="Times New Roman"/>
          <w:sz w:val="24"/>
          <w:szCs w:val="24"/>
          <w:lang w:val="it-IT"/>
        </w:rPr>
        <w:t xml:space="preserve"> </w:t>
      </w:r>
      <w:r w:rsidR="00DA22C1" w:rsidRPr="006F07C8">
        <w:rPr>
          <w:rFonts w:ascii="Times New Roman" w:hAnsi="Times New Roman" w:cs="Times New Roman"/>
          <w:sz w:val="24"/>
          <w:szCs w:val="24"/>
          <w:lang w:val="it-IT"/>
        </w:rPr>
        <w:t xml:space="preserve">mediamente piuttosto </w:t>
      </w:r>
      <w:r w:rsidRPr="006F07C8">
        <w:rPr>
          <w:rFonts w:ascii="Times New Roman" w:hAnsi="Times New Roman" w:cs="Times New Roman"/>
          <w:sz w:val="24"/>
          <w:szCs w:val="24"/>
          <w:lang w:val="it-IT"/>
        </w:rPr>
        <w:t>alti</w:t>
      </w:r>
      <w:r w:rsidR="00DA22C1" w:rsidRPr="006F07C8">
        <w:rPr>
          <w:rFonts w:ascii="Times New Roman" w:hAnsi="Times New Roman" w:cs="Times New Roman"/>
          <w:sz w:val="24"/>
          <w:szCs w:val="24"/>
          <w:lang w:val="it-IT"/>
        </w:rPr>
        <w:t>, pur con importanti differenze fra settori di attività economica (</w:t>
      </w:r>
      <w:r w:rsidR="00CE067E" w:rsidRPr="006F07C8">
        <w:rPr>
          <w:rFonts w:ascii="Times New Roman" w:hAnsi="Times New Roman" w:cs="Times New Roman"/>
          <w:sz w:val="24"/>
          <w:szCs w:val="24"/>
          <w:lang w:val="it-IT"/>
        </w:rPr>
        <w:t xml:space="preserve">si veda </w:t>
      </w:r>
      <w:r w:rsidR="00DA22C1" w:rsidRPr="006F07C8">
        <w:rPr>
          <w:rFonts w:ascii="Times New Roman" w:hAnsi="Times New Roman" w:cs="Times New Roman"/>
          <w:sz w:val="24"/>
          <w:szCs w:val="24"/>
          <w:lang w:val="it-IT"/>
        </w:rPr>
        <w:fldChar w:fldCharType="begin"/>
      </w:r>
      <w:r w:rsidR="00DA22C1" w:rsidRPr="006F07C8">
        <w:rPr>
          <w:rFonts w:ascii="Times New Roman" w:hAnsi="Times New Roman" w:cs="Times New Roman"/>
          <w:sz w:val="24"/>
          <w:szCs w:val="24"/>
          <w:lang w:val="it-IT"/>
        </w:rPr>
        <w:instrText xml:space="preserve"> REF _Ref378706791 \h  \* MERGEFORMAT </w:instrText>
      </w:r>
      <w:r w:rsidR="00DA22C1" w:rsidRPr="006F07C8">
        <w:rPr>
          <w:rFonts w:ascii="Times New Roman" w:hAnsi="Times New Roman" w:cs="Times New Roman"/>
          <w:sz w:val="24"/>
          <w:szCs w:val="24"/>
          <w:lang w:val="it-IT"/>
        </w:rPr>
      </w:r>
      <w:r w:rsidR="00DA22C1" w:rsidRPr="006F07C8">
        <w:rPr>
          <w:rFonts w:ascii="Times New Roman" w:hAnsi="Times New Roman" w:cs="Times New Roman"/>
          <w:sz w:val="24"/>
          <w:szCs w:val="24"/>
          <w:lang w:val="it-IT"/>
        </w:rPr>
        <w:fldChar w:fldCharType="separate"/>
      </w:r>
      <w:r w:rsidR="00087B27" w:rsidRPr="006F07C8">
        <w:rPr>
          <w:rFonts w:ascii="Times New Roman" w:hAnsi="Times New Roman" w:cs="Times New Roman"/>
          <w:sz w:val="24"/>
          <w:szCs w:val="24"/>
          <w:lang w:val="it-IT"/>
        </w:rPr>
        <w:t xml:space="preserve">Tabella </w:t>
      </w:r>
      <w:r w:rsidR="00087B27" w:rsidRPr="006F07C8">
        <w:rPr>
          <w:rFonts w:ascii="Times New Roman" w:hAnsi="Times New Roman" w:cs="Times New Roman"/>
          <w:noProof/>
          <w:sz w:val="24"/>
          <w:szCs w:val="24"/>
          <w:lang w:val="it-IT"/>
        </w:rPr>
        <w:t>10</w:t>
      </w:r>
      <w:r w:rsidR="00DA22C1" w:rsidRPr="006F07C8">
        <w:rPr>
          <w:rFonts w:ascii="Times New Roman" w:hAnsi="Times New Roman" w:cs="Times New Roman"/>
          <w:sz w:val="24"/>
          <w:szCs w:val="24"/>
          <w:lang w:val="it-IT"/>
        </w:rPr>
        <w:fldChar w:fldCharType="end"/>
      </w:r>
      <w:r w:rsidR="00DA22C1" w:rsidRPr="006F07C8">
        <w:rPr>
          <w:rFonts w:ascii="Times New Roman" w:hAnsi="Times New Roman" w:cs="Times New Roman"/>
          <w:sz w:val="24"/>
          <w:szCs w:val="24"/>
          <w:lang w:val="it-IT"/>
        </w:rPr>
        <w:t>),</w:t>
      </w:r>
      <w:r w:rsidR="005D7379" w:rsidRPr="006F07C8">
        <w:rPr>
          <w:rFonts w:ascii="Times New Roman" w:hAnsi="Times New Roman" w:cs="Times New Roman"/>
          <w:sz w:val="24"/>
          <w:szCs w:val="24"/>
          <w:lang w:val="it-IT"/>
        </w:rPr>
        <w:t xml:space="preserve"> </w:t>
      </w:r>
      <w:r w:rsidR="00DA22C1" w:rsidRPr="006F07C8">
        <w:rPr>
          <w:rFonts w:ascii="Times New Roman" w:hAnsi="Times New Roman" w:cs="Times New Roman"/>
          <w:sz w:val="24"/>
          <w:szCs w:val="24"/>
          <w:lang w:val="it-IT"/>
        </w:rPr>
        <w:t xml:space="preserve">ma </w:t>
      </w:r>
      <w:r w:rsidR="005D7379" w:rsidRPr="006F07C8">
        <w:rPr>
          <w:rFonts w:ascii="Times New Roman" w:hAnsi="Times New Roman" w:cs="Times New Roman"/>
          <w:sz w:val="24"/>
          <w:szCs w:val="24"/>
          <w:lang w:val="it-IT"/>
        </w:rPr>
        <w:t xml:space="preserve">in </w:t>
      </w:r>
      <w:r w:rsidR="00C433C2" w:rsidRPr="006F07C8">
        <w:rPr>
          <w:rFonts w:ascii="Times New Roman" w:hAnsi="Times New Roman" w:cs="Times New Roman"/>
          <w:sz w:val="24"/>
          <w:szCs w:val="24"/>
          <w:lang w:val="it-IT"/>
        </w:rPr>
        <w:t xml:space="preserve">molti </w:t>
      </w:r>
      <w:r w:rsidR="005D7379" w:rsidRPr="006F07C8">
        <w:rPr>
          <w:rFonts w:ascii="Times New Roman" w:hAnsi="Times New Roman" w:cs="Times New Roman"/>
          <w:sz w:val="24"/>
          <w:szCs w:val="24"/>
          <w:lang w:val="it-IT"/>
        </w:rPr>
        <w:t xml:space="preserve">casi </w:t>
      </w:r>
      <w:r w:rsidR="00DA22C1" w:rsidRPr="006F07C8">
        <w:rPr>
          <w:rFonts w:ascii="Times New Roman" w:hAnsi="Times New Roman" w:cs="Times New Roman"/>
          <w:sz w:val="24"/>
          <w:szCs w:val="24"/>
          <w:lang w:val="it-IT"/>
        </w:rPr>
        <w:t xml:space="preserve">i tassi di esclusione linguistica </w:t>
      </w:r>
      <w:r w:rsidR="00C433C2" w:rsidRPr="006F07C8">
        <w:rPr>
          <w:rFonts w:ascii="Times New Roman" w:hAnsi="Times New Roman" w:cs="Times New Roman"/>
          <w:sz w:val="24"/>
          <w:szCs w:val="24"/>
          <w:lang w:val="it-IT"/>
        </w:rPr>
        <w:t xml:space="preserve">per </w:t>
      </w:r>
      <w:r w:rsidR="00DA22C1" w:rsidRPr="006F07C8">
        <w:rPr>
          <w:rFonts w:ascii="Times New Roman" w:hAnsi="Times New Roman" w:cs="Times New Roman"/>
          <w:sz w:val="24"/>
          <w:szCs w:val="24"/>
          <w:lang w:val="it-IT"/>
        </w:rPr>
        <w:t xml:space="preserve">i dirigenti </w:t>
      </w:r>
      <w:r w:rsidR="005D7379" w:rsidRPr="006F07C8">
        <w:rPr>
          <w:rFonts w:ascii="Times New Roman" w:hAnsi="Times New Roman" w:cs="Times New Roman"/>
          <w:sz w:val="24"/>
          <w:szCs w:val="24"/>
          <w:lang w:val="it-IT"/>
        </w:rPr>
        <w:t xml:space="preserve">sono più alti </w:t>
      </w:r>
      <w:r w:rsidR="00C433C2" w:rsidRPr="006F07C8">
        <w:rPr>
          <w:rFonts w:ascii="Times New Roman" w:hAnsi="Times New Roman" w:cs="Times New Roman"/>
          <w:sz w:val="24"/>
          <w:szCs w:val="24"/>
          <w:lang w:val="it-IT"/>
        </w:rPr>
        <w:t xml:space="preserve">di </w:t>
      </w:r>
      <w:r w:rsidR="00DA22C1" w:rsidRPr="006F07C8">
        <w:rPr>
          <w:rFonts w:ascii="Times New Roman" w:hAnsi="Times New Roman" w:cs="Times New Roman"/>
          <w:sz w:val="24"/>
          <w:szCs w:val="24"/>
          <w:lang w:val="it-IT"/>
        </w:rPr>
        <w:t xml:space="preserve">quelli </w:t>
      </w:r>
      <w:r w:rsidR="00C433C2" w:rsidRPr="006F07C8">
        <w:rPr>
          <w:rFonts w:ascii="Times New Roman" w:hAnsi="Times New Roman" w:cs="Times New Roman"/>
          <w:sz w:val="24"/>
          <w:szCs w:val="24"/>
          <w:lang w:val="it-IT"/>
        </w:rPr>
        <w:t xml:space="preserve">per </w:t>
      </w:r>
      <w:r w:rsidR="00DA22C1" w:rsidRPr="006F07C8">
        <w:rPr>
          <w:rFonts w:ascii="Times New Roman" w:hAnsi="Times New Roman" w:cs="Times New Roman"/>
          <w:sz w:val="24"/>
          <w:szCs w:val="24"/>
          <w:lang w:val="it-IT"/>
        </w:rPr>
        <w:t>le</w:t>
      </w:r>
      <w:r w:rsidR="005D7379" w:rsidRPr="006F07C8">
        <w:rPr>
          <w:rFonts w:ascii="Times New Roman" w:hAnsi="Times New Roman" w:cs="Times New Roman"/>
          <w:sz w:val="24"/>
          <w:szCs w:val="24"/>
          <w:lang w:val="it-IT"/>
        </w:rPr>
        <w:t xml:space="preserve"> professioni </w:t>
      </w:r>
      <w:r w:rsidR="00C433C2" w:rsidRPr="006F07C8">
        <w:rPr>
          <w:rFonts w:ascii="Times New Roman" w:hAnsi="Times New Roman" w:cs="Times New Roman"/>
          <w:sz w:val="24"/>
          <w:szCs w:val="24"/>
          <w:lang w:val="it-IT"/>
        </w:rPr>
        <w:t xml:space="preserve">intellettuali, </w:t>
      </w:r>
      <w:r w:rsidR="005D7379" w:rsidRPr="006F07C8">
        <w:rPr>
          <w:rFonts w:ascii="Times New Roman" w:hAnsi="Times New Roman" w:cs="Times New Roman"/>
          <w:sz w:val="24"/>
          <w:szCs w:val="24"/>
          <w:lang w:val="it-IT"/>
        </w:rPr>
        <w:t>intermedie</w:t>
      </w:r>
      <w:r w:rsidR="00C433C2" w:rsidRPr="006F07C8">
        <w:rPr>
          <w:rFonts w:ascii="Times New Roman" w:hAnsi="Times New Roman" w:cs="Times New Roman"/>
          <w:sz w:val="24"/>
          <w:szCs w:val="24"/>
          <w:lang w:val="it-IT"/>
        </w:rPr>
        <w:t xml:space="preserve"> e perfino per quelle di tipo amministrativo</w:t>
      </w:r>
      <w:r w:rsidRPr="006F07C8">
        <w:rPr>
          <w:rFonts w:ascii="Times New Roman" w:hAnsi="Times New Roman" w:cs="Times New Roman"/>
          <w:sz w:val="24"/>
          <w:szCs w:val="24"/>
          <w:lang w:val="it-IT"/>
        </w:rPr>
        <w:t>. Un</w:t>
      </w:r>
      <w:r w:rsidR="005D7379" w:rsidRPr="006F07C8">
        <w:rPr>
          <w:rFonts w:ascii="Times New Roman" w:hAnsi="Times New Roman" w:cs="Times New Roman"/>
          <w:sz w:val="24"/>
          <w:szCs w:val="24"/>
          <w:lang w:val="it-IT"/>
        </w:rPr>
        <w:t xml:space="preserve"> regime </w:t>
      </w:r>
      <w:r w:rsidRPr="006F07C8">
        <w:rPr>
          <w:rFonts w:ascii="Times New Roman" w:hAnsi="Times New Roman" w:cs="Times New Roman"/>
          <w:sz w:val="24"/>
          <w:szCs w:val="24"/>
          <w:lang w:val="it-IT"/>
        </w:rPr>
        <w:t>monolingue inglese, ad esempio, esclude</w:t>
      </w:r>
      <w:r w:rsidR="00CE067E" w:rsidRPr="006F07C8">
        <w:rPr>
          <w:rFonts w:ascii="Times New Roman" w:hAnsi="Times New Roman" w:cs="Times New Roman"/>
          <w:sz w:val="24"/>
          <w:szCs w:val="24"/>
          <w:lang w:val="it-IT"/>
        </w:rPr>
        <w:t>rebbe</w:t>
      </w:r>
      <w:r w:rsidRPr="006F07C8">
        <w:rPr>
          <w:rFonts w:ascii="Times New Roman" w:hAnsi="Times New Roman" w:cs="Times New Roman"/>
          <w:sz w:val="24"/>
          <w:szCs w:val="24"/>
          <w:lang w:val="it-IT"/>
        </w:rPr>
        <w:t xml:space="preserve"> </w:t>
      </w:r>
      <w:r w:rsidR="00865801" w:rsidRPr="006F07C8">
        <w:rPr>
          <w:rFonts w:ascii="Times New Roman" w:hAnsi="Times New Roman" w:cs="Times New Roman"/>
          <w:sz w:val="24"/>
          <w:szCs w:val="24"/>
          <w:lang w:val="it-IT"/>
        </w:rPr>
        <w:t xml:space="preserve">del tutto </w:t>
      </w:r>
      <w:r w:rsidRPr="006F07C8">
        <w:rPr>
          <w:rFonts w:ascii="Times New Roman" w:hAnsi="Times New Roman" w:cs="Times New Roman"/>
          <w:sz w:val="24"/>
          <w:szCs w:val="24"/>
          <w:lang w:val="it-IT"/>
        </w:rPr>
        <w:t xml:space="preserve">dalla comunicazione </w:t>
      </w:r>
      <w:r w:rsidR="00865801" w:rsidRPr="006F07C8">
        <w:rPr>
          <w:rFonts w:ascii="Times New Roman" w:hAnsi="Times New Roman" w:cs="Times New Roman"/>
          <w:sz w:val="24"/>
          <w:szCs w:val="24"/>
          <w:lang w:val="it-IT"/>
        </w:rPr>
        <w:t>più di un terzo dei dirigen</w:t>
      </w:r>
      <w:r w:rsidR="005D7379" w:rsidRPr="006F07C8">
        <w:rPr>
          <w:rFonts w:ascii="Times New Roman" w:hAnsi="Times New Roman" w:cs="Times New Roman"/>
          <w:sz w:val="24"/>
          <w:szCs w:val="24"/>
          <w:lang w:val="it-IT"/>
        </w:rPr>
        <w:t>ti</w:t>
      </w:r>
      <w:r w:rsidR="00865801" w:rsidRPr="006F07C8">
        <w:rPr>
          <w:rFonts w:ascii="Times New Roman" w:hAnsi="Times New Roman" w:cs="Times New Roman"/>
          <w:sz w:val="24"/>
          <w:szCs w:val="24"/>
          <w:lang w:val="it-IT"/>
        </w:rPr>
        <w:t xml:space="preserve"> </w:t>
      </w:r>
      <w:r w:rsidR="00F35B97" w:rsidRPr="006F07C8">
        <w:rPr>
          <w:rFonts w:ascii="Times New Roman" w:hAnsi="Times New Roman" w:cs="Times New Roman"/>
          <w:sz w:val="24"/>
          <w:szCs w:val="24"/>
          <w:lang w:val="it-IT"/>
        </w:rPr>
        <w:t xml:space="preserve">residenti nei 23 paesi considerati </w:t>
      </w:r>
      <w:r w:rsidR="00865801" w:rsidRPr="006F07C8">
        <w:rPr>
          <w:rFonts w:ascii="Times New Roman" w:hAnsi="Times New Roman" w:cs="Times New Roman"/>
          <w:sz w:val="24"/>
          <w:szCs w:val="24"/>
          <w:lang w:val="it-IT"/>
        </w:rPr>
        <w:t>e rende</w:t>
      </w:r>
      <w:r w:rsidR="00C433C2" w:rsidRPr="006F07C8">
        <w:rPr>
          <w:rFonts w:ascii="Times New Roman" w:hAnsi="Times New Roman" w:cs="Times New Roman"/>
          <w:sz w:val="24"/>
          <w:szCs w:val="24"/>
          <w:lang w:val="it-IT"/>
        </w:rPr>
        <w:t>rebbe</w:t>
      </w:r>
      <w:r w:rsidR="00865801" w:rsidRPr="006F07C8">
        <w:rPr>
          <w:rFonts w:ascii="Times New Roman" w:hAnsi="Times New Roman" w:cs="Times New Roman"/>
          <w:sz w:val="24"/>
          <w:szCs w:val="24"/>
          <w:lang w:val="it-IT"/>
        </w:rPr>
        <w:t xml:space="preserve"> la comunicazione non agevole o difficile per un altro 31% (</w:t>
      </w:r>
      <w:r w:rsidR="00865801" w:rsidRPr="006F07C8">
        <w:rPr>
          <w:rFonts w:ascii="Times New Roman" w:hAnsi="Times New Roman" w:cs="Times New Roman"/>
          <w:i/>
          <w:sz w:val="24"/>
          <w:szCs w:val="24"/>
          <w:lang w:val="it-IT"/>
        </w:rPr>
        <w:t>E</w:t>
      </w:r>
      <w:r w:rsidR="00865801" w:rsidRPr="006F07C8">
        <w:rPr>
          <w:rFonts w:ascii="Times New Roman" w:hAnsi="Times New Roman" w:cs="Times New Roman"/>
          <w:i/>
          <w:sz w:val="24"/>
          <w:szCs w:val="24"/>
          <w:vertAlign w:val="subscript"/>
          <w:lang w:val="it-IT"/>
        </w:rPr>
        <w:t>r</w:t>
      </w:r>
      <w:r w:rsidR="00807445" w:rsidRPr="006F07C8">
        <w:rPr>
          <w:rFonts w:ascii="Times New Roman" w:hAnsi="Times New Roman" w:cs="Times New Roman"/>
          <w:sz w:val="24"/>
          <w:szCs w:val="24"/>
          <w:lang w:val="it-IT"/>
        </w:rPr>
        <w:t>=66%).</w:t>
      </w:r>
      <w:r w:rsidR="00D127A6" w:rsidRPr="006F07C8">
        <w:rPr>
          <w:rFonts w:ascii="Times New Roman" w:hAnsi="Times New Roman" w:cs="Times New Roman"/>
          <w:sz w:val="24"/>
          <w:szCs w:val="24"/>
          <w:lang w:val="it-IT"/>
        </w:rPr>
        <w:t xml:space="preserve"> </w:t>
      </w:r>
      <w:r w:rsidR="003F411A" w:rsidRPr="006F07C8">
        <w:rPr>
          <w:rFonts w:ascii="Times New Roman" w:hAnsi="Times New Roman" w:cs="Times New Roman"/>
          <w:sz w:val="24"/>
          <w:szCs w:val="24"/>
          <w:lang w:val="it-IT"/>
        </w:rPr>
        <w:t>N</w:t>
      </w:r>
      <w:r w:rsidR="00A00ABB" w:rsidRPr="006F07C8">
        <w:rPr>
          <w:rFonts w:ascii="Times New Roman" w:hAnsi="Times New Roman" w:cs="Times New Roman"/>
          <w:sz w:val="24"/>
          <w:szCs w:val="24"/>
          <w:lang w:val="it-IT"/>
        </w:rPr>
        <w:t>emmeno p</w:t>
      </w:r>
      <w:r w:rsidR="00865801" w:rsidRPr="006F07C8">
        <w:rPr>
          <w:rFonts w:ascii="Times New Roman" w:hAnsi="Times New Roman" w:cs="Times New Roman"/>
          <w:sz w:val="24"/>
          <w:szCs w:val="24"/>
          <w:lang w:val="it-IT"/>
        </w:rPr>
        <w:t xml:space="preserve">er le professioni intellettuali e scientifiche </w:t>
      </w:r>
      <w:r w:rsidR="00316BDC" w:rsidRPr="006F07C8">
        <w:rPr>
          <w:rFonts w:ascii="Times New Roman" w:hAnsi="Times New Roman" w:cs="Times New Roman"/>
          <w:sz w:val="24"/>
          <w:szCs w:val="24"/>
          <w:lang w:val="it-IT"/>
        </w:rPr>
        <w:t xml:space="preserve">e per le professioni intermedie </w:t>
      </w:r>
      <w:r w:rsidR="00865801" w:rsidRPr="006F07C8">
        <w:rPr>
          <w:rFonts w:ascii="Times New Roman" w:hAnsi="Times New Roman" w:cs="Times New Roman"/>
          <w:sz w:val="24"/>
          <w:szCs w:val="24"/>
          <w:lang w:val="it-IT"/>
        </w:rPr>
        <w:t xml:space="preserve">i tassi di esclusione linguistica </w:t>
      </w:r>
      <w:r w:rsidR="005D7379" w:rsidRPr="006F07C8">
        <w:rPr>
          <w:rFonts w:ascii="Times New Roman" w:hAnsi="Times New Roman" w:cs="Times New Roman"/>
          <w:sz w:val="24"/>
          <w:szCs w:val="24"/>
          <w:lang w:val="it-IT"/>
        </w:rPr>
        <w:t xml:space="preserve">sono bassi </w:t>
      </w:r>
      <w:r w:rsidR="00A00ABB" w:rsidRPr="006F07C8">
        <w:rPr>
          <w:rFonts w:ascii="Times New Roman" w:hAnsi="Times New Roman" w:cs="Times New Roman"/>
          <w:sz w:val="24"/>
          <w:szCs w:val="24"/>
          <w:lang w:val="it-IT"/>
        </w:rPr>
        <w:t xml:space="preserve">o nulli </w:t>
      </w:r>
      <w:r w:rsidR="005D7379" w:rsidRPr="006F07C8">
        <w:rPr>
          <w:rFonts w:ascii="Times New Roman" w:hAnsi="Times New Roman" w:cs="Times New Roman"/>
          <w:sz w:val="24"/>
          <w:szCs w:val="24"/>
          <w:lang w:val="it-IT"/>
        </w:rPr>
        <w:t xml:space="preserve">come ci si aspetterebbe. </w:t>
      </w:r>
      <w:r w:rsidR="00A00ABB" w:rsidRPr="006F07C8">
        <w:rPr>
          <w:rFonts w:ascii="Times New Roman" w:hAnsi="Times New Roman" w:cs="Times New Roman"/>
          <w:sz w:val="24"/>
          <w:szCs w:val="24"/>
          <w:lang w:val="it-IT"/>
        </w:rPr>
        <w:t>Per esempio, i</w:t>
      </w:r>
      <w:r w:rsidR="005D7379" w:rsidRPr="006F07C8">
        <w:rPr>
          <w:rFonts w:ascii="Times New Roman" w:hAnsi="Times New Roman" w:cs="Times New Roman"/>
          <w:sz w:val="24"/>
          <w:szCs w:val="24"/>
          <w:lang w:val="it-IT"/>
        </w:rPr>
        <w:t xml:space="preserve"> tassi </w:t>
      </w:r>
      <w:r w:rsidR="00865801" w:rsidRPr="006F07C8">
        <w:rPr>
          <w:rFonts w:ascii="Times New Roman" w:hAnsi="Times New Roman" w:cs="Times New Roman"/>
          <w:sz w:val="24"/>
          <w:szCs w:val="24"/>
          <w:lang w:val="it-IT"/>
        </w:rPr>
        <w:t>relativi generati dal monolinguismo</w:t>
      </w:r>
      <w:r w:rsidR="005D7379" w:rsidRPr="006F07C8">
        <w:rPr>
          <w:rFonts w:ascii="Times New Roman" w:hAnsi="Times New Roman" w:cs="Times New Roman"/>
          <w:sz w:val="24"/>
          <w:szCs w:val="24"/>
          <w:lang w:val="it-IT"/>
        </w:rPr>
        <w:t xml:space="preserve"> sono superiori o uguali al 60% e </w:t>
      </w:r>
      <w:r w:rsidR="00316BDC" w:rsidRPr="006F07C8">
        <w:rPr>
          <w:rFonts w:ascii="Times New Roman" w:hAnsi="Times New Roman" w:cs="Times New Roman"/>
          <w:sz w:val="24"/>
          <w:szCs w:val="24"/>
          <w:lang w:val="it-IT"/>
        </w:rPr>
        <w:t>quelli prodotti dal trilinguismo maggiori o uguali al 35%.</w:t>
      </w:r>
      <w:r w:rsidR="004C367C" w:rsidRPr="006F07C8">
        <w:rPr>
          <w:rFonts w:ascii="Times New Roman" w:hAnsi="Times New Roman" w:cs="Times New Roman"/>
          <w:sz w:val="24"/>
          <w:szCs w:val="24"/>
          <w:lang w:val="it-IT"/>
        </w:rPr>
        <w:t xml:space="preserve"> Anche in questo caso, quindi, il multilinguismo si rivela essere comparativamente più efficace nel trasmettere informazioni sulle politiche europee</w:t>
      </w:r>
      <w:r w:rsidR="00CE067E" w:rsidRPr="006F07C8">
        <w:rPr>
          <w:rFonts w:ascii="Times New Roman" w:hAnsi="Times New Roman" w:cs="Times New Roman"/>
          <w:sz w:val="24"/>
          <w:szCs w:val="24"/>
          <w:lang w:val="it-IT"/>
        </w:rPr>
        <w:t xml:space="preserve"> a tutti</w:t>
      </w:r>
      <w:r w:rsidR="00DA22C1" w:rsidRPr="006F07C8">
        <w:rPr>
          <w:rFonts w:ascii="Times New Roman" w:hAnsi="Times New Roman" w:cs="Times New Roman"/>
          <w:sz w:val="24"/>
          <w:szCs w:val="24"/>
          <w:lang w:val="it-IT"/>
        </w:rPr>
        <w:t xml:space="preserve">, anche </w:t>
      </w:r>
      <w:r w:rsidR="00CE067E" w:rsidRPr="006F07C8">
        <w:rPr>
          <w:rFonts w:ascii="Times New Roman" w:hAnsi="Times New Roman" w:cs="Times New Roman"/>
          <w:sz w:val="24"/>
          <w:szCs w:val="24"/>
          <w:lang w:val="it-IT"/>
        </w:rPr>
        <w:t>a</w:t>
      </w:r>
      <w:r w:rsidR="00DA22C1" w:rsidRPr="006F07C8">
        <w:rPr>
          <w:rFonts w:ascii="Times New Roman" w:hAnsi="Times New Roman" w:cs="Times New Roman"/>
          <w:sz w:val="24"/>
          <w:szCs w:val="24"/>
          <w:lang w:val="it-IT"/>
        </w:rPr>
        <w:t>i dirigenti</w:t>
      </w:r>
      <w:r w:rsidR="004C367C" w:rsidRPr="006F07C8">
        <w:rPr>
          <w:rFonts w:ascii="Times New Roman" w:hAnsi="Times New Roman" w:cs="Times New Roman"/>
          <w:sz w:val="24"/>
          <w:szCs w:val="24"/>
          <w:lang w:val="it-IT"/>
        </w:rPr>
        <w:t>.</w:t>
      </w:r>
    </w:p>
    <w:p w:rsidR="00831037" w:rsidRPr="006F07C8" w:rsidRDefault="00831037" w:rsidP="002F52A9">
      <w:pPr>
        <w:pStyle w:val="Caption"/>
        <w:rPr>
          <w:rFonts w:ascii="Times New Roman" w:hAnsi="Times New Roman" w:cs="Times New Roman"/>
          <w:sz w:val="20"/>
          <w:szCs w:val="20"/>
          <w:lang w:val="it-IT"/>
        </w:rPr>
      </w:pPr>
      <w:bookmarkStart w:id="27" w:name="_Ref378706791"/>
      <w:r w:rsidRPr="006F07C8">
        <w:rPr>
          <w:rFonts w:ascii="Times New Roman" w:hAnsi="Times New Roman" w:cs="Times New Roman"/>
          <w:sz w:val="20"/>
          <w:szCs w:val="20"/>
          <w:lang w:val="it-IT"/>
        </w:rPr>
        <w:t xml:space="preserve">Tabella </w:t>
      </w:r>
      <w:r w:rsidRPr="006F07C8">
        <w:rPr>
          <w:rFonts w:ascii="Times New Roman" w:hAnsi="Times New Roman" w:cs="Times New Roman"/>
          <w:sz w:val="20"/>
          <w:szCs w:val="20"/>
          <w:lang w:val="it-IT"/>
        </w:rPr>
        <w:fldChar w:fldCharType="begin"/>
      </w:r>
      <w:r w:rsidRPr="006F07C8">
        <w:rPr>
          <w:rFonts w:ascii="Times New Roman" w:hAnsi="Times New Roman" w:cs="Times New Roman"/>
          <w:sz w:val="20"/>
          <w:szCs w:val="20"/>
          <w:lang w:val="it-IT"/>
        </w:rPr>
        <w:instrText xml:space="preserve"> SEQ Tabella \* ARABIC </w:instrText>
      </w:r>
      <w:r w:rsidRPr="006F07C8">
        <w:rPr>
          <w:rFonts w:ascii="Times New Roman" w:hAnsi="Times New Roman" w:cs="Times New Roman"/>
          <w:sz w:val="20"/>
          <w:szCs w:val="20"/>
          <w:lang w:val="it-IT"/>
        </w:rPr>
        <w:fldChar w:fldCharType="separate"/>
      </w:r>
      <w:r w:rsidR="00087B27" w:rsidRPr="006F07C8">
        <w:rPr>
          <w:rFonts w:ascii="Times New Roman" w:hAnsi="Times New Roman" w:cs="Times New Roman"/>
          <w:noProof/>
          <w:sz w:val="20"/>
          <w:szCs w:val="20"/>
          <w:lang w:val="it-IT"/>
        </w:rPr>
        <w:t>10</w:t>
      </w:r>
      <w:r w:rsidRPr="006F07C8">
        <w:rPr>
          <w:rFonts w:ascii="Times New Roman" w:hAnsi="Times New Roman" w:cs="Times New Roman"/>
          <w:sz w:val="20"/>
          <w:szCs w:val="20"/>
          <w:lang w:val="it-IT"/>
        </w:rPr>
        <w:fldChar w:fldCharType="end"/>
      </w:r>
      <w:bookmarkEnd w:id="27"/>
      <w:r w:rsidRPr="006F07C8">
        <w:rPr>
          <w:rFonts w:ascii="Times New Roman" w:hAnsi="Times New Roman" w:cs="Times New Roman"/>
          <w:sz w:val="20"/>
          <w:szCs w:val="20"/>
          <w:lang w:val="it-IT"/>
        </w:rPr>
        <w:t xml:space="preserve"> : </w:t>
      </w:r>
      <w:r w:rsidR="00C77844" w:rsidRPr="006F07C8">
        <w:rPr>
          <w:rFonts w:ascii="Times New Roman" w:hAnsi="Times New Roman" w:cs="Times New Roman"/>
          <w:sz w:val="20"/>
          <w:szCs w:val="20"/>
          <w:lang w:val="it-IT"/>
        </w:rPr>
        <w:t>Tassi di esclusione linguistica assolut</w:t>
      </w:r>
      <w:r w:rsidR="00960644" w:rsidRPr="006F07C8">
        <w:rPr>
          <w:rFonts w:ascii="Times New Roman" w:hAnsi="Times New Roman" w:cs="Times New Roman"/>
          <w:sz w:val="20"/>
          <w:szCs w:val="20"/>
          <w:lang w:val="it-IT"/>
        </w:rPr>
        <w:t>a e relativa</w:t>
      </w:r>
      <w:r w:rsidR="00C77844" w:rsidRPr="006F07C8">
        <w:rPr>
          <w:rFonts w:ascii="Times New Roman" w:hAnsi="Times New Roman" w:cs="Times New Roman"/>
          <w:sz w:val="20"/>
          <w:szCs w:val="20"/>
          <w:lang w:val="it-IT"/>
        </w:rPr>
        <w:t xml:space="preserve"> per i dirigenti secondo </w:t>
      </w:r>
      <w:r w:rsidR="00C433C2" w:rsidRPr="006F07C8">
        <w:rPr>
          <w:rFonts w:ascii="Times New Roman" w:hAnsi="Times New Roman" w:cs="Times New Roman"/>
          <w:sz w:val="20"/>
          <w:szCs w:val="20"/>
          <w:lang w:val="it-IT"/>
        </w:rPr>
        <w:t xml:space="preserve">il </w:t>
      </w:r>
      <w:r w:rsidR="00C77844" w:rsidRPr="006F07C8">
        <w:rPr>
          <w:rFonts w:ascii="Times New Roman" w:hAnsi="Times New Roman" w:cs="Times New Roman"/>
          <w:sz w:val="20"/>
          <w:szCs w:val="20"/>
          <w:lang w:val="it-IT"/>
        </w:rPr>
        <w:t>settore di attività economica, UE-23. Dati in percentuale</w:t>
      </w:r>
    </w:p>
    <w:tbl>
      <w:tblPr>
        <w:tblStyle w:val="TableGrid"/>
        <w:tblW w:w="9246" w:type="dxa"/>
        <w:jc w:val="center"/>
        <w:tblLayout w:type="fixed"/>
        <w:tblLook w:val="04A0" w:firstRow="1" w:lastRow="0" w:firstColumn="1" w:lastColumn="0" w:noHBand="0" w:noVBand="1"/>
      </w:tblPr>
      <w:tblGrid>
        <w:gridCol w:w="4907"/>
        <w:gridCol w:w="723"/>
        <w:gridCol w:w="723"/>
        <w:gridCol w:w="723"/>
        <w:gridCol w:w="723"/>
        <w:gridCol w:w="723"/>
        <w:gridCol w:w="724"/>
      </w:tblGrid>
      <w:tr w:rsidR="00403D0C" w:rsidRPr="006F07C8" w:rsidTr="00DA22C1">
        <w:trPr>
          <w:trHeight w:val="312"/>
          <w:jc w:val="center"/>
        </w:trPr>
        <w:tc>
          <w:tcPr>
            <w:tcW w:w="4907" w:type="dxa"/>
          </w:tcPr>
          <w:p w:rsidR="00403D0C" w:rsidRPr="006F07C8" w:rsidRDefault="00403D0C" w:rsidP="002F52A9">
            <w:pPr>
              <w:jc w:val="center"/>
              <w:rPr>
                <w:rFonts w:ascii="Times New Roman" w:hAnsi="Times New Roman" w:cs="Times New Roman"/>
                <w:b/>
                <w:sz w:val="20"/>
                <w:szCs w:val="20"/>
                <w:lang w:val="it-IT" w:eastAsia="fr-CH"/>
              </w:rPr>
            </w:pPr>
            <w:r w:rsidRPr="006F07C8">
              <w:rPr>
                <w:rFonts w:ascii="Times New Roman" w:hAnsi="Times New Roman" w:cs="Times New Roman"/>
                <w:b/>
                <w:sz w:val="20"/>
                <w:szCs w:val="20"/>
                <w:lang w:val="it-IT" w:eastAsia="fr-CH"/>
              </w:rPr>
              <w:t>Attività economica</w:t>
            </w:r>
          </w:p>
        </w:tc>
        <w:tc>
          <w:tcPr>
            <w:tcW w:w="1446" w:type="dxa"/>
            <w:gridSpan w:val="2"/>
            <w:vAlign w:val="center"/>
          </w:tcPr>
          <w:p w:rsidR="00403D0C" w:rsidRPr="006F07C8" w:rsidRDefault="00403D0C" w:rsidP="002F52A9">
            <w:pPr>
              <w:keepNext/>
              <w:keepLines/>
              <w:jc w:val="center"/>
              <w:rPr>
                <w:rFonts w:ascii="Times New Roman" w:hAnsi="Times New Roman" w:cs="Times New Roman"/>
                <w:b/>
                <w:color w:val="000000"/>
                <w:sz w:val="20"/>
                <w:szCs w:val="20"/>
                <w:lang w:val="it-IT" w:eastAsia="fr-CH"/>
              </w:rPr>
            </w:pPr>
            <w:r w:rsidRPr="006F07C8">
              <w:rPr>
                <w:rFonts w:ascii="Times New Roman" w:hAnsi="Times New Roman" w:cs="Times New Roman"/>
                <w:b/>
                <w:color w:val="000000"/>
                <w:sz w:val="20"/>
                <w:szCs w:val="20"/>
                <w:lang w:val="it-IT" w:eastAsia="fr-CH"/>
              </w:rPr>
              <w:t>Monolingue</w:t>
            </w:r>
          </w:p>
        </w:tc>
        <w:tc>
          <w:tcPr>
            <w:tcW w:w="1446" w:type="dxa"/>
            <w:gridSpan w:val="2"/>
            <w:vAlign w:val="center"/>
          </w:tcPr>
          <w:p w:rsidR="00403D0C" w:rsidRPr="006F07C8" w:rsidRDefault="00403D0C" w:rsidP="002F52A9">
            <w:pPr>
              <w:keepNext/>
              <w:keepLines/>
              <w:jc w:val="center"/>
              <w:rPr>
                <w:rFonts w:ascii="Times New Roman" w:hAnsi="Times New Roman" w:cs="Times New Roman"/>
                <w:b/>
                <w:color w:val="000000"/>
                <w:sz w:val="20"/>
                <w:szCs w:val="20"/>
                <w:lang w:val="it-IT" w:eastAsia="fr-CH"/>
              </w:rPr>
            </w:pPr>
            <w:r w:rsidRPr="006F07C8">
              <w:rPr>
                <w:rFonts w:ascii="Times New Roman" w:hAnsi="Times New Roman" w:cs="Times New Roman"/>
                <w:b/>
                <w:color w:val="000000"/>
                <w:sz w:val="20"/>
                <w:szCs w:val="20"/>
                <w:lang w:val="it-IT" w:eastAsia="fr-CH"/>
              </w:rPr>
              <w:t>Oligarchico</w:t>
            </w:r>
          </w:p>
        </w:tc>
        <w:tc>
          <w:tcPr>
            <w:tcW w:w="1447" w:type="dxa"/>
            <w:gridSpan w:val="2"/>
            <w:vAlign w:val="center"/>
          </w:tcPr>
          <w:p w:rsidR="00403D0C" w:rsidRPr="006F07C8" w:rsidRDefault="00403D0C" w:rsidP="002F52A9">
            <w:pPr>
              <w:keepNext/>
              <w:keepLines/>
              <w:jc w:val="center"/>
              <w:rPr>
                <w:rFonts w:ascii="Times New Roman" w:hAnsi="Times New Roman" w:cs="Times New Roman"/>
                <w:b/>
                <w:color w:val="000000"/>
                <w:sz w:val="20"/>
                <w:szCs w:val="20"/>
                <w:lang w:val="it-IT" w:eastAsia="fr-CH"/>
              </w:rPr>
            </w:pPr>
            <w:r w:rsidRPr="006F07C8">
              <w:rPr>
                <w:rFonts w:ascii="Times New Roman" w:hAnsi="Times New Roman" w:cs="Times New Roman"/>
                <w:b/>
                <w:color w:val="000000"/>
                <w:sz w:val="20"/>
                <w:szCs w:val="20"/>
                <w:lang w:val="it-IT" w:eastAsia="fr-CH"/>
              </w:rPr>
              <w:t>Multilinguismo</w:t>
            </w:r>
          </w:p>
        </w:tc>
      </w:tr>
      <w:tr w:rsidR="00966036" w:rsidRPr="006F07C8" w:rsidTr="00F35B97">
        <w:trPr>
          <w:trHeight w:val="477"/>
          <w:jc w:val="center"/>
        </w:trPr>
        <w:tc>
          <w:tcPr>
            <w:tcW w:w="4907" w:type="dxa"/>
            <w:vAlign w:val="bottom"/>
          </w:tcPr>
          <w:p w:rsidR="00966036" w:rsidRPr="006F07C8" w:rsidRDefault="00966036" w:rsidP="002F52A9">
            <w:pPr>
              <w:pStyle w:val="NormalWeb"/>
              <w:spacing w:before="0" w:beforeAutospacing="0" w:after="0" w:afterAutospacing="0"/>
              <w:textAlignment w:val="bottom"/>
              <w:rPr>
                <w:kern w:val="24"/>
                <w:sz w:val="20"/>
                <w:szCs w:val="20"/>
                <w:lang w:val="it-IT"/>
              </w:rPr>
            </w:pPr>
          </w:p>
        </w:tc>
        <w:tc>
          <w:tcPr>
            <w:tcW w:w="723" w:type="dxa"/>
            <w:vAlign w:val="center"/>
          </w:tcPr>
          <w:p w:rsidR="00966036" w:rsidRPr="006F07C8" w:rsidRDefault="00966036" w:rsidP="002F52A9">
            <w:pPr>
              <w:jc w:val="center"/>
              <w:rPr>
                <w:rFonts w:ascii="Times New Roman" w:hAnsi="Times New Roman" w:cs="Times New Roman"/>
                <w:i/>
                <w:color w:val="000000"/>
                <w:sz w:val="20"/>
                <w:szCs w:val="20"/>
                <w:vertAlign w:val="subscript"/>
                <w:lang w:val="it-IT" w:eastAsia="fr-CH"/>
              </w:rPr>
            </w:pPr>
            <w:r w:rsidRPr="006F07C8">
              <w:rPr>
                <w:rFonts w:ascii="Times New Roman" w:hAnsi="Times New Roman" w:cs="Times New Roman"/>
                <w:i/>
                <w:color w:val="000000"/>
                <w:sz w:val="20"/>
                <w:szCs w:val="20"/>
                <w:lang w:val="it-IT" w:eastAsia="fr-CH"/>
              </w:rPr>
              <w:t>E</w:t>
            </w:r>
            <w:r w:rsidRPr="006F07C8">
              <w:rPr>
                <w:rFonts w:ascii="Times New Roman" w:hAnsi="Times New Roman" w:cs="Times New Roman"/>
                <w:i/>
                <w:color w:val="000000"/>
                <w:sz w:val="20"/>
                <w:szCs w:val="20"/>
                <w:vertAlign w:val="subscript"/>
                <w:lang w:val="it-IT" w:eastAsia="fr-CH"/>
              </w:rPr>
              <w:t>a</w:t>
            </w:r>
          </w:p>
        </w:tc>
        <w:tc>
          <w:tcPr>
            <w:tcW w:w="723" w:type="dxa"/>
            <w:vAlign w:val="center"/>
          </w:tcPr>
          <w:p w:rsidR="00966036" w:rsidRPr="006F07C8" w:rsidRDefault="00966036" w:rsidP="002F52A9">
            <w:pPr>
              <w:jc w:val="center"/>
              <w:rPr>
                <w:rFonts w:ascii="Times New Roman" w:hAnsi="Times New Roman" w:cs="Times New Roman"/>
                <w:i/>
                <w:color w:val="000000"/>
                <w:sz w:val="20"/>
                <w:szCs w:val="20"/>
                <w:vertAlign w:val="subscript"/>
                <w:lang w:val="it-IT" w:eastAsia="fr-CH"/>
              </w:rPr>
            </w:pPr>
            <w:r w:rsidRPr="006F07C8">
              <w:rPr>
                <w:rFonts w:ascii="Times New Roman" w:hAnsi="Times New Roman" w:cs="Times New Roman"/>
                <w:i/>
                <w:color w:val="000000"/>
                <w:sz w:val="20"/>
                <w:szCs w:val="20"/>
                <w:lang w:val="it-IT" w:eastAsia="fr-CH"/>
              </w:rPr>
              <w:t>E</w:t>
            </w:r>
            <w:r w:rsidRPr="006F07C8">
              <w:rPr>
                <w:rFonts w:ascii="Times New Roman" w:hAnsi="Times New Roman" w:cs="Times New Roman"/>
                <w:i/>
                <w:color w:val="000000"/>
                <w:sz w:val="20"/>
                <w:szCs w:val="20"/>
                <w:vertAlign w:val="subscript"/>
                <w:lang w:val="it-IT" w:eastAsia="fr-CH"/>
              </w:rPr>
              <w:t xml:space="preserve">r </w:t>
            </w:r>
            <w:r w:rsidRPr="006F07C8">
              <w:rPr>
                <w:rFonts w:ascii="Times New Roman" w:hAnsi="Times New Roman" w:cs="Times New Roman"/>
                <w:i/>
                <w:color w:val="000000"/>
                <w:sz w:val="20"/>
                <w:szCs w:val="20"/>
                <w:vertAlign w:val="superscript"/>
                <w:lang w:val="it-IT" w:eastAsia="fr-CH"/>
              </w:rPr>
              <w:t>*</w:t>
            </w:r>
          </w:p>
        </w:tc>
        <w:tc>
          <w:tcPr>
            <w:tcW w:w="723" w:type="dxa"/>
            <w:vAlign w:val="center"/>
          </w:tcPr>
          <w:p w:rsidR="00966036" w:rsidRPr="006F07C8" w:rsidRDefault="00966036" w:rsidP="002F52A9">
            <w:pPr>
              <w:jc w:val="center"/>
              <w:rPr>
                <w:rFonts w:ascii="Times New Roman" w:hAnsi="Times New Roman" w:cs="Times New Roman"/>
                <w:i/>
                <w:color w:val="000000"/>
                <w:sz w:val="20"/>
                <w:szCs w:val="20"/>
                <w:vertAlign w:val="subscript"/>
                <w:lang w:val="it-IT" w:eastAsia="fr-CH"/>
              </w:rPr>
            </w:pPr>
            <w:r w:rsidRPr="006F07C8">
              <w:rPr>
                <w:rFonts w:ascii="Times New Roman" w:hAnsi="Times New Roman" w:cs="Times New Roman"/>
                <w:i/>
                <w:color w:val="000000"/>
                <w:sz w:val="20"/>
                <w:szCs w:val="20"/>
                <w:lang w:val="it-IT" w:eastAsia="fr-CH"/>
              </w:rPr>
              <w:t>E</w:t>
            </w:r>
            <w:r w:rsidRPr="006F07C8">
              <w:rPr>
                <w:rFonts w:ascii="Times New Roman" w:hAnsi="Times New Roman" w:cs="Times New Roman"/>
                <w:i/>
                <w:color w:val="000000"/>
                <w:sz w:val="20"/>
                <w:szCs w:val="20"/>
                <w:vertAlign w:val="subscript"/>
                <w:lang w:val="it-IT" w:eastAsia="fr-CH"/>
              </w:rPr>
              <w:t>a</w:t>
            </w:r>
          </w:p>
        </w:tc>
        <w:tc>
          <w:tcPr>
            <w:tcW w:w="723" w:type="dxa"/>
            <w:vAlign w:val="center"/>
          </w:tcPr>
          <w:p w:rsidR="00966036" w:rsidRPr="006F07C8" w:rsidRDefault="00966036" w:rsidP="002F52A9">
            <w:pPr>
              <w:jc w:val="center"/>
              <w:rPr>
                <w:rFonts w:ascii="Times New Roman" w:hAnsi="Times New Roman" w:cs="Times New Roman"/>
                <w:i/>
                <w:color w:val="000000"/>
                <w:sz w:val="20"/>
                <w:szCs w:val="20"/>
                <w:vertAlign w:val="subscript"/>
                <w:lang w:val="it-IT" w:eastAsia="fr-CH"/>
              </w:rPr>
            </w:pPr>
            <w:r w:rsidRPr="006F07C8">
              <w:rPr>
                <w:rFonts w:ascii="Times New Roman" w:hAnsi="Times New Roman" w:cs="Times New Roman"/>
                <w:i/>
                <w:color w:val="000000"/>
                <w:sz w:val="20"/>
                <w:szCs w:val="20"/>
                <w:lang w:val="it-IT" w:eastAsia="fr-CH"/>
              </w:rPr>
              <w:t>E</w:t>
            </w:r>
            <w:r w:rsidRPr="006F07C8">
              <w:rPr>
                <w:rFonts w:ascii="Times New Roman" w:hAnsi="Times New Roman" w:cs="Times New Roman"/>
                <w:i/>
                <w:color w:val="000000"/>
                <w:sz w:val="20"/>
                <w:szCs w:val="20"/>
                <w:vertAlign w:val="subscript"/>
                <w:lang w:val="it-IT" w:eastAsia="fr-CH"/>
              </w:rPr>
              <w:t xml:space="preserve">r </w:t>
            </w:r>
            <w:r w:rsidRPr="006F07C8">
              <w:rPr>
                <w:rFonts w:ascii="Times New Roman" w:hAnsi="Times New Roman" w:cs="Times New Roman"/>
                <w:i/>
                <w:color w:val="000000"/>
                <w:sz w:val="20"/>
                <w:szCs w:val="20"/>
                <w:vertAlign w:val="superscript"/>
                <w:lang w:val="it-IT" w:eastAsia="fr-CH"/>
              </w:rPr>
              <w:t>*</w:t>
            </w:r>
          </w:p>
        </w:tc>
        <w:tc>
          <w:tcPr>
            <w:tcW w:w="723" w:type="dxa"/>
            <w:vAlign w:val="center"/>
          </w:tcPr>
          <w:p w:rsidR="00966036" w:rsidRPr="006F07C8" w:rsidRDefault="00966036" w:rsidP="002F52A9">
            <w:pPr>
              <w:jc w:val="center"/>
              <w:rPr>
                <w:rFonts w:ascii="Times New Roman" w:hAnsi="Times New Roman" w:cs="Times New Roman"/>
                <w:i/>
                <w:color w:val="000000"/>
                <w:sz w:val="20"/>
                <w:szCs w:val="20"/>
                <w:vertAlign w:val="subscript"/>
                <w:lang w:val="it-IT" w:eastAsia="fr-CH"/>
              </w:rPr>
            </w:pPr>
            <w:r w:rsidRPr="006F07C8">
              <w:rPr>
                <w:rFonts w:ascii="Times New Roman" w:hAnsi="Times New Roman" w:cs="Times New Roman"/>
                <w:i/>
                <w:color w:val="000000"/>
                <w:sz w:val="20"/>
                <w:szCs w:val="20"/>
                <w:lang w:val="it-IT" w:eastAsia="fr-CH"/>
              </w:rPr>
              <w:t>E</w:t>
            </w:r>
            <w:r w:rsidRPr="006F07C8">
              <w:rPr>
                <w:rFonts w:ascii="Times New Roman" w:hAnsi="Times New Roman" w:cs="Times New Roman"/>
                <w:i/>
                <w:color w:val="000000"/>
                <w:sz w:val="20"/>
                <w:szCs w:val="20"/>
                <w:vertAlign w:val="subscript"/>
                <w:lang w:val="it-IT" w:eastAsia="fr-CH"/>
              </w:rPr>
              <w:t>a</w:t>
            </w:r>
          </w:p>
        </w:tc>
        <w:tc>
          <w:tcPr>
            <w:tcW w:w="724" w:type="dxa"/>
            <w:vAlign w:val="center"/>
          </w:tcPr>
          <w:p w:rsidR="00966036" w:rsidRPr="006F07C8" w:rsidRDefault="00966036" w:rsidP="002F52A9">
            <w:pPr>
              <w:jc w:val="center"/>
              <w:rPr>
                <w:rFonts w:ascii="Times New Roman" w:hAnsi="Times New Roman" w:cs="Times New Roman"/>
                <w:i/>
                <w:color w:val="000000"/>
                <w:sz w:val="20"/>
                <w:szCs w:val="20"/>
                <w:vertAlign w:val="subscript"/>
                <w:lang w:val="it-IT" w:eastAsia="fr-CH"/>
              </w:rPr>
            </w:pPr>
            <w:r w:rsidRPr="006F07C8">
              <w:rPr>
                <w:rFonts w:ascii="Times New Roman" w:hAnsi="Times New Roman" w:cs="Times New Roman"/>
                <w:i/>
                <w:color w:val="000000"/>
                <w:sz w:val="20"/>
                <w:szCs w:val="20"/>
                <w:lang w:val="it-IT" w:eastAsia="fr-CH"/>
              </w:rPr>
              <w:t>E</w:t>
            </w:r>
            <w:r w:rsidRPr="006F07C8">
              <w:rPr>
                <w:rFonts w:ascii="Times New Roman" w:hAnsi="Times New Roman" w:cs="Times New Roman"/>
                <w:i/>
                <w:color w:val="000000"/>
                <w:sz w:val="20"/>
                <w:szCs w:val="20"/>
                <w:vertAlign w:val="subscript"/>
                <w:lang w:val="it-IT" w:eastAsia="fr-CH"/>
              </w:rPr>
              <w:t xml:space="preserve">r </w:t>
            </w:r>
            <w:r w:rsidRPr="006F07C8">
              <w:rPr>
                <w:rFonts w:ascii="Times New Roman" w:hAnsi="Times New Roman" w:cs="Times New Roman"/>
                <w:i/>
                <w:color w:val="000000"/>
                <w:sz w:val="20"/>
                <w:szCs w:val="20"/>
                <w:vertAlign w:val="superscript"/>
                <w:lang w:val="it-IT" w:eastAsia="fr-CH"/>
              </w:rPr>
              <w:t>*</w:t>
            </w:r>
          </w:p>
        </w:tc>
      </w:tr>
      <w:tr w:rsidR="00831037" w:rsidRPr="006F07C8" w:rsidTr="00DA22C1">
        <w:trPr>
          <w:trHeight w:val="177"/>
          <w:jc w:val="center"/>
        </w:trPr>
        <w:tc>
          <w:tcPr>
            <w:tcW w:w="4907" w:type="dxa"/>
            <w:vAlign w:val="bottom"/>
          </w:tcPr>
          <w:p w:rsidR="00831037" w:rsidRPr="006F07C8" w:rsidRDefault="00966036" w:rsidP="002F52A9">
            <w:pPr>
              <w:pStyle w:val="NormalWeb"/>
              <w:spacing w:before="0" w:beforeAutospacing="0" w:after="0" w:afterAutospacing="0"/>
              <w:textAlignment w:val="bottom"/>
              <w:rPr>
                <w:b/>
                <w:sz w:val="20"/>
                <w:szCs w:val="20"/>
                <w:lang w:val="it-IT"/>
              </w:rPr>
            </w:pPr>
            <w:r w:rsidRPr="006F07C8">
              <w:rPr>
                <w:kern w:val="24"/>
                <w:sz w:val="20"/>
                <w:szCs w:val="20"/>
                <w:lang w:val="it-IT"/>
              </w:rPr>
              <w:t xml:space="preserve">A. </w:t>
            </w:r>
            <w:r w:rsidR="00831037" w:rsidRPr="006F07C8">
              <w:rPr>
                <w:kern w:val="24"/>
                <w:sz w:val="20"/>
                <w:szCs w:val="20"/>
                <w:lang w:val="it-IT"/>
              </w:rPr>
              <w:t>Agricoltura, allevamento bestiame, caccia e silvicoltura</w:t>
            </w:r>
          </w:p>
        </w:tc>
        <w:tc>
          <w:tcPr>
            <w:tcW w:w="723" w:type="dxa"/>
            <w:vAlign w:val="center"/>
          </w:tcPr>
          <w:p w:rsidR="00831037" w:rsidRPr="006F07C8" w:rsidRDefault="00831037"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86</w:t>
            </w:r>
          </w:p>
        </w:tc>
        <w:tc>
          <w:tcPr>
            <w:tcW w:w="723" w:type="dxa"/>
            <w:vAlign w:val="center"/>
          </w:tcPr>
          <w:p w:rsidR="00831037" w:rsidRPr="006F07C8" w:rsidRDefault="00966036"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97</w:t>
            </w:r>
          </w:p>
        </w:tc>
        <w:tc>
          <w:tcPr>
            <w:tcW w:w="723" w:type="dxa"/>
            <w:vAlign w:val="center"/>
          </w:tcPr>
          <w:p w:rsidR="00831037" w:rsidRPr="006F07C8" w:rsidRDefault="00966036"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83</w:t>
            </w:r>
          </w:p>
        </w:tc>
        <w:tc>
          <w:tcPr>
            <w:tcW w:w="723" w:type="dxa"/>
            <w:vAlign w:val="center"/>
          </w:tcPr>
          <w:p w:rsidR="00831037" w:rsidRPr="006F07C8" w:rsidRDefault="00C77844"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92</w:t>
            </w:r>
          </w:p>
        </w:tc>
        <w:tc>
          <w:tcPr>
            <w:tcW w:w="723" w:type="dxa"/>
            <w:vAlign w:val="center"/>
          </w:tcPr>
          <w:p w:rsidR="00831037" w:rsidRPr="006F07C8" w:rsidRDefault="00966036"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1</w:t>
            </w:r>
          </w:p>
        </w:tc>
        <w:tc>
          <w:tcPr>
            <w:tcW w:w="724" w:type="dxa"/>
            <w:vAlign w:val="center"/>
          </w:tcPr>
          <w:p w:rsidR="00831037" w:rsidRPr="006F07C8" w:rsidRDefault="00F35B97"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2</w:t>
            </w:r>
          </w:p>
        </w:tc>
      </w:tr>
      <w:tr w:rsidR="00831037" w:rsidRPr="006F07C8" w:rsidTr="00DA22C1">
        <w:trPr>
          <w:trHeight w:val="121"/>
          <w:jc w:val="center"/>
        </w:trPr>
        <w:tc>
          <w:tcPr>
            <w:tcW w:w="4907" w:type="dxa"/>
            <w:vAlign w:val="bottom"/>
          </w:tcPr>
          <w:p w:rsidR="00831037" w:rsidRPr="006F07C8" w:rsidRDefault="00966036" w:rsidP="002F52A9">
            <w:pPr>
              <w:pStyle w:val="NormalWeb"/>
              <w:spacing w:before="0" w:beforeAutospacing="0" w:after="0" w:afterAutospacing="0"/>
              <w:textAlignment w:val="bottom"/>
              <w:rPr>
                <w:b/>
                <w:sz w:val="20"/>
                <w:szCs w:val="20"/>
                <w:lang w:val="it-IT"/>
              </w:rPr>
            </w:pPr>
            <w:r w:rsidRPr="006F07C8">
              <w:rPr>
                <w:sz w:val="20"/>
                <w:szCs w:val="20"/>
                <w:lang w:val="it-IT"/>
              </w:rPr>
              <w:t xml:space="preserve">D. </w:t>
            </w:r>
            <w:r w:rsidR="00831037" w:rsidRPr="006F07C8">
              <w:rPr>
                <w:sz w:val="20"/>
                <w:szCs w:val="20"/>
                <w:lang w:val="it-IT"/>
              </w:rPr>
              <w:t>Produzione/fabbricazione</w:t>
            </w:r>
          </w:p>
        </w:tc>
        <w:tc>
          <w:tcPr>
            <w:tcW w:w="723" w:type="dxa"/>
            <w:vAlign w:val="center"/>
          </w:tcPr>
          <w:p w:rsidR="00831037" w:rsidRPr="006F07C8" w:rsidRDefault="00831037"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27</w:t>
            </w:r>
          </w:p>
        </w:tc>
        <w:tc>
          <w:tcPr>
            <w:tcW w:w="723" w:type="dxa"/>
            <w:vAlign w:val="center"/>
          </w:tcPr>
          <w:p w:rsidR="00831037" w:rsidRPr="006F07C8" w:rsidRDefault="00966036"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60</w:t>
            </w:r>
          </w:p>
        </w:tc>
        <w:tc>
          <w:tcPr>
            <w:tcW w:w="723" w:type="dxa"/>
            <w:vAlign w:val="center"/>
          </w:tcPr>
          <w:p w:rsidR="00831037" w:rsidRPr="006F07C8" w:rsidRDefault="00966036"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15</w:t>
            </w:r>
          </w:p>
        </w:tc>
        <w:tc>
          <w:tcPr>
            <w:tcW w:w="723" w:type="dxa"/>
            <w:vAlign w:val="center"/>
          </w:tcPr>
          <w:p w:rsidR="00831037" w:rsidRPr="006F07C8" w:rsidRDefault="00C77844"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35</w:t>
            </w:r>
          </w:p>
        </w:tc>
        <w:tc>
          <w:tcPr>
            <w:tcW w:w="723" w:type="dxa"/>
            <w:vAlign w:val="center"/>
          </w:tcPr>
          <w:p w:rsidR="00831037" w:rsidRPr="006F07C8" w:rsidRDefault="00966036"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1</w:t>
            </w:r>
          </w:p>
        </w:tc>
        <w:tc>
          <w:tcPr>
            <w:tcW w:w="724" w:type="dxa"/>
            <w:vAlign w:val="center"/>
          </w:tcPr>
          <w:p w:rsidR="00831037" w:rsidRPr="006F07C8" w:rsidRDefault="00F35B97"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1</w:t>
            </w:r>
          </w:p>
        </w:tc>
      </w:tr>
      <w:tr w:rsidR="00831037" w:rsidRPr="006F07C8" w:rsidTr="00DA22C1">
        <w:trPr>
          <w:trHeight w:val="195"/>
          <w:jc w:val="center"/>
        </w:trPr>
        <w:tc>
          <w:tcPr>
            <w:tcW w:w="4907" w:type="dxa"/>
            <w:vAlign w:val="bottom"/>
          </w:tcPr>
          <w:p w:rsidR="00831037" w:rsidRPr="006F07C8" w:rsidRDefault="00966036" w:rsidP="002F52A9">
            <w:pPr>
              <w:pStyle w:val="NormalWeb"/>
              <w:spacing w:before="0" w:beforeAutospacing="0" w:after="0" w:afterAutospacing="0"/>
              <w:textAlignment w:val="bottom"/>
              <w:rPr>
                <w:b/>
                <w:sz w:val="20"/>
                <w:szCs w:val="20"/>
                <w:lang w:val="it-IT"/>
              </w:rPr>
            </w:pPr>
            <w:r w:rsidRPr="006F07C8">
              <w:rPr>
                <w:sz w:val="20"/>
                <w:szCs w:val="20"/>
                <w:lang w:val="it-IT"/>
              </w:rPr>
              <w:t xml:space="preserve">E. </w:t>
            </w:r>
            <w:r w:rsidR="00831037" w:rsidRPr="006F07C8">
              <w:rPr>
                <w:sz w:val="20"/>
                <w:szCs w:val="20"/>
                <w:lang w:val="it-IT"/>
              </w:rPr>
              <w:t>Approvvigionamento di elettricità, gas ed acqua</w:t>
            </w:r>
          </w:p>
        </w:tc>
        <w:tc>
          <w:tcPr>
            <w:tcW w:w="723" w:type="dxa"/>
            <w:vAlign w:val="center"/>
          </w:tcPr>
          <w:p w:rsidR="00831037" w:rsidRPr="006F07C8" w:rsidRDefault="00831037"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17</w:t>
            </w:r>
          </w:p>
        </w:tc>
        <w:tc>
          <w:tcPr>
            <w:tcW w:w="723" w:type="dxa"/>
            <w:vAlign w:val="center"/>
          </w:tcPr>
          <w:p w:rsidR="00831037" w:rsidRPr="006F07C8" w:rsidRDefault="00966036"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63</w:t>
            </w:r>
          </w:p>
        </w:tc>
        <w:tc>
          <w:tcPr>
            <w:tcW w:w="723" w:type="dxa"/>
            <w:vAlign w:val="center"/>
          </w:tcPr>
          <w:p w:rsidR="00831037" w:rsidRPr="006F07C8" w:rsidRDefault="00966036"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11</w:t>
            </w:r>
          </w:p>
        </w:tc>
        <w:tc>
          <w:tcPr>
            <w:tcW w:w="723" w:type="dxa"/>
            <w:vAlign w:val="center"/>
          </w:tcPr>
          <w:p w:rsidR="00831037" w:rsidRPr="006F07C8" w:rsidRDefault="00C77844"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49</w:t>
            </w:r>
          </w:p>
        </w:tc>
        <w:tc>
          <w:tcPr>
            <w:tcW w:w="723" w:type="dxa"/>
            <w:vAlign w:val="center"/>
          </w:tcPr>
          <w:p w:rsidR="00831037" w:rsidRPr="006F07C8" w:rsidRDefault="00C77844"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0</w:t>
            </w:r>
          </w:p>
        </w:tc>
        <w:tc>
          <w:tcPr>
            <w:tcW w:w="724" w:type="dxa"/>
            <w:vAlign w:val="center"/>
          </w:tcPr>
          <w:p w:rsidR="00831037" w:rsidRPr="006F07C8" w:rsidRDefault="00F35B97"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1</w:t>
            </w:r>
          </w:p>
        </w:tc>
      </w:tr>
      <w:tr w:rsidR="00831037" w:rsidRPr="006F07C8" w:rsidTr="00DA22C1">
        <w:trPr>
          <w:trHeight w:val="221"/>
          <w:jc w:val="center"/>
        </w:trPr>
        <w:tc>
          <w:tcPr>
            <w:tcW w:w="4907" w:type="dxa"/>
            <w:vAlign w:val="bottom"/>
          </w:tcPr>
          <w:p w:rsidR="00831037" w:rsidRPr="006F07C8" w:rsidRDefault="00966036" w:rsidP="002F52A9">
            <w:pPr>
              <w:pStyle w:val="NormalWeb"/>
              <w:spacing w:before="0" w:beforeAutospacing="0" w:after="0" w:afterAutospacing="0"/>
              <w:textAlignment w:val="bottom"/>
              <w:rPr>
                <w:b/>
                <w:kern w:val="24"/>
                <w:sz w:val="20"/>
                <w:szCs w:val="20"/>
                <w:lang w:val="it-IT"/>
              </w:rPr>
            </w:pPr>
            <w:r w:rsidRPr="006F07C8">
              <w:rPr>
                <w:sz w:val="20"/>
                <w:szCs w:val="20"/>
                <w:lang w:val="it-IT"/>
              </w:rPr>
              <w:t xml:space="preserve">I. </w:t>
            </w:r>
            <w:r w:rsidR="00831037" w:rsidRPr="006F07C8">
              <w:rPr>
                <w:sz w:val="20"/>
                <w:szCs w:val="20"/>
                <w:lang w:val="it-IT"/>
              </w:rPr>
              <w:t>Trasporti, magazzinaggio e comunicazioni</w:t>
            </w:r>
          </w:p>
        </w:tc>
        <w:tc>
          <w:tcPr>
            <w:tcW w:w="723" w:type="dxa"/>
            <w:vAlign w:val="center"/>
          </w:tcPr>
          <w:p w:rsidR="00831037" w:rsidRPr="006F07C8" w:rsidRDefault="00831037"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26</w:t>
            </w:r>
          </w:p>
        </w:tc>
        <w:tc>
          <w:tcPr>
            <w:tcW w:w="723" w:type="dxa"/>
            <w:vAlign w:val="center"/>
          </w:tcPr>
          <w:p w:rsidR="00831037" w:rsidRPr="006F07C8" w:rsidRDefault="00966036"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58</w:t>
            </w:r>
          </w:p>
        </w:tc>
        <w:tc>
          <w:tcPr>
            <w:tcW w:w="723" w:type="dxa"/>
            <w:vAlign w:val="center"/>
          </w:tcPr>
          <w:p w:rsidR="00831037" w:rsidRPr="006F07C8" w:rsidRDefault="00966036"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14</w:t>
            </w:r>
          </w:p>
        </w:tc>
        <w:tc>
          <w:tcPr>
            <w:tcW w:w="723" w:type="dxa"/>
            <w:vAlign w:val="center"/>
          </w:tcPr>
          <w:p w:rsidR="00831037" w:rsidRPr="006F07C8" w:rsidRDefault="008578AD"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37</w:t>
            </w:r>
          </w:p>
        </w:tc>
        <w:tc>
          <w:tcPr>
            <w:tcW w:w="723" w:type="dxa"/>
            <w:vAlign w:val="center"/>
          </w:tcPr>
          <w:p w:rsidR="00831037" w:rsidRPr="006F07C8" w:rsidRDefault="00C77844"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0</w:t>
            </w:r>
          </w:p>
        </w:tc>
        <w:tc>
          <w:tcPr>
            <w:tcW w:w="724" w:type="dxa"/>
            <w:vAlign w:val="center"/>
          </w:tcPr>
          <w:p w:rsidR="00831037" w:rsidRPr="006F07C8" w:rsidRDefault="00F35B97"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2</w:t>
            </w:r>
          </w:p>
        </w:tc>
      </w:tr>
      <w:tr w:rsidR="00831037" w:rsidRPr="006F07C8" w:rsidTr="00DA22C1">
        <w:trPr>
          <w:trHeight w:val="139"/>
          <w:jc w:val="center"/>
        </w:trPr>
        <w:tc>
          <w:tcPr>
            <w:tcW w:w="4907" w:type="dxa"/>
            <w:vAlign w:val="bottom"/>
          </w:tcPr>
          <w:p w:rsidR="00831037" w:rsidRPr="006F07C8" w:rsidRDefault="00966036" w:rsidP="002F52A9">
            <w:pPr>
              <w:pStyle w:val="NormalWeb"/>
              <w:spacing w:before="0" w:beforeAutospacing="0" w:after="0" w:afterAutospacing="0"/>
              <w:textAlignment w:val="bottom"/>
              <w:rPr>
                <w:b/>
                <w:kern w:val="24"/>
                <w:sz w:val="20"/>
                <w:szCs w:val="20"/>
                <w:lang w:val="it-IT"/>
              </w:rPr>
            </w:pPr>
            <w:r w:rsidRPr="006F07C8">
              <w:rPr>
                <w:sz w:val="20"/>
                <w:szCs w:val="20"/>
                <w:lang w:val="it-IT"/>
              </w:rPr>
              <w:t xml:space="preserve">J. </w:t>
            </w:r>
            <w:r w:rsidR="00831037" w:rsidRPr="006F07C8">
              <w:rPr>
                <w:sz w:val="20"/>
                <w:szCs w:val="20"/>
                <w:lang w:val="it-IT"/>
              </w:rPr>
              <w:t>Intermediazione finanziaria</w:t>
            </w:r>
          </w:p>
        </w:tc>
        <w:tc>
          <w:tcPr>
            <w:tcW w:w="723" w:type="dxa"/>
            <w:vAlign w:val="center"/>
          </w:tcPr>
          <w:p w:rsidR="00831037" w:rsidRPr="006F07C8" w:rsidRDefault="00831037"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12</w:t>
            </w:r>
          </w:p>
        </w:tc>
        <w:tc>
          <w:tcPr>
            <w:tcW w:w="723" w:type="dxa"/>
            <w:vAlign w:val="center"/>
          </w:tcPr>
          <w:p w:rsidR="00831037" w:rsidRPr="006F07C8" w:rsidRDefault="00966036"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59</w:t>
            </w:r>
          </w:p>
        </w:tc>
        <w:tc>
          <w:tcPr>
            <w:tcW w:w="723" w:type="dxa"/>
            <w:vAlign w:val="center"/>
          </w:tcPr>
          <w:p w:rsidR="00831037" w:rsidRPr="006F07C8" w:rsidRDefault="00966036"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3</w:t>
            </w:r>
          </w:p>
        </w:tc>
        <w:tc>
          <w:tcPr>
            <w:tcW w:w="723" w:type="dxa"/>
            <w:vAlign w:val="center"/>
          </w:tcPr>
          <w:p w:rsidR="00831037" w:rsidRPr="006F07C8" w:rsidRDefault="008578AD"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26</w:t>
            </w:r>
          </w:p>
        </w:tc>
        <w:tc>
          <w:tcPr>
            <w:tcW w:w="723" w:type="dxa"/>
            <w:vAlign w:val="center"/>
          </w:tcPr>
          <w:p w:rsidR="00831037" w:rsidRPr="006F07C8" w:rsidRDefault="00C77844"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0</w:t>
            </w:r>
          </w:p>
        </w:tc>
        <w:tc>
          <w:tcPr>
            <w:tcW w:w="724" w:type="dxa"/>
            <w:vAlign w:val="center"/>
          </w:tcPr>
          <w:p w:rsidR="00831037" w:rsidRPr="006F07C8" w:rsidRDefault="00F35B97"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1</w:t>
            </w:r>
          </w:p>
        </w:tc>
      </w:tr>
      <w:tr w:rsidR="00831037" w:rsidRPr="006F07C8" w:rsidTr="00DA22C1">
        <w:trPr>
          <w:trHeight w:val="220"/>
          <w:jc w:val="center"/>
        </w:trPr>
        <w:tc>
          <w:tcPr>
            <w:tcW w:w="4907" w:type="dxa"/>
            <w:vAlign w:val="bottom"/>
          </w:tcPr>
          <w:p w:rsidR="00831037" w:rsidRPr="006F07C8" w:rsidRDefault="00966036" w:rsidP="002F52A9">
            <w:pPr>
              <w:pStyle w:val="NormalWeb"/>
              <w:spacing w:before="0" w:beforeAutospacing="0" w:after="0" w:afterAutospacing="0"/>
              <w:textAlignment w:val="bottom"/>
              <w:rPr>
                <w:b/>
                <w:kern w:val="24"/>
                <w:sz w:val="20"/>
                <w:szCs w:val="20"/>
                <w:lang w:val="it-IT"/>
              </w:rPr>
            </w:pPr>
            <w:r w:rsidRPr="006F07C8">
              <w:rPr>
                <w:sz w:val="20"/>
                <w:szCs w:val="20"/>
                <w:lang w:val="it-IT"/>
              </w:rPr>
              <w:t xml:space="preserve">M. </w:t>
            </w:r>
            <w:r w:rsidR="00831037" w:rsidRPr="006F07C8">
              <w:rPr>
                <w:sz w:val="20"/>
                <w:szCs w:val="20"/>
                <w:lang w:val="it-IT"/>
              </w:rPr>
              <w:t>Educazione</w:t>
            </w:r>
          </w:p>
        </w:tc>
        <w:tc>
          <w:tcPr>
            <w:tcW w:w="723" w:type="dxa"/>
            <w:vAlign w:val="center"/>
          </w:tcPr>
          <w:p w:rsidR="00831037" w:rsidRPr="006F07C8" w:rsidRDefault="00831037"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25</w:t>
            </w:r>
          </w:p>
        </w:tc>
        <w:tc>
          <w:tcPr>
            <w:tcW w:w="723" w:type="dxa"/>
            <w:vAlign w:val="center"/>
          </w:tcPr>
          <w:p w:rsidR="00831037" w:rsidRPr="006F07C8" w:rsidRDefault="00966036"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62</w:t>
            </w:r>
          </w:p>
        </w:tc>
        <w:tc>
          <w:tcPr>
            <w:tcW w:w="723" w:type="dxa"/>
            <w:vAlign w:val="center"/>
          </w:tcPr>
          <w:p w:rsidR="00831037" w:rsidRPr="006F07C8" w:rsidRDefault="00966036"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11</w:t>
            </w:r>
          </w:p>
        </w:tc>
        <w:tc>
          <w:tcPr>
            <w:tcW w:w="723" w:type="dxa"/>
            <w:vAlign w:val="center"/>
          </w:tcPr>
          <w:p w:rsidR="00831037" w:rsidRPr="006F07C8" w:rsidRDefault="008578AD"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38</w:t>
            </w:r>
          </w:p>
        </w:tc>
        <w:tc>
          <w:tcPr>
            <w:tcW w:w="723" w:type="dxa"/>
            <w:vAlign w:val="center"/>
          </w:tcPr>
          <w:p w:rsidR="00831037" w:rsidRPr="006F07C8" w:rsidRDefault="00C77844"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0</w:t>
            </w:r>
          </w:p>
        </w:tc>
        <w:tc>
          <w:tcPr>
            <w:tcW w:w="724" w:type="dxa"/>
            <w:vAlign w:val="center"/>
          </w:tcPr>
          <w:p w:rsidR="00831037" w:rsidRPr="006F07C8" w:rsidRDefault="00F35B97" w:rsidP="002F52A9">
            <w:pPr>
              <w:jc w:val="center"/>
              <w:rPr>
                <w:rFonts w:ascii="Times New Roman" w:hAnsi="Times New Roman" w:cs="Times New Roman"/>
                <w:color w:val="000000"/>
                <w:sz w:val="20"/>
                <w:szCs w:val="20"/>
                <w:lang w:val="it-IT" w:eastAsia="fr-CH"/>
              </w:rPr>
            </w:pPr>
            <w:r w:rsidRPr="006F07C8">
              <w:rPr>
                <w:rFonts w:ascii="Times New Roman" w:hAnsi="Times New Roman" w:cs="Times New Roman"/>
                <w:color w:val="000000"/>
                <w:sz w:val="20"/>
                <w:szCs w:val="20"/>
                <w:lang w:val="it-IT" w:eastAsia="fr-CH"/>
              </w:rPr>
              <w:t>0</w:t>
            </w:r>
          </w:p>
        </w:tc>
      </w:tr>
    </w:tbl>
    <w:p w:rsidR="00831037" w:rsidRPr="006F07C8" w:rsidRDefault="00831037" w:rsidP="002F52A9">
      <w:pPr>
        <w:spacing w:after="0" w:line="240" w:lineRule="auto"/>
        <w:jc w:val="both"/>
        <w:rPr>
          <w:rFonts w:ascii="Times New Roman" w:hAnsi="Times New Roman" w:cs="Times New Roman"/>
          <w:i/>
          <w:sz w:val="20"/>
          <w:szCs w:val="20"/>
          <w:lang w:val="it-IT"/>
        </w:rPr>
      </w:pPr>
      <w:r w:rsidRPr="006F07C8">
        <w:rPr>
          <w:rFonts w:ascii="Times New Roman" w:hAnsi="Times New Roman" w:cs="Times New Roman"/>
          <w:i/>
          <w:sz w:val="20"/>
          <w:szCs w:val="20"/>
          <w:lang w:val="it-IT"/>
        </w:rPr>
        <w:t>Fonte: Eurostat, IEA 2011. Tabella elaborata dall’autore</w:t>
      </w:r>
      <w:r w:rsidR="00DA22C1" w:rsidRPr="006F07C8">
        <w:rPr>
          <w:rFonts w:ascii="Times New Roman" w:hAnsi="Times New Roman" w:cs="Times New Roman"/>
          <w:i/>
          <w:sz w:val="20"/>
          <w:szCs w:val="20"/>
          <w:lang w:val="it-IT"/>
        </w:rPr>
        <w:t>.</w:t>
      </w:r>
    </w:p>
    <w:p w:rsidR="00DA22C1" w:rsidRPr="006F07C8" w:rsidRDefault="00DA22C1" w:rsidP="002F52A9">
      <w:pPr>
        <w:spacing w:after="0" w:line="240" w:lineRule="auto"/>
        <w:jc w:val="both"/>
        <w:rPr>
          <w:rFonts w:ascii="Times New Roman" w:hAnsi="Times New Roman" w:cs="Times New Roman"/>
          <w:sz w:val="20"/>
          <w:szCs w:val="20"/>
          <w:lang w:val="it-IT"/>
        </w:rPr>
      </w:pPr>
      <w:r w:rsidRPr="006F07C8">
        <w:rPr>
          <w:rFonts w:ascii="Times New Roman" w:hAnsi="Times New Roman" w:cs="Times New Roman"/>
          <w:i/>
          <w:sz w:val="20"/>
          <w:szCs w:val="20"/>
          <w:lang w:val="it-IT"/>
        </w:rPr>
        <w:lastRenderedPageBreak/>
        <w:t>* Mancano i dati per livello competenza nelle lingue straniere (prima e seconda) per la Danimarca.</w:t>
      </w:r>
    </w:p>
    <w:p w:rsidR="00B6360C" w:rsidRPr="006F07C8" w:rsidRDefault="00267292" w:rsidP="002F52A9">
      <w:pPr>
        <w:pStyle w:val="Heading2"/>
        <w:keepNext w:val="0"/>
        <w:keepLines w:val="0"/>
        <w:numPr>
          <w:ilvl w:val="0"/>
          <w:numId w:val="12"/>
        </w:numPr>
        <w:spacing w:line="240" w:lineRule="auto"/>
        <w:jc w:val="both"/>
        <w:rPr>
          <w:rFonts w:ascii="Times New Roman" w:hAnsi="Times New Roman" w:cs="Times New Roman"/>
          <w:lang w:val="it-IT"/>
        </w:rPr>
      </w:pPr>
      <w:bookmarkStart w:id="28" w:name="_Ref379660344"/>
      <w:bookmarkStart w:id="29" w:name="_Toc384652929"/>
      <w:r w:rsidRPr="006F07C8">
        <w:rPr>
          <w:rFonts w:ascii="Times New Roman" w:hAnsi="Times New Roman" w:cs="Times New Roman"/>
          <w:lang w:val="it-IT"/>
        </w:rPr>
        <w:t>C</w:t>
      </w:r>
      <w:r w:rsidR="00852534" w:rsidRPr="006F07C8">
        <w:rPr>
          <w:rFonts w:ascii="Times New Roman" w:hAnsi="Times New Roman" w:cs="Times New Roman"/>
          <w:lang w:val="it-IT"/>
        </w:rPr>
        <w:t>onclusioni</w:t>
      </w:r>
      <w:bookmarkEnd w:id="28"/>
      <w:bookmarkEnd w:id="29"/>
    </w:p>
    <w:p w:rsidR="002F52A9" w:rsidRPr="006F07C8" w:rsidRDefault="002F52A9" w:rsidP="002F52A9">
      <w:pPr>
        <w:spacing w:line="240" w:lineRule="auto"/>
        <w:jc w:val="both"/>
        <w:rPr>
          <w:rFonts w:ascii="Times New Roman" w:hAnsi="Times New Roman" w:cs="Times New Roman"/>
          <w:sz w:val="24"/>
          <w:szCs w:val="24"/>
          <w:lang w:val="it-IT"/>
        </w:rPr>
      </w:pPr>
    </w:p>
    <w:p w:rsidR="00C970E0" w:rsidRPr="006F07C8" w:rsidRDefault="00607177" w:rsidP="002F52A9">
      <w:pPr>
        <w:spacing w:line="240" w:lineRule="auto"/>
        <w:jc w:val="both"/>
        <w:rPr>
          <w:rFonts w:ascii="Times New Roman" w:hAnsi="Times New Roman" w:cs="Times New Roman"/>
          <w:sz w:val="24"/>
          <w:szCs w:val="24"/>
          <w:lang w:val="it-IT"/>
        </w:rPr>
      </w:pPr>
      <w:r w:rsidRPr="006F07C8">
        <w:rPr>
          <w:rFonts w:ascii="Times New Roman" w:hAnsi="Times New Roman" w:cs="Times New Roman"/>
          <w:sz w:val="24"/>
          <w:szCs w:val="24"/>
          <w:lang w:val="it-IT"/>
        </w:rPr>
        <w:t>Q</w:t>
      </w:r>
      <w:r w:rsidR="00535FB2" w:rsidRPr="006F07C8">
        <w:rPr>
          <w:rFonts w:ascii="Times New Roman" w:hAnsi="Times New Roman" w:cs="Times New Roman"/>
          <w:sz w:val="24"/>
          <w:szCs w:val="24"/>
          <w:lang w:val="it-IT"/>
        </w:rPr>
        <w:t xml:space="preserve">uesto articolo </w:t>
      </w:r>
      <w:r w:rsidRPr="006F07C8">
        <w:rPr>
          <w:rFonts w:ascii="Times New Roman" w:hAnsi="Times New Roman" w:cs="Times New Roman"/>
          <w:sz w:val="24"/>
          <w:szCs w:val="24"/>
          <w:lang w:val="it-IT"/>
        </w:rPr>
        <w:t xml:space="preserve">presenta </w:t>
      </w:r>
      <w:r w:rsidR="00C433C2" w:rsidRPr="006F07C8">
        <w:rPr>
          <w:rFonts w:ascii="Times New Roman" w:hAnsi="Times New Roman" w:cs="Times New Roman"/>
          <w:sz w:val="24"/>
          <w:szCs w:val="24"/>
          <w:lang w:val="it-IT"/>
        </w:rPr>
        <w:t xml:space="preserve">un’inedita </w:t>
      </w:r>
      <w:r w:rsidR="00535FB2" w:rsidRPr="006F07C8">
        <w:rPr>
          <w:rFonts w:ascii="Times New Roman" w:hAnsi="Times New Roman" w:cs="Times New Roman"/>
          <w:sz w:val="24"/>
          <w:szCs w:val="24"/>
          <w:lang w:val="it-IT"/>
        </w:rPr>
        <w:t xml:space="preserve">valutazione </w:t>
      </w:r>
      <w:r w:rsidR="00A11751" w:rsidRPr="006F07C8">
        <w:rPr>
          <w:rFonts w:ascii="Times New Roman" w:hAnsi="Times New Roman" w:cs="Times New Roman"/>
          <w:sz w:val="24"/>
          <w:szCs w:val="24"/>
          <w:lang w:val="it-IT"/>
        </w:rPr>
        <w:t xml:space="preserve">quantitativa </w:t>
      </w:r>
      <w:r w:rsidR="00535FB2" w:rsidRPr="006F07C8">
        <w:rPr>
          <w:rFonts w:ascii="Times New Roman" w:hAnsi="Times New Roman" w:cs="Times New Roman"/>
          <w:sz w:val="24"/>
          <w:szCs w:val="24"/>
          <w:lang w:val="it-IT"/>
        </w:rPr>
        <w:t>dell’efficacia e dell’equità del</w:t>
      </w:r>
      <w:r w:rsidR="00C970E0" w:rsidRPr="006F07C8">
        <w:rPr>
          <w:rFonts w:ascii="Times New Roman" w:hAnsi="Times New Roman" w:cs="Times New Roman"/>
          <w:sz w:val="24"/>
          <w:szCs w:val="24"/>
          <w:lang w:val="it-IT"/>
        </w:rPr>
        <w:t>l’attuale</w:t>
      </w:r>
      <w:r w:rsidR="00535FB2" w:rsidRPr="006F07C8">
        <w:rPr>
          <w:rFonts w:ascii="Times New Roman" w:hAnsi="Times New Roman" w:cs="Times New Roman"/>
          <w:sz w:val="24"/>
          <w:szCs w:val="24"/>
          <w:lang w:val="it-IT"/>
        </w:rPr>
        <w:t xml:space="preserve"> regime linguistico </w:t>
      </w:r>
      <w:r w:rsidR="00C433C2" w:rsidRPr="006F07C8">
        <w:rPr>
          <w:rFonts w:ascii="Times New Roman" w:hAnsi="Times New Roman" w:cs="Times New Roman"/>
          <w:sz w:val="24"/>
          <w:szCs w:val="24"/>
          <w:lang w:val="it-IT"/>
        </w:rPr>
        <w:t>della UE</w:t>
      </w:r>
      <w:r w:rsidR="00535FB2" w:rsidRPr="006F07C8">
        <w:rPr>
          <w:rFonts w:ascii="Times New Roman" w:hAnsi="Times New Roman" w:cs="Times New Roman"/>
          <w:sz w:val="24"/>
          <w:szCs w:val="24"/>
          <w:lang w:val="it-IT"/>
        </w:rPr>
        <w:t xml:space="preserve"> </w:t>
      </w:r>
      <w:r w:rsidRPr="006F07C8">
        <w:rPr>
          <w:rFonts w:ascii="Times New Roman" w:hAnsi="Times New Roman" w:cs="Times New Roman"/>
          <w:sz w:val="24"/>
          <w:szCs w:val="24"/>
          <w:lang w:val="it-IT"/>
        </w:rPr>
        <w:t xml:space="preserve">per quanto </w:t>
      </w:r>
      <w:r w:rsidR="00943696" w:rsidRPr="006F07C8">
        <w:rPr>
          <w:rFonts w:ascii="Times New Roman" w:hAnsi="Times New Roman" w:cs="Times New Roman"/>
          <w:sz w:val="24"/>
          <w:szCs w:val="24"/>
          <w:lang w:val="it-IT"/>
        </w:rPr>
        <w:t>riguarda</w:t>
      </w:r>
      <w:r w:rsidRPr="006F07C8">
        <w:rPr>
          <w:rFonts w:ascii="Times New Roman" w:hAnsi="Times New Roman" w:cs="Times New Roman"/>
          <w:sz w:val="24"/>
          <w:szCs w:val="24"/>
          <w:lang w:val="it-IT"/>
        </w:rPr>
        <w:t xml:space="preserve"> la comunicazione esterna dell</w:t>
      </w:r>
      <w:r w:rsidR="00C433C2" w:rsidRPr="006F07C8">
        <w:rPr>
          <w:rFonts w:ascii="Times New Roman" w:hAnsi="Times New Roman" w:cs="Times New Roman"/>
          <w:sz w:val="24"/>
          <w:szCs w:val="24"/>
          <w:lang w:val="it-IT"/>
        </w:rPr>
        <w:t>e sue istituzioni</w:t>
      </w:r>
      <w:r w:rsidR="00943696" w:rsidRPr="006F07C8">
        <w:rPr>
          <w:rFonts w:ascii="Times New Roman" w:hAnsi="Times New Roman" w:cs="Times New Roman"/>
          <w:sz w:val="24"/>
          <w:szCs w:val="24"/>
          <w:lang w:val="it-IT"/>
        </w:rPr>
        <w:t xml:space="preserve">. </w:t>
      </w:r>
      <w:r w:rsidR="00C433C2" w:rsidRPr="006F07C8">
        <w:rPr>
          <w:rFonts w:ascii="Times New Roman" w:hAnsi="Times New Roman" w:cs="Times New Roman"/>
          <w:sz w:val="24"/>
          <w:szCs w:val="24"/>
          <w:lang w:val="it-IT"/>
        </w:rPr>
        <w:t>Si è</w:t>
      </w:r>
      <w:r w:rsidR="00943696" w:rsidRPr="006F07C8">
        <w:rPr>
          <w:rFonts w:ascii="Times New Roman" w:hAnsi="Times New Roman" w:cs="Times New Roman"/>
          <w:sz w:val="24"/>
          <w:szCs w:val="24"/>
          <w:lang w:val="it-IT"/>
        </w:rPr>
        <w:t xml:space="preserve"> segui</w:t>
      </w:r>
      <w:r w:rsidR="00C433C2" w:rsidRPr="006F07C8">
        <w:rPr>
          <w:rFonts w:ascii="Times New Roman" w:hAnsi="Times New Roman" w:cs="Times New Roman"/>
          <w:sz w:val="24"/>
          <w:szCs w:val="24"/>
          <w:lang w:val="it-IT"/>
        </w:rPr>
        <w:t>ta</w:t>
      </w:r>
      <w:r w:rsidR="00943696" w:rsidRPr="006F07C8">
        <w:rPr>
          <w:rFonts w:ascii="Times New Roman" w:hAnsi="Times New Roman" w:cs="Times New Roman"/>
          <w:sz w:val="24"/>
          <w:szCs w:val="24"/>
          <w:lang w:val="it-IT"/>
        </w:rPr>
        <w:t xml:space="preserve"> </w:t>
      </w:r>
      <w:r w:rsidR="00EA49B4" w:rsidRPr="006F07C8">
        <w:rPr>
          <w:rFonts w:ascii="Times New Roman" w:hAnsi="Times New Roman" w:cs="Times New Roman"/>
          <w:sz w:val="24"/>
          <w:szCs w:val="24"/>
          <w:lang w:val="it-IT"/>
        </w:rPr>
        <w:t>la metodologia dell’analisi delle politiche pubbliche</w:t>
      </w:r>
      <w:r w:rsidR="00943696" w:rsidRPr="006F07C8">
        <w:rPr>
          <w:rFonts w:ascii="Times New Roman" w:hAnsi="Times New Roman" w:cs="Times New Roman"/>
          <w:sz w:val="24"/>
          <w:szCs w:val="24"/>
          <w:lang w:val="it-IT"/>
        </w:rPr>
        <w:t xml:space="preserve"> disegnando la valutazione come un’analisi comparata fra politiche linguistiche alternative. Gli indicatori applicati in questo studio ― i tassi di esclusione linguistica ― sono ripresi dalla letteratura esistente e ulteriormente elaborati. Per misurare gli indicatori ci si è avvalsi </w:t>
      </w:r>
      <w:r w:rsidR="00EA49B4" w:rsidRPr="006F07C8">
        <w:rPr>
          <w:rFonts w:ascii="Times New Roman" w:hAnsi="Times New Roman" w:cs="Times New Roman"/>
          <w:sz w:val="24"/>
          <w:szCs w:val="24"/>
          <w:lang w:val="it-IT"/>
        </w:rPr>
        <w:t xml:space="preserve">dei microdati quantitativi pubblicati da </w:t>
      </w:r>
      <w:r w:rsidR="00EA49B4" w:rsidRPr="006F07C8">
        <w:rPr>
          <w:rFonts w:ascii="Times New Roman" w:hAnsi="Times New Roman" w:cs="Times New Roman"/>
          <w:i/>
          <w:sz w:val="24"/>
          <w:szCs w:val="24"/>
          <w:lang w:val="it-IT"/>
        </w:rPr>
        <w:t>Euro</w:t>
      </w:r>
      <w:r w:rsidR="00A11751" w:rsidRPr="006F07C8">
        <w:rPr>
          <w:rFonts w:ascii="Times New Roman" w:hAnsi="Times New Roman" w:cs="Times New Roman"/>
          <w:i/>
          <w:sz w:val="24"/>
          <w:szCs w:val="24"/>
          <w:lang w:val="it-IT"/>
        </w:rPr>
        <w:t>stat</w:t>
      </w:r>
      <w:r w:rsidR="009A4B11" w:rsidRPr="006F07C8">
        <w:rPr>
          <w:rFonts w:ascii="Times New Roman" w:hAnsi="Times New Roman" w:cs="Times New Roman"/>
          <w:i/>
          <w:sz w:val="24"/>
          <w:szCs w:val="24"/>
          <w:lang w:val="it-IT"/>
        </w:rPr>
        <w:t xml:space="preserve"> </w:t>
      </w:r>
      <w:r w:rsidR="009A4B11" w:rsidRPr="006F07C8">
        <w:rPr>
          <w:rFonts w:ascii="Times New Roman" w:hAnsi="Times New Roman" w:cs="Times New Roman"/>
          <w:sz w:val="24"/>
          <w:szCs w:val="24"/>
          <w:lang w:val="it-IT"/>
        </w:rPr>
        <w:t>nel 2011</w:t>
      </w:r>
      <w:r w:rsidR="00A11751" w:rsidRPr="006F07C8">
        <w:rPr>
          <w:rFonts w:ascii="Times New Roman" w:hAnsi="Times New Roman" w:cs="Times New Roman"/>
          <w:sz w:val="24"/>
          <w:szCs w:val="24"/>
          <w:lang w:val="it-IT"/>
        </w:rPr>
        <w:t xml:space="preserve">. </w:t>
      </w:r>
      <w:r w:rsidR="00EA49B4" w:rsidRPr="006F07C8">
        <w:rPr>
          <w:rFonts w:ascii="Times New Roman" w:hAnsi="Times New Roman" w:cs="Times New Roman"/>
          <w:sz w:val="24"/>
          <w:szCs w:val="24"/>
          <w:lang w:val="it-IT"/>
        </w:rPr>
        <w:t>Resta inteso che altri indicatori possono essere impiegati per valutare il regime linguistico europeo</w:t>
      </w:r>
      <w:r w:rsidR="00C462F4" w:rsidRPr="006F07C8">
        <w:rPr>
          <w:rFonts w:ascii="Times New Roman" w:hAnsi="Times New Roman" w:cs="Times New Roman"/>
          <w:sz w:val="24"/>
          <w:szCs w:val="24"/>
          <w:lang w:val="it-IT"/>
        </w:rPr>
        <w:t>,</w:t>
      </w:r>
      <w:r w:rsidR="00C462F4" w:rsidRPr="006F07C8">
        <w:rPr>
          <w:rStyle w:val="FootnoteReference"/>
          <w:rFonts w:ascii="Times New Roman" w:hAnsi="Times New Roman" w:cs="Times New Roman"/>
          <w:sz w:val="24"/>
          <w:szCs w:val="24"/>
          <w:lang w:val="it-IT"/>
        </w:rPr>
        <w:footnoteReference w:id="33"/>
      </w:r>
      <w:r w:rsidR="00EA49B4" w:rsidRPr="006F07C8">
        <w:rPr>
          <w:rFonts w:ascii="Times New Roman" w:hAnsi="Times New Roman" w:cs="Times New Roman"/>
          <w:sz w:val="24"/>
          <w:szCs w:val="24"/>
          <w:lang w:val="it-IT"/>
        </w:rPr>
        <w:t xml:space="preserve"> e che </w:t>
      </w:r>
      <w:r w:rsidR="00A11751" w:rsidRPr="006F07C8">
        <w:rPr>
          <w:rFonts w:ascii="Times New Roman" w:hAnsi="Times New Roman" w:cs="Times New Roman"/>
          <w:sz w:val="24"/>
          <w:szCs w:val="24"/>
          <w:lang w:val="it-IT"/>
        </w:rPr>
        <w:t>la pertinenza degli indicatori utilizzati dipende dalle domande valutative poste dalla ricerca</w:t>
      </w:r>
      <w:r w:rsidR="00855D2D" w:rsidRPr="006F07C8">
        <w:rPr>
          <w:rFonts w:ascii="Times New Roman" w:hAnsi="Times New Roman" w:cs="Times New Roman"/>
          <w:sz w:val="24"/>
          <w:szCs w:val="24"/>
          <w:lang w:val="it-IT"/>
        </w:rPr>
        <w:t>. La valutazione delle politiche linguistiche è anzitutto un metodo di analisi comparativa più che un esercizio di elaborazione di indica</w:t>
      </w:r>
      <w:r w:rsidR="00A11751" w:rsidRPr="006F07C8">
        <w:rPr>
          <w:rFonts w:ascii="Times New Roman" w:hAnsi="Times New Roman" w:cs="Times New Roman"/>
          <w:sz w:val="24"/>
          <w:szCs w:val="24"/>
          <w:lang w:val="it-IT"/>
        </w:rPr>
        <w:t>tori fine a se stesso.</w:t>
      </w:r>
    </w:p>
    <w:p w:rsidR="00565062" w:rsidRPr="006F07C8" w:rsidRDefault="00607177" w:rsidP="002F52A9">
      <w:pPr>
        <w:spacing w:line="240" w:lineRule="auto"/>
        <w:jc w:val="both"/>
        <w:rPr>
          <w:rFonts w:ascii="Times New Roman" w:hAnsi="Times New Roman" w:cs="Times New Roman"/>
          <w:sz w:val="24"/>
          <w:szCs w:val="24"/>
          <w:lang w:val="it-IT"/>
        </w:rPr>
      </w:pPr>
      <w:r w:rsidRPr="006F07C8">
        <w:rPr>
          <w:rFonts w:ascii="Times New Roman" w:hAnsi="Times New Roman" w:cs="Times New Roman"/>
          <w:sz w:val="24"/>
          <w:szCs w:val="24"/>
          <w:lang w:val="it-IT"/>
        </w:rPr>
        <w:t xml:space="preserve">Dall’analisi </w:t>
      </w:r>
      <w:r w:rsidR="00855D2D" w:rsidRPr="006F07C8">
        <w:rPr>
          <w:rFonts w:ascii="Times New Roman" w:hAnsi="Times New Roman" w:cs="Times New Roman"/>
          <w:sz w:val="24"/>
          <w:szCs w:val="24"/>
          <w:lang w:val="it-IT"/>
        </w:rPr>
        <w:t xml:space="preserve">dei dati </w:t>
      </w:r>
      <w:r w:rsidRPr="006F07C8">
        <w:rPr>
          <w:rFonts w:ascii="Times New Roman" w:hAnsi="Times New Roman" w:cs="Times New Roman"/>
          <w:sz w:val="24"/>
          <w:szCs w:val="24"/>
          <w:lang w:val="it-IT"/>
        </w:rPr>
        <w:t xml:space="preserve">emerge che </w:t>
      </w:r>
      <w:r w:rsidR="00C433C2" w:rsidRPr="006F07C8">
        <w:rPr>
          <w:rFonts w:ascii="Times New Roman" w:hAnsi="Times New Roman" w:cs="Times New Roman"/>
          <w:sz w:val="24"/>
          <w:szCs w:val="24"/>
          <w:lang w:val="it-IT"/>
        </w:rPr>
        <w:t>l’attuale</w:t>
      </w:r>
      <w:r w:rsidRPr="006F07C8">
        <w:rPr>
          <w:rFonts w:ascii="Times New Roman" w:hAnsi="Times New Roman" w:cs="Times New Roman"/>
          <w:sz w:val="24"/>
          <w:szCs w:val="24"/>
          <w:lang w:val="it-IT"/>
        </w:rPr>
        <w:t xml:space="preserve"> regime linguistico multilingue è </w:t>
      </w:r>
      <w:r w:rsidR="00855D2D" w:rsidRPr="006F07C8">
        <w:rPr>
          <w:rFonts w:ascii="Times New Roman" w:hAnsi="Times New Roman" w:cs="Times New Roman"/>
          <w:sz w:val="24"/>
          <w:szCs w:val="24"/>
          <w:lang w:val="it-IT"/>
        </w:rPr>
        <w:t>sicuramente</w:t>
      </w:r>
      <w:r w:rsidRPr="006F07C8">
        <w:rPr>
          <w:rFonts w:ascii="Times New Roman" w:hAnsi="Times New Roman" w:cs="Times New Roman"/>
          <w:sz w:val="24"/>
          <w:szCs w:val="24"/>
          <w:lang w:val="it-IT"/>
        </w:rPr>
        <w:t xml:space="preserve"> più efficace dell’alternativa monolingue od oligarchica</w:t>
      </w:r>
      <w:r w:rsidR="00807445" w:rsidRPr="006F07C8">
        <w:rPr>
          <w:rFonts w:ascii="Times New Roman" w:hAnsi="Times New Roman" w:cs="Times New Roman"/>
          <w:sz w:val="24"/>
          <w:szCs w:val="24"/>
          <w:lang w:val="it-IT"/>
        </w:rPr>
        <w:t>,</w:t>
      </w:r>
      <w:r w:rsidRPr="006F07C8">
        <w:rPr>
          <w:rFonts w:ascii="Times New Roman" w:hAnsi="Times New Roman" w:cs="Times New Roman"/>
          <w:sz w:val="24"/>
          <w:szCs w:val="24"/>
          <w:lang w:val="it-IT"/>
        </w:rPr>
        <w:t xml:space="preserve"> sia per quanto riguarda il coinvolgimento o la partecipazione (almeno potenziali) dei</w:t>
      </w:r>
      <w:r w:rsidR="00535FB2" w:rsidRPr="006F07C8">
        <w:rPr>
          <w:rFonts w:ascii="Times New Roman" w:hAnsi="Times New Roman" w:cs="Times New Roman"/>
          <w:sz w:val="24"/>
          <w:szCs w:val="24"/>
          <w:lang w:val="it-IT"/>
        </w:rPr>
        <w:t xml:space="preserve"> cittadini e residenti europei </w:t>
      </w:r>
      <w:r w:rsidRPr="006F07C8">
        <w:rPr>
          <w:rFonts w:ascii="Times New Roman" w:hAnsi="Times New Roman" w:cs="Times New Roman"/>
          <w:sz w:val="24"/>
          <w:szCs w:val="24"/>
          <w:lang w:val="it-IT"/>
        </w:rPr>
        <w:t xml:space="preserve">alle attività e alle politiche della UE sia per quanto concerne </w:t>
      </w:r>
      <w:r w:rsidR="00541757" w:rsidRPr="006F07C8">
        <w:rPr>
          <w:rFonts w:ascii="Times New Roman" w:hAnsi="Times New Roman" w:cs="Times New Roman"/>
          <w:sz w:val="24"/>
          <w:szCs w:val="24"/>
          <w:lang w:val="it-IT"/>
        </w:rPr>
        <w:t>la comunicazione rivolta al mondo delle professioni</w:t>
      </w:r>
      <w:r w:rsidR="00C433C2" w:rsidRPr="006F07C8">
        <w:rPr>
          <w:rFonts w:ascii="Times New Roman" w:hAnsi="Times New Roman" w:cs="Times New Roman"/>
          <w:sz w:val="24"/>
          <w:szCs w:val="24"/>
          <w:lang w:val="it-IT"/>
        </w:rPr>
        <w:t>,</w:t>
      </w:r>
      <w:r w:rsidR="00A11751" w:rsidRPr="006F07C8">
        <w:rPr>
          <w:rFonts w:ascii="Times New Roman" w:hAnsi="Times New Roman" w:cs="Times New Roman"/>
          <w:sz w:val="24"/>
          <w:szCs w:val="24"/>
          <w:lang w:val="it-IT"/>
        </w:rPr>
        <w:t xml:space="preserve"> </w:t>
      </w:r>
      <w:r w:rsidR="00855D2D" w:rsidRPr="006F07C8">
        <w:rPr>
          <w:rFonts w:ascii="Times New Roman" w:hAnsi="Times New Roman" w:cs="Times New Roman"/>
          <w:sz w:val="24"/>
          <w:szCs w:val="24"/>
          <w:lang w:val="it-IT"/>
        </w:rPr>
        <w:t xml:space="preserve">inclusa quella destinata </w:t>
      </w:r>
      <w:r w:rsidR="00541757" w:rsidRPr="006F07C8">
        <w:rPr>
          <w:rFonts w:ascii="Times New Roman" w:hAnsi="Times New Roman" w:cs="Times New Roman"/>
          <w:sz w:val="24"/>
          <w:szCs w:val="24"/>
          <w:lang w:val="it-IT"/>
        </w:rPr>
        <w:t>ai dirigenti. In</w:t>
      </w:r>
      <w:r w:rsidR="00855D2D" w:rsidRPr="006F07C8">
        <w:rPr>
          <w:rFonts w:ascii="Times New Roman" w:hAnsi="Times New Roman" w:cs="Times New Roman"/>
          <w:sz w:val="24"/>
          <w:szCs w:val="24"/>
          <w:lang w:val="it-IT"/>
        </w:rPr>
        <w:t>oltre</w:t>
      </w:r>
      <w:r w:rsidR="00541757" w:rsidRPr="006F07C8">
        <w:rPr>
          <w:rFonts w:ascii="Times New Roman" w:hAnsi="Times New Roman" w:cs="Times New Roman"/>
          <w:sz w:val="24"/>
          <w:szCs w:val="24"/>
          <w:lang w:val="it-IT"/>
        </w:rPr>
        <w:t xml:space="preserve">, il multilinguismo è l’unico dei tre regimi </w:t>
      </w:r>
      <w:r w:rsidR="00807445" w:rsidRPr="006F07C8">
        <w:rPr>
          <w:rFonts w:ascii="Times New Roman" w:hAnsi="Times New Roman" w:cs="Times New Roman"/>
          <w:sz w:val="24"/>
          <w:szCs w:val="24"/>
          <w:lang w:val="it-IT"/>
        </w:rPr>
        <w:t>esaminati</w:t>
      </w:r>
      <w:r w:rsidR="00541757" w:rsidRPr="006F07C8">
        <w:rPr>
          <w:rFonts w:ascii="Times New Roman" w:hAnsi="Times New Roman" w:cs="Times New Roman"/>
          <w:sz w:val="24"/>
          <w:szCs w:val="24"/>
          <w:lang w:val="it-IT"/>
        </w:rPr>
        <w:t xml:space="preserve"> che non genera ineguaglianze sostanziali fra Stati Membri e fra residenti. </w:t>
      </w:r>
      <w:r w:rsidR="00565062" w:rsidRPr="006F07C8">
        <w:rPr>
          <w:rFonts w:ascii="Times New Roman" w:hAnsi="Times New Roman" w:cs="Times New Roman"/>
          <w:sz w:val="24"/>
          <w:szCs w:val="24"/>
          <w:lang w:val="it-IT"/>
        </w:rPr>
        <w:t>Una politica linguistica monolingue o</w:t>
      </w:r>
      <w:r w:rsidR="00D127A6" w:rsidRPr="006F07C8">
        <w:rPr>
          <w:rFonts w:ascii="Times New Roman" w:hAnsi="Times New Roman" w:cs="Times New Roman"/>
          <w:sz w:val="24"/>
          <w:szCs w:val="24"/>
          <w:lang w:val="it-IT"/>
        </w:rPr>
        <w:t>d</w:t>
      </w:r>
      <w:r w:rsidR="00565062" w:rsidRPr="006F07C8">
        <w:rPr>
          <w:rFonts w:ascii="Times New Roman" w:hAnsi="Times New Roman" w:cs="Times New Roman"/>
          <w:sz w:val="24"/>
          <w:szCs w:val="24"/>
          <w:lang w:val="it-IT"/>
        </w:rPr>
        <w:t xml:space="preserve"> oligarchica</w:t>
      </w:r>
      <w:r w:rsidR="00DE564B" w:rsidRPr="006F07C8">
        <w:rPr>
          <w:rFonts w:ascii="Times New Roman" w:hAnsi="Times New Roman" w:cs="Times New Roman"/>
          <w:sz w:val="24"/>
          <w:szCs w:val="24"/>
          <w:lang w:val="it-IT"/>
        </w:rPr>
        <w:t>,</w:t>
      </w:r>
      <w:r w:rsidR="00565062" w:rsidRPr="006F07C8">
        <w:rPr>
          <w:rFonts w:ascii="Times New Roman" w:hAnsi="Times New Roman" w:cs="Times New Roman"/>
          <w:sz w:val="24"/>
          <w:szCs w:val="24"/>
          <w:lang w:val="it-IT"/>
        </w:rPr>
        <w:t xml:space="preserve"> infatti</w:t>
      </w:r>
      <w:r w:rsidR="00DE564B" w:rsidRPr="006F07C8">
        <w:rPr>
          <w:rFonts w:ascii="Times New Roman" w:hAnsi="Times New Roman" w:cs="Times New Roman"/>
          <w:sz w:val="24"/>
          <w:szCs w:val="24"/>
          <w:lang w:val="it-IT"/>
        </w:rPr>
        <w:t>,</w:t>
      </w:r>
      <w:r w:rsidR="00565062" w:rsidRPr="006F07C8">
        <w:rPr>
          <w:rFonts w:ascii="Times New Roman" w:hAnsi="Times New Roman" w:cs="Times New Roman"/>
          <w:sz w:val="24"/>
          <w:szCs w:val="24"/>
          <w:lang w:val="it-IT"/>
        </w:rPr>
        <w:t xml:space="preserve"> avrebbe ef</w:t>
      </w:r>
      <w:r w:rsidR="00DE564B" w:rsidRPr="006F07C8">
        <w:rPr>
          <w:rFonts w:ascii="Times New Roman" w:hAnsi="Times New Roman" w:cs="Times New Roman"/>
          <w:sz w:val="24"/>
          <w:szCs w:val="24"/>
          <w:lang w:val="it-IT"/>
        </w:rPr>
        <w:t>fetti regressivi</w:t>
      </w:r>
      <w:r w:rsidR="00C433C2" w:rsidRPr="006F07C8">
        <w:rPr>
          <w:rFonts w:ascii="Times New Roman" w:hAnsi="Times New Roman" w:cs="Times New Roman"/>
          <w:sz w:val="24"/>
          <w:szCs w:val="24"/>
          <w:lang w:val="it-IT"/>
        </w:rPr>
        <w:t>,</w:t>
      </w:r>
      <w:r w:rsidR="00565062" w:rsidRPr="006F07C8">
        <w:rPr>
          <w:rFonts w:ascii="Times New Roman" w:hAnsi="Times New Roman" w:cs="Times New Roman"/>
          <w:sz w:val="24"/>
          <w:szCs w:val="24"/>
          <w:lang w:val="it-IT"/>
        </w:rPr>
        <w:t xml:space="preserve"> cioè svantaggerebbe soprattutto le fasce </w:t>
      </w:r>
      <w:r w:rsidR="00D127A6" w:rsidRPr="006F07C8">
        <w:rPr>
          <w:rFonts w:ascii="Times New Roman" w:hAnsi="Times New Roman" w:cs="Times New Roman"/>
          <w:sz w:val="24"/>
          <w:szCs w:val="24"/>
          <w:lang w:val="it-IT"/>
        </w:rPr>
        <w:t>più fragili</w:t>
      </w:r>
      <w:r w:rsidR="00565062" w:rsidRPr="006F07C8">
        <w:rPr>
          <w:rFonts w:ascii="Times New Roman" w:hAnsi="Times New Roman" w:cs="Times New Roman"/>
          <w:sz w:val="24"/>
          <w:szCs w:val="24"/>
          <w:lang w:val="it-IT"/>
        </w:rPr>
        <w:t xml:space="preserve"> della popolazione.</w:t>
      </w:r>
    </w:p>
    <w:p w:rsidR="0005178A" w:rsidRPr="006F07C8" w:rsidRDefault="00541757" w:rsidP="002F52A9">
      <w:pPr>
        <w:spacing w:line="240" w:lineRule="auto"/>
        <w:jc w:val="both"/>
        <w:rPr>
          <w:rFonts w:ascii="Times New Roman" w:hAnsi="Times New Roman" w:cs="Times New Roman"/>
          <w:sz w:val="24"/>
          <w:szCs w:val="24"/>
          <w:lang w:val="it-IT"/>
        </w:rPr>
      </w:pPr>
      <w:r w:rsidRPr="006F07C8">
        <w:rPr>
          <w:rFonts w:ascii="Times New Roman" w:hAnsi="Times New Roman" w:cs="Times New Roman"/>
          <w:sz w:val="24"/>
          <w:szCs w:val="24"/>
          <w:lang w:val="it-IT"/>
        </w:rPr>
        <w:t xml:space="preserve">Spetta ai residenti europei e ai decisori pubblici stabilire se </w:t>
      </w:r>
      <w:r w:rsidR="00807445" w:rsidRPr="006F07C8">
        <w:rPr>
          <w:rFonts w:ascii="Times New Roman" w:hAnsi="Times New Roman" w:cs="Times New Roman"/>
          <w:sz w:val="24"/>
          <w:szCs w:val="24"/>
          <w:lang w:val="it-IT"/>
        </w:rPr>
        <w:t>€</w:t>
      </w:r>
      <w:r w:rsidRPr="006F07C8">
        <w:rPr>
          <w:rFonts w:ascii="Times New Roman" w:hAnsi="Times New Roman" w:cs="Times New Roman"/>
          <w:sz w:val="24"/>
          <w:szCs w:val="24"/>
          <w:lang w:val="it-IT"/>
        </w:rPr>
        <w:t xml:space="preserve">1,1 miliardi all’anno </w:t>
      </w:r>
      <w:r w:rsidR="003A7DBF" w:rsidRPr="006F07C8">
        <w:rPr>
          <w:rFonts w:ascii="Times New Roman" w:hAnsi="Times New Roman" w:cs="Times New Roman"/>
          <w:sz w:val="24"/>
          <w:szCs w:val="24"/>
          <w:lang w:val="it-IT"/>
        </w:rPr>
        <w:t>sia</w:t>
      </w:r>
      <w:r w:rsidRPr="006F07C8">
        <w:rPr>
          <w:rFonts w:ascii="Times New Roman" w:hAnsi="Times New Roman" w:cs="Times New Roman"/>
          <w:sz w:val="24"/>
          <w:szCs w:val="24"/>
          <w:lang w:val="it-IT"/>
        </w:rPr>
        <w:t xml:space="preserve"> un prezzo </w:t>
      </w:r>
      <w:r w:rsidR="009A4B11" w:rsidRPr="006F07C8">
        <w:rPr>
          <w:rFonts w:ascii="Times New Roman" w:hAnsi="Times New Roman" w:cs="Times New Roman"/>
          <w:sz w:val="24"/>
          <w:szCs w:val="24"/>
          <w:lang w:val="it-IT"/>
        </w:rPr>
        <w:t>accettabile</w:t>
      </w:r>
      <w:r w:rsidRPr="006F07C8">
        <w:rPr>
          <w:rFonts w:ascii="Times New Roman" w:hAnsi="Times New Roman" w:cs="Times New Roman"/>
          <w:sz w:val="24"/>
          <w:szCs w:val="24"/>
          <w:lang w:val="it-IT"/>
        </w:rPr>
        <w:t xml:space="preserve"> per ottenere </w:t>
      </w:r>
      <w:r w:rsidR="00224386" w:rsidRPr="006F07C8">
        <w:rPr>
          <w:rFonts w:ascii="Times New Roman" w:hAnsi="Times New Roman" w:cs="Times New Roman"/>
          <w:sz w:val="24"/>
          <w:szCs w:val="24"/>
          <w:lang w:val="it-IT"/>
        </w:rPr>
        <w:t>tali</w:t>
      </w:r>
      <w:r w:rsidRPr="006F07C8">
        <w:rPr>
          <w:rFonts w:ascii="Times New Roman" w:hAnsi="Times New Roman" w:cs="Times New Roman"/>
          <w:sz w:val="24"/>
          <w:szCs w:val="24"/>
          <w:lang w:val="it-IT"/>
        </w:rPr>
        <w:t xml:space="preserve"> risultati</w:t>
      </w:r>
      <w:r w:rsidR="003A7DBF" w:rsidRPr="006F07C8">
        <w:rPr>
          <w:rFonts w:ascii="Times New Roman" w:hAnsi="Times New Roman" w:cs="Times New Roman"/>
          <w:sz w:val="24"/>
          <w:szCs w:val="24"/>
          <w:lang w:val="it-IT"/>
        </w:rPr>
        <w:t xml:space="preserve">, </w:t>
      </w:r>
      <w:r w:rsidRPr="006F07C8">
        <w:rPr>
          <w:rFonts w:ascii="Times New Roman" w:hAnsi="Times New Roman" w:cs="Times New Roman"/>
          <w:sz w:val="24"/>
          <w:szCs w:val="24"/>
          <w:lang w:val="it-IT"/>
        </w:rPr>
        <w:t>se esso sia troppo alto</w:t>
      </w:r>
      <w:r w:rsidR="003A7DBF" w:rsidRPr="006F07C8">
        <w:rPr>
          <w:rFonts w:ascii="Times New Roman" w:hAnsi="Times New Roman" w:cs="Times New Roman"/>
          <w:sz w:val="24"/>
          <w:szCs w:val="24"/>
          <w:lang w:val="it-IT"/>
        </w:rPr>
        <w:t xml:space="preserve"> o se </w:t>
      </w:r>
      <w:r w:rsidR="00C433C2" w:rsidRPr="006F07C8">
        <w:rPr>
          <w:rFonts w:ascii="Times New Roman" w:hAnsi="Times New Roman" w:cs="Times New Roman"/>
          <w:sz w:val="24"/>
          <w:szCs w:val="24"/>
          <w:lang w:val="it-IT"/>
        </w:rPr>
        <w:t xml:space="preserve">addirittura </w:t>
      </w:r>
      <w:r w:rsidR="003A7DBF" w:rsidRPr="006F07C8">
        <w:rPr>
          <w:rFonts w:ascii="Times New Roman" w:hAnsi="Times New Roman" w:cs="Times New Roman"/>
          <w:sz w:val="24"/>
          <w:szCs w:val="24"/>
          <w:lang w:val="it-IT"/>
        </w:rPr>
        <w:t>valga la pena investire più risorse</w:t>
      </w:r>
      <w:r w:rsidR="00C433C2" w:rsidRPr="006F07C8">
        <w:rPr>
          <w:rFonts w:ascii="Times New Roman" w:hAnsi="Times New Roman" w:cs="Times New Roman"/>
          <w:sz w:val="24"/>
          <w:szCs w:val="24"/>
          <w:lang w:val="it-IT"/>
        </w:rPr>
        <w:t xml:space="preserve"> nel multilinguismo, in particolare nella trad</w:t>
      </w:r>
      <w:r w:rsidR="002F614C" w:rsidRPr="006F07C8">
        <w:rPr>
          <w:rFonts w:ascii="Times New Roman" w:hAnsi="Times New Roman" w:cs="Times New Roman"/>
          <w:sz w:val="24"/>
          <w:szCs w:val="24"/>
          <w:lang w:val="it-IT"/>
        </w:rPr>
        <w:t>uzione di alcune pagine dei siti</w:t>
      </w:r>
      <w:r w:rsidR="00C433C2" w:rsidRPr="006F07C8">
        <w:rPr>
          <w:rFonts w:ascii="Times New Roman" w:hAnsi="Times New Roman" w:cs="Times New Roman"/>
          <w:sz w:val="24"/>
          <w:szCs w:val="24"/>
          <w:lang w:val="it-IT"/>
        </w:rPr>
        <w:t xml:space="preserve"> Internet delle DG della Commissione</w:t>
      </w:r>
      <w:r w:rsidRPr="006F07C8">
        <w:rPr>
          <w:rFonts w:ascii="Times New Roman" w:hAnsi="Times New Roman" w:cs="Times New Roman"/>
          <w:sz w:val="24"/>
          <w:szCs w:val="24"/>
          <w:lang w:val="it-IT"/>
        </w:rPr>
        <w:t>.</w:t>
      </w:r>
      <w:r w:rsidR="00AE2042" w:rsidRPr="006F07C8">
        <w:rPr>
          <w:rFonts w:ascii="Times New Roman" w:hAnsi="Times New Roman" w:cs="Times New Roman"/>
          <w:sz w:val="24"/>
          <w:szCs w:val="24"/>
          <w:lang w:val="it-IT"/>
        </w:rPr>
        <w:t xml:space="preserve"> L</w:t>
      </w:r>
      <w:r w:rsidRPr="006F07C8">
        <w:rPr>
          <w:rFonts w:ascii="Times New Roman" w:hAnsi="Times New Roman" w:cs="Times New Roman"/>
          <w:sz w:val="24"/>
          <w:szCs w:val="24"/>
          <w:lang w:val="it-IT"/>
        </w:rPr>
        <w:t xml:space="preserve">’analisi </w:t>
      </w:r>
      <w:r w:rsidR="003A7DBF" w:rsidRPr="006F07C8">
        <w:rPr>
          <w:rFonts w:ascii="Times New Roman" w:hAnsi="Times New Roman" w:cs="Times New Roman"/>
          <w:sz w:val="24"/>
          <w:szCs w:val="24"/>
          <w:lang w:val="it-IT"/>
        </w:rPr>
        <w:t xml:space="preserve">statistica presentata in questo studio </w:t>
      </w:r>
      <w:r w:rsidR="00AE2042" w:rsidRPr="006F07C8">
        <w:rPr>
          <w:rFonts w:ascii="Times New Roman" w:hAnsi="Times New Roman" w:cs="Times New Roman"/>
          <w:sz w:val="24"/>
          <w:szCs w:val="24"/>
          <w:lang w:val="it-IT"/>
        </w:rPr>
        <w:t xml:space="preserve">può essere </w:t>
      </w:r>
      <w:r w:rsidR="00764C56" w:rsidRPr="006F07C8">
        <w:rPr>
          <w:rFonts w:ascii="Times New Roman" w:hAnsi="Times New Roman" w:cs="Times New Roman"/>
          <w:sz w:val="24"/>
          <w:szCs w:val="24"/>
          <w:lang w:val="it-IT"/>
        </w:rPr>
        <w:t xml:space="preserve">d’ausilio </w:t>
      </w:r>
      <w:r w:rsidR="00AE2042" w:rsidRPr="006F07C8">
        <w:rPr>
          <w:rFonts w:ascii="Times New Roman" w:hAnsi="Times New Roman" w:cs="Times New Roman"/>
          <w:sz w:val="24"/>
          <w:szCs w:val="24"/>
          <w:lang w:val="it-IT"/>
        </w:rPr>
        <w:t>a</w:t>
      </w:r>
      <w:r w:rsidR="00764C56" w:rsidRPr="006F07C8">
        <w:rPr>
          <w:rFonts w:ascii="Times New Roman" w:hAnsi="Times New Roman" w:cs="Times New Roman"/>
          <w:sz w:val="24"/>
          <w:szCs w:val="24"/>
          <w:lang w:val="it-IT"/>
        </w:rPr>
        <w:t xml:space="preserve"> questo dibattito </w:t>
      </w:r>
      <w:r w:rsidR="00AE2042" w:rsidRPr="006F07C8">
        <w:rPr>
          <w:rFonts w:ascii="Times New Roman" w:hAnsi="Times New Roman" w:cs="Times New Roman"/>
          <w:sz w:val="24"/>
          <w:szCs w:val="24"/>
          <w:lang w:val="it-IT"/>
        </w:rPr>
        <w:t xml:space="preserve">perché essa </w:t>
      </w:r>
      <w:r w:rsidR="003A7DBF" w:rsidRPr="006F07C8">
        <w:rPr>
          <w:rFonts w:ascii="Times New Roman" w:hAnsi="Times New Roman" w:cs="Times New Roman"/>
          <w:sz w:val="24"/>
          <w:szCs w:val="24"/>
          <w:lang w:val="it-IT"/>
        </w:rPr>
        <w:t xml:space="preserve">dimostra </w:t>
      </w:r>
      <w:r w:rsidRPr="006F07C8">
        <w:rPr>
          <w:rFonts w:ascii="Times New Roman" w:hAnsi="Times New Roman" w:cs="Times New Roman"/>
          <w:sz w:val="24"/>
          <w:szCs w:val="24"/>
          <w:lang w:val="it-IT"/>
        </w:rPr>
        <w:t xml:space="preserve">che </w:t>
      </w:r>
      <w:r w:rsidR="003A7DBF" w:rsidRPr="006F07C8">
        <w:rPr>
          <w:rFonts w:ascii="Times New Roman" w:hAnsi="Times New Roman" w:cs="Times New Roman"/>
          <w:sz w:val="24"/>
          <w:szCs w:val="24"/>
          <w:lang w:val="it-IT"/>
        </w:rPr>
        <w:t>nel</w:t>
      </w:r>
      <w:r w:rsidRPr="006F07C8">
        <w:rPr>
          <w:rFonts w:ascii="Times New Roman" w:hAnsi="Times New Roman" w:cs="Times New Roman"/>
          <w:sz w:val="24"/>
          <w:szCs w:val="24"/>
          <w:lang w:val="it-IT"/>
        </w:rPr>
        <w:t xml:space="preserve">le </w:t>
      </w:r>
      <w:r w:rsidR="003A7DBF" w:rsidRPr="006F07C8">
        <w:rPr>
          <w:rFonts w:ascii="Times New Roman" w:hAnsi="Times New Roman" w:cs="Times New Roman"/>
          <w:sz w:val="24"/>
          <w:szCs w:val="24"/>
          <w:lang w:val="it-IT"/>
        </w:rPr>
        <w:t xml:space="preserve">attuali </w:t>
      </w:r>
      <w:r w:rsidRPr="006F07C8">
        <w:rPr>
          <w:rFonts w:ascii="Times New Roman" w:hAnsi="Times New Roman" w:cs="Times New Roman"/>
          <w:sz w:val="24"/>
          <w:szCs w:val="24"/>
          <w:lang w:val="it-IT"/>
        </w:rPr>
        <w:t xml:space="preserve">circostanze una diminuzione del numero di lingue ufficiali </w:t>
      </w:r>
      <w:r w:rsidR="003A7DBF" w:rsidRPr="006F07C8">
        <w:rPr>
          <w:rFonts w:ascii="Times New Roman" w:hAnsi="Times New Roman" w:cs="Times New Roman"/>
          <w:sz w:val="24"/>
          <w:szCs w:val="24"/>
          <w:lang w:val="it-IT"/>
        </w:rPr>
        <w:t xml:space="preserve">rischia </w:t>
      </w:r>
      <w:r w:rsidR="00AE2042" w:rsidRPr="006F07C8">
        <w:rPr>
          <w:rFonts w:ascii="Times New Roman" w:hAnsi="Times New Roman" w:cs="Times New Roman"/>
          <w:sz w:val="24"/>
          <w:szCs w:val="24"/>
          <w:lang w:val="it-IT"/>
        </w:rPr>
        <w:t xml:space="preserve">semplicemente </w:t>
      </w:r>
      <w:r w:rsidR="003A7DBF" w:rsidRPr="006F07C8">
        <w:rPr>
          <w:rFonts w:ascii="Times New Roman" w:hAnsi="Times New Roman" w:cs="Times New Roman"/>
          <w:sz w:val="24"/>
          <w:szCs w:val="24"/>
          <w:lang w:val="it-IT"/>
        </w:rPr>
        <w:t xml:space="preserve">di </w:t>
      </w:r>
      <w:r w:rsidR="00AE2042" w:rsidRPr="006F07C8">
        <w:rPr>
          <w:rFonts w:ascii="Times New Roman" w:hAnsi="Times New Roman" w:cs="Times New Roman"/>
          <w:sz w:val="24"/>
          <w:szCs w:val="24"/>
          <w:lang w:val="it-IT"/>
        </w:rPr>
        <w:t>trasferire</w:t>
      </w:r>
      <w:r w:rsidR="003A7DBF" w:rsidRPr="006F07C8">
        <w:rPr>
          <w:rFonts w:ascii="Times New Roman" w:hAnsi="Times New Roman" w:cs="Times New Roman"/>
          <w:sz w:val="24"/>
          <w:szCs w:val="24"/>
          <w:lang w:val="it-IT"/>
        </w:rPr>
        <w:t xml:space="preserve"> i costi della diversità linguistica dal bilancio comunitario al</w:t>
      </w:r>
      <w:r w:rsidR="00AE2042" w:rsidRPr="006F07C8">
        <w:rPr>
          <w:rFonts w:ascii="Times New Roman" w:hAnsi="Times New Roman" w:cs="Times New Roman"/>
          <w:sz w:val="24"/>
          <w:szCs w:val="24"/>
          <w:lang w:val="it-IT"/>
        </w:rPr>
        <w:t xml:space="preserve"> portamonete </w:t>
      </w:r>
      <w:r w:rsidR="003A7DBF" w:rsidRPr="006F07C8">
        <w:rPr>
          <w:rFonts w:ascii="Times New Roman" w:hAnsi="Times New Roman" w:cs="Times New Roman"/>
          <w:sz w:val="24"/>
          <w:szCs w:val="24"/>
          <w:lang w:val="it-IT"/>
        </w:rPr>
        <w:t>della mag</w:t>
      </w:r>
      <w:r w:rsidR="00C33905" w:rsidRPr="006F07C8">
        <w:rPr>
          <w:rFonts w:ascii="Times New Roman" w:hAnsi="Times New Roman" w:cs="Times New Roman"/>
          <w:sz w:val="24"/>
          <w:szCs w:val="24"/>
          <w:lang w:val="it-IT"/>
        </w:rPr>
        <w:t>gioranza dei residenti europei.</w:t>
      </w:r>
      <w:r w:rsidR="00215E2B" w:rsidRPr="006F07C8">
        <w:rPr>
          <w:rFonts w:ascii="Times New Roman" w:hAnsi="Times New Roman" w:cs="Times New Roman"/>
          <w:sz w:val="24"/>
          <w:szCs w:val="24"/>
          <w:lang w:val="it-IT"/>
        </w:rPr>
        <w:t xml:space="preserve"> È </w:t>
      </w:r>
      <w:r w:rsidR="00764C56" w:rsidRPr="006F07C8">
        <w:rPr>
          <w:rFonts w:ascii="Times New Roman" w:hAnsi="Times New Roman" w:cs="Times New Roman"/>
          <w:sz w:val="24"/>
          <w:szCs w:val="24"/>
          <w:lang w:val="it-IT"/>
        </w:rPr>
        <w:t>giusto osservare</w:t>
      </w:r>
      <w:r w:rsidR="00215E2B" w:rsidRPr="006F07C8">
        <w:rPr>
          <w:rFonts w:ascii="Times New Roman" w:hAnsi="Times New Roman" w:cs="Times New Roman"/>
          <w:sz w:val="24"/>
          <w:szCs w:val="24"/>
          <w:lang w:val="it-IT"/>
        </w:rPr>
        <w:t xml:space="preserve"> che non tutte le persone in Europa sono interessate a ciò che accade a Bruxelles e che </w:t>
      </w:r>
      <w:r w:rsidR="00A11751" w:rsidRPr="006F07C8">
        <w:rPr>
          <w:rFonts w:ascii="Times New Roman" w:hAnsi="Times New Roman" w:cs="Times New Roman"/>
          <w:sz w:val="24"/>
          <w:szCs w:val="24"/>
          <w:lang w:val="it-IT"/>
        </w:rPr>
        <w:t xml:space="preserve">forse </w:t>
      </w:r>
      <w:r w:rsidR="00215E2B" w:rsidRPr="006F07C8">
        <w:rPr>
          <w:rFonts w:ascii="Times New Roman" w:hAnsi="Times New Roman" w:cs="Times New Roman"/>
          <w:sz w:val="24"/>
          <w:szCs w:val="24"/>
          <w:lang w:val="it-IT"/>
        </w:rPr>
        <w:t xml:space="preserve">pochi vanno effettivamente a leggere i documenti prodotti dalle istituzioni europee, ma è anche vero che </w:t>
      </w:r>
      <w:r w:rsidR="00215E2B" w:rsidRPr="006F07C8">
        <w:rPr>
          <w:rFonts w:ascii="Times New Roman" w:hAnsi="Times New Roman" w:cs="Times New Roman"/>
          <w:i/>
          <w:iCs/>
          <w:sz w:val="24"/>
          <w:szCs w:val="24"/>
          <w:lang w:val="it-IT"/>
        </w:rPr>
        <w:t>ignorantia iuris non excusat</w:t>
      </w:r>
      <w:r w:rsidR="00AE2042" w:rsidRPr="006F07C8">
        <w:rPr>
          <w:rFonts w:ascii="Times New Roman" w:hAnsi="Times New Roman" w:cs="Times New Roman"/>
          <w:sz w:val="24"/>
          <w:szCs w:val="24"/>
          <w:lang w:val="it-IT"/>
        </w:rPr>
        <w:t>,</w:t>
      </w:r>
      <w:r w:rsidR="00215E2B" w:rsidRPr="006F07C8">
        <w:rPr>
          <w:rFonts w:ascii="Times New Roman" w:hAnsi="Times New Roman" w:cs="Times New Roman"/>
          <w:sz w:val="24"/>
          <w:szCs w:val="24"/>
          <w:lang w:val="it-IT"/>
        </w:rPr>
        <w:t xml:space="preserve"> che</w:t>
      </w:r>
      <w:r w:rsidR="00215E2B" w:rsidRPr="006F07C8">
        <w:rPr>
          <w:rFonts w:ascii="Times New Roman" w:hAnsi="Times New Roman" w:cs="Times New Roman"/>
          <w:i/>
          <w:sz w:val="24"/>
          <w:szCs w:val="24"/>
          <w:lang w:val="it-IT"/>
        </w:rPr>
        <w:t xml:space="preserve"> </w:t>
      </w:r>
      <w:r w:rsidR="00215E2B" w:rsidRPr="006F07C8">
        <w:rPr>
          <w:rFonts w:ascii="Times New Roman" w:hAnsi="Times New Roman" w:cs="Times New Roman"/>
          <w:sz w:val="24"/>
          <w:szCs w:val="24"/>
          <w:lang w:val="it-IT"/>
        </w:rPr>
        <w:t xml:space="preserve">un’organizzazione che abbia l’ambizione di essere definita democratica </w:t>
      </w:r>
      <w:r w:rsidR="00AE2042" w:rsidRPr="006F07C8">
        <w:rPr>
          <w:rFonts w:ascii="Times New Roman" w:hAnsi="Times New Roman" w:cs="Times New Roman"/>
          <w:sz w:val="24"/>
          <w:szCs w:val="24"/>
          <w:lang w:val="it-IT"/>
        </w:rPr>
        <w:t xml:space="preserve">non può non </w:t>
      </w:r>
      <w:r w:rsidR="00215E2B" w:rsidRPr="006F07C8">
        <w:rPr>
          <w:rFonts w:ascii="Times New Roman" w:hAnsi="Times New Roman" w:cs="Times New Roman"/>
          <w:sz w:val="24"/>
          <w:szCs w:val="24"/>
          <w:lang w:val="it-IT"/>
        </w:rPr>
        <w:t xml:space="preserve">considerare che ogni cittadino o residente </w:t>
      </w:r>
      <w:r w:rsidR="00AE2042" w:rsidRPr="006F07C8">
        <w:rPr>
          <w:rFonts w:ascii="Times New Roman" w:hAnsi="Times New Roman" w:cs="Times New Roman"/>
          <w:sz w:val="24"/>
          <w:szCs w:val="24"/>
          <w:lang w:val="it-IT"/>
        </w:rPr>
        <w:t xml:space="preserve">prima o </w:t>
      </w:r>
      <w:r w:rsidR="00215E2B" w:rsidRPr="006F07C8">
        <w:rPr>
          <w:rFonts w:ascii="Times New Roman" w:hAnsi="Times New Roman" w:cs="Times New Roman"/>
          <w:sz w:val="24"/>
          <w:szCs w:val="24"/>
          <w:lang w:val="it-IT"/>
        </w:rPr>
        <w:t xml:space="preserve">può avere </w:t>
      </w:r>
      <w:r w:rsidR="00AE2042" w:rsidRPr="006F07C8">
        <w:rPr>
          <w:rFonts w:ascii="Times New Roman" w:hAnsi="Times New Roman" w:cs="Times New Roman"/>
          <w:sz w:val="24"/>
          <w:szCs w:val="24"/>
          <w:lang w:val="it-IT"/>
        </w:rPr>
        <w:t xml:space="preserve">bisogno o </w:t>
      </w:r>
      <w:r w:rsidR="00215E2B" w:rsidRPr="006F07C8">
        <w:rPr>
          <w:rFonts w:ascii="Times New Roman" w:hAnsi="Times New Roman" w:cs="Times New Roman"/>
          <w:sz w:val="24"/>
          <w:szCs w:val="24"/>
          <w:lang w:val="it-IT"/>
        </w:rPr>
        <w:t>interesse ad av</w:t>
      </w:r>
      <w:r w:rsidR="009A4B11" w:rsidRPr="006F07C8">
        <w:rPr>
          <w:rFonts w:ascii="Times New Roman" w:hAnsi="Times New Roman" w:cs="Times New Roman"/>
          <w:sz w:val="24"/>
          <w:szCs w:val="24"/>
          <w:lang w:val="it-IT"/>
        </w:rPr>
        <w:t>ere accesso ai testi normativi, e che l’uso asimmetrico delle lingue nei bandi e nei concorsi può distorcere la concorrenza fra imprese agenti economici in competizione.</w:t>
      </w:r>
    </w:p>
    <w:p w:rsidR="00AE2042" w:rsidRPr="006F07C8" w:rsidRDefault="00764C56" w:rsidP="002F52A9">
      <w:pPr>
        <w:spacing w:line="240" w:lineRule="auto"/>
        <w:jc w:val="both"/>
        <w:rPr>
          <w:rFonts w:ascii="Times New Roman" w:hAnsi="Times New Roman" w:cs="Times New Roman"/>
          <w:sz w:val="24"/>
          <w:szCs w:val="24"/>
          <w:lang w:val="it-IT"/>
        </w:rPr>
      </w:pPr>
      <w:r w:rsidRPr="006F07C8">
        <w:rPr>
          <w:rFonts w:ascii="Times New Roman" w:hAnsi="Times New Roman" w:cs="Times New Roman"/>
          <w:sz w:val="24"/>
          <w:szCs w:val="24"/>
          <w:lang w:val="it-IT"/>
        </w:rPr>
        <w:t>È</w:t>
      </w:r>
      <w:r w:rsidR="0005178A" w:rsidRPr="006F07C8">
        <w:rPr>
          <w:rFonts w:ascii="Times New Roman" w:hAnsi="Times New Roman" w:cs="Times New Roman"/>
          <w:sz w:val="24"/>
          <w:szCs w:val="24"/>
          <w:lang w:val="it-IT"/>
        </w:rPr>
        <w:t xml:space="preserve"> </w:t>
      </w:r>
      <w:r w:rsidRPr="006F07C8">
        <w:rPr>
          <w:rFonts w:ascii="Times New Roman" w:hAnsi="Times New Roman" w:cs="Times New Roman"/>
          <w:sz w:val="24"/>
          <w:szCs w:val="24"/>
          <w:lang w:val="it-IT"/>
        </w:rPr>
        <w:t>dimostrato</w:t>
      </w:r>
      <w:r w:rsidR="0005178A" w:rsidRPr="006F07C8">
        <w:rPr>
          <w:rFonts w:ascii="Times New Roman" w:hAnsi="Times New Roman" w:cs="Times New Roman"/>
          <w:sz w:val="24"/>
          <w:szCs w:val="24"/>
          <w:lang w:val="it-IT"/>
        </w:rPr>
        <w:t xml:space="preserve"> che le competenze linguistiche degli europei nelle lingue straniere sono più diffuse che </w:t>
      </w:r>
      <w:r w:rsidR="00AE2042" w:rsidRPr="006F07C8">
        <w:rPr>
          <w:rFonts w:ascii="Times New Roman" w:hAnsi="Times New Roman" w:cs="Times New Roman"/>
          <w:sz w:val="24"/>
          <w:szCs w:val="24"/>
          <w:lang w:val="it-IT"/>
        </w:rPr>
        <w:t>in</w:t>
      </w:r>
      <w:r w:rsidR="0005178A" w:rsidRPr="006F07C8">
        <w:rPr>
          <w:rFonts w:ascii="Times New Roman" w:hAnsi="Times New Roman" w:cs="Times New Roman"/>
          <w:sz w:val="24"/>
          <w:szCs w:val="24"/>
          <w:lang w:val="it-IT"/>
        </w:rPr>
        <w:t xml:space="preserve"> passato, </w:t>
      </w:r>
      <w:r w:rsidRPr="006F07C8">
        <w:rPr>
          <w:rFonts w:ascii="Times New Roman" w:hAnsi="Times New Roman" w:cs="Times New Roman"/>
          <w:sz w:val="24"/>
          <w:szCs w:val="24"/>
          <w:lang w:val="it-IT"/>
        </w:rPr>
        <w:t xml:space="preserve">ma si è anche visto che </w:t>
      </w:r>
      <w:r w:rsidR="0005178A" w:rsidRPr="006F07C8">
        <w:rPr>
          <w:rFonts w:ascii="Times New Roman" w:hAnsi="Times New Roman" w:cs="Times New Roman"/>
          <w:sz w:val="24"/>
          <w:szCs w:val="24"/>
          <w:lang w:val="it-IT"/>
        </w:rPr>
        <w:t xml:space="preserve">esse </w:t>
      </w:r>
      <w:r w:rsidR="00131F2A" w:rsidRPr="006F07C8">
        <w:rPr>
          <w:rFonts w:ascii="Times New Roman" w:hAnsi="Times New Roman" w:cs="Times New Roman"/>
          <w:sz w:val="24"/>
          <w:szCs w:val="24"/>
          <w:lang w:val="it-IT"/>
        </w:rPr>
        <w:t xml:space="preserve">in media </w:t>
      </w:r>
      <w:r w:rsidR="0005178A" w:rsidRPr="006F07C8">
        <w:rPr>
          <w:rFonts w:ascii="Times New Roman" w:hAnsi="Times New Roman" w:cs="Times New Roman"/>
          <w:sz w:val="24"/>
          <w:szCs w:val="24"/>
          <w:lang w:val="it-IT"/>
        </w:rPr>
        <w:t>non sono necessariamente molto migliori dal punto di vista qualitativo.</w:t>
      </w:r>
      <w:r w:rsidR="00AE2042" w:rsidRPr="006F07C8">
        <w:rPr>
          <w:rFonts w:ascii="Times New Roman" w:hAnsi="Times New Roman" w:cs="Times New Roman"/>
          <w:sz w:val="24"/>
          <w:szCs w:val="24"/>
          <w:lang w:val="it-IT"/>
        </w:rPr>
        <w:t xml:space="preserve"> È certamente auspicabile che le politiche per l’insegnamento delle lingue straniere siano rafforzate, </w:t>
      </w:r>
      <w:r w:rsidRPr="006F07C8">
        <w:rPr>
          <w:rFonts w:ascii="Times New Roman" w:hAnsi="Times New Roman" w:cs="Times New Roman"/>
          <w:sz w:val="24"/>
          <w:szCs w:val="24"/>
          <w:lang w:val="it-IT"/>
        </w:rPr>
        <w:t>però</w:t>
      </w:r>
      <w:r w:rsidR="00AE2042" w:rsidRPr="006F07C8">
        <w:rPr>
          <w:rFonts w:ascii="Times New Roman" w:hAnsi="Times New Roman" w:cs="Times New Roman"/>
          <w:sz w:val="24"/>
          <w:szCs w:val="24"/>
          <w:lang w:val="it-IT"/>
        </w:rPr>
        <w:t xml:space="preserve"> non ci si deve scordare che molto resta ancora da fare per colmare molte lacune tutt’oggi esistenti a livello di alfabetizzazione funzionale nelle lingue </w:t>
      </w:r>
      <w:r w:rsidR="00AE2042" w:rsidRPr="006F07C8">
        <w:rPr>
          <w:rFonts w:ascii="Times New Roman" w:hAnsi="Times New Roman" w:cs="Times New Roman"/>
          <w:i/>
          <w:sz w:val="24"/>
          <w:szCs w:val="24"/>
          <w:lang w:val="it-IT"/>
        </w:rPr>
        <w:t>materne</w:t>
      </w:r>
      <w:r w:rsidR="00AE2042" w:rsidRPr="006F07C8">
        <w:rPr>
          <w:rFonts w:ascii="Times New Roman" w:hAnsi="Times New Roman" w:cs="Times New Roman"/>
          <w:sz w:val="24"/>
          <w:szCs w:val="24"/>
          <w:lang w:val="it-IT"/>
        </w:rPr>
        <w:t xml:space="preserve"> degli europei.</w:t>
      </w:r>
      <w:r w:rsidRPr="006F07C8">
        <w:rPr>
          <w:rFonts w:ascii="Times New Roman" w:hAnsi="Times New Roman" w:cs="Times New Roman"/>
          <w:sz w:val="24"/>
          <w:szCs w:val="24"/>
          <w:lang w:val="it-IT"/>
        </w:rPr>
        <w:t xml:space="preserve"> Ad esempio, da una recente indagine emerge </w:t>
      </w:r>
      <w:r w:rsidRPr="006F07C8">
        <w:rPr>
          <w:rFonts w:ascii="Times New Roman" w:hAnsi="Times New Roman" w:cs="Times New Roman"/>
          <w:sz w:val="24"/>
          <w:szCs w:val="24"/>
          <w:lang w:val="it-IT"/>
        </w:rPr>
        <w:lastRenderedPageBreak/>
        <w:t xml:space="preserve">che il 24,1% dei quindicenni europei ha ancora difficoltà di lettura nelle propria lingua e che questa percentuale è aumentata nel corso degli ultimi anni (Commissione europea </w:t>
      </w:r>
      <w:hyperlink w:anchor="_ENREF_14" w:tooltip="Commissione europea, 2010 #926" w:history="1">
        <w:r w:rsidR="00101624" w:rsidRPr="006F07C8">
          <w:rPr>
            <w:rFonts w:ascii="Times New Roman" w:hAnsi="Times New Roman" w:cs="Times New Roman"/>
            <w:sz w:val="24"/>
            <w:szCs w:val="24"/>
            <w:lang w:val="it-IT"/>
          </w:rPr>
          <w:fldChar w:fldCharType="begin"/>
        </w:r>
        <w:r w:rsidR="00101624" w:rsidRPr="006F07C8">
          <w:rPr>
            <w:rFonts w:ascii="Times New Roman" w:hAnsi="Times New Roman" w:cs="Times New Roman"/>
            <w:sz w:val="24"/>
            <w:szCs w:val="24"/>
            <w:lang w:val="it-IT"/>
          </w:rPr>
          <w:instrText xml:space="preserve"> ADDIN EN.CITE &lt;EndNote&gt;&lt;Cite ExcludeAuth="1"&gt;&lt;Author&gt;europea&lt;/Author&gt;&lt;Year&gt;2010&lt;/Year&gt;&lt;RecNum&gt;926&lt;/RecNum&gt;&lt;Pages&gt;3&lt;/Pages&gt;&lt;DisplayText&gt;2010b: 3&lt;/DisplayText&gt;&lt;record&gt;&lt;rec-number&gt;926&lt;/rec-number&gt;&lt;foreign-keys&gt;&lt;key app="EN" db-id="wvvszzd93a0z5wesdfpvdv9z5wrra5p05axp"&gt;926&lt;/key&gt;&lt;/foreign-keys&gt;&lt;ref-type name="Report"&gt;27&lt;/ref-type&gt;&lt;contributors&gt;&lt;authors&gt;&lt;author&gt;Commissione europea,&lt;/author&gt;&lt;/authors&gt;&lt;/contributors&gt;&lt;titles&gt;&lt;title&gt;Youth on the Move. An initiative to unleash the potential of young people to achieve smart, sustainable and inclusive growth in the European Union&lt;/title&gt;&lt;/titles&gt;&lt;dates&gt;&lt;year&gt;2010&lt;/year&gt;&lt;/dates&gt;&lt;pub-location&gt;Lussemburgo&lt;/pub-location&gt;&lt;publisher&gt;Commissione europea&lt;/publisher&gt;&lt;urls&gt;&lt;/urls&gt;&lt;/record&gt;&lt;/Cite&gt;&lt;/EndNote&gt;</w:instrText>
        </w:r>
        <w:r w:rsidR="00101624" w:rsidRPr="006F07C8">
          <w:rPr>
            <w:rFonts w:ascii="Times New Roman" w:hAnsi="Times New Roman" w:cs="Times New Roman"/>
            <w:sz w:val="24"/>
            <w:szCs w:val="24"/>
            <w:lang w:val="it-IT"/>
          </w:rPr>
          <w:fldChar w:fldCharType="separate"/>
        </w:r>
        <w:r w:rsidR="00101624" w:rsidRPr="006F07C8">
          <w:rPr>
            <w:rFonts w:ascii="Times New Roman" w:hAnsi="Times New Roman" w:cs="Times New Roman"/>
            <w:noProof/>
            <w:sz w:val="24"/>
            <w:szCs w:val="24"/>
            <w:lang w:val="it-IT"/>
          </w:rPr>
          <w:t>2010b: 3</w:t>
        </w:r>
        <w:r w:rsidR="00101624" w:rsidRPr="006F07C8">
          <w:rPr>
            <w:rFonts w:ascii="Times New Roman" w:hAnsi="Times New Roman" w:cs="Times New Roman"/>
            <w:sz w:val="24"/>
            <w:szCs w:val="24"/>
            <w:lang w:val="it-IT"/>
          </w:rPr>
          <w:fldChar w:fldCharType="end"/>
        </w:r>
      </w:hyperlink>
      <w:r w:rsidRPr="006F07C8">
        <w:rPr>
          <w:rFonts w:ascii="Times New Roman" w:hAnsi="Times New Roman" w:cs="Times New Roman"/>
          <w:sz w:val="24"/>
          <w:szCs w:val="24"/>
          <w:lang w:val="it-IT"/>
        </w:rPr>
        <w:t xml:space="preserve">). </w:t>
      </w:r>
      <w:r w:rsidR="00AE2042" w:rsidRPr="006F07C8">
        <w:rPr>
          <w:rFonts w:ascii="Times New Roman" w:hAnsi="Times New Roman" w:cs="Times New Roman"/>
          <w:sz w:val="24"/>
          <w:szCs w:val="24"/>
          <w:lang w:val="it-IT"/>
        </w:rPr>
        <w:t>In</w:t>
      </w:r>
      <w:r w:rsidRPr="006F07C8">
        <w:rPr>
          <w:rFonts w:ascii="Times New Roman" w:hAnsi="Times New Roman" w:cs="Times New Roman"/>
          <w:sz w:val="24"/>
          <w:szCs w:val="24"/>
          <w:lang w:val="it-IT"/>
        </w:rPr>
        <w:t>fine,</w:t>
      </w:r>
      <w:r w:rsidR="00AE2042" w:rsidRPr="006F07C8">
        <w:rPr>
          <w:rFonts w:ascii="Times New Roman" w:hAnsi="Times New Roman" w:cs="Times New Roman"/>
          <w:sz w:val="24"/>
          <w:szCs w:val="24"/>
          <w:lang w:val="it-IT"/>
        </w:rPr>
        <w:t xml:space="preserve"> il crescente numero di migranti con limitate competenze nelle lingue </w:t>
      </w:r>
      <w:r w:rsidR="00224386" w:rsidRPr="006F07C8">
        <w:rPr>
          <w:rFonts w:ascii="Times New Roman" w:hAnsi="Times New Roman" w:cs="Times New Roman"/>
          <w:sz w:val="24"/>
          <w:szCs w:val="24"/>
          <w:lang w:val="it-IT"/>
        </w:rPr>
        <w:t xml:space="preserve">del paese ospite </w:t>
      </w:r>
      <w:r w:rsidR="00AE2042" w:rsidRPr="006F07C8">
        <w:rPr>
          <w:rFonts w:ascii="Times New Roman" w:hAnsi="Times New Roman" w:cs="Times New Roman"/>
          <w:sz w:val="24"/>
          <w:szCs w:val="24"/>
          <w:lang w:val="it-IT"/>
        </w:rPr>
        <w:t>pone nuove sfide non solo alla comunicazione istituzionale europea ma anche ai singoli stati nazionali.</w:t>
      </w:r>
    </w:p>
    <w:p w:rsidR="00576063" w:rsidRPr="006F07C8" w:rsidRDefault="00764C56" w:rsidP="002F52A9">
      <w:pPr>
        <w:spacing w:line="240" w:lineRule="auto"/>
        <w:jc w:val="both"/>
        <w:rPr>
          <w:rFonts w:ascii="Times New Roman" w:hAnsi="Times New Roman" w:cs="Times New Roman"/>
          <w:sz w:val="24"/>
          <w:szCs w:val="24"/>
          <w:lang w:val="it-IT"/>
        </w:rPr>
      </w:pPr>
      <w:r w:rsidRPr="006F07C8">
        <w:rPr>
          <w:rFonts w:ascii="Times New Roman" w:hAnsi="Times New Roman" w:cs="Times New Roman"/>
          <w:sz w:val="24"/>
          <w:szCs w:val="24"/>
          <w:lang w:val="it-IT"/>
        </w:rPr>
        <w:t>In conclusione, i</w:t>
      </w:r>
      <w:r w:rsidR="00AE2042" w:rsidRPr="006F07C8">
        <w:rPr>
          <w:rFonts w:ascii="Times New Roman" w:hAnsi="Times New Roman" w:cs="Times New Roman"/>
          <w:sz w:val="24"/>
          <w:szCs w:val="24"/>
          <w:lang w:val="it-IT"/>
        </w:rPr>
        <w:t xml:space="preserve"> risultati presentati in questo articolo, arricchiti e qualificati in seguito con all’apporto di altri studi, invitano a sposare un’attitudine prudente per la gestione della comunicazione multilingue della UE nel prossimo</w:t>
      </w:r>
      <w:r w:rsidRPr="006F07C8">
        <w:rPr>
          <w:rFonts w:ascii="Times New Roman" w:hAnsi="Times New Roman" w:cs="Times New Roman"/>
          <w:sz w:val="24"/>
          <w:szCs w:val="24"/>
          <w:lang w:val="it-IT"/>
        </w:rPr>
        <w:t xml:space="preserve"> futuro e mostrano </w:t>
      </w:r>
      <w:r w:rsidR="00AE2042" w:rsidRPr="006F07C8">
        <w:rPr>
          <w:rFonts w:ascii="Times New Roman" w:hAnsi="Times New Roman" w:cs="Times New Roman"/>
          <w:sz w:val="24"/>
          <w:szCs w:val="24"/>
          <w:lang w:val="it-IT"/>
        </w:rPr>
        <w:t xml:space="preserve">che è probabilmente prematuro </w:t>
      </w:r>
      <w:r w:rsidR="000E682B" w:rsidRPr="006F07C8">
        <w:rPr>
          <w:rFonts w:ascii="Times New Roman" w:hAnsi="Times New Roman" w:cs="Times New Roman"/>
          <w:sz w:val="24"/>
          <w:szCs w:val="24"/>
          <w:lang w:val="it-IT"/>
        </w:rPr>
        <w:t>ritenere</w:t>
      </w:r>
      <w:r w:rsidR="00AE2042" w:rsidRPr="006F07C8">
        <w:rPr>
          <w:rFonts w:ascii="Times New Roman" w:hAnsi="Times New Roman" w:cs="Times New Roman"/>
          <w:sz w:val="24"/>
          <w:szCs w:val="24"/>
          <w:lang w:val="it-IT"/>
        </w:rPr>
        <w:t xml:space="preserve"> </w:t>
      </w:r>
      <w:r w:rsidR="000E682B" w:rsidRPr="006F07C8">
        <w:rPr>
          <w:rFonts w:ascii="Times New Roman" w:hAnsi="Times New Roman" w:cs="Times New Roman"/>
          <w:sz w:val="24"/>
          <w:szCs w:val="24"/>
          <w:lang w:val="it-IT"/>
        </w:rPr>
        <w:t xml:space="preserve">ridondanti o pleonastici </w:t>
      </w:r>
      <w:r w:rsidR="00AE2042" w:rsidRPr="006F07C8">
        <w:rPr>
          <w:rFonts w:ascii="Times New Roman" w:hAnsi="Times New Roman" w:cs="Times New Roman"/>
          <w:sz w:val="24"/>
          <w:szCs w:val="24"/>
          <w:lang w:val="it-IT"/>
        </w:rPr>
        <w:t>gli apparati di traduzione e interpretazione della UE</w:t>
      </w:r>
      <w:r w:rsidRPr="006F07C8">
        <w:rPr>
          <w:rFonts w:ascii="Times New Roman" w:hAnsi="Times New Roman" w:cs="Times New Roman"/>
          <w:sz w:val="24"/>
          <w:szCs w:val="24"/>
          <w:lang w:val="it-IT"/>
        </w:rPr>
        <w:t xml:space="preserve">. </w:t>
      </w:r>
      <w:r w:rsidR="00611DBA" w:rsidRPr="006F07C8">
        <w:rPr>
          <w:rFonts w:ascii="Times New Roman" w:hAnsi="Times New Roman" w:cs="Times New Roman"/>
          <w:bCs/>
          <w:sz w:val="24"/>
          <w:szCs w:val="24"/>
          <w:lang w:val="it-IT"/>
        </w:rPr>
        <w:t>Alla luce dei</w:t>
      </w:r>
      <w:r w:rsidR="007157EA" w:rsidRPr="006F07C8">
        <w:rPr>
          <w:rFonts w:ascii="Times New Roman" w:hAnsi="Times New Roman" w:cs="Times New Roman"/>
          <w:bCs/>
          <w:sz w:val="24"/>
          <w:szCs w:val="24"/>
          <w:lang w:val="it-IT"/>
        </w:rPr>
        <w:t xml:space="preserve"> risultati </w:t>
      </w:r>
      <w:r w:rsidR="00611DBA" w:rsidRPr="006F07C8">
        <w:rPr>
          <w:rFonts w:ascii="Times New Roman" w:hAnsi="Times New Roman" w:cs="Times New Roman"/>
          <w:bCs/>
          <w:sz w:val="24"/>
          <w:szCs w:val="24"/>
          <w:lang w:val="it-IT"/>
        </w:rPr>
        <w:t>qui esposti</w:t>
      </w:r>
      <w:r w:rsidR="00744364" w:rsidRPr="006F07C8">
        <w:rPr>
          <w:rFonts w:ascii="Times New Roman" w:hAnsi="Times New Roman" w:cs="Times New Roman"/>
          <w:bCs/>
          <w:sz w:val="24"/>
          <w:szCs w:val="24"/>
          <w:lang w:val="it-IT"/>
        </w:rPr>
        <w:t>,</w:t>
      </w:r>
      <w:r w:rsidR="00576063" w:rsidRPr="006F07C8">
        <w:rPr>
          <w:rFonts w:ascii="Times New Roman" w:hAnsi="Times New Roman" w:cs="Times New Roman"/>
          <w:bCs/>
          <w:sz w:val="24"/>
          <w:szCs w:val="24"/>
          <w:lang w:val="it-IT"/>
        </w:rPr>
        <w:t xml:space="preserve"> </w:t>
      </w:r>
      <w:r w:rsidRPr="006F07C8">
        <w:rPr>
          <w:rFonts w:ascii="Times New Roman" w:hAnsi="Times New Roman" w:cs="Times New Roman"/>
          <w:bCs/>
          <w:sz w:val="24"/>
          <w:szCs w:val="24"/>
          <w:lang w:val="it-IT"/>
        </w:rPr>
        <w:t xml:space="preserve">quindi, </w:t>
      </w:r>
      <w:r w:rsidR="00CF2D78" w:rsidRPr="006F07C8">
        <w:rPr>
          <w:rFonts w:ascii="Times New Roman" w:hAnsi="Times New Roman" w:cs="Times New Roman"/>
          <w:bCs/>
          <w:sz w:val="24"/>
          <w:szCs w:val="24"/>
          <w:lang w:val="it-IT"/>
        </w:rPr>
        <w:t xml:space="preserve">gli inviti </w:t>
      </w:r>
      <w:r w:rsidR="000E682B" w:rsidRPr="006F07C8">
        <w:rPr>
          <w:rFonts w:ascii="Times New Roman" w:hAnsi="Times New Roman" w:cs="Times New Roman"/>
          <w:bCs/>
          <w:sz w:val="24"/>
          <w:szCs w:val="24"/>
          <w:lang w:val="it-IT"/>
        </w:rPr>
        <w:t xml:space="preserve">alla UE ad abbracciare rapidamente </w:t>
      </w:r>
      <w:r w:rsidR="00744364" w:rsidRPr="006F07C8">
        <w:rPr>
          <w:rFonts w:ascii="Times New Roman" w:hAnsi="Times New Roman" w:cs="Times New Roman"/>
          <w:bCs/>
          <w:sz w:val="24"/>
          <w:szCs w:val="24"/>
          <w:lang w:val="it-IT"/>
        </w:rPr>
        <w:t>una politica monolingue od oligarchica si rivelano essere</w:t>
      </w:r>
      <w:r w:rsidR="00CF2D78" w:rsidRPr="006F07C8">
        <w:rPr>
          <w:rFonts w:ascii="Times New Roman" w:hAnsi="Times New Roman" w:cs="Times New Roman"/>
          <w:bCs/>
          <w:sz w:val="24"/>
          <w:szCs w:val="24"/>
          <w:lang w:val="it-IT"/>
        </w:rPr>
        <w:t>,</w:t>
      </w:r>
      <w:r w:rsidR="00611DBA" w:rsidRPr="006F07C8">
        <w:rPr>
          <w:rFonts w:ascii="Times New Roman" w:hAnsi="Times New Roman" w:cs="Times New Roman"/>
          <w:bCs/>
          <w:sz w:val="24"/>
          <w:szCs w:val="24"/>
          <w:lang w:val="it-IT"/>
        </w:rPr>
        <w:t xml:space="preserve"> </w:t>
      </w:r>
      <w:r w:rsidRPr="006F07C8">
        <w:rPr>
          <w:rFonts w:ascii="Times New Roman" w:hAnsi="Times New Roman" w:cs="Times New Roman"/>
          <w:bCs/>
          <w:sz w:val="24"/>
          <w:szCs w:val="24"/>
          <w:lang w:val="it-IT"/>
        </w:rPr>
        <w:t xml:space="preserve">almeno </w:t>
      </w:r>
      <w:r w:rsidR="00CF2D78" w:rsidRPr="006F07C8">
        <w:rPr>
          <w:rFonts w:ascii="Times New Roman" w:hAnsi="Times New Roman" w:cs="Times New Roman"/>
          <w:sz w:val="24"/>
          <w:szCs w:val="24"/>
          <w:lang w:val="it-IT"/>
        </w:rPr>
        <w:t xml:space="preserve">in questo momento storico, </w:t>
      </w:r>
      <w:r w:rsidR="002235D0" w:rsidRPr="006F07C8">
        <w:rPr>
          <w:rFonts w:ascii="Times New Roman" w:hAnsi="Times New Roman" w:cs="Times New Roman"/>
          <w:sz w:val="24"/>
          <w:szCs w:val="24"/>
          <w:lang w:val="it-IT"/>
        </w:rPr>
        <w:t xml:space="preserve">un’astratta fuga in avanti. </w:t>
      </w:r>
      <w:r w:rsidR="00576063" w:rsidRPr="006F07C8">
        <w:rPr>
          <w:rFonts w:ascii="Times New Roman" w:hAnsi="Times New Roman" w:cs="Times New Roman"/>
          <w:sz w:val="24"/>
          <w:szCs w:val="24"/>
          <w:lang w:val="it-IT"/>
        </w:rPr>
        <w:t xml:space="preserve">In primo luogo, </w:t>
      </w:r>
      <w:r w:rsidR="00053422" w:rsidRPr="006F07C8">
        <w:rPr>
          <w:rFonts w:ascii="Times New Roman" w:hAnsi="Times New Roman" w:cs="Times New Roman"/>
          <w:sz w:val="24"/>
          <w:szCs w:val="24"/>
          <w:lang w:val="it-IT"/>
        </w:rPr>
        <w:t xml:space="preserve">i risultati </w:t>
      </w:r>
      <w:r w:rsidR="002235D0" w:rsidRPr="006F07C8">
        <w:rPr>
          <w:rFonts w:ascii="Times New Roman" w:hAnsi="Times New Roman" w:cs="Times New Roman"/>
          <w:sz w:val="24"/>
          <w:szCs w:val="24"/>
          <w:lang w:val="it-IT"/>
        </w:rPr>
        <w:t xml:space="preserve">di questo studio </w:t>
      </w:r>
      <w:r w:rsidR="00053422" w:rsidRPr="006F07C8">
        <w:rPr>
          <w:rFonts w:ascii="Times New Roman" w:hAnsi="Times New Roman" w:cs="Times New Roman"/>
          <w:sz w:val="24"/>
          <w:szCs w:val="24"/>
          <w:lang w:val="it-IT"/>
        </w:rPr>
        <w:t xml:space="preserve">confermano quanto già osservato da altri sulla base dei dati all’indagine </w:t>
      </w:r>
      <w:r w:rsidR="00053422" w:rsidRPr="006F07C8">
        <w:rPr>
          <w:rFonts w:ascii="Times New Roman" w:hAnsi="Times New Roman" w:cs="Times New Roman"/>
          <w:i/>
          <w:sz w:val="24"/>
          <w:szCs w:val="24"/>
          <w:lang w:val="it-IT"/>
        </w:rPr>
        <w:t xml:space="preserve">Eurobarometro </w:t>
      </w:r>
      <w:r w:rsidR="00C33905" w:rsidRPr="006F07C8">
        <w:rPr>
          <w:rFonts w:ascii="Times New Roman" w:hAnsi="Times New Roman" w:cs="Times New Roman"/>
          <w:sz w:val="24"/>
          <w:szCs w:val="24"/>
          <w:lang w:val="it-IT"/>
        </w:rPr>
        <w:t xml:space="preserve">sulle competenze degli europei </w:t>
      </w:r>
      <w:r w:rsidR="002235D0" w:rsidRPr="006F07C8">
        <w:rPr>
          <w:rFonts w:ascii="Times New Roman" w:hAnsi="Times New Roman" w:cs="Times New Roman"/>
          <w:sz w:val="24"/>
          <w:szCs w:val="24"/>
          <w:lang w:val="it-IT"/>
        </w:rPr>
        <w:t xml:space="preserve">nelle lingue straniere </w:t>
      </w:r>
      <w:r w:rsidR="00053422" w:rsidRPr="006F07C8">
        <w:rPr>
          <w:rFonts w:ascii="Times New Roman" w:hAnsi="Times New Roman" w:cs="Times New Roman"/>
          <w:sz w:val="24"/>
          <w:szCs w:val="24"/>
          <w:lang w:val="it-IT"/>
        </w:rPr>
        <w:t>(</w:t>
      </w:r>
      <w:r w:rsidR="00053422" w:rsidRPr="006F07C8">
        <w:rPr>
          <w:rFonts w:ascii="Times New Roman" w:hAnsi="Times New Roman" w:cs="Times New Roman"/>
          <w:noProof/>
          <w:sz w:val="24"/>
          <w:szCs w:val="24"/>
          <w:lang w:val="it-IT"/>
        </w:rPr>
        <w:t>Commissione europea</w:t>
      </w:r>
      <w:r w:rsidR="00160CA0" w:rsidRPr="006F07C8">
        <w:rPr>
          <w:rFonts w:ascii="Times New Roman" w:hAnsi="Times New Roman" w:cs="Times New Roman"/>
          <w:noProof/>
          <w:sz w:val="24"/>
          <w:szCs w:val="24"/>
          <w:lang w:val="it-IT"/>
        </w:rPr>
        <w:t xml:space="preserve"> </w:t>
      </w:r>
      <w:hyperlink w:anchor="_ENREF_15" w:tooltip="Commissione europea, 2012 #920" w:history="1">
        <w:r w:rsidR="00101624" w:rsidRPr="006F07C8">
          <w:rPr>
            <w:rFonts w:ascii="Times New Roman" w:hAnsi="Times New Roman" w:cs="Times New Roman"/>
            <w:noProof/>
            <w:sz w:val="24"/>
            <w:szCs w:val="24"/>
            <w:lang w:val="it-IT"/>
          </w:rPr>
          <w:fldChar w:fldCharType="begin"/>
        </w:r>
        <w:r w:rsidR="00101624" w:rsidRPr="006F07C8">
          <w:rPr>
            <w:rFonts w:ascii="Times New Roman" w:hAnsi="Times New Roman" w:cs="Times New Roman"/>
            <w:noProof/>
            <w:sz w:val="24"/>
            <w:szCs w:val="24"/>
            <w:lang w:val="it-IT"/>
          </w:rPr>
          <w:instrText xml:space="preserve"> ADDIN EN.CITE &lt;EndNote&gt;&lt;Cite ExcludeAuth="1"&gt;&lt;Author&gt;Commissione europea&lt;/Author&gt;&lt;Year&gt;2012&lt;/Year&gt;&lt;RecNum&gt;920&lt;/RecNum&gt;&lt;DisplayText&gt;2012a&lt;/DisplayText&gt;&lt;record&gt;&lt;rec-number&gt;920&lt;/rec-number&gt;&lt;foreign-keys&gt;&lt;key app="EN" db-id="wvvszzd93a0z5wesdfpvdv9z5wrra5p05axp"&gt;920&lt;/key&gt;&lt;/foreign-keys&gt;&lt;ref-type name="Report"&gt;27&lt;/ref-type&gt;&lt;contributors&gt;&lt;authors&gt;&lt;author&gt;Commissione europea,&lt;/author&gt;&lt;/authors&gt;&lt;/contributors&gt;&lt;titles&gt;&lt;title&gt;Europeans and their languages&lt;/title&gt;&lt;secondary-title&gt;Speciale Eurobarometero 386&lt;/secondary-title&gt;&lt;/titles&gt;&lt;keywords&gt;&lt;keyword&gt;changement structurel politique ©*conomique Union europ©*enne&lt;/keyword&gt;&lt;/keywords&gt;&lt;dates&gt;&lt;year&gt;2012&lt;/year&gt;&lt;/dates&gt;&lt;pub-location&gt;Bruxelles&lt;/pub-location&gt;&lt;publisher&gt;Commissione europea&lt;/publisher&gt;&lt;accession-num&gt;vtls002563308&lt;/accession-num&gt;&lt;urls&gt;&lt;/urls&gt;&lt;/record&gt;&lt;/Cite&gt;&lt;/EndNote&gt;</w:instrText>
        </w:r>
        <w:r w:rsidR="00101624" w:rsidRPr="006F07C8">
          <w:rPr>
            <w:rFonts w:ascii="Times New Roman" w:hAnsi="Times New Roman" w:cs="Times New Roman"/>
            <w:noProof/>
            <w:sz w:val="24"/>
            <w:szCs w:val="24"/>
            <w:lang w:val="it-IT"/>
          </w:rPr>
          <w:fldChar w:fldCharType="separate"/>
        </w:r>
        <w:r w:rsidR="00101624" w:rsidRPr="006F07C8">
          <w:rPr>
            <w:rFonts w:ascii="Times New Roman" w:hAnsi="Times New Roman" w:cs="Times New Roman"/>
            <w:noProof/>
            <w:sz w:val="24"/>
            <w:szCs w:val="24"/>
            <w:lang w:val="it-IT"/>
          </w:rPr>
          <w:t>2012a</w:t>
        </w:r>
        <w:r w:rsidR="00101624" w:rsidRPr="006F07C8">
          <w:rPr>
            <w:rFonts w:ascii="Times New Roman" w:hAnsi="Times New Roman" w:cs="Times New Roman"/>
            <w:noProof/>
            <w:sz w:val="24"/>
            <w:szCs w:val="24"/>
            <w:lang w:val="it-IT"/>
          </w:rPr>
          <w:fldChar w:fldCharType="end"/>
        </w:r>
      </w:hyperlink>
      <w:r w:rsidR="00053422" w:rsidRPr="006F07C8">
        <w:rPr>
          <w:rFonts w:ascii="Times New Roman" w:hAnsi="Times New Roman" w:cs="Times New Roman"/>
          <w:sz w:val="24"/>
          <w:szCs w:val="24"/>
          <w:lang w:val="it-IT"/>
        </w:rPr>
        <w:t>), e cioè che il livello medio di padronan</w:t>
      </w:r>
      <w:r w:rsidR="002235D0" w:rsidRPr="006F07C8">
        <w:rPr>
          <w:rFonts w:ascii="Times New Roman" w:hAnsi="Times New Roman" w:cs="Times New Roman"/>
          <w:sz w:val="24"/>
          <w:szCs w:val="24"/>
          <w:lang w:val="it-IT"/>
        </w:rPr>
        <w:t>za dell’inglese (ma anche di altre lingue)</w:t>
      </w:r>
      <w:r w:rsidR="00053422" w:rsidRPr="006F07C8">
        <w:rPr>
          <w:rFonts w:ascii="Times New Roman" w:hAnsi="Times New Roman" w:cs="Times New Roman"/>
          <w:sz w:val="24"/>
          <w:szCs w:val="24"/>
          <w:lang w:val="it-IT"/>
        </w:rPr>
        <w:t xml:space="preserve"> sembra essere </w:t>
      </w:r>
      <w:r w:rsidR="00164630" w:rsidRPr="006F07C8">
        <w:rPr>
          <w:rFonts w:ascii="Times New Roman" w:hAnsi="Times New Roman" w:cs="Times New Roman"/>
          <w:sz w:val="24"/>
          <w:szCs w:val="24"/>
          <w:lang w:val="it-IT"/>
        </w:rPr>
        <w:t xml:space="preserve">ancora </w:t>
      </w:r>
      <w:r w:rsidR="00053422" w:rsidRPr="006F07C8">
        <w:rPr>
          <w:rFonts w:ascii="Times New Roman" w:hAnsi="Times New Roman" w:cs="Times New Roman"/>
          <w:sz w:val="24"/>
          <w:szCs w:val="24"/>
          <w:lang w:val="it-IT"/>
        </w:rPr>
        <w:t xml:space="preserve">troppo basso per assicurare una partecipazione attiva e informata di tutti i cittadini europei </w:t>
      </w:r>
      <w:r w:rsidR="00164630" w:rsidRPr="006F07C8">
        <w:rPr>
          <w:rFonts w:ascii="Times New Roman" w:hAnsi="Times New Roman" w:cs="Times New Roman"/>
          <w:sz w:val="24"/>
          <w:szCs w:val="24"/>
          <w:lang w:val="it-IT"/>
        </w:rPr>
        <w:t xml:space="preserve">alla vita comunitaria </w:t>
      </w:r>
      <w:r w:rsidR="00053422" w:rsidRPr="006F07C8">
        <w:rPr>
          <w:rFonts w:ascii="Times New Roman" w:hAnsi="Times New Roman" w:cs="Times New Roman"/>
          <w:sz w:val="24"/>
          <w:szCs w:val="24"/>
          <w:lang w:val="it-IT"/>
        </w:rPr>
        <w:t>(</w:t>
      </w:r>
      <w:r w:rsidR="00164630" w:rsidRPr="006F07C8">
        <w:rPr>
          <w:rFonts w:ascii="Times New Roman" w:hAnsi="Times New Roman" w:cs="Times New Roman"/>
          <w:noProof/>
          <w:sz w:val="24"/>
          <w:szCs w:val="24"/>
          <w:lang w:val="it-IT"/>
        </w:rPr>
        <w:t>Backus</w:t>
      </w:r>
      <w:r w:rsidR="00164630" w:rsidRPr="006F07C8">
        <w:rPr>
          <w:rFonts w:ascii="Times New Roman" w:hAnsi="Times New Roman" w:cs="Times New Roman"/>
          <w:i/>
          <w:noProof/>
          <w:sz w:val="24"/>
          <w:szCs w:val="24"/>
          <w:lang w:val="it-IT"/>
        </w:rPr>
        <w:t xml:space="preserve"> et al.</w:t>
      </w:r>
      <w:r w:rsidR="00164630" w:rsidRPr="006F07C8">
        <w:rPr>
          <w:rFonts w:ascii="Times New Roman" w:hAnsi="Times New Roman" w:cs="Times New Roman"/>
          <w:noProof/>
          <w:sz w:val="24"/>
          <w:szCs w:val="24"/>
          <w:lang w:val="it-IT"/>
        </w:rPr>
        <w:t xml:space="preserve"> </w:t>
      </w:r>
      <w:hyperlink w:anchor="_ENREF_4" w:tooltip="Backus, 2013 #928" w:history="1">
        <w:r w:rsidR="00101624" w:rsidRPr="006F07C8">
          <w:rPr>
            <w:rFonts w:ascii="Times New Roman" w:hAnsi="Times New Roman" w:cs="Times New Roman"/>
            <w:sz w:val="24"/>
            <w:szCs w:val="24"/>
            <w:lang w:val="it-IT"/>
          </w:rPr>
          <w:fldChar w:fldCharType="begin"/>
        </w:r>
        <w:r w:rsidR="00101624" w:rsidRPr="006F07C8">
          <w:rPr>
            <w:rFonts w:ascii="Times New Roman" w:hAnsi="Times New Roman" w:cs="Times New Roman"/>
            <w:sz w:val="24"/>
            <w:szCs w:val="24"/>
            <w:lang w:val="it-IT"/>
          </w:rPr>
          <w:instrText xml:space="preserve"> ADDIN EN.CITE &lt;EndNote&gt;&lt;Cite ExcludeAuth="1"&gt;&lt;Author&gt;Backus&lt;/Author&gt;&lt;Year&gt;2013&lt;/Year&gt;&lt;RecNum&gt;928&lt;/RecNum&gt;&lt;DisplayText&gt;2013&lt;/DisplayText&gt;&lt;record&gt;&lt;rec-number&gt;928&lt;/rec-number&gt;&lt;foreign-keys&gt;&lt;key app="EN" db-id="wvvszzd93a0z5wesdfpvdv9z5wrra5p05axp"&gt;928&lt;/key&gt;&lt;/foreign-keys&gt;&lt;ref-type name="Journal Article"&gt;17&lt;/ref-type&gt;&lt;contributors&gt;&lt;authors&gt;&lt;author&gt;Backus, Ad&lt;/author&gt;&lt;author&gt;Gorter, Durk&lt;/author&gt;&lt;author&gt;Knapp, Karlfried&lt;/author&gt;&lt;author&gt;Schjerve-Rindler, Rosita&lt;/author&gt;&lt;author&gt;Swanenberg, Jos&lt;/author&gt;&lt;author&gt;ten Thije, Jan&lt;/author&gt;&lt;author&gt;Vetter, Eva&lt;/author&gt;&lt;/authors&gt;&lt;/contributors&gt;&lt;titles&gt;&lt;title&gt;Inclusive Multilingualism: Concept, modes and implications&lt;/title&gt;&lt;secondary-title&gt;European Journal of Applied Linguistics&lt;/secondary-title&gt;&lt;/titles&gt;&lt;periodical&gt;&lt;full-title&gt;European Journal of Applied Linguistics&lt;/full-title&gt;&lt;/periodical&gt;&lt;pages&gt;179–215&lt;/pages&gt;&lt;volume&gt;1&lt;/volume&gt;&lt;number&gt;2&lt;/number&gt;&lt;dates&gt;&lt;year&gt;2013&lt;/year&gt;&lt;/dates&gt;&lt;urls&gt;&lt;/urls&gt;&lt;/record&gt;&lt;/Cite&gt;&lt;/EndNote&gt;</w:instrText>
        </w:r>
        <w:r w:rsidR="00101624" w:rsidRPr="006F07C8">
          <w:rPr>
            <w:rFonts w:ascii="Times New Roman" w:hAnsi="Times New Roman" w:cs="Times New Roman"/>
            <w:sz w:val="24"/>
            <w:szCs w:val="24"/>
            <w:lang w:val="it-IT"/>
          </w:rPr>
          <w:fldChar w:fldCharType="separate"/>
        </w:r>
        <w:r w:rsidR="00101624" w:rsidRPr="006F07C8">
          <w:rPr>
            <w:rFonts w:ascii="Times New Roman" w:hAnsi="Times New Roman" w:cs="Times New Roman"/>
            <w:noProof/>
            <w:sz w:val="24"/>
            <w:szCs w:val="24"/>
            <w:lang w:val="it-IT"/>
          </w:rPr>
          <w:t>2013</w:t>
        </w:r>
        <w:r w:rsidR="00101624" w:rsidRPr="006F07C8">
          <w:rPr>
            <w:rFonts w:ascii="Times New Roman" w:hAnsi="Times New Roman" w:cs="Times New Roman"/>
            <w:sz w:val="24"/>
            <w:szCs w:val="24"/>
            <w:lang w:val="it-IT"/>
          </w:rPr>
          <w:fldChar w:fldCharType="end"/>
        </w:r>
      </w:hyperlink>
      <w:r w:rsidR="000E682B" w:rsidRPr="006F07C8">
        <w:rPr>
          <w:rFonts w:ascii="Times New Roman" w:hAnsi="Times New Roman" w:cs="Times New Roman"/>
          <w:sz w:val="24"/>
          <w:szCs w:val="24"/>
          <w:lang w:val="it-IT"/>
        </w:rPr>
        <w:t>,</w:t>
      </w:r>
      <w:r w:rsidR="000E682B" w:rsidRPr="006F07C8">
        <w:rPr>
          <w:rFonts w:ascii="Times New Roman" w:hAnsi="Times New Roman" w:cs="Times New Roman"/>
          <w:noProof/>
          <w:sz w:val="24"/>
          <w:szCs w:val="24"/>
          <w:lang w:val="it-IT"/>
        </w:rPr>
        <w:t xml:space="preserve"> Gazzola e Grin </w:t>
      </w:r>
      <w:hyperlink w:anchor="_ENREF_31" w:tooltip="Gazzola, 2013 #880" w:history="1">
        <w:r w:rsidR="00101624" w:rsidRPr="006F07C8">
          <w:rPr>
            <w:rFonts w:ascii="Times New Roman" w:hAnsi="Times New Roman" w:cs="Times New Roman"/>
            <w:noProof/>
            <w:sz w:val="24"/>
            <w:szCs w:val="24"/>
            <w:lang w:val="en-GB"/>
          </w:rPr>
          <w:fldChar w:fldCharType="begin"/>
        </w:r>
        <w:r w:rsidR="00101624" w:rsidRPr="006F07C8">
          <w:rPr>
            <w:rFonts w:ascii="Times New Roman" w:hAnsi="Times New Roman" w:cs="Times New Roman"/>
            <w:noProof/>
            <w:sz w:val="24"/>
            <w:szCs w:val="24"/>
            <w:lang w:val="it-IT"/>
          </w:rPr>
          <w:instrText xml:space="preserve"> ADDIN EN.CITE &lt;EndNote&gt;&lt;Cite ExcludeAuth="1"&gt;&lt;Author&gt;Gazzola&lt;/Author&gt;&lt;Year&gt;2013&lt;/Year&gt;&lt;RecNum&gt;880&lt;/RecNum&gt;&lt;DisplayText&gt;2013&lt;/DisplayText&gt;&lt;record&gt;&lt;rec-number&gt;880&lt;/rec-number&gt;&lt;foreign-keys&gt;&lt;key app="EN" db-id="wvvszzd93a0z5wesdfpvdv9z5wrra5p05axp"&gt;880&lt;/key&gt;&lt;/foreign-keys&gt;&lt;ref-type name="Journal Article"&gt;17&lt;/ref-type&gt;&lt;contributors&gt;&lt;authors&gt;&lt;author&gt;Gazzola, Michele&lt;/author&gt;&lt;author&gt;Grin, François&lt;/author&gt;&lt;/authors&gt;&lt;/contributors&gt;&lt;titles&gt;&lt;title&gt;Is ELF more effective and fair than translation? An evaluation of the EU’s multilingual regime&lt;/title&gt;&lt;secondary-title&gt;International Journal of Applied Linguistics&lt;/secondary-title&gt;&lt;/titles&gt;&lt;periodical&gt;&lt;full-title&gt;International Journal of Applied Linguistics&lt;/full-title&gt;&lt;/periodical&gt;&lt;pages&gt;93-107&lt;/pages&gt;&lt;volume&gt;23&lt;/volume&gt;&lt;number&gt;1&lt;/number&gt;&lt;dates&gt;&lt;year&gt;2013&lt;/year&gt;&lt;/dates&gt;&lt;urls&gt;&lt;/urls&gt;&lt;/record&gt;&lt;/Cite&gt;&lt;/EndNote&gt;</w:instrText>
        </w:r>
        <w:r w:rsidR="00101624" w:rsidRPr="006F07C8">
          <w:rPr>
            <w:rFonts w:ascii="Times New Roman" w:hAnsi="Times New Roman" w:cs="Times New Roman"/>
            <w:noProof/>
            <w:sz w:val="24"/>
            <w:szCs w:val="24"/>
            <w:lang w:val="en-GB"/>
          </w:rPr>
          <w:fldChar w:fldCharType="separate"/>
        </w:r>
        <w:r w:rsidR="00101624" w:rsidRPr="006F07C8">
          <w:rPr>
            <w:rFonts w:ascii="Times New Roman" w:hAnsi="Times New Roman" w:cs="Times New Roman"/>
            <w:noProof/>
            <w:sz w:val="24"/>
            <w:szCs w:val="24"/>
            <w:lang w:val="it-IT"/>
          </w:rPr>
          <w:t>2013</w:t>
        </w:r>
        <w:r w:rsidR="00101624" w:rsidRPr="006F07C8">
          <w:rPr>
            <w:rFonts w:ascii="Times New Roman" w:hAnsi="Times New Roman" w:cs="Times New Roman"/>
            <w:noProof/>
            <w:sz w:val="24"/>
            <w:szCs w:val="24"/>
            <w:lang w:val="it-IT"/>
          </w:rPr>
          <w:fldChar w:fldCharType="end"/>
        </w:r>
      </w:hyperlink>
      <w:r w:rsidR="00053422" w:rsidRPr="006F07C8">
        <w:rPr>
          <w:rFonts w:ascii="Times New Roman" w:hAnsi="Times New Roman" w:cs="Times New Roman"/>
          <w:noProof/>
          <w:sz w:val="24"/>
          <w:szCs w:val="24"/>
          <w:lang w:val="it-IT"/>
        </w:rPr>
        <w:t>).</w:t>
      </w:r>
      <w:r w:rsidR="00835ABB" w:rsidRPr="006F07C8">
        <w:rPr>
          <w:rFonts w:ascii="Times New Roman" w:hAnsi="Times New Roman" w:cs="Times New Roman"/>
          <w:noProof/>
          <w:sz w:val="24"/>
          <w:szCs w:val="24"/>
          <w:lang w:val="it-IT"/>
        </w:rPr>
        <w:t xml:space="preserve"> </w:t>
      </w:r>
      <w:r w:rsidR="00053422" w:rsidRPr="006F07C8">
        <w:rPr>
          <w:rFonts w:ascii="Times New Roman" w:hAnsi="Times New Roman" w:cs="Times New Roman"/>
          <w:noProof/>
          <w:sz w:val="24"/>
          <w:szCs w:val="24"/>
          <w:lang w:val="it-IT"/>
        </w:rPr>
        <w:t xml:space="preserve">In secondo luogo, </w:t>
      </w:r>
      <w:r w:rsidR="00C6071F" w:rsidRPr="006F07C8">
        <w:rPr>
          <w:rFonts w:ascii="Times New Roman" w:hAnsi="Times New Roman" w:cs="Times New Roman"/>
          <w:sz w:val="24"/>
          <w:szCs w:val="24"/>
          <w:lang w:val="it-IT"/>
        </w:rPr>
        <w:t xml:space="preserve">è lecito chiedersi </w:t>
      </w:r>
      <w:r w:rsidR="00A25E7F" w:rsidRPr="006F07C8">
        <w:rPr>
          <w:rFonts w:ascii="Times New Roman" w:hAnsi="Times New Roman" w:cs="Times New Roman"/>
          <w:sz w:val="24"/>
          <w:szCs w:val="24"/>
          <w:lang w:val="it-IT"/>
        </w:rPr>
        <w:t xml:space="preserve">se </w:t>
      </w:r>
      <w:r w:rsidR="00053422" w:rsidRPr="006F07C8">
        <w:rPr>
          <w:rFonts w:ascii="Times New Roman" w:hAnsi="Times New Roman" w:cs="Times New Roman"/>
          <w:sz w:val="24"/>
          <w:szCs w:val="24"/>
          <w:lang w:val="it-IT"/>
        </w:rPr>
        <w:t>l’apprendimento dell</w:t>
      </w:r>
      <w:r w:rsidR="00C6071F" w:rsidRPr="006F07C8">
        <w:rPr>
          <w:rFonts w:ascii="Times New Roman" w:hAnsi="Times New Roman" w:cs="Times New Roman"/>
          <w:sz w:val="24"/>
          <w:szCs w:val="24"/>
          <w:lang w:val="it-IT"/>
        </w:rPr>
        <w:t>e lingue straniere</w:t>
      </w:r>
      <w:r w:rsidR="00053422" w:rsidRPr="006F07C8">
        <w:rPr>
          <w:rFonts w:ascii="Times New Roman" w:hAnsi="Times New Roman" w:cs="Times New Roman"/>
          <w:sz w:val="24"/>
          <w:szCs w:val="24"/>
          <w:lang w:val="it-IT"/>
        </w:rPr>
        <w:t xml:space="preserve">, cosa di per sé arricchente, </w:t>
      </w:r>
      <w:r w:rsidR="00C6071F" w:rsidRPr="006F07C8">
        <w:rPr>
          <w:rFonts w:ascii="Times New Roman" w:hAnsi="Times New Roman" w:cs="Times New Roman"/>
          <w:sz w:val="24"/>
          <w:szCs w:val="24"/>
          <w:lang w:val="it-IT"/>
        </w:rPr>
        <w:t xml:space="preserve">possa essere legittimamente </w:t>
      </w:r>
      <w:r w:rsidR="00053422" w:rsidRPr="006F07C8">
        <w:rPr>
          <w:rFonts w:ascii="Times New Roman" w:hAnsi="Times New Roman" w:cs="Times New Roman"/>
          <w:sz w:val="24"/>
          <w:szCs w:val="24"/>
          <w:lang w:val="it-IT"/>
        </w:rPr>
        <w:t>usato come pretesto per togliere progressivamente la possibilità di utilizzare la propria lingua materna nei rapporti con la UE.</w:t>
      </w:r>
      <w:r w:rsidR="00CF2D78" w:rsidRPr="006F07C8">
        <w:rPr>
          <w:rStyle w:val="FootnoteReference"/>
          <w:rFonts w:ascii="Times New Roman" w:hAnsi="Times New Roman" w:cs="Times New Roman"/>
          <w:sz w:val="24"/>
          <w:szCs w:val="24"/>
          <w:lang w:val="it-IT"/>
        </w:rPr>
        <w:footnoteReference w:id="34"/>
      </w:r>
      <w:r w:rsidR="00C6071F" w:rsidRPr="006F07C8">
        <w:rPr>
          <w:rFonts w:ascii="Times New Roman" w:hAnsi="Times New Roman" w:cs="Times New Roman"/>
          <w:sz w:val="24"/>
          <w:szCs w:val="24"/>
          <w:lang w:val="it-IT"/>
        </w:rPr>
        <w:t xml:space="preserve"> </w:t>
      </w:r>
      <w:r w:rsidR="00A25E7F" w:rsidRPr="006F07C8">
        <w:rPr>
          <w:rFonts w:ascii="Times New Roman" w:hAnsi="Times New Roman" w:cs="Times New Roman"/>
          <w:sz w:val="24"/>
          <w:szCs w:val="24"/>
          <w:lang w:val="it-IT"/>
        </w:rPr>
        <w:t>Una tale politi</w:t>
      </w:r>
      <w:r w:rsidR="00EF6926" w:rsidRPr="006F07C8">
        <w:rPr>
          <w:rFonts w:ascii="Times New Roman" w:hAnsi="Times New Roman" w:cs="Times New Roman"/>
          <w:sz w:val="24"/>
          <w:szCs w:val="24"/>
          <w:lang w:val="it-IT"/>
        </w:rPr>
        <w:t xml:space="preserve">ca linguistica, è stato fatto osservare, </w:t>
      </w:r>
      <w:r w:rsidR="00A25E7F" w:rsidRPr="006F07C8">
        <w:rPr>
          <w:rFonts w:ascii="Times New Roman" w:hAnsi="Times New Roman" w:cs="Times New Roman"/>
          <w:sz w:val="24"/>
          <w:szCs w:val="24"/>
          <w:lang w:val="it-IT"/>
        </w:rPr>
        <w:t xml:space="preserve">potrebbe </w:t>
      </w:r>
      <w:r w:rsidR="00EF6926" w:rsidRPr="006F07C8">
        <w:rPr>
          <w:rFonts w:ascii="Times New Roman" w:hAnsi="Times New Roman" w:cs="Times New Roman"/>
          <w:sz w:val="24"/>
          <w:szCs w:val="24"/>
          <w:lang w:val="it-IT"/>
        </w:rPr>
        <w:t xml:space="preserve">al contrario </w:t>
      </w:r>
      <w:r w:rsidR="00A25E7F" w:rsidRPr="006F07C8">
        <w:rPr>
          <w:rFonts w:ascii="Times New Roman" w:hAnsi="Times New Roman" w:cs="Times New Roman"/>
          <w:sz w:val="24"/>
          <w:szCs w:val="24"/>
          <w:lang w:val="it-IT"/>
        </w:rPr>
        <w:t xml:space="preserve">esacerbare le divisioni esistenti </w:t>
      </w:r>
      <w:r w:rsidR="00DC4FF3" w:rsidRPr="006F07C8">
        <w:rPr>
          <w:rFonts w:ascii="Times New Roman" w:hAnsi="Times New Roman" w:cs="Times New Roman"/>
          <w:sz w:val="24"/>
          <w:szCs w:val="24"/>
          <w:lang w:val="it-IT"/>
        </w:rPr>
        <w:t xml:space="preserve">fra stati </w:t>
      </w:r>
      <w:r w:rsidR="005C4B12" w:rsidRPr="006F07C8">
        <w:rPr>
          <w:rFonts w:ascii="Times New Roman" w:hAnsi="Times New Roman" w:cs="Times New Roman"/>
          <w:sz w:val="24"/>
          <w:szCs w:val="24"/>
          <w:lang w:val="it-IT"/>
        </w:rPr>
        <w:t>da un lato</w:t>
      </w:r>
      <w:r w:rsidR="00807445" w:rsidRPr="006F07C8">
        <w:rPr>
          <w:rFonts w:ascii="Times New Roman" w:hAnsi="Times New Roman" w:cs="Times New Roman"/>
          <w:sz w:val="24"/>
          <w:szCs w:val="24"/>
          <w:lang w:val="it-IT"/>
        </w:rPr>
        <w:t>,</w:t>
      </w:r>
      <w:r w:rsidR="005C4B12" w:rsidRPr="006F07C8">
        <w:rPr>
          <w:rFonts w:ascii="Times New Roman" w:hAnsi="Times New Roman" w:cs="Times New Roman"/>
          <w:sz w:val="24"/>
          <w:szCs w:val="24"/>
          <w:lang w:val="it-IT"/>
        </w:rPr>
        <w:t xml:space="preserve"> </w:t>
      </w:r>
      <w:r w:rsidR="00DC4FF3" w:rsidRPr="006F07C8">
        <w:rPr>
          <w:rFonts w:ascii="Times New Roman" w:hAnsi="Times New Roman" w:cs="Times New Roman"/>
          <w:sz w:val="24"/>
          <w:szCs w:val="24"/>
          <w:lang w:val="it-IT"/>
        </w:rPr>
        <w:t xml:space="preserve">e fra élites e </w:t>
      </w:r>
      <w:r w:rsidR="00807445" w:rsidRPr="006F07C8">
        <w:rPr>
          <w:rFonts w:ascii="Times New Roman" w:hAnsi="Times New Roman" w:cs="Times New Roman"/>
          <w:sz w:val="24"/>
          <w:szCs w:val="24"/>
          <w:lang w:val="it-IT"/>
        </w:rPr>
        <w:t>popolazione</w:t>
      </w:r>
      <w:r w:rsidR="005C4B12" w:rsidRPr="006F07C8">
        <w:rPr>
          <w:rFonts w:ascii="Times New Roman" w:hAnsi="Times New Roman" w:cs="Times New Roman"/>
          <w:sz w:val="24"/>
          <w:szCs w:val="24"/>
          <w:lang w:val="it-IT"/>
        </w:rPr>
        <w:t xml:space="preserve"> dall’altro</w:t>
      </w:r>
      <w:r w:rsidR="00DC4FF3" w:rsidRPr="006F07C8">
        <w:rPr>
          <w:rFonts w:ascii="Times New Roman" w:hAnsi="Times New Roman" w:cs="Times New Roman"/>
          <w:sz w:val="24"/>
          <w:szCs w:val="24"/>
          <w:lang w:val="it-IT"/>
        </w:rPr>
        <w:t xml:space="preserve">, </w:t>
      </w:r>
      <w:r w:rsidR="00F261F4" w:rsidRPr="006F07C8">
        <w:rPr>
          <w:rFonts w:ascii="Times New Roman" w:hAnsi="Times New Roman" w:cs="Times New Roman"/>
          <w:sz w:val="24"/>
          <w:szCs w:val="24"/>
          <w:lang w:val="it-IT"/>
        </w:rPr>
        <w:t>alimentando</w:t>
      </w:r>
      <w:r w:rsidR="00A25E7F" w:rsidRPr="006F07C8">
        <w:rPr>
          <w:rFonts w:ascii="Times New Roman" w:hAnsi="Times New Roman" w:cs="Times New Roman"/>
          <w:sz w:val="24"/>
          <w:szCs w:val="24"/>
          <w:lang w:val="it-IT"/>
        </w:rPr>
        <w:t xml:space="preserve"> </w:t>
      </w:r>
      <w:r w:rsidR="00DC4FF3" w:rsidRPr="006F07C8">
        <w:rPr>
          <w:rFonts w:ascii="Times New Roman" w:hAnsi="Times New Roman" w:cs="Times New Roman"/>
          <w:sz w:val="24"/>
          <w:szCs w:val="24"/>
          <w:lang w:val="it-IT"/>
        </w:rPr>
        <w:t xml:space="preserve">in tal modo varie </w:t>
      </w:r>
      <w:r w:rsidR="00EF6926" w:rsidRPr="006F07C8">
        <w:rPr>
          <w:rFonts w:ascii="Times New Roman" w:hAnsi="Times New Roman" w:cs="Times New Roman"/>
          <w:sz w:val="24"/>
          <w:szCs w:val="24"/>
          <w:lang w:val="it-IT"/>
        </w:rPr>
        <w:t xml:space="preserve">spinte centrifughe e </w:t>
      </w:r>
      <w:r w:rsidR="00A25E7F" w:rsidRPr="006F07C8">
        <w:rPr>
          <w:rFonts w:ascii="Times New Roman" w:hAnsi="Times New Roman" w:cs="Times New Roman"/>
          <w:sz w:val="24"/>
          <w:szCs w:val="24"/>
          <w:lang w:val="it-IT"/>
        </w:rPr>
        <w:t xml:space="preserve">movimenti politici contrari all’integrazione europea invece di promuovere l’emergere di un sentimento </w:t>
      </w:r>
      <w:r w:rsidR="00273177" w:rsidRPr="006F07C8">
        <w:rPr>
          <w:rFonts w:ascii="Times New Roman" w:hAnsi="Times New Roman" w:cs="Times New Roman"/>
          <w:sz w:val="24"/>
          <w:szCs w:val="24"/>
          <w:lang w:val="it-IT"/>
        </w:rPr>
        <w:t xml:space="preserve">di </w:t>
      </w:r>
      <w:r w:rsidR="002235D0" w:rsidRPr="006F07C8">
        <w:rPr>
          <w:rFonts w:ascii="Times New Roman" w:hAnsi="Times New Roman" w:cs="Times New Roman"/>
          <w:sz w:val="24"/>
          <w:szCs w:val="24"/>
          <w:lang w:val="it-IT"/>
        </w:rPr>
        <w:t>solidarietà</w:t>
      </w:r>
      <w:r w:rsidR="00273177" w:rsidRPr="006F07C8">
        <w:rPr>
          <w:rFonts w:ascii="Times New Roman" w:hAnsi="Times New Roman" w:cs="Times New Roman"/>
          <w:sz w:val="24"/>
          <w:szCs w:val="24"/>
          <w:lang w:val="it-IT"/>
        </w:rPr>
        <w:t xml:space="preserve"> continentale</w:t>
      </w:r>
      <w:r w:rsidR="00A25E7F" w:rsidRPr="006F07C8">
        <w:rPr>
          <w:rFonts w:ascii="Times New Roman" w:hAnsi="Times New Roman" w:cs="Times New Roman"/>
          <w:sz w:val="24"/>
          <w:szCs w:val="24"/>
          <w:lang w:val="it-IT"/>
        </w:rPr>
        <w:t>.</w:t>
      </w:r>
      <w:r w:rsidR="005C4B12" w:rsidRPr="006F07C8">
        <w:rPr>
          <w:rFonts w:ascii="Times New Roman" w:hAnsi="Times New Roman" w:cs="Times New Roman"/>
          <w:sz w:val="24"/>
          <w:szCs w:val="24"/>
          <w:lang w:val="it-IT"/>
        </w:rPr>
        <w:t xml:space="preserve"> Non è </w:t>
      </w:r>
      <w:r w:rsidR="007A6C14" w:rsidRPr="006F07C8">
        <w:rPr>
          <w:rFonts w:ascii="Times New Roman" w:hAnsi="Times New Roman" w:cs="Times New Roman"/>
          <w:sz w:val="24"/>
          <w:szCs w:val="24"/>
          <w:lang w:val="it-IT"/>
        </w:rPr>
        <w:t xml:space="preserve">quindi </w:t>
      </w:r>
      <w:r w:rsidR="005C4B12" w:rsidRPr="006F07C8">
        <w:rPr>
          <w:rFonts w:ascii="Times New Roman" w:hAnsi="Times New Roman" w:cs="Times New Roman"/>
          <w:sz w:val="24"/>
          <w:szCs w:val="24"/>
          <w:lang w:val="it-IT"/>
        </w:rPr>
        <w:t>chiaro quindi fino a che punto una politica linguistica restrittiva permetterebbe di rendere l’Europa più coesa</w:t>
      </w:r>
      <w:r w:rsidR="007A6C14" w:rsidRPr="006F07C8">
        <w:rPr>
          <w:rFonts w:ascii="Times New Roman" w:hAnsi="Times New Roman" w:cs="Times New Roman"/>
          <w:sz w:val="24"/>
          <w:szCs w:val="24"/>
          <w:lang w:val="it-IT"/>
        </w:rPr>
        <w:t xml:space="preserve"> (</w:t>
      </w:r>
      <w:r w:rsidR="00807445" w:rsidRPr="006F07C8">
        <w:rPr>
          <w:rFonts w:ascii="Times New Roman" w:hAnsi="Times New Roman" w:cs="Times New Roman"/>
          <w:sz w:val="24"/>
          <w:szCs w:val="24"/>
          <w:lang w:val="it-IT"/>
        </w:rPr>
        <w:t xml:space="preserve">si veda anche </w:t>
      </w:r>
      <w:r w:rsidR="007A6C14" w:rsidRPr="006F07C8">
        <w:rPr>
          <w:rFonts w:ascii="Times New Roman" w:hAnsi="Times New Roman" w:cs="Times New Roman"/>
          <w:sz w:val="24"/>
          <w:szCs w:val="24"/>
          <w:lang w:val="it-IT"/>
        </w:rPr>
        <w:t xml:space="preserve">Barbier </w:t>
      </w:r>
      <w:hyperlink w:anchor="_ENREF_5" w:tooltip="Barbier, 2012 #930" w:history="1">
        <w:r w:rsidR="00101624" w:rsidRPr="006F07C8">
          <w:rPr>
            <w:rFonts w:ascii="Times New Roman" w:hAnsi="Times New Roman" w:cs="Times New Roman"/>
            <w:sz w:val="24"/>
            <w:szCs w:val="24"/>
            <w:lang w:val="it-IT"/>
          </w:rPr>
          <w:fldChar w:fldCharType="begin"/>
        </w:r>
        <w:r w:rsidR="00101624" w:rsidRPr="006F07C8">
          <w:rPr>
            <w:rFonts w:ascii="Times New Roman" w:hAnsi="Times New Roman" w:cs="Times New Roman"/>
            <w:sz w:val="24"/>
            <w:szCs w:val="24"/>
            <w:lang w:val="it-IT"/>
          </w:rPr>
          <w:instrText xml:space="preserve"> ADDIN EN.CITE &lt;EndNote&gt;&lt;Cite ExcludeAuth="1"&gt;&lt;Author&gt;Barbier&lt;/Author&gt;&lt;Year&gt;2012&lt;/Year&gt;&lt;RecNum&gt;930&lt;/RecNum&gt;&lt;DisplayText&gt;2012a&lt;/DisplayText&gt;&lt;record&gt;&lt;rec-number&gt;930&lt;/rec-number&gt;&lt;foreign-keys&gt;&lt;key app="EN" db-id="wvvszzd93a0z5wesdfpvdv9z5wrra5p05axp"&gt;930&lt;/key&gt;&lt;/foreign-keys&gt;&lt;ref-type name="Journal Article"&gt;17&lt;/ref-type&gt;&lt;contributors&gt;&lt;authors&gt;&lt;author&gt;Barbier, Jean-Claude&lt;/author&gt;&lt;/authors&gt;&lt;/contributors&gt;&lt;titles&gt;&lt;title&gt;Languages, political culture and solidarity in Europe&lt;/title&gt;&lt;secondary-title&gt;RECODE Working Paper Series&lt;/secondary-title&gt;&lt;/titles&gt;&lt;periodical&gt;&lt;full-title&gt;RECODE Working Paper Series&lt;/full-title&gt;&lt;/periodical&gt;&lt;pages&gt;1-15&lt;/pages&gt;&lt;volume&gt;1&lt;/volume&gt;&lt;dates&gt;&lt;year&gt;2012&lt;/year&gt;&lt;/dates&gt;&lt;urls&gt;&lt;/urls&gt;&lt;/record&gt;&lt;/Cite&gt;&lt;/EndNote&gt;</w:instrText>
        </w:r>
        <w:r w:rsidR="00101624" w:rsidRPr="006F07C8">
          <w:rPr>
            <w:rFonts w:ascii="Times New Roman" w:hAnsi="Times New Roman" w:cs="Times New Roman"/>
            <w:sz w:val="24"/>
            <w:szCs w:val="24"/>
            <w:lang w:val="it-IT"/>
          </w:rPr>
          <w:fldChar w:fldCharType="separate"/>
        </w:r>
        <w:r w:rsidR="00101624" w:rsidRPr="006F07C8">
          <w:rPr>
            <w:rFonts w:ascii="Times New Roman" w:hAnsi="Times New Roman" w:cs="Times New Roman"/>
            <w:sz w:val="24"/>
            <w:szCs w:val="24"/>
            <w:lang w:val="it-IT"/>
          </w:rPr>
          <w:t>2012a</w:t>
        </w:r>
        <w:r w:rsidR="00101624" w:rsidRPr="006F07C8">
          <w:rPr>
            <w:rFonts w:ascii="Times New Roman" w:hAnsi="Times New Roman" w:cs="Times New Roman"/>
            <w:sz w:val="24"/>
            <w:szCs w:val="24"/>
            <w:lang w:val="it-IT"/>
          </w:rPr>
          <w:fldChar w:fldCharType="end"/>
        </w:r>
      </w:hyperlink>
      <w:r w:rsidR="00807445" w:rsidRPr="006F07C8">
        <w:rPr>
          <w:rFonts w:ascii="Times New Roman" w:hAnsi="Times New Roman" w:cs="Times New Roman"/>
          <w:sz w:val="24"/>
          <w:szCs w:val="24"/>
          <w:lang w:val="it-IT"/>
        </w:rPr>
        <w:t xml:space="preserve"> e</w:t>
      </w:r>
      <w:r w:rsidR="007A6C14" w:rsidRPr="006F07C8">
        <w:rPr>
          <w:rFonts w:ascii="Times New Roman" w:hAnsi="Times New Roman" w:cs="Times New Roman"/>
          <w:sz w:val="24"/>
          <w:szCs w:val="24"/>
          <w:lang w:val="it-IT"/>
        </w:rPr>
        <w:t xml:space="preserve"> Kraus </w:t>
      </w:r>
      <w:hyperlink w:anchor="_ENREF_53" w:tooltip="Kraus, 2008 #797" w:history="1">
        <w:r w:rsidR="00101624" w:rsidRPr="006F07C8">
          <w:rPr>
            <w:rFonts w:ascii="Times New Roman" w:hAnsi="Times New Roman" w:cs="Times New Roman"/>
            <w:sz w:val="24"/>
            <w:szCs w:val="24"/>
          </w:rPr>
          <w:fldChar w:fldCharType="begin"/>
        </w:r>
        <w:r w:rsidR="00101624" w:rsidRPr="006F07C8">
          <w:rPr>
            <w:rFonts w:ascii="Times New Roman" w:hAnsi="Times New Roman" w:cs="Times New Roman"/>
            <w:sz w:val="24"/>
            <w:szCs w:val="24"/>
            <w:lang w:val="it-IT"/>
          </w:rPr>
          <w:instrText xml:space="preserve"> ADDIN EN.CITE &lt;EndNote&gt;&lt;Cite ExcludeAuth="1"&gt;&lt;Author&gt;Kraus&lt;/Author&gt;&lt;Year&gt;2008&lt;/Year&gt;&lt;RecNum&gt;797&lt;/RecNum&gt;&lt;DisplayText&gt;2008&lt;/DisplayText&gt;&lt;record&gt;&lt;rec-number&gt;797&lt;/rec-number&gt;&lt;foreign-keys&gt;&lt;key app="EN" db-id="wvvszzd93a0z5wesdfpvdv9z5wrra5p05axp"&gt;797&lt;/key&gt;&lt;/foreign-keys&gt;&lt;ref-type name="Book"&gt;6&lt;/ref-type&gt;&lt;contributors&gt;&lt;authors&gt;&lt;author&gt;Kraus, Peter A.&lt;/author&gt;&lt;/authors&gt;&lt;/contributors&gt;&lt;titles&gt;&lt;title&gt;A Union of diversity: Language, identity and polity-building in Europe&lt;/title&gt;&lt;/titles&gt;&lt;dates&gt;&lt;year&gt;2008&lt;/year&gt;&lt;/dates&gt;&lt;publisher&gt;Cambridge University Press&lt;/publisher&gt;&lt;urls&gt;&lt;/urls&gt;&lt;/record&gt;&lt;/Cite&gt;&lt;/EndNote&gt;</w:instrText>
        </w:r>
        <w:r w:rsidR="00101624" w:rsidRPr="006F07C8">
          <w:rPr>
            <w:rFonts w:ascii="Times New Roman" w:hAnsi="Times New Roman" w:cs="Times New Roman"/>
            <w:sz w:val="24"/>
            <w:szCs w:val="24"/>
          </w:rPr>
          <w:fldChar w:fldCharType="separate"/>
        </w:r>
        <w:r w:rsidR="00101624" w:rsidRPr="006F07C8">
          <w:rPr>
            <w:rFonts w:ascii="Times New Roman" w:hAnsi="Times New Roman" w:cs="Times New Roman"/>
            <w:sz w:val="24"/>
            <w:szCs w:val="24"/>
            <w:lang w:val="it-IT"/>
          </w:rPr>
          <w:t>2008</w:t>
        </w:r>
        <w:r w:rsidR="00101624" w:rsidRPr="006F07C8">
          <w:rPr>
            <w:rFonts w:ascii="Times New Roman" w:hAnsi="Times New Roman" w:cs="Times New Roman"/>
            <w:sz w:val="24"/>
            <w:szCs w:val="24"/>
            <w:lang w:val="it-IT"/>
          </w:rPr>
          <w:fldChar w:fldCharType="end"/>
        </w:r>
      </w:hyperlink>
      <w:r w:rsidR="007A6C14" w:rsidRPr="006F07C8">
        <w:rPr>
          <w:rFonts w:ascii="Times New Roman" w:hAnsi="Times New Roman" w:cs="Times New Roman"/>
          <w:sz w:val="24"/>
          <w:szCs w:val="24"/>
          <w:lang w:val="it-IT"/>
        </w:rPr>
        <w:t>)</w:t>
      </w:r>
      <w:r w:rsidR="005C4B12" w:rsidRPr="006F07C8">
        <w:rPr>
          <w:rFonts w:ascii="Times New Roman" w:hAnsi="Times New Roman" w:cs="Times New Roman"/>
          <w:sz w:val="24"/>
          <w:szCs w:val="24"/>
          <w:lang w:val="it-IT"/>
        </w:rPr>
        <w:t>.</w:t>
      </w:r>
      <w:r w:rsidR="007A6C14" w:rsidRPr="006F07C8">
        <w:rPr>
          <w:rStyle w:val="FootnoteReference"/>
          <w:rFonts w:ascii="Times New Roman" w:hAnsi="Times New Roman" w:cs="Times New Roman"/>
          <w:sz w:val="24"/>
          <w:szCs w:val="24"/>
          <w:lang w:val="it-IT"/>
        </w:rPr>
        <w:footnoteReference w:id="35"/>
      </w:r>
      <w:r w:rsidR="007A6C14" w:rsidRPr="006F07C8">
        <w:rPr>
          <w:rFonts w:ascii="Times New Roman" w:hAnsi="Times New Roman" w:cs="Times New Roman"/>
          <w:sz w:val="24"/>
          <w:szCs w:val="24"/>
          <w:lang w:val="it-IT"/>
        </w:rPr>
        <w:t xml:space="preserve"> </w:t>
      </w:r>
      <w:r w:rsidR="005C4B12" w:rsidRPr="006F07C8">
        <w:rPr>
          <w:rFonts w:ascii="Times New Roman" w:hAnsi="Times New Roman" w:cs="Times New Roman"/>
          <w:sz w:val="24"/>
          <w:szCs w:val="24"/>
          <w:lang w:val="it-IT"/>
        </w:rPr>
        <w:t xml:space="preserve">Vi sono invece </w:t>
      </w:r>
      <w:r w:rsidR="007A6C14" w:rsidRPr="006F07C8">
        <w:rPr>
          <w:rFonts w:ascii="Times New Roman" w:hAnsi="Times New Roman" w:cs="Times New Roman"/>
          <w:sz w:val="24"/>
          <w:szCs w:val="24"/>
          <w:lang w:val="it-IT"/>
        </w:rPr>
        <w:t>indizi</w:t>
      </w:r>
      <w:r w:rsidR="005C4B12" w:rsidRPr="006F07C8">
        <w:rPr>
          <w:rFonts w:ascii="Times New Roman" w:hAnsi="Times New Roman" w:cs="Times New Roman"/>
          <w:sz w:val="24"/>
          <w:szCs w:val="24"/>
          <w:lang w:val="it-IT"/>
        </w:rPr>
        <w:t xml:space="preserve"> che potrebbe essere vero l’opposto. P</w:t>
      </w:r>
      <w:r w:rsidR="005C4B12" w:rsidRPr="006F07C8">
        <w:rPr>
          <w:rFonts w:ascii="Times New Roman" w:hAnsi="Times New Roman" w:cs="Times New Roman"/>
          <w:bCs/>
          <w:sz w:val="24"/>
          <w:szCs w:val="24"/>
          <w:lang w:val="it-IT"/>
        </w:rPr>
        <w:t xml:space="preserve">arafrasando </w:t>
      </w:r>
      <w:r w:rsidR="005C4B12" w:rsidRPr="006F07C8">
        <w:rPr>
          <w:rFonts w:ascii="Times New Roman" w:hAnsi="Times New Roman" w:cs="Times New Roman"/>
          <w:sz w:val="24"/>
          <w:szCs w:val="24"/>
          <w:lang w:val="it-IT"/>
        </w:rPr>
        <w:t xml:space="preserve">Gramsci, si potrebbe sostenere che ottenere una maggiore coesione europea tramite un abbandono del multilinguismo equivarrebbe a </w:t>
      </w:r>
      <w:r w:rsidR="00DC52E9" w:rsidRPr="006F07C8">
        <w:rPr>
          <w:rFonts w:ascii="Times New Roman" w:hAnsi="Times New Roman" w:cs="Times New Roman"/>
          <w:sz w:val="24"/>
          <w:szCs w:val="24"/>
          <w:lang w:val="it-IT"/>
        </w:rPr>
        <w:t xml:space="preserve">suscitare </w:t>
      </w:r>
      <w:r w:rsidR="00807445" w:rsidRPr="006F07C8">
        <w:rPr>
          <w:rFonts w:ascii="Times New Roman" w:hAnsi="Times New Roman" w:cs="Times New Roman"/>
          <w:sz w:val="24"/>
          <w:szCs w:val="24"/>
          <w:lang w:val="it-IT"/>
        </w:rPr>
        <w:t>arbitrariamente</w:t>
      </w:r>
      <w:r w:rsidR="00DC52E9" w:rsidRPr="006F07C8">
        <w:rPr>
          <w:rFonts w:ascii="Times New Roman" w:hAnsi="Times New Roman" w:cs="Times New Roman"/>
          <w:sz w:val="24"/>
          <w:szCs w:val="24"/>
          <w:lang w:val="it-IT"/>
        </w:rPr>
        <w:t xml:space="preserve"> </w:t>
      </w:r>
      <w:r w:rsidR="00807445" w:rsidRPr="006F07C8">
        <w:rPr>
          <w:rFonts w:ascii="Times New Roman" w:hAnsi="Times New Roman" w:cs="Times New Roman"/>
          <w:sz w:val="24"/>
          <w:szCs w:val="24"/>
          <w:lang w:val="it-IT"/>
        </w:rPr>
        <w:t>“</w:t>
      </w:r>
      <w:r w:rsidR="005C4B12" w:rsidRPr="006F07C8">
        <w:rPr>
          <w:rFonts w:ascii="Times New Roman" w:hAnsi="Times New Roman" w:cs="Times New Roman"/>
          <w:sz w:val="24"/>
          <w:szCs w:val="24"/>
          <w:lang w:val="it-IT"/>
        </w:rPr>
        <w:t xml:space="preserve">delle conseguenze che non hanno ancora le necessarie condizioni” (Gramsci </w:t>
      </w:r>
      <w:hyperlink w:anchor="_ENREF_35" w:tooltip="Gramsci, 1993 #927" w:history="1">
        <w:r w:rsidR="00101624" w:rsidRPr="006F07C8">
          <w:rPr>
            <w:rFonts w:ascii="Times New Roman" w:hAnsi="Times New Roman" w:cs="Times New Roman"/>
            <w:sz w:val="24"/>
            <w:szCs w:val="24"/>
            <w:lang w:val="it-IT"/>
          </w:rPr>
          <w:fldChar w:fldCharType="begin"/>
        </w:r>
        <w:r w:rsidR="00101624" w:rsidRPr="006F07C8">
          <w:rPr>
            <w:rFonts w:ascii="Times New Roman" w:hAnsi="Times New Roman" w:cs="Times New Roman"/>
            <w:sz w:val="24"/>
            <w:szCs w:val="24"/>
            <w:lang w:val="it-IT"/>
          </w:rPr>
          <w:instrText xml:space="preserve"> ADDIN EN.CITE &lt;EndNote&gt;&lt;Cite ExcludeAuth="1"&gt;&lt;Author&gt;Gramsci&lt;/Author&gt;&lt;Year&gt;1993&lt;/Year&gt;&lt;RecNum&gt;927&lt;/RecNum&gt;&lt;DisplayText&gt;1993&lt;/DisplayText&gt;&lt;record&gt;&lt;rec-number&gt;927&lt;/rec-number&gt;&lt;foreign-keys&gt;&lt;key app="EN" db-id="wvvszzd93a0z5wesdfpvdv9z5wrra5p05axp"&gt;927&lt;/key&gt;&lt;/foreign-keys&gt;&lt;ref-type name="Book"&gt;6&lt;/ref-type&gt;&lt;contributors&gt;&lt;authors&gt;&lt;author&gt;Gramsci, Antonio&lt;/author&gt;&lt;/authors&gt;&lt;/contributors&gt;&lt;titles&gt;&lt;title&gt;Gramatica e linguistica&lt;/title&gt;&lt;/titles&gt;&lt;dates&gt;&lt;year&gt;1993&lt;/year&gt;&lt;/dates&gt;&lt;pub-location&gt;Roma&lt;/pub-location&gt;&lt;publisher&gt;Editori Riuniti&lt;/publisher&gt;&lt;urls&gt;&lt;/urls&gt;&lt;/record&gt;&lt;/Cite&gt;&lt;/EndNote&gt;</w:instrText>
        </w:r>
        <w:r w:rsidR="00101624" w:rsidRPr="006F07C8">
          <w:rPr>
            <w:rFonts w:ascii="Times New Roman" w:hAnsi="Times New Roman" w:cs="Times New Roman"/>
            <w:sz w:val="24"/>
            <w:szCs w:val="24"/>
            <w:lang w:val="it-IT"/>
          </w:rPr>
          <w:fldChar w:fldCharType="separate"/>
        </w:r>
        <w:r w:rsidR="00101624" w:rsidRPr="006F07C8">
          <w:rPr>
            <w:rFonts w:ascii="Times New Roman" w:hAnsi="Times New Roman" w:cs="Times New Roman"/>
            <w:noProof/>
            <w:sz w:val="24"/>
            <w:szCs w:val="24"/>
            <w:lang w:val="it-IT"/>
          </w:rPr>
          <w:t>1993</w:t>
        </w:r>
        <w:r w:rsidR="00101624" w:rsidRPr="006F07C8">
          <w:rPr>
            <w:rFonts w:ascii="Times New Roman" w:hAnsi="Times New Roman" w:cs="Times New Roman"/>
            <w:sz w:val="24"/>
            <w:szCs w:val="24"/>
            <w:lang w:val="it-IT"/>
          </w:rPr>
          <w:fldChar w:fldCharType="end"/>
        </w:r>
      </w:hyperlink>
      <w:r w:rsidR="005C4B12" w:rsidRPr="006F07C8">
        <w:rPr>
          <w:rFonts w:ascii="Times New Roman" w:hAnsi="Times New Roman" w:cs="Times New Roman"/>
          <w:sz w:val="24"/>
          <w:szCs w:val="24"/>
          <w:lang w:val="it-IT"/>
        </w:rPr>
        <w:t xml:space="preserve"> [1918]: 48).</w:t>
      </w:r>
    </w:p>
    <w:p w:rsidR="00764C56" w:rsidRPr="006F07C8" w:rsidRDefault="00764C56" w:rsidP="002F52A9">
      <w:pPr>
        <w:spacing w:line="240" w:lineRule="auto"/>
        <w:jc w:val="both"/>
        <w:rPr>
          <w:rFonts w:ascii="Times New Roman" w:hAnsi="Times New Roman" w:cs="Times New Roman"/>
          <w:sz w:val="24"/>
          <w:szCs w:val="24"/>
          <w:lang w:val="it-IT"/>
        </w:rPr>
      </w:pPr>
      <w:r w:rsidRPr="006F07C8">
        <w:rPr>
          <w:rFonts w:ascii="Times New Roman" w:hAnsi="Times New Roman" w:cs="Times New Roman"/>
          <w:sz w:val="24"/>
          <w:szCs w:val="24"/>
          <w:lang w:val="it-IT"/>
        </w:rPr>
        <w:t>L’industria delle lingue in Europa, di cui la traduzione e l’interpretariato fanno parte, svolgerà presumibilmente ancora un ruolo importante nella costruzione europea nel pros</w:t>
      </w:r>
      <w:r w:rsidR="007F05B3" w:rsidRPr="006F07C8">
        <w:rPr>
          <w:rFonts w:ascii="Times New Roman" w:hAnsi="Times New Roman" w:cs="Times New Roman"/>
          <w:sz w:val="24"/>
          <w:szCs w:val="24"/>
          <w:lang w:val="it-IT"/>
        </w:rPr>
        <w:t>simo futuro contribuendo, almeno in parte, a mantenere un certo grado di multilinguismo dell’ambiente linguistico europeo.</w:t>
      </w:r>
    </w:p>
    <w:p w:rsidR="00B6360C" w:rsidRPr="006F07C8" w:rsidRDefault="00B6360C" w:rsidP="002F52A9">
      <w:pPr>
        <w:pStyle w:val="Heading2"/>
        <w:numPr>
          <w:ilvl w:val="0"/>
          <w:numId w:val="12"/>
        </w:numPr>
        <w:spacing w:line="240" w:lineRule="auto"/>
        <w:jc w:val="both"/>
        <w:rPr>
          <w:rFonts w:ascii="Times New Roman" w:hAnsi="Times New Roman" w:cs="Times New Roman"/>
          <w:lang w:val="it-IT"/>
        </w:rPr>
      </w:pPr>
      <w:bookmarkStart w:id="30" w:name="_Toc384652930"/>
      <w:r w:rsidRPr="006F07C8">
        <w:rPr>
          <w:rFonts w:ascii="Times New Roman" w:hAnsi="Times New Roman" w:cs="Times New Roman"/>
          <w:lang w:val="it-IT"/>
        </w:rPr>
        <w:t>Bibliografia</w:t>
      </w:r>
      <w:bookmarkEnd w:id="30"/>
    </w:p>
    <w:p w:rsidR="00A25115" w:rsidRPr="006F07C8" w:rsidRDefault="00A25115" w:rsidP="002F52A9">
      <w:pPr>
        <w:spacing w:line="240" w:lineRule="auto"/>
        <w:jc w:val="both"/>
        <w:rPr>
          <w:rFonts w:ascii="Times New Roman" w:hAnsi="Times New Roman" w:cs="Times New Roman"/>
          <w:sz w:val="20"/>
          <w:lang w:val="it-IT"/>
        </w:rPr>
      </w:pPr>
    </w:p>
    <w:bookmarkStart w:id="31" w:name="_ENREF_1"/>
    <w:p w:rsidR="004934E3" w:rsidRPr="006F07C8" w:rsidRDefault="004934E3" w:rsidP="002F52A9">
      <w:pPr>
        <w:spacing w:after="0" w:line="240" w:lineRule="auto"/>
        <w:ind w:left="720" w:hanging="720"/>
        <w:jc w:val="both"/>
        <w:rPr>
          <w:rFonts w:ascii="Times New Roman" w:hAnsi="Times New Roman" w:cs="Times New Roman"/>
          <w:noProof/>
          <w:sz w:val="24"/>
          <w:szCs w:val="24"/>
          <w:lang w:val="en-GB"/>
        </w:rPr>
      </w:pPr>
      <w:r w:rsidRPr="006F07C8">
        <w:rPr>
          <w:rFonts w:ascii="Times New Roman" w:hAnsi="Times New Roman" w:cs="Times New Roman"/>
          <w:sz w:val="24"/>
          <w:szCs w:val="24"/>
          <w:lang w:val="it-IT"/>
        </w:rPr>
        <w:fldChar w:fldCharType="begin"/>
      </w:r>
      <w:r w:rsidRPr="006F07C8">
        <w:rPr>
          <w:rFonts w:ascii="Times New Roman" w:hAnsi="Times New Roman" w:cs="Times New Roman"/>
          <w:sz w:val="24"/>
          <w:szCs w:val="24"/>
          <w:lang w:val="en-GB"/>
        </w:rPr>
        <w:instrText xml:space="preserve"> ADDIN EN.REFLIST </w:instrText>
      </w:r>
      <w:r w:rsidRPr="006F07C8">
        <w:rPr>
          <w:rFonts w:ascii="Times New Roman" w:hAnsi="Times New Roman" w:cs="Times New Roman"/>
          <w:sz w:val="24"/>
          <w:szCs w:val="24"/>
          <w:lang w:val="it-IT"/>
        </w:rPr>
        <w:fldChar w:fldCharType="separate"/>
      </w:r>
      <w:r w:rsidRPr="006F07C8">
        <w:rPr>
          <w:rFonts w:ascii="Times New Roman" w:hAnsi="Times New Roman" w:cs="Times New Roman"/>
          <w:noProof/>
          <w:sz w:val="24"/>
          <w:szCs w:val="24"/>
          <w:lang w:val="en-GB"/>
        </w:rPr>
        <w:t xml:space="preserve">Ammon, Ulrich. 2006. "Language conflicts in the European Union. On finding a politically acceptable and practicable solution for EU institutions that satisfies diverging interests", </w:t>
      </w:r>
      <w:r w:rsidRPr="006F07C8">
        <w:rPr>
          <w:rFonts w:ascii="Times New Roman" w:hAnsi="Times New Roman" w:cs="Times New Roman"/>
          <w:i/>
          <w:noProof/>
          <w:sz w:val="24"/>
          <w:szCs w:val="24"/>
          <w:lang w:val="en-GB"/>
        </w:rPr>
        <w:t>International Journal of Applied Linguistics,</w:t>
      </w:r>
      <w:r w:rsidRPr="006F07C8">
        <w:rPr>
          <w:rFonts w:ascii="Times New Roman" w:hAnsi="Times New Roman" w:cs="Times New Roman"/>
          <w:noProof/>
          <w:sz w:val="24"/>
          <w:szCs w:val="24"/>
          <w:lang w:val="en-GB"/>
        </w:rPr>
        <w:t xml:space="preserve"> 16, pp. 319-338.</w:t>
      </w:r>
    </w:p>
    <w:p w:rsidR="004934E3" w:rsidRPr="006F07C8" w:rsidRDefault="004934E3" w:rsidP="002F52A9">
      <w:pPr>
        <w:spacing w:after="0" w:line="240" w:lineRule="auto"/>
        <w:ind w:left="720" w:hanging="720"/>
        <w:jc w:val="both"/>
        <w:rPr>
          <w:rFonts w:ascii="Times New Roman" w:hAnsi="Times New Roman" w:cs="Times New Roman"/>
          <w:noProof/>
          <w:sz w:val="24"/>
          <w:szCs w:val="24"/>
          <w:lang w:val="en-GB"/>
        </w:rPr>
      </w:pPr>
      <w:r w:rsidRPr="006F07C8">
        <w:rPr>
          <w:rFonts w:ascii="Times New Roman" w:hAnsi="Times New Roman" w:cs="Times New Roman"/>
          <w:noProof/>
          <w:sz w:val="24"/>
          <w:szCs w:val="24"/>
          <w:lang w:val="it-IT"/>
        </w:rPr>
        <w:t>Arzoz, Xabier</w:t>
      </w:r>
      <w:r w:rsidRPr="006F07C8">
        <w:rPr>
          <w:rFonts w:ascii="Times New Roman" w:hAnsi="Times New Roman" w:cs="Times New Roman"/>
          <w:b/>
          <w:noProof/>
          <w:sz w:val="24"/>
          <w:szCs w:val="24"/>
          <w:lang w:val="it-IT"/>
        </w:rPr>
        <w:t xml:space="preserve"> </w:t>
      </w:r>
      <w:r w:rsidRPr="006F07C8">
        <w:rPr>
          <w:rFonts w:ascii="Times New Roman" w:hAnsi="Times New Roman" w:cs="Times New Roman"/>
          <w:noProof/>
          <w:sz w:val="24"/>
          <w:szCs w:val="24"/>
          <w:lang w:val="it-IT"/>
        </w:rPr>
        <w:t xml:space="preserve">(a cura di). 2008. </w:t>
      </w:r>
      <w:r w:rsidRPr="006F07C8">
        <w:rPr>
          <w:rFonts w:ascii="Times New Roman" w:hAnsi="Times New Roman" w:cs="Times New Roman"/>
          <w:i/>
          <w:noProof/>
          <w:sz w:val="24"/>
          <w:szCs w:val="24"/>
          <w:lang w:val="en-GB"/>
        </w:rPr>
        <w:t>Respecting Linguistic Diversity in the European Union</w:t>
      </w:r>
      <w:r w:rsidRPr="006F07C8">
        <w:rPr>
          <w:rFonts w:ascii="Times New Roman" w:hAnsi="Times New Roman" w:cs="Times New Roman"/>
          <w:noProof/>
          <w:sz w:val="24"/>
          <w:szCs w:val="24"/>
          <w:lang w:val="en-GB"/>
        </w:rPr>
        <w:t>. Amsterdam: John Benjamins.</w:t>
      </w:r>
    </w:p>
    <w:p w:rsidR="004934E3" w:rsidRPr="006F07C8" w:rsidRDefault="004934E3" w:rsidP="002F52A9">
      <w:pPr>
        <w:spacing w:after="0" w:line="240" w:lineRule="auto"/>
        <w:ind w:left="720" w:hanging="720"/>
        <w:jc w:val="both"/>
        <w:rPr>
          <w:rFonts w:ascii="Times New Roman" w:hAnsi="Times New Roman" w:cs="Times New Roman"/>
          <w:noProof/>
          <w:sz w:val="24"/>
          <w:szCs w:val="24"/>
          <w:lang w:val="en-GB"/>
        </w:rPr>
      </w:pPr>
      <w:r w:rsidRPr="006F07C8">
        <w:rPr>
          <w:rFonts w:ascii="Times New Roman" w:hAnsi="Times New Roman" w:cs="Times New Roman"/>
          <w:noProof/>
          <w:sz w:val="24"/>
          <w:szCs w:val="24"/>
          <w:lang w:val="en-GB"/>
        </w:rPr>
        <w:lastRenderedPageBreak/>
        <w:t xml:space="preserve">Athanassiou, Phoebus. 2006. "The application of multilingualism in the European Union context" </w:t>
      </w:r>
      <w:r w:rsidRPr="006F07C8">
        <w:rPr>
          <w:rFonts w:ascii="Times New Roman" w:hAnsi="Times New Roman" w:cs="Times New Roman"/>
          <w:i/>
          <w:noProof/>
          <w:sz w:val="24"/>
          <w:szCs w:val="24"/>
          <w:lang w:val="en-GB"/>
        </w:rPr>
        <w:t>Legal Working Paper Series</w:t>
      </w:r>
      <w:r w:rsidRPr="006F07C8">
        <w:rPr>
          <w:rFonts w:ascii="Times New Roman" w:hAnsi="Times New Roman" w:cs="Times New Roman"/>
          <w:noProof/>
          <w:sz w:val="24"/>
          <w:szCs w:val="24"/>
          <w:lang w:val="en-GB"/>
        </w:rPr>
        <w:t xml:space="preserve"> </w:t>
      </w:r>
      <w:r w:rsidRPr="006F07C8">
        <w:rPr>
          <w:rFonts w:ascii="Times New Roman" w:hAnsi="Times New Roman" w:cs="Times New Roman"/>
          <w:i/>
          <w:noProof/>
          <w:sz w:val="24"/>
          <w:szCs w:val="24"/>
          <w:lang w:val="en-GB"/>
        </w:rPr>
        <w:t>2</w:t>
      </w:r>
      <w:r w:rsidRPr="006F07C8">
        <w:rPr>
          <w:rFonts w:ascii="Times New Roman" w:hAnsi="Times New Roman" w:cs="Times New Roman"/>
          <w:noProof/>
          <w:sz w:val="24"/>
          <w:szCs w:val="24"/>
          <w:lang w:val="en-GB"/>
        </w:rPr>
        <w:t>. Francoforte sul Meno: Banca centrale europea.</w:t>
      </w:r>
    </w:p>
    <w:p w:rsidR="004934E3" w:rsidRPr="006F07C8" w:rsidRDefault="004934E3" w:rsidP="002F52A9">
      <w:pPr>
        <w:spacing w:after="0" w:line="240" w:lineRule="auto"/>
        <w:ind w:left="720" w:hanging="720"/>
        <w:jc w:val="both"/>
        <w:rPr>
          <w:rFonts w:ascii="Times New Roman" w:hAnsi="Times New Roman" w:cs="Times New Roman"/>
          <w:noProof/>
          <w:sz w:val="24"/>
          <w:szCs w:val="24"/>
          <w:lang w:val="en-GB"/>
        </w:rPr>
      </w:pPr>
      <w:r w:rsidRPr="006F07C8">
        <w:rPr>
          <w:rFonts w:ascii="Times New Roman" w:hAnsi="Times New Roman" w:cs="Times New Roman"/>
          <w:noProof/>
          <w:sz w:val="24"/>
          <w:szCs w:val="24"/>
          <w:lang w:val="en-GB"/>
        </w:rPr>
        <w:t xml:space="preserve">Backus, Ad, Durk Gorter, Karlfried Knapp, Rosita Schjerve-Rindler, Jos Swanenberg, Jan ten Thije, e Eva Vetter. 2013. "Inclusive Multilingualism: Concept, modes and implications", </w:t>
      </w:r>
      <w:r w:rsidRPr="006F07C8">
        <w:rPr>
          <w:rFonts w:ascii="Times New Roman" w:hAnsi="Times New Roman" w:cs="Times New Roman"/>
          <w:i/>
          <w:noProof/>
          <w:sz w:val="24"/>
          <w:szCs w:val="24"/>
          <w:lang w:val="en-GB"/>
        </w:rPr>
        <w:t>European Journal of Applied Linguistics,</w:t>
      </w:r>
      <w:r w:rsidRPr="006F07C8">
        <w:rPr>
          <w:rFonts w:ascii="Times New Roman" w:hAnsi="Times New Roman" w:cs="Times New Roman"/>
          <w:noProof/>
          <w:sz w:val="24"/>
          <w:szCs w:val="24"/>
          <w:lang w:val="en-GB"/>
        </w:rPr>
        <w:t xml:space="preserve"> 1 (2), pp. 179–215.</w:t>
      </w:r>
    </w:p>
    <w:p w:rsidR="004934E3" w:rsidRPr="006F07C8" w:rsidRDefault="004934E3" w:rsidP="002F52A9">
      <w:pPr>
        <w:spacing w:after="0" w:line="240" w:lineRule="auto"/>
        <w:ind w:left="720" w:hanging="720"/>
        <w:jc w:val="both"/>
        <w:rPr>
          <w:rFonts w:ascii="Times New Roman" w:hAnsi="Times New Roman" w:cs="Times New Roman"/>
          <w:noProof/>
          <w:sz w:val="24"/>
          <w:szCs w:val="24"/>
          <w:lang w:val="en-GB"/>
        </w:rPr>
      </w:pPr>
      <w:r w:rsidRPr="006F07C8">
        <w:rPr>
          <w:rFonts w:ascii="Times New Roman" w:hAnsi="Times New Roman" w:cs="Times New Roman"/>
          <w:noProof/>
          <w:sz w:val="24"/>
          <w:szCs w:val="24"/>
          <w:lang w:val="en-GB"/>
        </w:rPr>
        <w:t xml:space="preserve">Barbier, Jean-Claude. 2012a. "Languages, political culture and solidarity in Europe", </w:t>
      </w:r>
      <w:r w:rsidRPr="006F07C8">
        <w:rPr>
          <w:rFonts w:ascii="Times New Roman" w:hAnsi="Times New Roman" w:cs="Times New Roman"/>
          <w:i/>
          <w:noProof/>
          <w:sz w:val="24"/>
          <w:szCs w:val="24"/>
          <w:lang w:val="en-GB"/>
        </w:rPr>
        <w:t>RECODE Working Paper Series,</w:t>
      </w:r>
      <w:r w:rsidRPr="006F07C8">
        <w:rPr>
          <w:rFonts w:ascii="Times New Roman" w:hAnsi="Times New Roman" w:cs="Times New Roman"/>
          <w:noProof/>
          <w:sz w:val="24"/>
          <w:szCs w:val="24"/>
          <w:lang w:val="en-GB"/>
        </w:rPr>
        <w:t xml:space="preserve"> 1, pp. 1-15.</w:t>
      </w:r>
    </w:p>
    <w:p w:rsidR="004934E3" w:rsidRPr="006F07C8" w:rsidRDefault="004934E3" w:rsidP="002F52A9">
      <w:pPr>
        <w:spacing w:after="0" w:line="240" w:lineRule="auto"/>
        <w:ind w:left="720" w:hanging="720"/>
        <w:jc w:val="both"/>
        <w:rPr>
          <w:rFonts w:ascii="Times New Roman" w:hAnsi="Times New Roman" w:cs="Times New Roman"/>
          <w:noProof/>
          <w:sz w:val="24"/>
          <w:szCs w:val="24"/>
        </w:rPr>
      </w:pPr>
      <w:r w:rsidRPr="006F07C8">
        <w:rPr>
          <w:rFonts w:ascii="Times New Roman" w:hAnsi="Times New Roman" w:cs="Times New Roman"/>
          <w:noProof/>
          <w:sz w:val="24"/>
          <w:szCs w:val="24"/>
        </w:rPr>
        <w:t xml:space="preserve">Barbier, Jean-Claude. 2012b. "'Une seule bannière linguistique pour une justice globale', recension de Linguistic Justice for Europe and for the World, Philippe Van Parijs", </w:t>
      </w:r>
      <w:r w:rsidRPr="006F07C8">
        <w:rPr>
          <w:rFonts w:ascii="Times New Roman" w:hAnsi="Times New Roman" w:cs="Times New Roman"/>
          <w:i/>
          <w:noProof/>
          <w:sz w:val="24"/>
          <w:szCs w:val="24"/>
        </w:rPr>
        <w:t>Revue française de science politique,</w:t>
      </w:r>
      <w:r w:rsidRPr="006F07C8">
        <w:rPr>
          <w:rFonts w:ascii="Times New Roman" w:hAnsi="Times New Roman" w:cs="Times New Roman"/>
          <w:noProof/>
          <w:sz w:val="24"/>
          <w:szCs w:val="24"/>
        </w:rPr>
        <w:t xml:space="preserve"> 62 (3), pp. 469-471.</w:t>
      </w:r>
    </w:p>
    <w:p w:rsidR="004934E3" w:rsidRPr="006F07C8" w:rsidRDefault="004934E3" w:rsidP="002F52A9">
      <w:pPr>
        <w:spacing w:after="0" w:line="240" w:lineRule="auto"/>
        <w:ind w:left="720" w:hanging="720"/>
        <w:jc w:val="both"/>
        <w:rPr>
          <w:rFonts w:ascii="Times New Roman" w:hAnsi="Times New Roman" w:cs="Times New Roman"/>
          <w:noProof/>
          <w:sz w:val="24"/>
          <w:szCs w:val="24"/>
          <w:lang w:val="it-IT"/>
        </w:rPr>
      </w:pPr>
      <w:r w:rsidRPr="006F07C8">
        <w:rPr>
          <w:rFonts w:ascii="Times New Roman" w:hAnsi="Times New Roman" w:cs="Times New Roman"/>
          <w:noProof/>
          <w:sz w:val="24"/>
          <w:szCs w:val="24"/>
          <w:lang w:val="it-IT"/>
        </w:rPr>
        <w:t>Benucci, Antonella</w:t>
      </w:r>
      <w:r w:rsidRPr="006F07C8">
        <w:rPr>
          <w:rFonts w:ascii="Times New Roman" w:hAnsi="Times New Roman" w:cs="Times New Roman"/>
          <w:b/>
          <w:noProof/>
          <w:sz w:val="24"/>
          <w:szCs w:val="24"/>
          <w:lang w:val="it-IT"/>
        </w:rPr>
        <w:t xml:space="preserve"> </w:t>
      </w:r>
      <w:r w:rsidRPr="006F07C8">
        <w:rPr>
          <w:rFonts w:ascii="Times New Roman" w:hAnsi="Times New Roman" w:cs="Times New Roman"/>
          <w:noProof/>
          <w:sz w:val="24"/>
          <w:szCs w:val="24"/>
          <w:lang w:val="it-IT"/>
        </w:rPr>
        <w:t xml:space="preserve">(a cura di). 2005. </w:t>
      </w:r>
      <w:r w:rsidRPr="006F07C8">
        <w:rPr>
          <w:rFonts w:ascii="Times New Roman" w:hAnsi="Times New Roman" w:cs="Times New Roman"/>
          <w:i/>
          <w:noProof/>
          <w:sz w:val="24"/>
          <w:szCs w:val="24"/>
          <w:lang w:val="it-IT"/>
        </w:rPr>
        <w:t>Le lingue romanze. Una guida per l'intercomprensione</w:t>
      </w:r>
      <w:r w:rsidRPr="006F07C8">
        <w:rPr>
          <w:rFonts w:ascii="Times New Roman" w:hAnsi="Times New Roman" w:cs="Times New Roman"/>
          <w:noProof/>
          <w:sz w:val="24"/>
          <w:szCs w:val="24"/>
          <w:lang w:val="it-IT"/>
        </w:rPr>
        <w:t>. Torino: UTET.</w:t>
      </w:r>
    </w:p>
    <w:p w:rsidR="004934E3" w:rsidRPr="006F07C8" w:rsidRDefault="004934E3" w:rsidP="002F52A9">
      <w:pPr>
        <w:spacing w:after="0" w:line="240" w:lineRule="auto"/>
        <w:ind w:left="720" w:hanging="720"/>
        <w:jc w:val="both"/>
        <w:rPr>
          <w:rFonts w:ascii="Times New Roman" w:hAnsi="Times New Roman" w:cs="Times New Roman"/>
          <w:noProof/>
          <w:sz w:val="24"/>
          <w:szCs w:val="24"/>
        </w:rPr>
      </w:pPr>
      <w:r w:rsidRPr="006F07C8">
        <w:rPr>
          <w:rFonts w:ascii="Times New Roman" w:hAnsi="Times New Roman" w:cs="Times New Roman"/>
          <w:noProof/>
          <w:sz w:val="24"/>
          <w:szCs w:val="24"/>
          <w:lang w:val="it-IT"/>
        </w:rPr>
        <w:t xml:space="preserve">Bezzi, Claudio. 2010. </w:t>
      </w:r>
      <w:r w:rsidRPr="006F07C8">
        <w:rPr>
          <w:rFonts w:ascii="Times New Roman" w:hAnsi="Times New Roman" w:cs="Times New Roman"/>
          <w:i/>
          <w:noProof/>
          <w:sz w:val="24"/>
          <w:szCs w:val="24"/>
          <w:lang w:val="it-IT"/>
        </w:rPr>
        <w:t>Il nuovo disegno della ricerca valutativa</w:t>
      </w:r>
      <w:r w:rsidRPr="006F07C8">
        <w:rPr>
          <w:rFonts w:ascii="Times New Roman" w:hAnsi="Times New Roman" w:cs="Times New Roman"/>
          <w:noProof/>
          <w:sz w:val="24"/>
          <w:szCs w:val="24"/>
          <w:lang w:val="it-IT"/>
        </w:rPr>
        <w:t xml:space="preserve">. </w:t>
      </w:r>
      <w:r w:rsidRPr="006F07C8">
        <w:rPr>
          <w:rFonts w:ascii="Times New Roman" w:hAnsi="Times New Roman" w:cs="Times New Roman"/>
          <w:noProof/>
          <w:sz w:val="24"/>
          <w:szCs w:val="24"/>
        </w:rPr>
        <w:t xml:space="preserve">Milano: FrancoAngeli. </w:t>
      </w:r>
    </w:p>
    <w:p w:rsidR="004934E3" w:rsidRPr="006F07C8" w:rsidRDefault="004934E3" w:rsidP="002F52A9">
      <w:pPr>
        <w:spacing w:after="0" w:line="240" w:lineRule="auto"/>
        <w:ind w:left="720" w:hanging="720"/>
        <w:jc w:val="both"/>
        <w:rPr>
          <w:rFonts w:ascii="Times New Roman" w:hAnsi="Times New Roman" w:cs="Times New Roman"/>
          <w:noProof/>
          <w:sz w:val="24"/>
          <w:szCs w:val="24"/>
        </w:rPr>
      </w:pPr>
      <w:r w:rsidRPr="006F07C8">
        <w:rPr>
          <w:rFonts w:ascii="Times New Roman" w:hAnsi="Times New Roman" w:cs="Times New Roman"/>
          <w:noProof/>
          <w:sz w:val="24"/>
          <w:szCs w:val="24"/>
        </w:rPr>
        <w:t xml:space="preserve">Bourdieu, Pierre. 2001. </w:t>
      </w:r>
      <w:r w:rsidRPr="006F07C8">
        <w:rPr>
          <w:rFonts w:ascii="Times New Roman" w:hAnsi="Times New Roman" w:cs="Times New Roman"/>
          <w:i/>
          <w:noProof/>
          <w:sz w:val="24"/>
          <w:szCs w:val="24"/>
        </w:rPr>
        <w:t>Langage et pouvoir symbolique</w:t>
      </w:r>
      <w:r w:rsidRPr="006F07C8">
        <w:rPr>
          <w:rFonts w:ascii="Times New Roman" w:hAnsi="Times New Roman" w:cs="Times New Roman"/>
          <w:noProof/>
          <w:sz w:val="24"/>
          <w:szCs w:val="24"/>
        </w:rPr>
        <w:t xml:space="preserve">. Parigi: Éditions du Seuil]. </w:t>
      </w:r>
    </w:p>
    <w:p w:rsidR="004934E3" w:rsidRPr="006F07C8" w:rsidRDefault="004934E3" w:rsidP="002F52A9">
      <w:pPr>
        <w:spacing w:after="0" w:line="240" w:lineRule="auto"/>
        <w:ind w:left="720" w:hanging="720"/>
        <w:jc w:val="both"/>
        <w:rPr>
          <w:rFonts w:ascii="Times New Roman" w:hAnsi="Times New Roman" w:cs="Times New Roman"/>
          <w:noProof/>
          <w:sz w:val="24"/>
          <w:szCs w:val="24"/>
          <w:lang w:val="it-IT"/>
        </w:rPr>
      </w:pPr>
      <w:r w:rsidRPr="006F07C8">
        <w:rPr>
          <w:rFonts w:ascii="Times New Roman" w:hAnsi="Times New Roman" w:cs="Times New Roman"/>
          <w:noProof/>
          <w:sz w:val="24"/>
          <w:szCs w:val="24"/>
        </w:rPr>
        <w:t xml:space="preserve">Calvet, Louis-Jean. 2002. </w:t>
      </w:r>
      <w:r w:rsidRPr="006F07C8">
        <w:rPr>
          <w:rFonts w:ascii="Times New Roman" w:hAnsi="Times New Roman" w:cs="Times New Roman"/>
          <w:i/>
          <w:noProof/>
          <w:sz w:val="24"/>
          <w:szCs w:val="24"/>
        </w:rPr>
        <w:t>Le marché aux langues : essai de politologie linguistique sur la mondialisation</w:t>
      </w:r>
      <w:r w:rsidRPr="006F07C8">
        <w:rPr>
          <w:rFonts w:ascii="Times New Roman" w:hAnsi="Times New Roman" w:cs="Times New Roman"/>
          <w:noProof/>
          <w:sz w:val="24"/>
          <w:szCs w:val="24"/>
        </w:rPr>
        <w:t xml:space="preserve">. </w:t>
      </w:r>
      <w:r w:rsidRPr="006F07C8">
        <w:rPr>
          <w:rFonts w:ascii="Times New Roman" w:hAnsi="Times New Roman" w:cs="Times New Roman"/>
          <w:noProof/>
          <w:sz w:val="24"/>
          <w:szCs w:val="24"/>
          <w:lang w:val="it-IT"/>
        </w:rPr>
        <w:t xml:space="preserve">Parigi: Plon. </w:t>
      </w:r>
    </w:p>
    <w:p w:rsidR="004934E3" w:rsidRPr="006F07C8" w:rsidRDefault="004934E3" w:rsidP="002F52A9">
      <w:pPr>
        <w:spacing w:after="0" w:line="240" w:lineRule="auto"/>
        <w:ind w:left="720" w:hanging="720"/>
        <w:jc w:val="both"/>
        <w:rPr>
          <w:rFonts w:ascii="Times New Roman" w:hAnsi="Times New Roman" w:cs="Times New Roman"/>
          <w:noProof/>
          <w:sz w:val="24"/>
          <w:szCs w:val="24"/>
          <w:lang w:val="en-GB"/>
        </w:rPr>
      </w:pPr>
      <w:r w:rsidRPr="006F07C8">
        <w:rPr>
          <w:rFonts w:ascii="Times New Roman" w:hAnsi="Times New Roman" w:cs="Times New Roman"/>
          <w:noProof/>
          <w:sz w:val="24"/>
          <w:szCs w:val="24"/>
          <w:lang w:val="it-IT"/>
        </w:rPr>
        <w:t>Castiglione, Dario and Chris Longman</w:t>
      </w:r>
      <w:r w:rsidRPr="006F07C8">
        <w:rPr>
          <w:rFonts w:ascii="Times New Roman" w:hAnsi="Times New Roman" w:cs="Times New Roman"/>
          <w:b/>
          <w:noProof/>
          <w:sz w:val="24"/>
          <w:szCs w:val="24"/>
          <w:lang w:val="it-IT"/>
        </w:rPr>
        <w:t xml:space="preserve"> </w:t>
      </w:r>
      <w:r w:rsidRPr="006F07C8">
        <w:rPr>
          <w:rFonts w:ascii="Times New Roman" w:hAnsi="Times New Roman" w:cs="Times New Roman"/>
          <w:noProof/>
          <w:sz w:val="24"/>
          <w:szCs w:val="24"/>
          <w:lang w:val="it-IT"/>
        </w:rPr>
        <w:t xml:space="preserve">(a cura di). 2007. </w:t>
      </w:r>
      <w:r w:rsidRPr="006F07C8">
        <w:rPr>
          <w:rFonts w:ascii="Times New Roman" w:hAnsi="Times New Roman" w:cs="Times New Roman"/>
          <w:i/>
          <w:noProof/>
          <w:sz w:val="24"/>
          <w:szCs w:val="24"/>
          <w:lang w:val="en-GB"/>
        </w:rPr>
        <w:t>The language question in Europe and diverse societies: Political, legal and social perspectives</w:t>
      </w:r>
      <w:r w:rsidRPr="006F07C8">
        <w:rPr>
          <w:rFonts w:ascii="Times New Roman" w:hAnsi="Times New Roman" w:cs="Times New Roman"/>
          <w:noProof/>
          <w:sz w:val="24"/>
          <w:szCs w:val="24"/>
          <w:lang w:val="en-GB"/>
        </w:rPr>
        <w:t>. Oxford: Hart Publishing.</w:t>
      </w:r>
    </w:p>
    <w:p w:rsidR="004934E3" w:rsidRPr="006F07C8" w:rsidRDefault="004934E3" w:rsidP="002F52A9">
      <w:pPr>
        <w:spacing w:after="0" w:line="240" w:lineRule="auto"/>
        <w:ind w:left="720" w:hanging="720"/>
        <w:jc w:val="both"/>
        <w:rPr>
          <w:rFonts w:ascii="Times New Roman" w:hAnsi="Times New Roman" w:cs="Times New Roman"/>
          <w:noProof/>
          <w:sz w:val="24"/>
          <w:szCs w:val="24"/>
          <w:lang w:val="en-GB"/>
        </w:rPr>
      </w:pPr>
      <w:r w:rsidRPr="006F07C8">
        <w:rPr>
          <w:rFonts w:ascii="Times New Roman" w:hAnsi="Times New Roman" w:cs="Times New Roman"/>
          <w:noProof/>
          <w:sz w:val="24"/>
          <w:szCs w:val="24"/>
          <w:lang w:val="en-GB"/>
        </w:rPr>
        <w:t xml:space="preserve">Cogo, Alessia e Jennifer Jenkins. 2010. "English as a lingua franca in Europe. A mismatch between policy and practice", </w:t>
      </w:r>
      <w:r w:rsidRPr="006F07C8">
        <w:rPr>
          <w:rFonts w:ascii="Times New Roman" w:hAnsi="Times New Roman" w:cs="Times New Roman"/>
          <w:i/>
          <w:noProof/>
          <w:sz w:val="24"/>
          <w:szCs w:val="24"/>
          <w:lang w:val="en-GB"/>
        </w:rPr>
        <w:t>European Journal of Language Policy,</w:t>
      </w:r>
      <w:r w:rsidRPr="006F07C8">
        <w:rPr>
          <w:rFonts w:ascii="Times New Roman" w:hAnsi="Times New Roman" w:cs="Times New Roman"/>
          <w:noProof/>
          <w:sz w:val="24"/>
          <w:szCs w:val="24"/>
          <w:lang w:val="en-GB"/>
        </w:rPr>
        <w:t xml:space="preserve"> 2 (2), pp. 271–294.</w:t>
      </w:r>
    </w:p>
    <w:p w:rsidR="004934E3" w:rsidRPr="006F07C8" w:rsidRDefault="004934E3" w:rsidP="002F52A9">
      <w:pPr>
        <w:spacing w:after="0" w:line="240" w:lineRule="auto"/>
        <w:ind w:left="720" w:hanging="720"/>
        <w:jc w:val="both"/>
        <w:rPr>
          <w:rFonts w:ascii="Times New Roman" w:hAnsi="Times New Roman" w:cs="Times New Roman"/>
          <w:noProof/>
          <w:sz w:val="24"/>
          <w:szCs w:val="24"/>
          <w:lang w:val="it-IT"/>
        </w:rPr>
      </w:pPr>
      <w:r w:rsidRPr="006F07C8">
        <w:rPr>
          <w:rFonts w:ascii="Times New Roman" w:hAnsi="Times New Roman" w:cs="Times New Roman"/>
          <w:noProof/>
          <w:sz w:val="24"/>
          <w:szCs w:val="24"/>
        </w:rPr>
        <w:t xml:space="preserve">Commissione europea. 2010a. </w:t>
      </w:r>
      <w:r w:rsidRPr="006F07C8">
        <w:rPr>
          <w:rFonts w:ascii="Times New Roman" w:hAnsi="Times New Roman" w:cs="Times New Roman"/>
          <w:i/>
          <w:noProof/>
          <w:sz w:val="24"/>
          <w:szCs w:val="24"/>
        </w:rPr>
        <w:t>Contribution de la traduction à la société multilingue dans l'Union européenne</w:t>
      </w:r>
      <w:r w:rsidRPr="006F07C8">
        <w:rPr>
          <w:rFonts w:ascii="Times New Roman" w:hAnsi="Times New Roman" w:cs="Times New Roman"/>
          <w:noProof/>
          <w:sz w:val="24"/>
          <w:szCs w:val="24"/>
        </w:rPr>
        <w:t xml:space="preserve">, Études sur la traduction et le multilinguisme. </w:t>
      </w:r>
      <w:r w:rsidRPr="006F07C8">
        <w:rPr>
          <w:rFonts w:ascii="Times New Roman" w:hAnsi="Times New Roman" w:cs="Times New Roman"/>
          <w:noProof/>
          <w:sz w:val="24"/>
          <w:szCs w:val="24"/>
          <w:lang w:val="it-IT"/>
        </w:rPr>
        <w:t>Bruxelles: Direzione generale per la traduzione. Commissione europea.</w:t>
      </w:r>
    </w:p>
    <w:p w:rsidR="004934E3" w:rsidRPr="006F07C8" w:rsidRDefault="004934E3" w:rsidP="002F52A9">
      <w:pPr>
        <w:spacing w:after="0" w:line="240" w:lineRule="auto"/>
        <w:ind w:left="720" w:hanging="720"/>
        <w:jc w:val="both"/>
        <w:rPr>
          <w:rFonts w:ascii="Times New Roman" w:hAnsi="Times New Roman" w:cs="Times New Roman"/>
          <w:noProof/>
          <w:sz w:val="24"/>
          <w:szCs w:val="24"/>
          <w:lang w:val="it-IT"/>
        </w:rPr>
      </w:pPr>
      <w:r w:rsidRPr="006F07C8">
        <w:rPr>
          <w:rFonts w:ascii="Times New Roman" w:hAnsi="Times New Roman" w:cs="Times New Roman"/>
          <w:noProof/>
          <w:sz w:val="24"/>
          <w:szCs w:val="24"/>
          <w:lang w:val="it-IT"/>
        </w:rPr>
        <w:t xml:space="preserve">Commissione europea. </w:t>
      </w:r>
      <w:r w:rsidRPr="006F07C8">
        <w:rPr>
          <w:rFonts w:ascii="Times New Roman" w:hAnsi="Times New Roman" w:cs="Times New Roman"/>
          <w:noProof/>
          <w:sz w:val="24"/>
          <w:szCs w:val="24"/>
          <w:lang w:val="en-GB"/>
        </w:rPr>
        <w:t xml:space="preserve">2010b. </w:t>
      </w:r>
      <w:r w:rsidRPr="006F07C8">
        <w:rPr>
          <w:rFonts w:ascii="Times New Roman" w:hAnsi="Times New Roman" w:cs="Times New Roman"/>
          <w:i/>
          <w:noProof/>
          <w:sz w:val="24"/>
          <w:szCs w:val="24"/>
          <w:lang w:val="en-GB"/>
        </w:rPr>
        <w:t>Youth on the Move. An initiative to unleash the potential of young people to achieve smart, sustainable and inclusive growth in the European Union</w:t>
      </w:r>
      <w:r w:rsidRPr="006F07C8">
        <w:rPr>
          <w:rFonts w:ascii="Times New Roman" w:hAnsi="Times New Roman" w:cs="Times New Roman"/>
          <w:noProof/>
          <w:sz w:val="24"/>
          <w:szCs w:val="24"/>
          <w:lang w:val="en-GB"/>
        </w:rPr>
        <w:t xml:space="preserve">. </w:t>
      </w:r>
      <w:r w:rsidRPr="006F07C8">
        <w:rPr>
          <w:rFonts w:ascii="Times New Roman" w:hAnsi="Times New Roman" w:cs="Times New Roman"/>
          <w:noProof/>
          <w:sz w:val="24"/>
          <w:szCs w:val="24"/>
          <w:lang w:val="it-IT"/>
        </w:rPr>
        <w:t>Lussemburgo: Commissione europea.</w:t>
      </w:r>
    </w:p>
    <w:p w:rsidR="004934E3" w:rsidRPr="006F07C8" w:rsidRDefault="004934E3" w:rsidP="002F52A9">
      <w:pPr>
        <w:spacing w:after="0" w:line="240" w:lineRule="auto"/>
        <w:ind w:left="720" w:hanging="720"/>
        <w:jc w:val="both"/>
        <w:rPr>
          <w:rFonts w:ascii="Times New Roman" w:hAnsi="Times New Roman" w:cs="Times New Roman"/>
          <w:noProof/>
          <w:sz w:val="24"/>
          <w:szCs w:val="24"/>
          <w:lang w:val="it-IT"/>
        </w:rPr>
      </w:pPr>
      <w:r w:rsidRPr="006F07C8">
        <w:rPr>
          <w:rFonts w:ascii="Times New Roman" w:hAnsi="Times New Roman" w:cs="Times New Roman"/>
          <w:noProof/>
          <w:sz w:val="24"/>
          <w:szCs w:val="24"/>
          <w:lang w:val="it-IT"/>
        </w:rPr>
        <w:t xml:space="preserve">Commissione europea. 2012a. </w:t>
      </w:r>
      <w:r w:rsidRPr="006F07C8">
        <w:rPr>
          <w:rFonts w:ascii="Times New Roman" w:hAnsi="Times New Roman" w:cs="Times New Roman"/>
          <w:i/>
          <w:noProof/>
          <w:sz w:val="24"/>
          <w:szCs w:val="24"/>
          <w:lang w:val="it-IT"/>
        </w:rPr>
        <w:t>Europeans and their languages</w:t>
      </w:r>
      <w:r w:rsidRPr="006F07C8">
        <w:rPr>
          <w:rFonts w:ascii="Times New Roman" w:hAnsi="Times New Roman" w:cs="Times New Roman"/>
          <w:noProof/>
          <w:sz w:val="24"/>
          <w:szCs w:val="24"/>
          <w:lang w:val="it-IT"/>
        </w:rPr>
        <w:t>, Speciale Eurobarometero 386. Bruxelles: Commissione europea.</w:t>
      </w:r>
    </w:p>
    <w:p w:rsidR="004934E3" w:rsidRPr="006F07C8" w:rsidRDefault="004934E3" w:rsidP="002F52A9">
      <w:pPr>
        <w:spacing w:after="0" w:line="240" w:lineRule="auto"/>
        <w:ind w:left="720" w:hanging="720"/>
        <w:jc w:val="both"/>
        <w:rPr>
          <w:rFonts w:ascii="Times New Roman" w:hAnsi="Times New Roman" w:cs="Times New Roman"/>
          <w:noProof/>
          <w:sz w:val="24"/>
          <w:szCs w:val="24"/>
          <w:lang w:val="it-IT"/>
        </w:rPr>
      </w:pPr>
      <w:r w:rsidRPr="006F07C8">
        <w:rPr>
          <w:rFonts w:ascii="Times New Roman" w:hAnsi="Times New Roman" w:cs="Times New Roman"/>
          <w:noProof/>
          <w:sz w:val="24"/>
          <w:szCs w:val="24"/>
          <w:lang w:val="it-IT"/>
        </w:rPr>
        <w:t xml:space="preserve">Commissione europea. 2012b. </w:t>
      </w:r>
      <w:r w:rsidRPr="006F07C8">
        <w:rPr>
          <w:rFonts w:ascii="Times New Roman" w:hAnsi="Times New Roman" w:cs="Times New Roman"/>
          <w:i/>
          <w:noProof/>
          <w:sz w:val="24"/>
          <w:szCs w:val="24"/>
          <w:lang w:val="it-IT"/>
        </w:rPr>
        <w:t>First European survey on language competences</w:t>
      </w:r>
      <w:r w:rsidRPr="006F07C8">
        <w:rPr>
          <w:rFonts w:ascii="Times New Roman" w:hAnsi="Times New Roman" w:cs="Times New Roman"/>
          <w:noProof/>
          <w:sz w:val="24"/>
          <w:szCs w:val="24"/>
          <w:lang w:val="it-IT"/>
        </w:rPr>
        <w:t>. Bruxelles: Commissione europea.</w:t>
      </w:r>
    </w:p>
    <w:p w:rsidR="004934E3" w:rsidRPr="006F07C8" w:rsidRDefault="004934E3" w:rsidP="002F52A9">
      <w:pPr>
        <w:spacing w:after="0" w:line="240" w:lineRule="auto"/>
        <w:ind w:left="720" w:hanging="720"/>
        <w:jc w:val="both"/>
        <w:rPr>
          <w:rFonts w:ascii="Times New Roman" w:hAnsi="Times New Roman" w:cs="Times New Roman"/>
          <w:noProof/>
          <w:sz w:val="24"/>
          <w:szCs w:val="24"/>
          <w:lang w:val="it-IT"/>
        </w:rPr>
      </w:pPr>
      <w:r w:rsidRPr="006F07C8">
        <w:rPr>
          <w:rFonts w:ascii="Times New Roman" w:hAnsi="Times New Roman" w:cs="Times New Roman"/>
          <w:noProof/>
          <w:sz w:val="24"/>
          <w:szCs w:val="24"/>
          <w:lang w:val="it-IT"/>
        </w:rPr>
        <w:t>Conti, Virginie e François Grin</w:t>
      </w:r>
      <w:r w:rsidRPr="006F07C8">
        <w:rPr>
          <w:rFonts w:ascii="Times New Roman" w:hAnsi="Times New Roman" w:cs="Times New Roman"/>
          <w:b/>
          <w:noProof/>
          <w:sz w:val="24"/>
          <w:szCs w:val="24"/>
          <w:lang w:val="it-IT"/>
        </w:rPr>
        <w:t xml:space="preserve"> </w:t>
      </w:r>
      <w:r w:rsidRPr="006F07C8">
        <w:rPr>
          <w:rFonts w:ascii="Times New Roman" w:hAnsi="Times New Roman" w:cs="Times New Roman"/>
          <w:noProof/>
          <w:sz w:val="24"/>
          <w:szCs w:val="24"/>
          <w:lang w:val="it-IT"/>
        </w:rPr>
        <w:t xml:space="preserve">(a cura di). 2008. </w:t>
      </w:r>
      <w:r w:rsidRPr="006F07C8">
        <w:rPr>
          <w:rFonts w:ascii="Times New Roman" w:hAnsi="Times New Roman" w:cs="Times New Roman"/>
          <w:i/>
          <w:noProof/>
          <w:sz w:val="24"/>
          <w:szCs w:val="24"/>
        </w:rPr>
        <w:t>S'entendre entre langues voisines : vers l'intercompréhension</w:t>
      </w:r>
      <w:r w:rsidRPr="006F07C8">
        <w:rPr>
          <w:rFonts w:ascii="Times New Roman" w:hAnsi="Times New Roman" w:cs="Times New Roman"/>
          <w:noProof/>
          <w:sz w:val="24"/>
          <w:szCs w:val="24"/>
        </w:rPr>
        <w:t xml:space="preserve">. </w:t>
      </w:r>
      <w:r w:rsidRPr="006F07C8">
        <w:rPr>
          <w:rFonts w:ascii="Times New Roman" w:hAnsi="Times New Roman" w:cs="Times New Roman"/>
          <w:noProof/>
          <w:sz w:val="24"/>
          <w:szCs w:val="24"/>
          <w:lang w:val="it-IT"/>
        </w:rPr>
        <w:t>Ginevra: Georg.</w:t>
      </w:r>
    </w:p>
    <w:p w:rsidR="004934E3" w:rsidRPr="006F07C8" w:rsidRDefault="004934E3" w:rsidP="002F52A9">
      <w:pPr>
        <w:spacing w:after="0" w:line="240" w:lineRule="auto"/>
        <w:ind w:left="720" w:hanging="720"/>
        <w:jc w:val="both"/>
        <w:rPr>
          <w:rFonts w:ascii="Times New Roman" w:hAnsi="Times New Roman" w:cs="Times New Roman"/>
          <w:noProof/>
          <w:sz w:val="24"/>
          <w:szCs w:val="24"/>
          <w:lang w:val="en-GB"/>
        </w:rPr>
      </w:pPr>
      <w:r w:rsidRPr="006F07C8">
        <w:rPr>
          <w:rFonts w:ascii="Times New Roman" w:hAnsi="Times New Roman" w:cs="Times New Roman"/>
          <w:noProof/>
          <w:sz w:val="24"/>
          <w:szCs w:val="24"/>
          <w:lang w:val="it-IT"/>
        </w:rPr>
        <w:t xml:space="preserve">Crystal, David. 1993. </w:t>
      </w:r>
      <w:r w:rsidRPr="006F07C8">
        <w:rPr>
          <w:rFonts w:ascii="Times New Roman" w:hAnsi="Times New Roman" w:cs="Times New Roman"/>
          <w:i/>
          <w:noProof/>
          <w:sz w:val="24"/>
          <w:szCs w:val="24"/>
          <w:lang w:val="it-IT"/>
        </w:rPr>
        <w:t>Enciclopedia Cambridge delle scienze del linguaggio</w:t>
      </w:r>
      <w:r w:rsidRPr="006F07C8">
        <w:rPr>
          <w:rFonts w:ascii="Times New Roman" w:hAnsi="Times New Roman" w:cs="Times New Roman"/>
          <w:noProof/>
          <w:sz w:val="24"/>
          <w:szCs w:val="24"/>
          <w:lang w:val="it-IT"/>
        </w:rPr>
        <w:t xml:space="preserve">. </w:t>
      </w:r>
      <w:r w:rsidRPr="006F07C8">
        <w:rPr>
          <w:rFonts w:ascii="Times New Roman" w:hAnsi="Times New Roman" w:cs="Times New Roman"/>
          <w:noProof/>
          <w:sz w:val="24"/>
          <w:szCs w:val="24"/>
          <w:lang w:val="en-GB"/>
        </w:rPr>
        <w:t xml:space="preserve">Bologna: Zanichelli. </w:t>
      </w:r>
    </w:p>
    <w:p w:rsidR="004934E3" w:rsidRPr="006F07C8" w:rsidRDefault="004934E3" w:rsidP="002F52A9">
      <w:pPr>
        <w:spacing w:after="0" w:line="240" w:lineRule="auto"/>
        <w:ind w:left="720" w:hanging="720"/>
        <w:jc w:val="both"/>
        <w:rPr>
          <w:rFonts w:ascii="Times New Roman" w:hAnsi="Times New Roman" w:cs="Times New Roman"/>
          <w:noProof/>
          <w:sz w:val="24"/>
          <w:szCs w:val="24"/>
          <w:lang w:val="en-GB"/>
        </w:rPr>
      </w:pPr>
      <w:r w:rsidRPr="006F07C8">
        <w:rPr>
          <w:rFonts w:ascii="Times New Roman" w:hAnsi="Times New Roman" w:cs="Times New Roman"/>
          <w:noProof/>
          <w:sz w:val="24"/>
          <w:szCs w:val="24"/>
          <w:lang w:val="en-GB"/>
        </w:rPr>
        <w:t xml:space="preserve">De Schutter, Helder. 2007. "Language policy and political philosophy: On the emerging linguistic justice debate", </w:t>
      </w:r>
      <w:r w:rsidRPr="006F07C8">
        <w:rPr>
          <w:rFonts w:ascii="Times New Roman" w:hAnsi="Times New Roman" w:cs="Times New Roman"/>
          <w:i/>
          <w:noProof/>
          <w:sz w:val="24"/>
          <w:szCs w:val="24"/>
          <w:lang w:val="en-GB"/>
        </w:rPr>
        <w:t>Language Problems &amp; Language Planning,</w:t>
      </w:r>
      <w:r w:rsidRPr="006F07C8">
        <w:rPr>
          <w:rFonts w:ascii="Times New Roman" w:hAnsi="Times New Roman" w:cs="Times New Roman"/>
          <w:noProof/>
          <w:sz w:val="24"/>
          <w:szCs w:val="24"/>
          <w:lang w:val="en-GB"/>
        </w:rPr>
        <w:t xml:space="preserve"> 31 (1), pp. 1-23.</w:t>
      </w:r>
    </w:p>
    <w:p w:rsidR="004934E3" w:rsidRPr="006F07C8" w:rsidRDefault="004934E3" w:rsidP="002F52A9">
      <w:pPr>
        <w:spacing w:after="0" w:line="240" w:lineRule="auto"/>
        <w:ind w:left="720" w:hanging="720"/>
        <w:jc w:val="both"/>
        <w:rPr>
          <w:rFonts w:ascii="Times New Roman" w:hAnsi="Times New Roman" w:cs="Times New Roman"/>
          <w:noProof/>
          <w:sz w:val="24"/>
          <w:szCs w:val="24"/>
          <w:lang w:val="en-GB"/>
        </w:rPr>
      </w:pPr>
      <w:r w:rsidRPr="006F07C8">
        <w:rPr>
          <w:rFonts w:ascii="Times New Roman" w:hAnsi="Times New Roman" w:cs="Times New Roman"/>
          <w:noProof/>
          <w:sz w:val="24"/>
          <w:szCs w:val="24"/>
          <w:lang w:val="en-GB"/>
        </w:rPr>
        <w:t xml:space="preserve">De Swaan, Abram. 2001. </w:t>
      </w:r>
      <w:r w:rsidRPr="006F07C8">
        <w:rPr>
          <w:rFonts w:ascii="Times New Roman" w:hAnsi="Times New Roman" w:cs="Times New Roman"/>
          <w:i/>
          <w:noProof/>
          <w:sz w:val="24"/>
          <w:szCs w:val="24"/>
          <w:lang w:val="en-GB"/>
        </w:rPr>
        <w:t>Words of the world. The global language system</w:t>
      </w:r>
      <w:r w:rsidRPr="006F07C8">
        <w:rPr>
          <w:rFonts w:ascii="Times New Roman" w:hAnsi="Times New Roman" w:cs="Times New Roman"/>
          <w:noProof/>
          <w:sz w:val="24"/>
          <w:szCs w:val="24"/>
          <w:lang w:val="en-GB"/>
        </w:rPr>
        <w:t xml:space="preserve">. Cambridge (UK): Polity Press. </w:t>
      </w:r>
    </w:p>
    <w:p w:rsidR="004934E3" w:rsidRPr="006F07C8" w:rsidRDefault="004934E3" w:rsidP="002F52A9">
      <w:pPr>
        <w:spacing w:after="0" w:line="240" w:lineRule="auto"/>
        <w:ind w:left="720" w:hanging="720"/>
        <w:jc w:val="both"/>
        <w:rPr>
          <w:rFonts w:ascii="Times New Roman" w:hAnsi="Times New Roman" w:cs="Times New Roman"/>
          <w:noProof/>
          <w:sz w:val="24"/>
          <w:szCs w:val="24"/>
          <w:lang w:val="en-GB"/>
        </w:rPr>
      </w:pPr>
      <w:r w:rsidRPr="006F07C8">
        <w:rPr>
          <w:rFonts w:ascii="Times New Roman" w:hAnsi="Times New Roman" w:cs="Times New Roman"/>
          <w:noProof/>
          <w:sz w:val="24"/>
          <w:szCs w:val="24"/>
          <w:lang w:val="en-GB"/>
        </w:rPr>
        <w:t xml:space="preserve">De Swaan, Abram. 2007. "The language predicament of the EU since the enlargements", </w:t>
      </w:r>
      <w:r w:rsidRPr="006F07C8">
        <w:rPr>
          <w:rFonts w:ascii="Times New Roman" w:hAnsi="Times New Roman" w:cs="Times New Roman"/>
          <w:i/>
          <w:noProof/>
          <w:sz w:val="24"/>
          <w:szCs w:val="24"/>
          <w:lang w:val="en-GB"/>
        </w:rPr>
        <w:t>Sociolinguistica,</w:t>
      </w:r>
      <w:r w:rsidRPr="006F07C8">
        <w:rPr>
          <w:rFonts w:ascii="Times New Roman" w:hAnsi="Times New Roman" w:cs="Times New Roman"/>
          <w:noProof/>
          <w:sz w:val="24"/>
          <w:szCs w:val="24"/>
          <w:lang w:val="en-GB"/>
        </w:rPr>
        <w:t xml:space="preserve"> 21, pp. 1-21.</w:t>
      </w:r>
    </w:p>
    <w:p w:rsidR="004934E3" w:rsidRPr="006F07C8" w:rsidRDefault="004934E3" w:rsidP="002F52A9">
      <w:pPr>
        <w:spacing w:after="0" w:line="240" w:lineRule="auto"/>
        <w:ind w:left="720" w:hanging="720"/>
        <w:jc w:val="both"/>
        <w:rPr>
          <w:rFonts w:ascii="Times New Roman" w:hAnsi="Times New Roman" w:cs="Times New Roman"/>
          <w:noProof/>
          <w:sz w:val="24"/>
          <w:szCs w:val="24"/>
          <w:lang w:val="it-IT"/>
        </w:rPr>
      </w:pPr>
      <w:r w:rsidRPr="006F07C8">
        <w:rPr>
          <w:rFonts w:ascii="Times New Roman" w:hAnsi="Times New Roman" w:cs="Times New Roman"/>
          <w:noProof/>
          <w:sz w:val="24"/>
          <w:szCs w:val="24"/>
          <w:lang w:val="it-IT"/>
        </w:rPr>
        <w:t xml:space="preserve">Dell'Aquila, Vittorio e Gabriele Iannàccaro. 2004. </w:t>
      </w:r>
      <w:r w:rsidRPr="006F07C8">
        <w:rPr>
          <w:rFonts w:ascii="Times New Roman" w:hAnsi="Times New Roman" w:cs="Times New Roman"/>
          <w:i/>
          <w:noProof/>
          <w:sz w:val="24"/>
          <w:szCs w:val="24"/>
          <w:lang w:val="it-IT"/>
        </w:rPr>
        <w:t>La pianificazione linguistica. Lingue, società e istituzioni</w:t>
      </w:r>
      <w:r w:rsidRPr="006F07C8">
        <w:rPr>
          <w:rFonts w:ascii="Times New Roman" w:hAnsi="Times New Roman" w:cs="Times New Roman"/>
          <w:noProof/>
          <w:sz w:val="24"/>
          <w:szCs w:val="24"/>
          <w:lang w:val="it-IT"/>
        </w:rPr>
        <w:t xml:space="preserve">. Roma: Carocci. </w:t>
      </w:r>
    </w:p>
    <w:p w:rsidR="004934E3" w:rsidRPr="006F07C8" w:rsidRDefault="004934E3" w:rsidP="002F52A9">
      <w:pPr>
        <w:spacing w:after="0" w:line="240" w:lineRule="auto"/>
        <w:ind w:left="720" w:hanging="720"/>
        <w:jc w:val="both"/>
        <w:rPr>
          <w:rFonts w:ascii="Times New Roman" w:hAnsi="Times New Roman" w:cs="Times New Roman"/>
          <w:noProof/>
          <w:sz w:val="24"/>
          <w:szCs w:val="24"/>
          <w:lang w:val="it-IT"/>
        </w:rPr>
      </w:pPr>
      <w:r w:rsidRPr="006F07C8">
        <w:rPr>
          <w:rFonts w:ascii="Times New Roman" w:hAnsi="Times New Roman" w:cs="Times New Roman"/>
          <w:noProof/>
          <w:sz w:val="24"/>
          <w:szCs w:val="24"/>
          <w:lang w:val="it-IT"/>
        </w:rPr>
        <w:t xml:space="preserve">Dell'Aquila, Vittorio e Gabriele Iannàccaro. 2006. </w:t>
      </w:r>
      <w:r w:rsidRPr="006F07C8">
        <w:rPr>
          <w:rFonts w:ascii="Times New Roman" w:hAnsi="Times New Roman" w:cs="Times New Roman"/>
          <w:i/>
          <w:noProof/>
          <w:sz w:val="24"/>
          <w:szCs w:val="24"/>
          <w:lang w:val="it-IT"/>
        </w:rPr>
        <w:t>Survey ladins. Usi linguistici nelle valli ladine</w:t>
      </w:r>
      <w:r w:rsidRPr="006F07C8">
        <w:rPr>
          <w:rFonts w:ascii="Times New Roman" w:hAnsi="Times New Roman" w:cs="Times New Roman"/>
          <w:noProof/>
          <w:sz w:val="24"/>
          <w:szCs w:val="24"/>
          <w:lang w:val="it-IT"/>
        </w:rPr>
        <w:t xml:space="preserve">. Trento: Istitut Cultural Ladin «Majon di Fascegn», Provincia Autonoma di Trento, Centre d'Études Linguistiques pour l'Europe. </w:t>
      </w:r>
    </w:p>
    <w:p w:rsidR="004934E3" w:rsidRPr="006F07C8" w:rsidRDefault="004934E3" w:rsidP="002F52A9">
      <w:pPr>
        <w:spacing w:after="0" w:line="240" w:lineRule="auto"/>
        <w:ind w:left="720" w:hanging="720"/>
        <w:jc w:val="both"/>
        <w:rPr>
          <w:rFonts w:ascii="Times New Roman" w:hAnsi="Times New Roman" w:cs="Times New Roman"/>
          <w:noProof/>
          <w:sz w:val="24"/>
          <w:szCs w:val="24"/>
          <w:lang w:val="it-IT"/>
        </w:rPr>
      </w:pPr>
      <w:r w:rsidRPr="006F07C8">
        <w:rPr>
          <w:rFonts w:ascii="Times New Roman" w:hAnsi="Times New Roman" w:cs="Times New Roman"/>
          <w:noProof/>
          <w:sz w:val="24"/>
          <w:szCs w:val="24"/>
          <w:lang w:val="it-IT"/>
        </w:rPr>
        <w:lastRenderedPageBreak/>
        <w:t>Di Pietrantonio, Sara. 2012. "L’insegnamento delle lingue straniere come politica pubblica: il caso italiano", Tesi di laurea specialistica, Università degli Studi dell’Aquila, L'Aquila.</w:t>
      </w:r>
    </w:p>
    <w:p w:rsidR="004934E3" w:rsidRPr="006F07C8" w:rsidRDefault="004934E3" w:rsidP="002F52A9">
      <w:pPr>
        <w:spacing w:after="0" w:line="240" w:lineRule="auto"/>
        <w:ind w:left="720" w:hanging="720"/>
        <w:jc w:val="both"/>
        <w:rPr>
          <w:rFonts w:ascii="Times New Roman" w:hAnsi="Times New Roman" w:cs="Times New Roman"/>
          <w:noProof/>
          <w:sz w:val="24"/>
          <w:szCs w:val="24"/>
          <w:lang w:val="it-IT"/>
        </w:rPr>
      </w:pPr>
      <w:r w:rsidRPr="006F07C8">
        <w:rPr>
          <w:rFonts w:ascii="Times New Roman" w:hAnsi="Times New Roman" w:cs="Times New Roman"/>
          <w:noProof/>
          <w:sz w:val="24"/>
          <w:szCs w:val="24"/>
          <w:lang w:val="it-IT"/>
        </w:rPr>
        <w:t xml:space="preserve">Eurydice. 2012. </w:t>
      </w:r>
      <w:r w:rsidRPr="006F07C8">
        <w:rPr>
          <w:rFonts w:ascii="Times New Roman" w:hAnsi="Times New Roman" w:cs="Times New Roman"/>
          <w:i/>
          <w:noProof/>
          <w:sz w:val="24"/>
          <w:szCs w:val="24"/>
          <w:lang w:val="it-IT"/>
        </w:rPr>
        <w:t>Cifre chiave dell’insegnamento delle lingue a scuola in Europa 2012</w:t>
      </w:r>
      <w:r w:rsidRPr="006F07C8">
        <w:rPr>
          <w:rFonts w:ascii="Times New Roman" w:hAnsi="Times New Roman" w:cs="Times New Roman"/>
          <w:noProof/>
          <w:sz w:val="24"/>
          <w:szCs w:val="24"/>
          <w:lang w:val="it-IT"/>
        </w:rPr>
        <w:t>. Bruxelles: Commissione europea.</w:t>
      </w:r>
    </w:p>
    <w:p w:rsidR="004934E3" w:rsidRPr="006F07C8" w:rsidRDefault="004934E3" w:rsidP="002F52A9">
      <w:pPr>
        <w:spacing w:after="0" w:line="240" w:lineRule="auto"/>
        <w:ind w:left="720" w:hanging="720"/>
        <w:jc w:val="both"/>
        <w:rPr>
          <w:rFonts w:ascii="Times New Roman" w:hAnsi="Times New Roman" w:cs="Times New Roman"/>
          <w:noProof/>
          <w:sz w:val="24"/>
          <w:szCs w:val="24"/>
          <w:lang w:val="it-IT"/>
        </w:rPr>
      </w:pPr>
      <w:r w:rsidRPr="006F07C8">
        <w:rPr>
          <w:rFonts w:ascii="Times New Roman" w:hAnsi="Times New Roman" w:cs="Times New Roman"/>
          <w:noProof/>
          <w:sz w:val="24"/>
          <w:szCs w:val="24"/>
          <w:lang w:val="it-IT"/>
        </w:rPr>
        <w:t xml:space="preserve">Formentelli, Maicol. 2012. "English Lingua Franca: Reality of Fiction? Assessing the debate on the status of English as a language of global communication", </w:t>
      </w:r>
      <w:r w:rsidRPr="006F07C8">
        <w:rPr>
          <w:rFonts w:ascii="Times New Roman" w:hAnsi="Times New Roman" w:cs="Times New Roman"/>
          <w:i/>
          <w:noProof/>
          <w:sz w:val="24"/>
          <w:szCs w:val="24"/>
          <w:lang w:val="it-IT"/>
        </w:rPr>
        <w:t>Studi italiani di linguistica teorica e applicata,</w:t>
      </w:r>
      <w:r w:rsidRPr="006F07C8">
        <w:rPr>
          <w:rFonts w:ascii="Times New Roman" w:hAnsi="Times New Roman" w:cs="Times New Roman"/>
          <w:noProof/>
          <w:sz w:val="24"/>
          <w:szCs w:val="24"/>
          <w:lang w:val="it-IT"/>
        </w:rPr>
        <w:t xml:space="preserve"> 61 (1), pp. 19-48.</w:t>
      </w:r>
    </w:p>
    <w:p w:rsidR="004934E3" w:rsidRPr="006F07C8" w:rsidRDefault="004934E3" w:rsidP="002F52A9">
      <w:pPr>
        <w:spacing w:after="0" w:line="240" w:lineRule="auto"/>
        <w:ind w:left="720" w:hanging="720"/>
        <w:jc w:val="both"/>
        <w:rPr>
          <w:rFonts w:ascii="Times New Roman" w:hAnsi="Times New Roman" w:cs="Times New Roman"/>
          <w:noProof/>
          <w:sz w:val="24"/>
          <w:szCs w:val="24"/>
          <w:lang w:val="it-IT"/>
        </w:rPr>
      </w:pPr>
      <w:r w:rsidRPr="006F07C8">
        <w:rPr>
          <w:rFonts w:ascii="Times New Roman" w:hAnsi="Times New Roman" w:cs="Times New Roman"/>
          <w:noProof/>
          <w:sz w:val="24"/>
          <w:szCs w:val="24"/>
          <w:lang w:val="it-IT"/>
        </w:rPr>
        <w:t xml:space="preserve">Gazzola, Michele. 2006a. "La gestione del multilinguismo nell'Unione europea", in Carli, Augusto (a cura di) </w:t>
      </w:r>
      <w:r w:rsidRPr="006F07C8">
        <w:rPr>
          <w:rFonts w:ascii="Times New Roman" w:hAnsi="Times New Roman" w:cs="Times New Roman"/>
          <w:i/>
          <w:noProof/>
          <w:sz w:val="24"/>
          <w:szCs w:val="24"/>
          <w:lang w:val="it-IT"/>
        </w:rPr>
        <w:t>Le sfide della politica linguistica di oggi: fra la valorizzazione del multilingualismo migratorio locale e le istanze del plurilinguismo europeo</w:t>
      </w:r>
      <w:r w:rsidRPr="006F07C8">
        <w:rPr>
          <w:rFonts w:ascii="Times New Roman" w:hAnsi="Times New Roman" w:cs="Times New Roman"/>
          <w:noProof/>
          <w:sz w:val="24"/>
          <w:szCs w:val="24"/>
          <w:lang w:val="it-IT"/>
        </w:rPr>
        <w:t>, pp. 17-117. Milano: FrancoAngeli.</w:t>
      </w:r>
    </w:p>
    <w:p w:rsidR="004934E3" w:rsidRPr="006F07C8" w:rsidRDefault="004934E3" w:rsidP="002F52A9">
      <w:pPr>
        <w:spacing w:after="0" w:line="240" w:lineRule="auto"/>
        <w:ind w:left="720" w:hanging="720"/>
        <w:jc w:val="both"/>
        <w:rPr>
          <w:rFonts w:ascii="Times New Roman" w:hAnsi="Times New Roman" w:cs="Times New Roman"/>
          <w:noProof/>
          <w:sz w:val="24"/>
          <w:szCs w:val="24"/>
          <w:lang w:val="it-IT"/>
        </w:rPr>
      </w:pPr>
      <w:r w:rsidRPr="006F07C8">
        <w:rPr>
          <w:rFonts w:ascii="Times New Roman" w:hAnsi="Times New Roman" w:cs="Times New Roman"/>
          <w:noProof/>
          <w:sz w:val="24"/>
          <w:szCs w:val="24"/>
          <w:lang w:val="it-IT"/>
        </w:rPr>
        <w:t xml:space="preserve">Gazzola, Michele. 2006b. "Lingue, Potere e Conflitto. L’economia della guerra delle lingue in Europa", </w:t>
      </w:r>
      <w:r w:rsidRPr="006F07C8">
        <w:rPr>
          <w:rFonts w:ascii="Times New Roman" w:hAnsi="Times New Roman" w:cs="Times New Roman"/>
          <w:i/>
          <w:noProof/>
          <w:sz w:val="24"/>
          <w:szCs w:val="24"/>
          <w:lang w:val="it-IT"/>
        </w:rPr>
        <w:t>Metàbasis,</w:t>
      </w:r>
      <w:r w:rsidRPr="006F07C8">
        <w:rPr>
          <w:rFonts w:ascii="Times New Roman" w:hAnsi="Times New Roman" w:cs="Times New Roman"/>
          <w:noProof/>
          <w:sz w:val="24"/>
          <w:szCs w:val="24"/>
          <w:lang w:val="it-IT"/>
        </w:rPr>
        <w:t xml:space="preserve"> 1 (1), pp. 1-15.</w:t>
      </w:r>
    </w:p>
    <w:p w:rsidR="004934E3" w:rsidRPr="006F07C8" w:rsidRDefault="004934E3" w:rsidP="002F52A9">
      <w:pPr>
        <w:spacing w:after="0" w:line="240" w:lineRule="auto"/>
        <w:ind w:left="720" w:hanging="720"/>
        <w:jc w:val="both"/>
        <w:rPr>
          <w:rFonts w:ascii="Times New Roman" w:hAnsi="Times New Roman" w:cs="Times New Roman"/>
          <w:noProof/>
          <w:sz w:val="24"/>
          <w:szCs w:val="24"/>
          <w:lang w:val="en-GB"/>
        </w:rPr>
      </w:pPr>
      <w:r w:rsidRPr="006F07C8">
        <w:rPr>
          <w:rFonts w:ascii="Times New Roman" w:hAnsi="Times New Roman" w:cs="Times New Roman"/>
          <w:noProof/>
          <w:sz w:val="24"/>
          <w:szCs w:val="24"/>
          <w:lang w:val="en-GB"/>
        </w:rPr>
        <w:t xml:space="preserve">Gazzola, Michele. 2012. "The linguistic implications of academic performance indicators: general trends and case study", </w:t>
      </w:r>
      <w:r w:rsidRPr="006F07C8">
        <w:rPr>
          <w:rFonts w:ascii="Times New Roman" w:hAnsi="Times New Roman" w:cs="Times New Roman"/>
          <w:i/>
          <w:noProof/>
          <w:sz w:val="24"/>
          <w:szCs w:val="24"/>
          <w:lang w:val="en-GB"/>
        </w:rPr>
        <w:t>International Journal of the Sociology of Language,</w:t>
      </w:r>
      <w:r w:rsidRPr="006F07C8">
        <w:rPr>
          <w:rFonts w:ascii="Times New Roman" w:hAnsi="Times New Roman" w:cs="Times New Roman"/>
          <w:noProof/>
          <w:sz w:val="24"/>
          <w:szCs w:val="24"/>
          <w:lang w:val="en-GB"/>
        </w:rPr>
        <w:t xml:space="preserve"> 216, pp. 131-156.</w:t>
      </w:r>
    </w:p>
    <w:p w:rsidR="004934E3" w:rsidRPr="006F07C8" w:rsidRDefault="004934E3" w:rsidP="002F52A9">
      <w:pPr>
        <w:spacing w:after="0" w:line="240" w:lineRule="auto"/>
        <w:ind w:left="720" w:hanging="720"/>
        <w:jc w:val="both"/>
        <w:rPr>
          <w:rFonts w:ascii="Times New Roman" w:hAnsi="Times New Roman" w:cs="Times New Roman"/>
          <w:noProof/>
          <w:sz w:val="24"/>
          <w:szCs w:val="24"/>
          <w:lang w:val="en-GB"/>
        </w:rPr>
      </w:pPr>
      <w:r w:rsidRPr="006F07C8">
        <w:rPr>
          <w:rFonts w:ascii="Times New Roman" w:hAnsi="Times New Roman" w:cs="Times New Roman"/>
          <w:noProof/>
          <w:sz w:val="24"/>
          <w:szCs w:val="24"/>
          <w:lang w:val="en-GB"/>
        </w:rPr>
        <w:t xml:space="preserve">Gazzola, Michele. 2014. </w:t>
      </w:r>
      <w:r w:rsidRPr="006F07C8">
        <w:rPr>
          <w:rFonts w:ascii="Times New Roman" w:hAnsi="Times New Roman" w:cs="Times New Roman"/>
          <w:i/>
          <w:noProof/>
          <w:sz w:val="24"/>
          <w:szCs w:val="24"/>
          <w:lang w:val="en-GB"/>
        </w:rPr>
        <w:t>The evaluation of language regimes. Theory and application to multilingual patent organisations</w:t>
      </w:r>
      <w:r w:rsidRPr="006F07C8">
        <w:rPr>
          <w:rFonts w:ascii="Times New Roman" w:hAnsi="Times New Roman" w:cs="Times New Roman"/>
          <w:noProof/>
          <w:sz w:val="24"/>
          <w:szCs w:val="24"/>
          <w:lang w:val="en-GB"/>
        </w:rPr>
        <w:t xml:space="preserve">. Amsterdam: John Benjamins. </w:t>
      </w:r>
    </w:p>
    <w:p w:rsidR="004934E3" w:rsidRPr="006F07C8" w:rsidRDefault="004934E3" w:rsidP="002F52A9">
      <w:pPr>
        <w:spacing w:after="0" w:line="240" w:lineRule="auto"/>
        <w:ind w:left="720" w:hanging="720"/>
        <w:jc w:val="both"/>
        <w:rPr>
          <w:rFonts w:ascii="Times New Roman" w:hAnsi="Times New Roman" w:cs="Times New Roman"/>
          <w:noProof/>
          <w:sz w:val="24"/>
          <w:szCs w:val="24"/>
          <w:lang w:val="en-GB"/>
        </w:rPr>
      </w:pPr>
      <w:r w:rsidRPr="006F07C8">
        <w:rPr>
          <w:rFonts w:ascii="Times New Roman" w:hAnsi="Times New Roman" w:cs="Times New Roman"/>
          <w:noProof/>
          <w:sz w:val="24"/>
          <w:szCs w:val="24"/>
          <w:lang w:val="en-GB"/>
        </w:rPr>
        <w:t xml:space="preserve">Gazzola, Michele e François Grin. 2013. "Is ELF more effective and fair than translation? An evaluation of the EU’s multilingual regime", </w:t>
      </w:r>
      <w:r w:rsidRPr="006F07C8">
        <w:rPr>
          <w:rFonts w:ascii="Times New Roman" w:hAnsi="Times New Roman" w:cs="Times New Roman"/>
          <w:i/>
          <w:noProof/>
          <w:sz w:val="24"/>
          <w:szCs w:val="24"/>
          <w:lang w:val="en-GB"/>
        </w:rPr>
        <w:t>International Journal of Applied Linguistics,</w:t>
      </w:r>
      <w:r w:rsidRPr="006F07C8">
        <w:rPr>
          <w:rFonts w:ascii="Times New Roman" w:hAnsi="Times New Roman" w:cs="Times New Roman"/>
          <w:noProof/>
          <w:sz w:val="24"/>
          <w:szCs w:val="24"/>
          <w:lang w:val="en-GB"/>
        </w:rPr>
        <w:t xml:space="preserve"> 23 (1), pp. 93-107.</w:t>
      </w:r>
    </w:p>
    <w:p w:rsidR="004934E3" w:rsidRPr="006F07C8" w:rsidRDefault="004934E3" w:rsidP="002F52A9">
      <w:pPr>
        <w:spacing w:after="0" w:line="240" w:lineRule="auto"/>
        <w:ind w:left="720" w:hanging="720"/>
        <w:jc w:val="both"/>
        <w:rPr>
          <w:rFonts w:ascii="Times New Roman" w:hAnsi="Times New Roman" w:cs="Times New Roman"/>
          <w:noProof/>
          <w:sz w:val="24"/>
          <w:szCs w:val="24"/>
          <w:lang w:val="en-GB"/>
        </w:rPr>
      </w:pPr>
      <w:r w:rsidRPr="006F07C8">
        <w:rPr>
          <w:rFonts w:ascii="Times New Roman" w:hAnsi="Times New Roman" w:cs="Times New Roman"/>
          <w:noProof/>
          <w:sz w:val="24"/>
          <w:szCs w:val="24"/>
          <w:lang w:val="it-IT"/>
        </w:rPr>
        <w:t xml:space="preserve">Gazzola, Michele e Alessia Volpe. </w:t>
      </w:r>
      <w:r w:rsidRPr="006F07C8">
        <w:rPr>
          <w:rFonts w:ascii="Times New Roman" w:hAnsi="Times New Roman" w:cs="Times New Roman"/>
          <w:noProof/>
          <w:sz w:val="24"/>
          <w:szCs w:val="24"/>
          <w:lang w:val="en-GB"/>
        </w:rPr>
        <w:t xml:space="preserve">2013. "Linguistic justice in IP policies: Evaluating the language regime of the European Patent Office", </w:t>
      </w:r>
      <w:r w:rsidRPr="006F07C8">
        <w:rPr>
          <w:rFonts w:ascii="Times New Roman" w:hAnsi="Times New Roman" w:cs="Times New Roman"/>
          <w:i/>
          <w:noProof/>
          <w:sz w:val="24"/>
          <w:szCs w:val="24"/>
          <w:lang w:val="en-GB"/>
        </w:rPr>
        <w:t>European Journal of Law and Economics,</w:t>
      </w:r>
      <w:r w:rsidRPr="006F07C8">
        <w:rPr>
          <w:rFonts w:ascii="Times New Roman" w:hAnsi="Times New Roman" w:cs="Times New Roman"/>
          <w:noProof/>
          <w:sz w:val="24"/>
          <w:szCs w:val="24"/>
          <w:lang w:val="en-GB"/>
        </w:rPr>
        <w:t xml:space="preserve"> (in stampa, DOI: 10.1007/s10657-013-9394-z).</w:t>
      </w:r>
    </w:p>
    <w:p w:rsidR="004934E3" w:rsidRPr="006F07C8" w:rsidRDefault="004934E3" w:rsidP="002F52A9">
      <w:pPr>
        <w:spacing w:after="0" w:line="240" w:lineRule="auto"/>
        <w:ind w:left="720" w:hanging="720"/>
        <w:jc w:val="both"/>
        <w:rPr>
          <w:rFonts w:ascii="Times New Roman" w:hAnsi="Times New Roman" w:cs="Times New Roman"/>
          <w:noProof/>
          <w:sz w:val="24"/>
          <w:szCs w:val="24"/>
          <w:lang w:val="en-GB"/>
        </w:rPr>
      </w:pPr>
      <w:r w:rsidRPr="006F07C8">
        <w:rPr>
          <w:rFonts w:ascii="Times New Roman" w:hAnsi="Times New Roman" w:cs="Times New Roman"/>
          <w:noProof/>
          <w:sz w:val="24"/>
          <w:szCs w:val="24"/>
          <w:lang w:val="en-GB"/>
        </w:rPr>
        <w:t xml:space="preserve">Ginsburgh, Victor e Shlomo Weber. 2005. "Language disenfranchisement in the European Union", </w:t>
      </w:r>
      <w:r w:rsidRPr="006F07C8">
        <w:rPr>
          <w:rFonts w:ascii="Times New Roman" w:hAnsi="Times New Roman" w:cs="Times New Roman"/>
          <w:i/>
          <w:noProof/>
          <w:sz w:val="24"/>
          <w:szCs w:val="24"/>
          <w:lang w:val="en-GB"/>
        </w:rPr>
        <w:t>Journal of Common Market Studies,</w:t>
      </w:r>
      <w:r w:rsidRPr="006F07C8">
        <w:rPr>
          <w:rFonts w:ascii="Times New Roman" w:hAnsi="Times New Roman" w:cs="Times New Roman"/>
          <w:noProof/>
          <w:sz w:val="24"/>
          <w:szCs w:val="24"/>
          <w:lang w:val="en-GB"/>
        </w:rPr>
        <w:t xml:space="preserve"> 43 (2), pp. 273-286.</w:t>
      </w:r>
    </w:p>
    <w:p w:rsidR="004934E3" w:rsidRPr="006F07C8" w:rsidRDefault="004934E3" w:rsidP="002F52A9">
      <w:pPr>
        <w:spacing w:after="0" w:line="240" w:lineRule="auto"/>
        <w:ind w:left="720" w:hanging="720"/>
        <w:jc w:val="both"/>
        <w:rPr>
          <w:rFonts w:ascii="Times New Roman" w:hAnsi="Times New Roman" w:cs="Times New Roman"/>
          <w:noProof/>
          <w:sz w:val="24"/>
          <w:szCs w:val="24"/>
          <w:lang w:val="en-GB"/>
        </w:rPr>
      </w:pPr>
      <w:r w:rsidRPr="006F07C8">
        <w:rPr>
          <w:rFonts w:ascii="Times New Roman" w:hAnsi="Times New Roman" w:cs="Times New Roman"/>
          <w:noProof/>
          <w:sz w:val="24"/>
          <w:szCs w:val="24"/>
          <w:lang w:val="en-GB"/>
        </w:rPr>
        <w:t xml:space="preserve">Ginsburgh, Victor e Shlomo Weber. 2011. </w:t>
      </w:r>
      <w:r w:rsidRPr="006F07C8">
        <w:rPr>
          <w:rFonts w:ascii="Times New Roman" w:hAnsi="Times New Roman" w:cs="Times New Roman"/>
          <w:i/>
          <w:noProof/>
          <w:sz w:val="24"/>
          <w:szCs w:val="24"/>
          <w:lang w:val="en-GB"/>
        </w:rPr>
        <w:t>How many languages do we need? The economics of linguistic diversity</w:t>
      </w:r>
      <w:r w:rsidRPr="006F07C8">
        <w:rPr>
          <w:rFonts w:ascii="Times New Roman" w:hAnsi="Times New Roman" w:cs="Times New Roman"/>
          <w:noProof/>
          <w:sz w:val="24"/>
          <w:szCs w:val="24"/>
          <w:lang w:val="en-GB"/>
        </w:rPr>
        <w:t xml:space="preserve">. Princeton: Princeton University Press. </w:t>
      </w:r>
    </w:p>
    <w:p w:rsidR="004934E3" w:rsidRPr="006F07C8" w:rsidRDefault="004934E3" w:rsidP="002F52A9">
      <w:pPr>
        <w:spacing w:after="0" w:line="240" w:lineRule="auto"/>
        <w:ind w:left="720" w:hanging="720"/>
        <w:jc w:val="both"/>
        <w:rPr>
          <w:rFonts w:ascii="Times New Roman" w:hAnsi="Times New Roman" w:cs="Times New Roman"/>
          <w:noProof/>
          <w:sz w:val="24"/>
          <w:szCs w:val="24"/>
          <w:lang w:val="it-IT"/>
        </w:rPr>
      </w:pPr>
      <w:r w:rsidRPr="006F07C8">
        <w:rPr>
          <w:rFonts w:ascii="Times New Roman" w:hAnsi="Times New Roman" w:cs="Times New Roman"/>
          <w:noProof/>
          <w:sz w:val="24"/>
          <w:szCs w:val="24"/>
          <w:lang w:val="en-GB"/>
        </w:rPr>
        <w:t xml:space="preserve">Gramsci, Antonio. </w:t>
      </w:r>
      <w:r w:rsidRPr="006F07C8">
        <w:rPr>
          <w:rFonts w:ascii="Times New Roman" w:hAnsi="Times New Roman" w:cs="Times New Roman"/>
          <w:noProof/>
          <w:sz w:val="24"/>
          <w:szCs w:val="24"/>
          <w:lang w:val="it-IT"/>
        </w:rPr>
        <w:t xml:space="preserve">1993. </w:t>
      </w:r>
      <w:r w:rsidRPr="006F07C8">
        <w:rPr>
          <w:rFonts w:ascii="Times New Roman" w:hAnsi="Times New Roman" w:cs="Times New Roman"/>
          <w:i/>
          <w:noProof/>
          <w:sz w:val="24"/>
          <w:szCs w:val="24"/>
          <w:lang w:val="it-IT"/>
        </w:rPr>
        <w:t>Gramatica e linguistica</w:t>
      </w:r>
      <w:r w:rsidRPr="006F07C8">
        <w:rPr>
          <w:rFonts w:ascii="Times New Roman" w:hAnsi="Times New Roman" w:cs="Times New Roman"/>
          <w:noProof/>
          <w:sz w:val="24"/>
          <w:szCs w:val="24"/>
          <w:lang w:val="it-IT"/>
        </w:rPr>
        <w:t xml:space="preserve">. Roma: Editori Riuniti. </w:t>
      </w:r>
    </w:p>
    <w:p w:rsidR="004934E3" w:rsidRPr="006F07C8" w:rsidRDefault="004934E3" w:rsidP="002F52A9">
      <w:pPr>
        <w:spacing w:after="0" w:line="240" w:lineRule="auto"/>
        <w:ind w:left="720" w:hanging="720"/>
        <w:jc w:val="both"/>
        <w:rPr>
          <w:rFonts w:ascii="Times New Roman" w:hAnsi="Times New Roman" w:cs="Times New Roman"/>
          <w:noProof/>
          <w:sz w:val="24"/>
          <w:szCs w:val="24"/>
          <w:lang w:val="en-GB"/>
        </w:rPr>
      </w:pPr>
      <w:r w:rsidRPr="006F07C8">
        <w:rPr>
          <w:rFonts w:ascii="Times New Roman" w:hAnsi="Times New Roman" w:cs="Times New Roman"/>
          <w:noProof/>
          <w:sz w:val="24"/>
          <w:szCs w:val="24"/>
          <w:lang w:val="en-GB"/>
        </w:rPr>
        <w:t xml:space="preserve">Grin, François. 2003a. "Language planning and economics", </w:t>
      </w:r>
      <w:r w:rsidRPr="006F07C8">
        <w:rPr>
          <w:rFonts w:ascii="Times New Roman" w:hAnsi="Times New Roman" w:cs="Times New Roman"/>
          <w:i/>
          <w:noProof/>
          <w:sz w:val="24"/>
          <w:szCs w:val="24"/>
          <w:lang w:val="en-GB"/>
        </w:rPr>
        <w:t>Current Issues in Language Planning,</w:t>
      </w:r>
      <w:r w:rsidRPr="006F07C8">
        <w:rPr>
          <w:rFonts w:ascii="Times New Roman" w:hAnsi="Times New Roman" w:cs="Times New Roman"/>
          <w:noProof/>
          <w:sz w:val="24"/>
          <w:szCs w:val="24"/>
          <w:lang w:val="en-GB"/>
        </w:rPr>
        <w:t xml:space="preserve"> 4 (1), pp. 1-66.</w:t>
      </w:r>
    </w:p>
    <w:p w:rsidR="004934E3" w:rsidRPr="006F07C8" w:rsidRDefault="004934E3" w:rsidP="002F52A9">
      <w:pPr>
        <w:spacing w:after="0" w:line="240" w:lineRule="auto"/>
        <w:ind w:left="720" w:hanging="720"/>
        <w:jc w:val="both"/>
        <w:rPr>
          <w:rFonts w:ascii="Times New Roman" w:hAnsi="Times New Roman" w:cs="Times New Roman"/>
          <w:noProof/>
          <w:sz w:val="24"/>
          <w:szCs w:val="24"/>
        </w:rPr>
      </w:pPr>
      <w:r w:rsidRPr="006F07C8">
        <w:rPr>
          <w:rFonts w:ascii="Times New Roman" w:hAnsi="Times New Roman" w:cs="Times New Roman"/>
          <w:noProof/>
          <w:sz w:val="24"/>
          <w:szCs w:val="24"/>
          <w:lang w:val="en-GB"/>
        </w:rPr>
        <w:t xml:space="preserve">Grin, François. 2003b. </w:t>
      </w:r>
      <w:r w:rsidRPr="006F07C8">
        <w:rPr>
          <w:rFonts w:ascii="Times New Roman" w:hAnsi="Times New Roman" w:cs="Times New Roman"/>
          <w:i/>
          <w:noProof/>
          <w:sz w:val="24"/>
          <w:szCs w:val="24"/>
          <w:lang w:val="en-GB"/>
        </w:rPr>
        <w:t>Language policy evaluation and the European charter for regional or minority languages</w:t>
      </w:r>
      <w:r w:rsidRPr="006F07C8">
        <w:rPr>
          <w:rFonts w:ascii="Times New Roman" w:hAnsi="Times New Roman" w:cs="Times New Roman"/>
          <w:noProof/>
          <w:sz w:val="24"/>
          <w:szCs w:val="24"/>
          <w:lang w:val="en-GB"/>
        </w:rPr>
        <w:t xml:space="preserve">. </w:t>
      </w:r>
      <w:r w:rsidRPr="006F07C8">
        <w:rPr>
          <w:rFonts w:ascii="Times New Roman" w:hAnsi="Times New Roman" w:cs="Times New Roman"/>
          <w:noProof/>
          <w:sz w:val="24"/>
          <w:szCs w:val="24"/>
        </w:rPr>
        <w:t xml:space="preserve">Basingstoke: Palgrave Macmillan. </w:t>
      </w:r>
    </w:p>
    <w:p w:rsidR="004934E3" w:rsidRPr="006F07C8" w:rsidRDefault="004934E3" w:rsidP="002F52A9">
      <w:pPr>
        <w:spacing w:after="0" w:line="240" w:lineRule="auto"/>
        <w:ind w:left="720" w:hanging="720"/>
        <w:jc w:val="both"/>
        <w:rPr>
          <w:rFonts w:ascii="Times New Roman" w:hAnsi="Times New Roman" w:cs="Times New Roman"/>
          <w:noProof/>
          <w:sz w:val="24"/>
          <w:szCs w:val="24"/>
        </w:rPr>
      </w:pPr>
      <w:r w:rsidRPr="006F07C8">
        <w:rPr>
          <w:rFonts w:ascii="Times New Roman" w:hAnsi="Times New Roman" w:cs="Times New Roman"/>
          <w:noProof/>
          <w:sz w:val="24"/>
          <w:szCs w:val="24"/>
        </w:rPr>
        <w:t xml:space="preserve">Grin, François. 2004a. "L'anglais comme </w:t>
      </w:r>
      <w:r w:rsidRPr="006F07C8">
        <w:rPr>
          <w:rFonts w:ascii="Times New Roman" w:hAnsi="Times New Roman" w:cs="Times New Roman"/>
          <w:i/>
          <w:noProof/>
          <w:sz w:val="24"/>
          <w:szCs w:val="24"/>
        </w:rPr>
        <w:t xml:space="preserve">lingua franca: </w:t>
      </w:r>
      <w:r w:rsidRPr="006F07C8">
        <w:rPr>
          <w:rFonts w:ascii="Times New Roman" w:hAnsi="Times New Roman" w:cs="Times New Roman"/>
          <w:noProof/>
          <w:sz w:val="24"/>
          <w:szCs w:val="24"/>
        </w:rPr>
        <w:t xml:space="preserve">questions de coût et d'équité. Commentaire sur l'article de Philippe Van Parijs", </w:t>
      </w:r>
      <w:r w:rsidRPr="006F07C8">
        <w:rPr>
          <w:rFonts w:ascii="Times New Roman" w:hAnsi="Times New Roman" w:cs="Times New Roman"/>
          <w:i/>
          <w:noProof/>
          <w:sz w:val="24"/>
          <w:szCs w:val="24"/>
        </w:rPr>
        <w:t>Économie publique,</w:t>
      </w:r>
      <w:r w:rsidRPr="006F07C8">
        <w:rPr>
          <w:rFonts w:ascii="Times New Roman" w:hAnsi="Times New Roman" w:cs="Times New Roman"/>
          <w:noProof/>
          <w:sz w:val="24"/>
          <w:szCs w:val="24"/>
        </w:rPr>
        <w:t xml:space="preserve"> 15 (2), pp. 33-41.</w:t>
      </w:r>
    </w:p>
    <w:p w:rsidR="004934E3" w:rsidRPr="006F07C8" w:rsidRDefault="004934E3" w:rsidP="002F52A9">
      <w:pPr>
        <w:spacing w:after="0" w:line="240" w:lineRule="auto"/>
        <w:ind w:left="720" w:hanging="720"/>
        <w:jc w:val="both"/>
        <w:rPr>
          <w:rFonts w:ascii="Times New Roman" w:hAnsi="Times New Roman" w:cs="Times New Roman"/>
          <w:noProof/>
          <w:sz w:val="24"/>
          <w:szCs w:val="24"/>
        </w:rPr>
      </w:pPr>
      <w:r w:rsidRPr="006F07C8">
        <w:rPr>
          <w:rFonts w:ascii="Times New Roman" w:hAnsi="Times New Roman" w:cs="Times New Roman"/>
          <w:noProof/>
          <w:sz w:val="24"/>
          <w:szCs w:val="24"/>
        </w:rPr>
        <w:t xml:space="preserve">Grin, François. 2004b. "L'élargissement de l'Union européenne: questions de coût et justice linguistique", </w:t>
      </w:r>
      <w:r w:rsidRPr="006F07C8">
        <w:rPr>
          <w:rFonts w:ascii="Times New Roman" w:hAnsi="Times New Roman" w:cs="Times New Roman"/>
          <w:i/>
          <w:noProof/>
          <w:sz w:val="24"/>
          <w:szCs w:val="24"/>
        </w:rPr>
        <w:t>Panoramiques,</w:t>
      </w:r>
      <w:r w:rsidRPr="006F07C8">
        <w:rPr>
          <w:rFonts w:ascii="Times New Roman" w:hAnsi="Times New Roman" w:cs="Times New Roman"/>
          <w:noProof/>
          <w:sz w:val="24"/>
          <w:szCs w:val="24"/>
        </w:rPr>
        <w:t xml:space="preserve"> 69, pp. 97-104.</w:t>
      </w:r>
    </w:p>
    <w:p w:rsidR="004934E3" w:rsidRPr="006F07C8" w:rsidRDefault="004934E3" w:rsidP="002F52A9">
      <w:pPr>
        <w:spacing w:after="0" w:line="240" w:lineRule="auto"/>
        <w:ind w:left="720" w:hanging="720"/>
        <w:jc w:val="both"/>
        <w:rPr>
          <w:rFonts w:ascii="Times New Roman" w:hAnsi="Times New Roman" w:cs="Times New Roman"/>
          <w:noProof/>
          <w:sz w:val="24"/>
          <w:szCs w:val="24"/>
        </w:rPr>
      </w:pPr>
      <w:r w:rsidRPr="006F07C8">
        <w:rPr>
          <w:rFonts w:ascii="Times New Roman" w:hAnsi="Times New Roman" w:cs="Times New Roman"/>
          <w:noProof/>
          <w:sz w:val="24"/>
          <w:szCs w:val="24"/>
        </w:rPr>
        <w:t xml:space="preserve">Grin, François. 2005. </w:t>
      </w:r>
      <w:r w:rsidRPr="006F07C8">
        <w:rPr>
          <w:rFonts w:ascii="Times New Roman" w:hAnsi="Times New Roman" w:cs="Times New Roman"/>
          <w:i/>
          <w:noProof/>
          <w:sz w:val="24"/>
          <w:szCs w:val="24"/>
        </w:rPr>
        <w:t>L'enseignement des langues étrangères comme politique publique</w:t>
      </w:r>
      <w:r w:rsidRPr="006F07C8">
        <w:rPr>
          <w:rFonts w:ascii="Times New Roman" w:hAnsi="Times New Roman" w:cs="Times New Roman"/>
          <w:noProof/>
          <w:sz w:val="24"/>
          <w:szCs w:val="24"/>
        </w:rPr>
        <w:t>, 19. Parigi: Rapport au Haut Conseil de l'évaluation de l'école.</w:t>
      </w:r>
    </w:p>
    <w:p w:rsidR="004934E3" w:rsidRPr="006F07C8" w:rsidRDefault="004934E3" w:rsidP="002F52A9">
      <w:pPr>
        <w:spacing w:after="0" w:line="240" w:lineRule="auto"/>
        <w:ind w:left="720" w:hanging="720"/>
        <w:jc w:val="both"/>
        <w:rPr>
          <w:rFonts w:ascii="Times New Roman" w:hAnsi="Times New Roman" w:cs="Times New Roman"/>
          <w:noProof/>
          <w:sz w:val="24"/>
          <w:szCs w:val="24"/>
        </w:rPr>
      </w:pPr>
      <w:r w:rsidRPr="006F07C8">
        <w:rPr>
          <w:rFonts w:ascii="Times New Roman" w:hAnsi="Times New Roman" w:cs="Times New Roman"/>
          <w:noProof/>
          <w:sz w:val="24"/>
          <w:szCs w:val="24"/>
        </w:rPr>
        <w:t xml:space="preserve">Grin, François. 2006. "Peut-on faire confiance au modèle ‘1+2’? Une évaluation critique des scénarios de communication dans l’Europe multilingue", </w:t>
      </w:r>
      <w:r w:rsidRPr="006F07C8">
        <w:rPr>
          <w:rFonts w:ascii="Times New Roman" w:hAnsi="Times New Roman" w:cs="Times New Roman"/>
          <w:i/>
          <w:noProof/>
          <w:sz w:val="24"/>
          <w:szCs w:val="24"/>
        </w:rPr>
        <w:t xml:space="preserve">Revista de Llengua i Dret </w:t>
      </w:r>
      <w:r w:rsidRPr="006F07C8">
        <w:rPr>
          <w:rFonts w:ascii="Times New Roman" w:hAnsi="Times New Roman" w:cs="Times New Roman"/>
          <w:noProof/>
          <w:sz w:val="24"/>
          <w:szCs w:val="24"/>
        </w:rPr>
        <w:t>45, pp. 217-231.</w:t>
      </w:r>
    </w:p>
    <w:p w:rsidR="004934E3" w:rsidRPr="006F07C8" w:rsidRDefault="004934E3" w:rsidP="002F52A9">
      <w:pPr>
        <w:spacing w:after="0" w:line="240" w:lineRule="auto"/>
        <w:ind w:left="720" w:hanging="720"/>
        <w:jc w:val="both"/>
        <w:rPr>
          <w:rFonts w:ascii="Times New Roman" w:hAnsi="Times New Roman" w:cs="Times New Roman"/>
          <w:noProof/>
          <w:sz w:val="24"/>
          <w:szCs w:val="24"/>
          <w:lang w:val="it-IT"/>
        </w:rPr>
      </w:pPr>
      <w:r w:rsidRPr="006F07C8">
        <w:rPr>
          <w:rFonts w:ascii="Times New Roman" w:hAnsi="Times New Roman" w:cs="Times New Roman"/>
          <w:noProof/>
          <w:sz w:val="24"/>
          <w:szCs w:val="24"/>
          <w:lang w:val="it-IT"/>
        </w:rPr>
        <w:t xml:space="preserve">Grin, François. 2009. </w:t>
      </w:r>
      <w:r w:rsidRPr="006F07C8">
        <w:rPr>
          <w:rFonts w:ascii="Times New Roman" w:hAnsi="Times New Roman" w:cs="Times New Roman"/>
          <w:i/>
          <w:noProof/>
          <w:sz w:val="24"/>
          <w:szCs w:val="24"/>
          <w:lang w:val="it-IT"/>
        </w:rPr>
        <w:t>L’insegnamento delle lingue straniere come politica pubblica</w:t>
      </w:r>
      <w:r w:rsidRPr="006F07C8">
        <w:rPr>
          <w:rFonts w:ascii="Times New Roman" w:hAnsi="Times New Roman" w:cs="Times New Roman"/>
          <w:noProof/>
          <w:sz w:val="24"/>
          <w:szCs w:val="24"/>
          <w:lang w:val="it-IT"/>
        </w:rPr>
        <w:t xml:space="preserve">. Roma: “Esperanto” Radikala Asocio (ERA) Onlus </w:t>
      </w:r>
    </w:p>
    <w:p w:rsidR="004934E3" w:rsidRPr="006F07C8" w:rsidRDefault="004934E3" w:rsidP="002F52A9">
      <w:pPr>
        <w:spacing w:after="0" w:line="240" w:lineRule="auto"/>
        <w:ind w:left="720" w:hanging="720"/>
        <w:jc w:val="both"/>
        <w:rPr>
          <w:rFonts w:ascii="Times New Roman" w:hAnsi="Times New Roman" w:cs="Times New Roman"/>
          <w:noProof/>
          <w:sz w:val="24"/>
          <w:szCs w:val="24"/>
          <w:lang w:val="en-GB"/>
        </w:rPr>
      </w:pPr>
      <w:r w:rsidRPr="006F07C8">
        <w:rPr>
          <w:rFonts w:ascii="Times New Roman" w:hAnsi="Times New Roman" w:cs="Times New Roman"/>
          <w:noProof/>
          <w:sz w:val="24"/>
          <w:szCs w:val="24"/>
          <w:lang w:val="it-IT"/>
        </w:rPr>
        <w:t xml:space="preserve">Grin, François e Michele Gazzola. </w:t>
      </w:r>
      <w:r w:rsidRPr="006F07C8">
        <w:rPr>
          <w:rFonts w:ascii="Times New Roman" w:hAnsi="Times New Roman" w:cs="Times New Roman"/>
          <w:noProof/>
          <w:sz w:val="24"/>
          <w:szCs w:val="24"/>
          <w:lang w:val="en-GB"/>
        </w:rPr>
        <w:t xml:space="preserve">2013. "Assessing efficiency and fairness in multilingual communication: theory and application through indicators", in Berthoud, Anne-Claude, François Grin, e Georges Lüdi (a cura di) </w:t>
      </w:r>
      <w:r w:rsidRPr="006F07C8">
        <w:rPr>
          <w:rFonts w:ascii="Times New Roman" w:hAnsi="Times New Roman" w:cs="Times New Roman"/>
          <w:i/>
          <w:noProof/>
          <w:sz w:val="24"/>
          <w:szCs w:val="24"/>
          <w:lang w:val="en-GB"/>
        </w:rPr>
        <w:t>Exploring the dynamics of multilingualism</w:t>
      </w:r>
      <w:r w:rsidRPr="006F07C8">
        <w:rPr>
          <w:rFonts w:ascii="Times New Roman" w:hAnsi="Times New Roman" w:cs="Times New Roman"/>
          <w:noProof/>
          <w:sz w:val="24"/>
          <w:szCs w:val="24"/>
          <w:lang w:val="en-GB"/>
        </w:rPr>
        <w:t>, pp. 365–386. Amsterdam: John Benjamins.</w:t>
      </w:r>
    </w:p>
    <w:p w:rsidR="004934E3" w:rsidRPr="006F07C8" w:rsidRDefault="004934E3" w:rsidP="002F52A9">
      <w:pPr>
        <w:spacing w:after="0" w:line="240" w:lineRule="auto"/>
        <w:ind w:left="720" w:hanging="720"/>
        <w:jc w:val="both"/>
        <w:rPr>
          <w:rFonts w:ascii="Times New Roman" w:hAnsi="Times New Roman" w:cs="Times New Roman"/>
          <w:noProof/>
          <w:sz w:val="24"/>
          <w:szCs w:val="24"/>
          <w:lang w:val="it-IT"/>
        </w:rPr>
      </w:pPr>
      <w:r w:rsidRPr="006F07C8">
        <w:rPr>
          <w:rFonts w:ascii="Times New Roman" w:hAnsi="Times New Roman" w:cs="Times New Roman"/>
          <w:noProof/>
          <w:sz w:val="24"/>
          <w:szCs w:val="24"/>
          <w:lang w:val="en-GB"/>
        </w:rPr>
        <w:lastRenderedPageBreak/>
        <w:t xml:space="preserve">Grin, François, Michele Gazzola, Tom Moring, e Johan Häggmann. 2005. </w:t>
      </w:r>
      <w:r w:rsidRPr="006F07C8">
        <w:rPr>
          <w:rFonts w:ascii="Times New Roman" w:hAnsi="Times New Roman" w:cs="Times New Roman"/>
          <w:i/>
          <w:noProof/>
          <w:sz w:val="24"/>
          <w:szCs w:val="24"/>
          <w:lang w:val="en-GB"/>
        </w:rPr>
        <w:t>Ten years of EU support for regional or minority languages: A financial assessment</w:t>
      </w:r>
      <w:r w:rsidRPr="006F07C8">
        <w:rPr>
          <w:rFonts w:ascii="Times New Roman" w:hAnsi="Times New Roman" w:cs="Times New Roman"/>
          <w:noProof/>
          <w:sz w:val="24"/>
          <w:szCs w:val="24"/>
          <w:lang w:val="en-GB"/>
        </w:rPr>
        <w:t xml:space="preserve">, ÉLF Working Papers No 1. </w:t>
      </w:r>
      <w:r w:rsidRPr="006F07C8">
        <w:rPr>
          <w:rFonts w:ascii="Times New Roman" w:hAnsi="Times New Roman" w:cs="Times New Roman"/>
          <w:noProof/>
          <w:sz w:val="24"/>
          <w:szCs w:val="24"/>
          <w:lang w:val="it-IT"/>
        </w:rPr>
        <w:t xml:space="preserve">Geneva: Università di Ginevra </w:t>
      </w:r>
      <w:hyperlink r:id="rId9" w:history="1">
        <w:r w:rsidRPr="006F07C8">
          <w:rPr>
            <w:rStyle w:val="Hyperlink"/>
            <w:rFonts w:ascii="Times New Roman" w:hAnsi="Times New Roman" w:cs="Times New Roman"/>
            <w:noProof/>
            <w:sz w:val="24"/>
            <w:szCs w:val="24"/>
            <w:lang w:val="it-IT"/>
          </w:rPr>
          <w:t>http://bit.ly/1be33YC</w:t>
        </w:r>
      </w:hyperlink>
      <w:r w:rsidRPr="006F07C8">
        <w:rPr>
          <w:rFonts w:ascii="Times New Roman" w:hAnsi="Times New Roman" w:cs="Times New Roman"/>
          <w:noProof/>
          <w:sz w:val="24"/>
          <w:szCs w:val="24"/>
          <w:lang w:val="it-IT"/>
        </w:rPr>
        <w:t>.</w:t>
      </w:r>
    </w:p>
    <w:p w:rsidR="004934E3" w:rsidRPr="006F07C8" w:rsidRDefault="004934E3" w:rsidP="002F52A9">
      <w:pPr>
        <w:spacing w:after="0" w:line="240" w:lineRule="auto"/>
        <w:ind w:left="720" w:hanging="720"/>
        <w:jc w:val="both"/>
        <w:rPr>
          <w:rFonts w:ascii="Times New Roman" w:hAnsi="Times New Roman" w:cs="Times New Roman"/>
          <w:noProof/>
          <w:sz w:val="24"/>
          <w:szCs w:val="24"/>
        </w:rPr>
      </w:pPr>
      <w:r w:rsidRPr="006F07C8">
        <w:rPr>
          <w:rFonts w:ascii="Times New Roman" w:hAnsi="Times New Roman" w:cs="Times New Roman"/>
          <w:noProof/>
          <w:sz w:val="24"/>
          <w:szCs w:val="24"/>
          <w:lang w:val="it-IT"/>
        </w:rPr>
        <w:t>Hanf, Dominik, Klaus Malacek, e Elise Muir</w:t>
      </w:r>
      <w:r w:rsidRPr="006F07C8">
        <w:rPr>
          <w:rFonts w:ascii="Times New Roman" w:hAnsi="Times New Roman" w:cs="Times New Roman"/>
          <w:b/>
          <w:noProof/>
          <w:sz w:val="24"/>
          <w:szCs w:val="24"/>
          <w:lang w:val="it-IT"/>
        </w:rPr>
        <w:t xml:space="preserve"> </w:t>
      </w:r>
      <w:r w:rsidRPr="006F07C8">
        <w:rPr>
          <w:rFonts w:ascii="Times New Roman" w:hAnsi="Times New Roman" w:cs="Times New Roman"/>
          <w:noProof/>
          <w:sz w:val="24"/>
          <w:szCs w:val="24"/>
          <w:lang w:val="it-IT"/>
        </w:rPr>
        <w:t xml:space="preserve">(a cure di). 2010. </w:t>
      </w:r>
      <w:r w:rsidRPr="006F07C8">
        <w:rPr>
          <w:rFonts w:ascii="Times New Roman" w:hAnsi="Times New Roman" w:cs="Times New Roman"/>
          <w:i/>
          <w:noProof/>
          <w:sz w:val="24"/>
          <w:szCs w:val="24"/>
        </w:rPr>
        <w:t>Langues et construction européenne</w:t>
      </w:r>
      <w:r w:rsidRPr="006F07C8">
        <w:rPr>
          <w:rFonts w:ascii="Times New Roman" w:hAnsi="Times New Roman" w:cs="Times New Roman"/>
          <w:noProof/>
          <w:sz w:val="24"/>
          <w:szCs w:val="24"/>
        </w:rPr>
        <w:t>. Bruxelles: Peter Lang.</w:t>
      </w:r>
    </w:p>
    <w:p w:rsidR="004934E3" w:rsidRPr="006F07C8" w:rsidRDefault="004934E3" w:rsidP="002F52A9">
      <w:pPr>
        <w:spacing w:after="0" w:line="240" w:lineRule="auto"/>
        <w:ind w:left="720" w:hanging="720"/>
        <w:jc w:val="both"/>
        <w:rPr>
          <w:rFonts w:ascii="Times New Roman" w:hAnsi="Times New Roman" w:cs="Times New Roman"/>
          <w:noProof/>
          <w:sz w:val="24"/>
          <w:szCs w:val="24"/>
          <w:lang w:val="en-GB"/>
        </w:rPr>
      </w:pPr>
      <w:r w:rsidRPr="006F07C8">
        <w:rPr>
          <w:rFonts w:ascii="Times New Roman" w:hAnsi="Times New Roman" w:cs="Times New Roman"/>
          <w:noProof/>
          <w:sz w:val="24"/>
          <w:szCs w:val="24"/>
          <w:lang w:val="en-GB"/>
        </w:rPr>
        <w:t xml:space="preserve">Hornberger, Nancy H. 2006. "Frameworks and models in language policy and planning ", </w:t>
      </w:r>
      <w:r w:rsidRPr="006F07C8">
        <w:rPr>
          <w:rFonts w:ascii="Times New Roman" w:hAnsi="Times New Roman" w:cs="Times New Roman"/>
          <w:i/>
          <w:noProof/>
          <w:sz w:val="24"/>
          <w:szCs w:val="24"/>
          <w:lang w:val="en-GB"/>
        </w:rPr>
        <w:t>An Introduction to language policy. Theory and methods</w:t>
      </w:r>
      <w:r w:rsidRPr="006F07C8">
        <w:rPr>
          <w:rFonts w:ascii="Times New Roman" w:hAnsi="Times New Roman" w:cs="Times New Roman"/>
          <w:noProof/>
          <w:sz w:val="24"/>
          <w:szCs w:val="24"/>
          <w:lang w:val="en-GB"/>
        </w:rPr>
        <w:t>, pp. 24-41. Oxford: Blackwell.</w:t>
      </w:r>
    </w:p>
    <w:p w:rsidR="004934E3" w:rsidRPr="006F07C8" w:rsidRDefault="004934E3" w:rsidP="002F52A9">
      <w:pPr>
        <w:spacing w:after="0" w:line="240" w:lineRule="auto"/>
        <w:ind w:left="720" w:hanging="720"/>
        <w:jc w:val="both"/>
        <w:rPr>
          <w:rFonts w:ascii="Times New Roman" w:hAnsi="Times New Roman" w:cs="Times New Roman"/>
          <w:noProof/>
          <w:sz w:val="24"/>
          <w:szCs w:val="24"/>
          <w:lang w:val="it-IT"/>
        </w:rPr>
      </w:pPr>
      <w:r w:rsidRPr="006F07C8">
        <w:rPr>
          <w:rFonts w:ascii="Times New Roman" w:hAnsi="Times New Roman" w:cs="Times New Roman"/>
          <w:noProof/>
          <w:sz w:val="24"/>
          <w:szCs w:val="24"/>
          <w:lang w:val="en-GB"/>
        </w:rPr>
        <w:t xml:space="preserve">Hülmbauer, Cornelia e Barbara Seidlhofer. 2013. "English as a lingua franca in European multilingualism", in Berthoud, Anne-Claude, François Grin, e Georges Lüdi (a cura di) </w:t>
      </w:r>
      <w:r w:rsidRPr="006F07C8">
        <w:rPr>
          <w:rFonts w:ascii="Times New Roman" w:hAnsi="Times New Roman" w:cs="Times New Roman"/>
          <w:i/>
          <w:noProof/>
          <w:sz w:val="24"/>
          <w:szCs w:val="24"/>
          <w:lang w:val="en-GB"/>
        </w:rPr>
        <w:t>Exploring the dynamics of multilingualism</w:t>
      </w:r>
      <w:r w:rsidRPr="006F07C8">
        <w:rPr>
          <w:rFonts w:ascii="Times New Roman" w:hAnsi="Times New Roman" w:cs="Times New Roman"/>
          <w:noProof/>
          <w:sz w:val="24"/>
          <w:szCs w:val="24"/>
          <w:lang w:val="en-GB"/>
        </w:rPr>
        <w:t xml:space="preserve">, pp. 387-406. </w:t>
      </w:r>
      <w:r w:rsidRPr="006F07C8">
        <w:rPr>
          <w:rFonts w:ascii="Times New Roman" w:hAnsi="Times New Roman" w:cs="Times New Roman"/>
          <w:noProof/>
          <w:sz w:val="24"/>
          <w:szCs w:val="24"/>
          <w:lang w:val="it-IT"/>
        </w:rPr>
        <w:t>Amsterdam: John Benjamins.</w:t>
      </w:r>
    </w:p>
    <w:p w:rsidR="004934E3" w:rsidRPr="006F07C8" w:rsidRDefault="004934E3" w:rsidP="002F52A9">
      <w:pPr>
        <w:spacing w:after="0" w:line="240" w:lineRule="auto"/>
        <w:ind w:left="720" w:hanging="720"/>
        <w:jc w:val="both"/>
        <w:rPr>
          <w:rFonts w:ascii="Times New Roman" w:hAnsi="Times New Roman" w:cs="Times New Roman"/>
          <w:noProof/>
          <w:sz w:val="24"/>
          <w:szCs w:val="24"/>
          <w:lang w:val="it-IT"/>
        </w:rPr>
      </w:pPr>
      <w:r w:rsidRPr="006F07C8">
        <w:rPr>
          <w:rFonts w:ascii="Times New Roman" w:hAnsi="Times New Roman" w:cs="Times New Roman"/>
          <w:noProof/>
          <w:sz w:val="24"/>
          <w:szCs w:val="24"/>
          <w:lang w:val="it-IT"/>
        </w:rPr>
        <w:t xml:space="preserve">Iannàccaro, Gabriele. 2010. </w:t>
      </w:r>
      <w:r w:rsidRPr="006F07C8">
        <w:rPr>
          <w:rFonts w:ascii="Times New Roman" w:hAnsi="Times New Roman" w:cs="Times New Roman"/>
          <w:i/>
          <w:noProof/>
          <w:sz w:val="24"/>
          <w:szCs w:val="24"/>
          <w:lang w:val="it-IT"/>
        </w:rPr>
        <w:t>Lingue di minoranza e scuola. A dieci anni dalla legge 482/99</w:t>
      </w:r>
      <w:r w:rsidRPr="006F07C8">
        <w:rPr>
          <w:rFonts w:ascii="Times New Roman" w:hAnsi="Times New Roman" w:cs="Times New Roman"/>
          <w:noProof/>
          <w:sz w:val="24"/>
          <w:szCs w:val="24"/>
          <w:lang w:val="it-IT"/>
        </w:rPr>
        <w:t>. Roma: Ministero dell'Istruzione, Università e Ricerca (MIUR).</w:t>
      </w:r>
    </w:p>
    <w:p w:rsidR="004934E3" w:rsidRPr="006F07C8" w:rsidRDefault="004934E3" w:rsidP="002F52A9">
      <w:pPr>
        <w:spacing w:after="0" w:line="240" w:lineRule="auto"/>
        <w:ind w:left="720" w:hanging="720"/>
        <w:jc w:val="both"/>
        <w:rPr>
          <w:rFonts w:ascii="Times New Roman" w:hAnsi="Times New Roman" w:cs="Times New Roman"/>
          <w:noProof/>
          <w:sz w:val="24"/>
          <w:szCs w:val="24"/>
          <w:lang w:val="en-GB"/>
        </w:rPr>
      </w:pPr>
      <w:r w:rsidRPr="006F07C8">
        <w:rPr>
          <w:rFonts w:ascii="Times New Roman" w:hAnsi="Times New Roman" w:cs="Times New Roman"/>
          <w:noProof/>
          <w:sz w:val="24"/>
          <w:szCs w:val="24"/>
          <w:lang w:val="it-IT"/>
        </w:rPr>
        <w:t xml:space="preserve">Jernudd, Björn and Jiří Nekvapil. </w:t>
      </w:r>
      <w:r w:rsidRPr="006F07C8">
        <w:rPr>
          <w:rFonts w:ascii="Times New Roman" w:hAnsi="Times New Roman" w:cs="Times New Roman"/>
          <w:noProof/>
          <w:sz w:val="24"/>
          <w:szCs w:val="24"/>
          <w:lang w:val="en-GB"/>
        </w:rPr>
        <w:t xml:space="preserve">2012. "History of the field: a sketch", in Spolsky, Bernard (a cura di) </w:t>
      </w:r>
      <w:r w:rsidRPr="006F07C8">
        <w:rPr>
          <w:rFonts w:ascii="Times New Roman" w:hAnsi="Times New Roman" w:cs="Times New Roman"/>
          <w:i/>
          <w:noProof/>
          <w:sz w:val="24"/>
          <w:szCs w:val="24"/>
          <w:lang w:val="en-GB"/>
        </w:rPr>
        <w:t>The Cambridge handbook of language policy</w:t>
      </w:r>
      <w:r w:rsidRPr="006F07C8">
        <w:rPr>
          <w:rFonts w:ascii="Times New Roman" w:hAnsi="Times New Roman" w:cs="Times New Roman"/>
          <w:noProof/>
          <w:sz w:val="24"/>
          <w:szCs w:val="24"/>
          <w:lang w:val="en-GB"/>
        </w:rPr>
        <w:t>, pp. 16-36. Cambridge: Cambridge University Press.</w:t>
      </w:r>
    </w:p>
    <w:p w:rsidR="004934E3" w:rsidRPr="006F07C8" w:rsidRDefault="004934E3" w:rsidP="002F52A9">
      <w:pPr>
        <w:spacing w:after="0" w:line="240" w:lineRule="auto"/>
        <w:ind w:left="720" w:hanging="720"/>
        <w:jc w:val="both"/>
        <w:rPr>
          <w:rFonts w:ascii="Times New Roman" w:hAnsi="Times New Roman" w:cs="Times New Roman"/>
          <w:noProof/>
          <w:sz w:val="24"/>
          <w:szCs w:val="24"/>
          <w:lang w:val="de-DE"/>
        </w:rPr>
      </w:pPr>
      <w:r w:rsidRPr="006F07C8">
        <w:rPr>
          <w:rFonts w:ascii="Times New Roman" w:hAnsi="Times New Roman" w:cs="Times New Roman"/>
          <w:noProof/>
          <w:sz w:val="24"/>
          <w:szCs w:val="24"/>
          <w:lang w:val="en-GB"/>
        </w:rPr>
        <w:t xml:space="preserve">Just, Richard E., Darrell L. Hueth, e Andrew Schmitz. 2004. </w:t>
      </w:r>
      <w:r w:rsidRPr="006F07C8">
        <w:rPr>
          <w:rFonts w:ascii="Times New Roman" w:hAnsi="Times New Roman" w:cs="Times New Roman"/>
          <w:i/>
          <w:noProof/>
          <w:sz w:val="24"/>
          <w:szCs w:val="24"/>
          <w:lang w:val="en-GB"/>
        </w:rPr>
        <w:t>The welfare economics of public policy: A practical approach to project and policy evaluation</w:t>
      </w:r>
      <w:r w:rsidRPr="006F07C8">
        <w:rPr>
          <w:rFonts w:ascii="Times New Roman" w:hAnsi="Times New Roman" w:cs="Times New Roman"/>
          <w:noProof/>
          <w:sz w:val="24"/>
          <w:szCs w:val="24"/>
          <w:lang w:val="en-GB"/>
        </w:rPr>
        <w:t xml:space="preserve">. </w:t>
      </w:r>
      <w:r w:rsidRPr="006F07C8">
        <w:rPr>
          <w:rFonts w:ascii="Times New Roman" w:hAnsi="Times New Roman" w:cs="Times New Roman"/>
          <w:noProof/>
          <w:sz w:val="24"/>
          <w:szCs w:val="24"/>
          <w:lang w:val="de-DE"/>
        </w:rPr>
        <w:t xml:space="preserve">Cheltenham: Edward Elgar. </w:t>
      </w:r>
    </w:p>
    <w:p w:rsidR="004934E3" w:rsidRPr="006F07C8" w:rsidRDefault="004934E3" w:rsidP="002F52A9">
      <w:pPr>
        <w:spacing w:after="0" w:line="240" w:lineRule="auto"/>
        <w:ind w:left="720" w:hanging="720"/>
        <w:jc w:val="both"/>
        <w:rPr>
          <w:rFonts w:ascii="Times New Roman" w:hAnsi="Times New Roman" w:cs="Times New Roman"/>
          <w:noProof/>
          <w:sz w:val="24"/>
          <w:szCs w:val="24"/>
          <w:lang w:val="en-GB"/>
        </w:rPr>
      </w:pPr>
      <w:r w:rsidRPr="006F07C8">
        <w:rPr>
          <w:rFonts w:ascii="Times New Roman" w:hAnsi="Times New Roman" w:cs="Times New Roman"/>
          <w:noProof/>
          <w:sz w:val="24"/>
          <w:szCs w:val="24"/>
          <w:lang w:val="de-DE"/>
        </w:rPr>
        <w:t xml:space="preserve">Kaplan, Robert B. e Richard B. Baldauf. </w:t>
      </w:r>
      <w:r w:rsidRPr="006F07C8">
        <w:rPr>
          <w:rFonts w:ascii="Times New Roman" w:hAnsi="Times New Roman" w:cs="Times New Roman"/>
          <w:noProof/>
          <w:sz w:val="24"/>
          <w:szCs w:val="24"/>
          <w:lang w:val="en-GB"/>
        </w:rPr>
        <w:t xml:space="preserve">1997. </w:t>
      </w:r>
      <w:r w:rsidRPr="006F07C8">
        <w:rPr>
          <w:rFonts w:ascii="Times New Roman" w:hAnsi="Times New Roman" w:cs="Times New Roman"/>
          <w:i/>
          <w:noProof/>
          <w:sz w:val="24"/>
          <w:szCs w:val="24"/>
          <w:lang w:val="en-GB"/>
        </w:rPr>
        <w:t>Language planning. From practice to theory</w:t>
      </w:r>
      <w:r w:rsidRPr="006F07C8">
        <w:rPr>
          <w:rFonts w:ascii="Times New Roman" w:hAnsi="Times New Roman" w:cs="Times New Roman"/>
          <w:noProof/>
          <w:sz w:val="24"/>
          <w:szCs w:val="24"/>
          <w:lang w:val="en-GB"/>
        </w:rPr>
        <w:t xml:space="preserve">. Clevedon: Multilingual Matters. </w:t>
      </w:r>
    </w:p>
    <w:p w:rsidR="004934E3" w:rsidRPr="006F07C8" w:rsidRDefault="004934E3" w:rsidP="002F52A9">
      <w:pPr>
        <w:spacing w:after="0" w:line="240" w:lineRule="auto"/>
        <w:ind w:left="720" w:hanging="720"/>
        <w:jc w:val="both"/>
        <w:rPr>
          <w:rFonts w:ascii="Times New Roman" w:hAnsi="Times New Roman" w:cs="Times New Roman"/>
          <w:noProof/>
          <w:sz w:val="24"/>
          <w:szCs w:val="24"/>
          <w:lang w:val="en-GB"/>
        </w:rPr>
      </w:pPr>
      <w:r w:rsidRPr="006F07C8">
        <w:rPr>
          <w:rFonts w:ascii="Times New Roman" w:hAnsi="Times New Roman" w:cs="Times New Roman"/>
          <w:noProof/>
          <w:sz w:val="24"/>
          <w:szCs w:val="24"/>
          <w:lang w:val="en-GB"/>
        </w:rPr>
        <w:t xml:space="preserve">Keller, Rudi. 1994. </w:t>
      </w:r>
      <w:r w:rsidRPr="006F07C8">
        <w:rPr>
          <w:rFonts w:ascii="Times New Roman" w:hAnsi="Times New Roman" w:cs="Times New Roman"/>
          <w:i/>
          <w:noProof/>
          <w:sz w:val="24"/>
          <w:szCs w:val="24"/>
          <w:lang w:val="en-GB"/>
        </w:rPr>
        <w:t>On language change. The invisible hand in language</w:t>
      </w:r>
      <w:r w:rsidRPr="006F07C8">
        <w:rPr>
          <w:rFonts w:ascii="Times New Roman" w:hAnsi="Times New Roman" w:cs="Times New Roman"/>
          <w:noProof/>
          <w:sz w:val="24"/>
          <w:szCs w:val="24"/>
          <w:lang w:val="en-GB"/>
        </w:rPr>
        <w:t xml:space="preserve">. Londra - New York: Routledge. </w:t>
      </w:r>
    </w:p>
    <w:p w:rsidR="004934E3" w:rsidRPr="006F07C8" w:rsidRDefault="004934E3" w:rsidP="002F52A9">
      <w:pPr>
        <w:spacing w:after="0" w:line="240" w:lineRule="auto"/>
        <w:ind w:left="720" w:hanging="720"/>
        <w:jc w:val="both"/>
        <w:rPr>
          <w:rFonts w:ascii="Times New Roman" w:hAnsi="Times New Roman" w:cs="Times New Roman"/>
          <w:noProof/>
          <w:sz w:val="24"/>
          <w:szCs w:val="24"/>
          <w:lang w:val="en-GB"/>
        </w:rPr>
      </w:pPr>
      <w:r w:rsidRPr="006F07C8">
        <w:rPr>
          <w:rFonts w:ascii="Times New Roman" w:hAnsi="Times New Roman" w:cs="Times New Roman"/>
          <w:noProof/>
          <w:sz w:val="24"/>
          <w:szCs w:val="24"/>
          <w:lang w:val="en-GB"/>
        </w:rPr>
        <w:t xml:space="preserve">Kraus, Peter A. 2008. </w:t>
      </w:r>
      <w:r w:rsidRPr="006F07C8">
        <w:rPr>
          <w:rFonts w:ascii="Times New Roman" w:hAnsi="Times New Roman" w:cs="Times New Roman"/>
          <w:i/>
          <w:noProof/>
          <w:sz w:val="24"/>
          <w:szCs w:val="24"/>
          <w:lang w:val="en-GB"/>
        </w:rPr>
        <w:t>A Union of diversity: Language, identity and polity-building in Europe</w:t>
      </w:r>
      <w:r w:rsidRPr="006F07C8">
        <w:rPr>
          <w:rFonts w:ascii="Times New Roman" w:hAnsi="Times New Roman" w:cs="Times New Roman"/>
          <w:noProof/>
          <w:sz w:val="24"/>
          <w:szCs w:val="24"/>
          <w:lang w:val="en-GB"/>
        </w:rPr>
        <w:t xml:space="preserve">. Cambridge University Press. </w:t>
      </w:r>
    </w:p>
    <w:p w:rsidR="004934E3" w:rsidRPr="006F07C8" w:rsidRDefault="004934E3" w:rsidP="002F52A9">
      <w:pPr>
        <w:spacing w:after="0" w:line="240" w:lineRule="auto"/>
        <w:ind w:left="720" w:hanging="720"/>
        <w:jc w:val="both"/>
        <w:rPr>
          <w:rFonts w:ascii="Times New Roman" w:hAnsi="Times New Roman" w:cs="Times New Roman"/>
          <w:noProof/>
          <w:sz w:val="24"/>
          <w:szCs w:val="24"/>
          <w:lang w:val="en-GB"/>
        </w:rPr>
      </w:pPr>
      <w:r w:rsidRPr="006F07C8">
        <w:rPr>
          <w:rFonts w:ascii="Times New Roman" w:hAnsi="Times New Roman" w:cs="Times New Roman"/>
          <w:noProof/>
          <w:sz w:val="24"/>
          <w:szCs w:val="24"/>
          <w:lang w:val="en-GB"/>
        </w:rPr>
        <w:t xml:space="preserve">Krzyżanowski, Michał e Ruth Wodak. 2011. "Political strategies and language policies: the European Union Lisbon strategy and its implications for the EU’s language and multilingualism policy", </w:t>
      </w:r>
      <w:r w:rsidRPr="006F07C8">
        <w:rPr>
          <w:rFonts w:ascii="Times New Roman" w:hAnsi="Times New Roman" w:cs="Times New Roman"/>
          <w:i/>
          <w:noProof/>
          <w:sz w:val="24"/>
          <w:szCs w:val="24"/>
          <w:lang w:val="en-GB"/>
        </w:rPr>
        <w:t>Language Policy,</w:t>
      </w:r>
      <w:r w:rsidRPr="006F07C8">
        <w:rPr>
          <w:rFonts w:ascii="Times New Roman" w:hAnsi="Times New Roman" w:cs="Times New Roman"/>
          <w:noProof/>
          <w:sz w:val="24"/>
          <w:szCs w:val="24"/>
          <w:lang w:val="en-GB"/>
        </w:rPr>
        <w:t xml:space="preserve"> 10, pp. 115-136.</w:t>
      </w:r>
    </w:p>
    <w:p w:rsidR="004934E3" w:rsidRPr="006F07C8" w:rsidRDefault="004934E3" w:rsidP="002F52A9">
      <w:pPr>
        <w:spacing w:after="0" w:line="240" w:lineRule="auto"/>
        <w:ind w:left="720" w:hanging="720"/>
        <w:jc w:val="both"/>
        <w:rPr>
          <w:rFonts w:ascii="Times New Roman" w:hAnsi="Times New Roman" w:cs="Times New Roman"/>
          <w:noProof/>
          <w:sz w:val="24"/>
          <w:szCs w:val="24"/>
          <w:lang w:val="en-GB"/>
        </w:rPr>
      </w:pPr>
      <w:r w:rsidRPr="006F07C8">
        <w:rPr>
          <w:rFonts w:ascii="Times New Roman" w:hAnsi="Times New Roman" w:cs="Times New Roman"/>
          <w:noProof/>
          <w:sz w:val="24"/>
          <w:szCs w:val="24"/>
          <w:lang w:val="it-IT"/>
        </w:rPr>
        <w:t>Kymlicka, Will e Alan Patten</w:t>
      </w:r>
      <w:r w:rsidRPr="006F07C8">
        <w:rPr>
          <w:rFonts w:ascii="Times New Roman" w:hAnsi="Times New Roman" w:cs="Times New Roman"/>
          <w:b/>
          <w:noProof/>
          <w:sz w:val="24"/>
          <w:szCs w:val="24"/>
          <w:lang w:val="it-IT"/>
        </w:rPr>
        <w:t xml:space="preserve"> </w:t>
      </w:r>
      <w:r w:rsidRPr="006F07C8">
        <w:rPr>
          <w:rFonts w:ascii="Times New Roman" w:hAnsi="Times New Roman" w:cs="Times New Roman"/>
          <w:noProof/>
          <w:sz w:val="24"/>
          <w:szCs w:val="24"/>
          <w:lang w:val="it-IT"/>
        </w:rPr>
        <w:t xml:space="preserve">(a cura di). 2003. </w:t>
      </w:r>
      <w:r w:rsidRPr="006F07C8">
        <w:rPr>
          <w:rFonts w:ascii="Times New Roman" w:hAnsi="Times New Roman" w:cs="Times New Roman"/>
          <w:i/>
          <w:noProof/>
          <w:sz w:val="24"/>
          <w:szCs w:val="24"/>
          <w:lang w:val="en-GB"/>
        </w:rPr>
        <w:t>Language rights and political theory</w:t>
      </w:r>
      <w:r w:rsidRPr="006F07C8">
        <w:rPr>
          <w:rFonts w:ascii="Times New Roman" w:hAnsi="Times New Roman" w:cs="Times New Roman"/>
          <w:noProof/>
          <w:sz w:val="24"/>
          <w:szCs w:val="24"/>
          <w:lang w:val="en-GB"/>
        </w:rPr>
        <w:t>. Oxford: Oxford University Press.</w:t>
      </w:r>
    </w:p>
    <w:p w:rsidR="004934E3" w:rsidRPr="006F07C8" w:rsidRDefault="004934E3" w:rsidP="002F52A9">
      <w:pPr>
        <w:spacing w:after="0" w:line="240" w:lineRule="auto"/>
        <w:ind w:left="720" w:hanging="720"/>
        <w:jc w:val="both"/>
        <w:rPr>
          <w:rFonts w:ascii="Times New Roman" w:hAnsi="Times New Roman" w:cs="Times New Roman"/>
          <w:noProof/>
          <w:sz w:val="24"/>
          <w:szCs w:val="24"/>
          <w:lang w:val="en-GB"/>
        </w:rPr>
      </w:pPr>
      <w:r w:rsidRPr="006F07C8">
        <w:rPr>
          <w:rFonts w:ascii="Times New Roman" w:hAnsi="Times New Roman" w:cs="Times New Roman"/>
          <w:noProof/>
          <w:sz w:val="24"/>
          <w:szCs w:val="24"/>
          <w:lang w:val="en-GB"/>
        </w:rPr>
        <w:t xml:space="preserve">Lacey, Joseph. 2013. "Considerations on English as a Global Lingua Franca", </w:t>
      </w:r>
      <w:r w:rsidRPr="006F07C8">
        <w:rPr>
          <w:rFonts w:ascii="Times New Roman" w:hAnsi="Times New Roman" w:cs="Times New Roman"/>
          <w:i/>
          <w:noProof/>
          <w:sz w:val="24"/>
          <w:szCs w:val="24"/>
          <w:lang w:val="en-GB"/>
        </w:rPr>
        <w:t>Political Studies Review,</w:t>
      </w:r>
      <w:r w:rsidRPr="006F07C8">
        <w:rPr>
          <w:rFonts w:ascii="Times New Roman" w:hAnsi="Times New Roman" w:cs="Times New Roman"/>
          <w:noProof/>
          <w:sz w:val="24"/>
          <w:szCs w:val="24"/>
          <w:lang w:val="en-GB"/>
        </w:rPr>
        <w:t xml:space="preserve"> doi: 10.1111/1478-9302.12004.</w:t>
      </w:r>
    </w:p>
    <w:p w:rsidR="004934E3" w:rsidRPr="006F07C8" w:rsidRDefault="004934E3" w:rsidP="002F52A9">
      <w:pPr>
        <w:spacing w:after="0" w:line="240" w:lineRule="auto"/>
        <w:ind w:left="720" w:hanging="720"/>
        <w:jc w:val="both"/>
        <w:rPr>
          <w:rFonts w:ascii="Times New Roman" w:hAnsi="Times New Roman" w:cs="Times New Roman"/>
          <w:noProof/>
          <w:sz w:val="24"/>
          <w:szCs w:val="24"/>
          <w:lang w:val="en-GB"/>
        </w:rPr>
      </w:pPr>
      <w:r w:rsidRPr="006F07C8">
        <w:rPr>
          <w:rFonts w:ascii="Times New Roman" w:hAnsi="Times New Roman" w:cs="Times New Roman"/>
          <w:noProof/>
          <w:sz w:val="24"/>
          <w:szCs w:val="24"/>
          <w:lang w:val="it-IT"/>
        </w:rPr>
        <w:t>Marácz, László e Mireille Rosello</w:t>
      </w:r>
      <w:r w:rsidRPr="006F07C8">
        <w:rPr>
          <w:rFonts w:ascii="Times New Roman" w:hAnsi="Times New Roman" w:cs="Times New Roman"/>
          <w:b/>
          <w:noProof/>
          <w:sz w:val="24"/>
          <w:szCs w:val="24"/>
          <w:lang w:val="it-IT"/>
        </w:rPr>
        <w:t xml:space="preserve"> </w:t>
      </w:r>
      <w:r w:rsidRPr="006F07C8">
        <w:rPr>
          <w:rFonts w:ascii="Times New Roman" w:hAnsi="Times New Roman" w:cs="Times New Roman"/>
          <w:noProof/>
          <w:sz w:val="24"/>
          <w:szCs w:val="24"/>
          <w:lang w:val="it-IT"/>
        </w:rPr>
        <w:t xml:space="preserve">(a cura di). 2012. </w:t>
      </w:r>
      <w:r w:rsidRPr="006F07C8">
        <w:rPr>
          <w:rFonts w:ascii="Times New Roman" w:hAnsi="Times New Roman" w:cs="Times New Roman"/>
          <w:i/>
          <w:noProof/>
          <w:sz w:val="24"/>
          <w:szCs w:val="24"/>
          <w:lang w:val="en-GB"/>
        </w:rPr>
        <w:t>Multilingual Europe, multilingual Europeans</w:t>
      </w:r>
      <w:r w:rsidRPr="006F07C8">
        <w:rPr>
          <w:rFonts w:ascii="Times New Roman" w:hAnsi="Times New Roman" w:cs="Times New Roman"/>
          <w:noProof/>
          <w:sz w:val="24"/>
          <w:szCs w:val="24"/>
          <w:lang w:val="en-GB"/>
        </w:rPr>
        <w:t>. Amsterdam: Rodopi.</w:t>
      </w:r>
    </w:p>
    <w:p w:rsidR="004934E3" w:rsidRPr="006F07C8" w:rsidRDefault="004934E3" w:rsidP="002F52A9">
      <w:pPr>
        <w:spacing w:after="0" w:line="240" w:lineRule="auto"/>
        <w:ind w:left="720" w:hanging="720"/>
        <w:jc w:val="both"/>
        <w:rPr>
          <w:rFonts w:ascii="Times New Roman" w:hAnsi="Times New Roman" w:cs="Times New Roman"/>
          <w:noProof/>
          <w:sz w:val="24"/>
          <w:szCs w:val="24"/>
          <w:lang w:val="it-IT"/>
        </w:rPr>
      </w:pPr>
      <w:r w:rsidRPr="006F07C8">
        <w:rPr>
          <w:rFonts w:ascii="Times New Roman" w:hAnsi="Times New Roman" w:cs="Times New Roman"/>
          <w:noProof/>
          <w:sz w:val="24"/>
          <w:szCs w:val="24"/>
          <w:lang w:val="en-GB"/>
        </w:rPr>
        <w:t xml:space="preserve">May, Stephen. 2011. </w:t>
      </w:r>
      <w:r w:rsidRPr="006F07C8">
        <w:rPr>
          <w:rFonts w:ascii="Times New Roman" w:hAnsi="Times New Roman" w:cs="Times New Roman"/>
          <w:i/>
          <w:noProof/>
          <w:sz w:val="24"/>
          <w:szCs w:val="24"/>
          <w:lang w:val="en-GB"/>
        </w:rPr>
        <w:t>Language and Minority Rights: Ethnicity, Nationalism and the Politics of Language</w:t>
      </w:r>
      <w:r w:rsidRPr="006F07C8">
        <w:rPr>
          <w:rFonts w:ascii="Times New Roman" w:hAnsi="Times New Roman" w:cs="Times New Roman"/>
          <w:noProof/>
          <w:sz w:val="24"/>
          <w:szCs w:val="24"/>
          <w:lang w:val="en-GB"/>
        </w:rPr>
        <w:t xml:space="preserve">. </w:t>
      </w:r>
      <w:r w:rsidRPr="006F07C8">
        <w:rPr>
          <w:rFonts w:ascii="Times New Roman" w:hAnsi="Times New Roman" w:cs="Times New Roman"/>
          <w:noProof/>
          <w:sz w:val="24"/>
          <w:szCs w:val="24"/>
          <w:lang w:val="it-IT"/>
        </w:rPr>
        <w:t xml:space="preserve">Londra: Routledge. </w:t>
      </w:r>
    </w:p>
    <w:p w:rsidR="004934E3" w:rsidRPr="006F07C8" w:rsidRDefault="004934E3" w:rsidP="002F52A9">
      <w:pPr>
        <w:spacing w:after="0" w:line="240" w:lineRule="auto"/>
        <w:ind w:left="720" w:hanging="720"/>
        <w:jc w:val="both"/>
        <w:rPr>
          <w:rFonts w:ascii="Times New Roman" w:hAnsi="Times New Roman" w:cs="Times New Roman"/>
          <w:noProof/>
          <w:sz w:val="24"/>
          <w:szCs w:val="24"/>
          <w:lang w:val="it-IT"/>
        </w:rPr>
      </w:pPr>
      <w:r w:rsidRPr="006F07C8">
        <w:rPr>
          <w:rFonts w:ascii="Times New Roman" w:hAnsi="Times New Roman" w:cs="Times New Roman"/>
          <w:noProof/>
          <w:sz w:val="24"/>
          <w:szCs w:val="24"/>
          <w:lang w:val="it-IT"/>
        </w:rPr>
        <w:t>Moretti, Bruno, Elena Maria Pandolfi, e Matteo Casoni</w:t>
      </w:r>
      <w:r w:rsidRPr="006F07C8">
        <w:rPr>
          <w:rFonts w:ascii="Times New Roman" w:hAnsi="Times New Roman" w:cs="Times New Roman"/>
          <w:b/>
          <w:noProof/>
          <w:sz w:val="24"/>
          <w:szCs w:val="24"/>
          <w:lang w:val="it-IT"/>
        </w:rPr>
        <w:t xml:space="preserve"> </w:t>
      </w:r>
      <w:r w:rsidRPr="006F07C8">
        <w:rPr>
          <w:rFonts w:ascii="Times New Roman" w:hAnsi="Times New Roman" w:cs="Times New Roman"/>
          <w:noProof/>
          <w:sz w:val="24"/>
          <w:szCs w:val="24"/>
          <w:lang w:val="it-IT"/>
        </w:rPr>
        <w:t xml:space="preserve">(a cura di). 2011. </w:t>
      </w:r>
      <w:r w:rsidRPr="006F07C8">
        <w:rPr>
          <w:rFonts w:ascii="Times New Roman" w:hAnsi="Times New Roman" w:cs="Times New Roman"/>
          <w:i/>
          <w:noProof/>
          <w:sz w:val="24"/>
          <w:szCs w:val="24"/>
          <w:lang w:val="it-IT"/>
        </w:rPr>
        <w:t>Vitalità di una lingua minoritaria. Aspetti e proposte metodologiche/ Vitality of a minority language. Aspects and methodological issues</w:t>
      </w:r>
      <w:r w:rsidRPr="006F07C8">
        <w:rPr>
          <w:rFonts w:ascii="Times New Roman" w:hAnsi="Times New Roman" w:cs="Times New Roman"/>
          <w:noProof/>
          <w:sz w:val="24"/>
          <w:szCs w:val="24"/>
          <w:lang w:val="it-IT"/>
        </w:rPr>
        <w:t>. Bellinzona: Osservatorio Linguistico della Svizzera Italiana.</w:t>
      </w:r>
    </w:p>
    <w:p w:rsidR="004934E3" w:rsidRPr="006F07C8" w:rsidRDefault="004934E3" w:rsidP="002F52A9">
      <w:pPr>
        <w:spacing w:after="0" w:line="240" w:lineRule="auto"/>
        <w:ind w:left="720" w:hanging="720"/>
        <w:jc w:val="both"/>
        <w:rPr>
          <w:rFonts w:ascii="Times New Roman" w:hAnsi="Times New Roman" w:cs="Times New Roman"/>
          <w:noProof/>
          <w:sz w:val="24"/>
          <w:szCs w:val="24"/>
          <w:lang w:val="de-DE"/>
        </w:rPr>
      </w:pPr>
      <w:r w:rsidRPr="006F07C8">
        <w:rPr>
          <w:rFonts w:ascii="Times New Roman" w:hAnsi="Times New Roman" w:cs="Times New Roman"/>
          <w:noProof/>
          <w:sz w:val="24"/>
          <w:szCs w:val="24"/>
          <w:lang w:val="en-GB"/>
        </w:rPr>
        <w:t>Mufwene</w:t>
      </w:r>
      <w:r w:rsidRPr="006F07C8">
        <w:rPr>
          <w:rFonts w:ascii="Times New Roman" w:hAnsi="Times New Roman" w:cs="Times New Roman"/>
          <w:noProof/>
          <w:sz w:val="24"/>
          <w:szCs w:val="24"/>
          <w:lang w:val="en-GB"/>
        </w:rPr>
        <w:t xml:space="preserve">‬, Salikoko S. 2008. </w:t>
      </w:r>
      <w:dir w:val="ltr">
        <w:r w:rsidRPr="006F07C8">
          <w:rPr>
            <w:rFonts w:ascii="Times New Roman" w:hAnsi="Times New Roman" w:cs="Times New Roman"/>
            <w:i/>
            <w:noProof/>
            <w:sz w:val="24"/>
            <w:szCs w:val="24"/>
            <w:lang w:val="en-GB"/>
          </w:rPr>
          <w:t>Language Evolution</w:t>
        </w:r>
        <w:r w:rsidRPr="006F07C8">
          <w:rPr>
            <w:rFonts w:ascii="Times New Roman" w:hAnsi="Times New Roman" w:cs="Times New Roman"/>
            <w:i/>
            <w:noProof/>
            <w:sz w:val="24"/>
            <w:szCs w:val="24"/>
            <w:lang w:val="en-GB"/>
          </w:rPr>
          <w:t xml:space="preserve">‬: </w:t>
        </w:r>
        <w:dir w:val="ltr">
          <w:r w:rsidRPr="006F07C8">
            <w:rPr>
              <w:rFonts w:ascii="Times New Roman" w:hAnsi="Times New Roman" w:cs="Times New Roman"/>
              <w:i/>
              <w:noProof/>
              <w:sz w:val="24"/>
              <w:szCs w:val="24"/>
              <w:lang w:val="en-GB"/>
            </w:rPr>
            <w:t>Contact, Competition and Change</w:t>
          </w:r>
          <w:r w:rsidRPr="006F07C8">
            <w:rPr>
              <w:rFonts w:ascii="Times New Roman" w:hAnsi="Times New Roman" w:cs="Times New Roman"/>
              <w:noProof/>
              <w:sz w:val="24"/>
              <w:szCs w:val="24"/>
              <w:lang w:val="en-GB"/>
            </w:rPr>
            <w:t xml:space="preserve">. </w:t>
          </w:r>
          <w:r w:rsidRPr="006F07C8">
            <w:rPr>
              <w:rFonts w:ascii="Times New Roman" w:hAnsi="Times New Roman" w:cs="Times New Roman"/>
              <w:noProof/>
              <w:sz w:val="24"/>
              <w:szCs w:val="24"/>
              <w:lang w:val="de-DE"/>
            </w:rPr>
            <w:t xml:space="preserve">Londra: Continuum International Publishing Group. </w:t>
          </w:r>
          <w:r w:rsidR="00446816" w:rsidRPr="006F07C8">
            <w:rPr>
              <w:rFonts w:ascii="Times New Roman" w:hAnsi="Times New Roman" w:cs="Times New Roman"/>
              <w:sz w:val="24"/>
              <w:szCs w:val="24"/>
              <w:lang w:val="de-DE"/>
            </w:rPr>
            <w:t>‬</w:t>
          </w:r>
          <w:r w:rsidR="00446816" w:rsidRPr="006F07C8">
            <w:rPr>
              <w:rFonts w:ascii="Times New Roman" w:hAnsi="Times New Roman" w:cs="Times New Roman"/>
              <w:sz w:val="24"/>
              <w:szCs w:val="24"/>
              <w:lang w:val="de-DE"/>
            </w:rPr>
            <w:t>‬</w:t>
          </w:r>
          <w:r w:rsidR="002F52A9" w:rsidRPr="006F07C8">
            <w:rPr>
              <w:rFonts w:ascii="Times New Roman" w:hAnsi="Times New Roman" w:cs="Times New Roman"/>
              <w:sz w:val="24"/>
              <w:szCs w:val="24"/>
              <w:lang w:val="de-DE"/>
            </w:rPr>
            <w:t>‬</w:t>
          </w:r>
          <w:r w:rsidR="002F52A9" w:rsidRPr="006F07C8">
            <w:rPr>
              <w:rFonts w:ascii="Times New Roman" w:hAnsi="Times New Roman" w:cs="Times New Roman"/>
              <w:sz w:val="24"/>
              <w:szCs w:val="24"/>
              <w:lang w:val="de-DE"/>
            </w:rPr>
            <w:t>‬</w:t>
          </w:r>
          <w:r w:rsidR="003C3D1C" w:rsidRPr="006F07C8">
            <w:rPr>
              <w:lang w:val="de-DE"/>
            </w:rPr>
            <w:t>‬</w:t>
          </w:r>
          <w:r w:rsidR="003C3D1C" w:rsidRPr="006F07C8">
            <w:rPr>
              <w:lang w:val="de-DE"/>
            </w:rPr>
            <w:t>‬</w:t>
          </w:r>
          <w:r w:rsidR="00E3616D" w:rsidRPr="006F07C8">
            <w:rPr>
              <w:lang w:val="de-DE"/>
            </w:rPr>
            <w:t>‬</w:t>
          </w:r>
          <w:r w:rsidR="00E3616D" w:rsidRPr="006F07C8">
            <w:rPr>
              <w:lang w:val="de-DE"/>
            </w:rPr>
            <w:t>‬</w:t>
          </w:r>
          <w:r w:rsidR="00215B30" w:rsidRPr="006F07C8">
            <w:rPr>
              <w:lang w:val="de-DE"/>
            </w:rPr>
            <w:t>‬</w:t>
          </w:r>
          <w:r w:rsidR="00215B30" w:rsidRPr="006F07C8">
            <w:rPr>
              <w:lang w:val="de-DE"/>
            </w:rPr>
            <w:t>‬</w:t>
          </w:r>
          <w:r w:rsidR="00177BF1" w:rsidRPr="006F07C8">
            <w:rPr>
              <w:lang w:val="de-DE"/>
            </w:rPr>
            <w:t>‬</w:t>
          </w:r>
          <w:r w:rsidR="00177BF1" w:rsidRPr="006F07C8">
            <w:rPr>
              <w:lang w:val="de-DE"/>
            </w:rPr>
            <w:t>‬</w:t>
          </w:r>
          <w:r w:rsidR="00090F24" w:rsidRPr="006F07C8">
            <w:rPr>
              <w:lang w:val="de-DE"/>
            </w:rPr>
            <w:t>‬</w:t>
          </w:r>
          <w:r w:rsidR="00090F24" w:rsidRPr="006F07C8">
            <w:rPr>
              <w:lang w:val="de-DE"/>
            </w:rPr>
            <w:t>‬</w:t>
          </w:r>
          <w:r w:rsidR="00FA1B9F" w:rsidRPr="006F07C8">
            <w:rPr>
              <w:lang w:val="de-DE"/>
            </w:rPr>
            <w:t>‬</w:t>
          </w:r>
          <w:r w:rsidR="00FA1B9F" w:rsidRPr="006F07C8">
            <w:rPr>
              <w:lang w:val="de-DE"/>
            </w:rPr>
            <w:t>‬</w:t>
          </w:r>
          <w:r w:rsidR="00412A7A" w:rsidRPr="006F07C8">
            <w:rPr>
              <w:lang w:val="de-DE"/>
            </w:rPr>
            <w:t>‬</w:t>
          </w:r>
          <w:r w:rsidR="00412A7A" w:rsidRPr="006F07C8">
            <w:rPr>
              <w:lang w:val="de-DE"/>
            </w:rPr>
            <w:t>‬</w:t>
          </w:r>
          <w:r w:rsidR="005952B2" w:rsidRPr="006F07C8">
            <w:rPr>
              <w:lang w:val="de-DE"/>
            </w:rPr>
            <w:t>‬</w:t>
          </w:r>
          <w:r w:rsidR="005952B2" w:rsidRPr="006F07C8">
            <w:rPr>
              <w:lang w:val="de-DE"/>
            </w:rPr>
            <w:t>‬</w:t>
          </w:r>
          <w:r w:rsidR="001F4C12" w:rsidRPr="006F07C8">
            <w:rPr>
              <w:lang w:val="de-DE"/>
            </w:rPr>
            <w:t>‬</w:t>
          </w:r>
          <w:r w:rsidR="001F4C12" w:rsidRPr="006F07C8">
            <w:rPr>
              <w:lang w:val="de-DE"/>
            </w:rPr>
            <w:t>‬</w:t>
          </w:r>
          <w:r w:rsidR="00133042" w:rsidRPr="006F07C8">
            <w:rPr>
              <w:lang w:val="de-DE"/>
            </w:rPr>
            <w:t>‬</w:t>
          </w:r>
          <w:r w:rsidR="00133042" w:rsidRPr="006F07C8">
            <w:rPr>
              <w:lang w:val="de-DE"/>
            </w:rPr>
            <w:t>‬</w:t>
          </w:r>
          <w:r w:rsidR="00284C98" w:rsidRPr="006F07C8">
            <w:rPr>
              <w:lang w:val="de-DE"/>
            </w:rPr>
            <w:t>‬</w:t>
          </w:r>
          <w:r w:rsidR="00284C98" w:rsidRPr="006F07C8">
            <w:rPr>
              <w:lang w:val="de-DE"/>
            </w:rPr>
            <w:t>‬</w:t>
          </w:r>
          <w:r w:rsidR="0002724C" w:rsidRPr="006F07C8">
            <w:rPr>
              <w:lang w:val="de-DE"/>
            </w:rPr>
            <w:t>‬</w:t>
          </w:r>
          <w:r w:rsidR="0002724C" w:rsidRPr="006F07C8">
            <w:rPr>
              <w:lang w:val="de-DE"/>
            </w:rPr>
            <w:t>‬</w:t>
          </w:r>
          <w:r w:rsidR="008652D1" w:rsidRPr="006F07C8">
            <w:rPr>
              <w:lang w:val="de-DE"/>
            </w:rPr>
            <w:t>‬</w:t>
          </w:r>
          <w:r w:rsidR="008652D1" w:rsidRPr="006F07C8">
            <w:rPr>
              <w:lang w:val="de-DE"/>
            </w:rPr>
            <w:t>‬</w:t>
          </w:r>
          <w:r w:rsidR="00FC21BB" w:rsidRPr="006F07C8">
            <w:rPr>
              <w:lang w:val="de-DE"/>
            </w:rPr>
            <w:t>‬</w:t>
          </w:r>
          <w:r w:rsidR="00FC21BB" w:rsidRPr="006F07C8">
            <w:rPr>
              <w:lang w:val="de-DE"/>
            </w:rPr>
            <w:t>‬</w:t>
          </w:r>
          <w:r w:rsidR="005A17D4" w:rsidRPr="006F07C8">
            <w:rPr>
              <w:lang w:val="de-DE"/>
            </w:rPr>
            <w:t>‬</w:t>
          </w:r>
          <w:r w:rsidR="005A17D4" w:rsidRPr="006F07C8">
            <w:rPr>
              <w:lang w:val="de-DE"/>
            </w:rPr>
            <w:t>‬</w:t>
          </w:r>
          <w:r w:rsidR="00E872BA" w:rsidRPr="006F07C8">
            <w:t>‬</w:t>
          </w:r>
          <w:r w:rsidR="00E872BA" w:rsidRPr="006F07C8">
            <w:t>‬</w:t>
          </w:r>
          <w:r w:rsidR="00B14B1B" w:rsidRPr="006F07C8">
            <w:t>‬</w:t>
          </w:r>
          <w:r w:rsidR="00B14B1B" w:rsidRPr="006F07C8">
            <w:t>‬</w:t>
          </w:r>
        </w:dir>
      </w:dir>
    </w:p>
    <w:p w:rsidR="004934E3" w:rsidRPr="006F07C8" w:rsidRDefault="004934E3" w:rsidP="002F52A9">
      <w:pPr>
        <w:spacing w:after="0" w:line="240" w:lineRule="auto"/>
        <w:ind w:left="720" w:hanging="720"/>
        <w:jc w:val="both"/>
        <w:rPr>
          <w:rFonts w:ascii="Times New Roman" w:hAnsi="Times New Roman" w:cs="Times New Roman"/>
          <w:noProof/>
          <w:sz w:val="24"/>
          <w:szCs w:val="24"/>
          <w:lang w:val="de-DE"/>
        </w:rPr>
      </w:pPr>
      <w:r w:rsidRPr="006F07C8">
        <w:rPr>
          <w:rFonts w:ascii="Times New Roman" w:hAnsi="Times New Roman" w:cs="Times New Roman"/>
          <w:noProof/>
          <w:sz w:val="24"/>
          <w:szCs w:val="24"/>
          <w:lang w:val="de-DE"/>
        </w:rPr>
        <w:t xml:space="preserve">Nißl, Sandra. 2011. </w:t>
      </w:r>
      <w:r w:rsidRPr="006F07C8">
        <w:rPr>
          <w:rFonts w:ascii="Times New Roman" w:hAnsi="Times New Roman" w:cs="Times New Roman"/>
          <w:i/>
          <w:noProof/>
          <w:sz w:val="24"/>
          <w:szCs w:val="24"/>
          <w:lang w:val="de-DE"/>
        </w:rPr>
        <w:t>Die Sprachenfrage in der Europäischen Union. Möglichkeiten und Grenzen einer Sprachenpolitik für Europa</w:t>
      </w:r>
      <w:r w:rsidRPr="006F07C8">
        <w:rPr>
          <w:rFonts w:ascii="Times New Roman" w:hAnsi="Times New Roman" w:cs="Times New Roman"/>
          <w:noProof/>
          <w:sz w:val="24"/>
          <w:szCs w:val="24"/>
          <w:lang w:val="de-DE"/>
        </w:rPr>
        <w:t xml:space="preserve">. Monaco di Baviera: Herbert Utz. </w:t>
      </w:r>
    </w:p>
    <w:p w:rsidR="004934E3" w:rsidRPr="006F07C8" w:rsidRDefault="004934E3" w:rsidP="002F52A9">
      <w:pPr>
        <w:spacing w:after="0" w:line="240" w:lineRule="auto"/>
        <w:ind w:left="720" w:hanging="720"/>
        <w:jc w:val="both"/>
        <w:rPr>
          <w:rFonts w:ascii="Times New Roman" w:hAnsi="Times New Roman" w:cs="Times New Roman"/>
          <w:noProof/>
          <w:sz w:val="24"/>
          <w:szCs w:val="24"/>
          <w:lang w:val="en-GB"/>
        </w:rPr>
      </w:pPr>
      <w:r w:rsidRPr="006F07C8">
        <w:rPr>
          <w:rFonts w:ascii="Times New Roman" w:hAnsi="Times New Roman" w:cs="Times New Roman"/>
          <w:noProof/>
          <w:sz w:val="24"/>
          <w:szCs w:val="24"/>
          <w:lang w:val="en-GB"/>
        </w:rPr>
        <w:t xml:space="preserve">Phillipson, Robert. 2003. </w:t>
      </w:r>
      <w:r w:rsidRPr="006F07C8">
        <w:rPr>
          <w:rFonts w:ascii="Times New Roman" w:hAnsi="Times New Roman" w:cs="Times New Roman"/>
          <w:i/>
          <w:noProof/>
          <w:sz w:val="24"/>
          <w:szCs w:val="24"/>
          <w:lang w:val="en-GB"/>
        </w:rPr>
        <w:t>English-only Europe? Challenging language policy</w:t>
      </w:r>
      <w:r w:rsidRPr="006F07C8">
        <w:rPr>
          <w:rFonts w:ascii="Times New Roman" w:hAnsi="Times New Roman" w:cs="Times New Roman"/>
          <w:noProof/>
          <w:sz w:val="24"/>
          <w:szCs w:val="24"/>
          <w:lang w:val="en-GB"/>
        </w:rPr>
        <w:t xml:space="preserve">. Londra: Routledge. </w:t>
      </w:r>
    </w:p>
    <w:p w:rsidR="004934E3" w:rsidRPr="006F07C8" w:rsidRDefault="004934E3" w:rsidP="002F52A9">
      <w:pPr>
        <w:spacing w:after="0" w:line="240" w:lineRule="auto"/>
        <w:ind w:left="720" w:hanging="720"/>
        <w:jc w:val="both"/>
        <w:rPr>
          <w:rFonts w:ascii="Times New Roman" w:hAnsi="Times New Roman" w:cs="Times New Roman"/>
          <w:noProof/>
          <w:sz w:val="24"/>
          <w:szCs w:val="24"/>
          <w:lang w:val="en-GB"/>
        </w:rPr>
      </w:pPr>
      <w:r w:rsidRPr="006F07C8">
        <w:rPr>
          <w:rFonts w:ascii="Times New Roman" w:hAnsi="Times New Roman" w:cs="Times New Roman"/>
          <w:noProof/>
          <w:sz w:val="24"/>
          <w:szCs w:val="24"/>
          <w:lang w:val="en-GB"/>
        </w:rPr>
        <w:t xml:space="preserve">Phillipson, Robert. 2012. "Review Essay: Languages, Genocide and Justice in the European Integration Process", </w:t>
      </w:r>
      <w:r w:rsidRPr="006F07C8">
        <w:rPr>
          <w:rFonts w:ascii="Times New Roman" w:hAnsi="Times New Roman" w:cs="Times New Roman"/>
          <w:i/>
          <w:noProof/>
          <w:sz w:val="24"/>
          <w:szCs w:val="24"/>
          <w:lang w:val="en-GB"/>
        </w:rPr>
        <w:t>Journal of Contemporary European Studies,</w:t>
      </w:r>
      <w:r w:rsidRPr="006F07C8">
        <w:rPr>
          <w:rFonts w:ascii="Times New Roman" w:hAnsi="Times New Roman" w:cs="Times New Roman"/>
          <w:noProof/>
          <w:sz w:val="24"/>
          <w:szCs w:val="24"/>
          <w:lang w:val="en-GB"/>
        </w:rPr>
        <w:t xml:space="preserve"> 20 (3), pp. 377-414.</w:t>
      </w:r>
    </w:p>
    <w:p w:rsidR="004934E3" w:rsidRPr="006F07C8" w:rsidRDefault="004934E3" w:rsidP="002F52A9">
      <w:pPr>
        <w:spacing w:after="0" w:line="240" w:lineRule="auto"/>
        <w:ind w:left="720" w:hanging="720"/>
        <w:jc w:val="both"/>
        <w:rPr>
          <w:rFonts w:ascii="Times New Roman" w:hAnsi="Times New Roman" w:cs="Times New Roman"/>
          <w:noProof/>
          <w:sz w:val="24"/>
          <w:szCs w:val="24"/>
          <w:lang w:val="en-GB"/>
        </w:rPr>
      </w:pPr>
      <w:r w:rsidRPr="006F07C8">
        <w:rPr>
          <w:rFonts w:ascii="Times New Roman" w:hAnsi="Times New Roman" w:cs="Times New Roman"/>
          <w:noProof/>
          <w:sz w:val="24"/>
          <w:szCs w:val="24"/>
          <w:lang w:val="en-GB"/>
        </w:rPr>
        <w:t xml:space="preserve">Pool, Jonathan. 1992. "Multilingualism versus language policy: Alternative models for the EC" </w:t>
      </w:r>
      <w:r w:rsidRPr="006F07C8">
        <w:rPr>
          <w:rFonts w:ascii="Times New Roman" w:hAnsi="Times New Roman" w:cs="Times New Roman"/>
          <w:i/>
          <w:noProof/>
          <w:sz w:val="24"/>
          <w:szCs w:val="24"/>
          <w:lang w:val="en-GB"/>
        </w:rPr>
        <w:t>Language and Society Papers</w:t>
      </w:r>
      <w:r w:rsidRPr="006F07C8">
        <w:rPr>
          <w:rFonts w:ascii="Times New Roman" w:hAnsi="Times New Roman" w:cs="Times New Roman"/>
          <w:noProof/>
          <w:sz w:val="24"/>
          <w:szCs w:val="24"/>
          <w:lang w:val="en-GB"/>
        </w:rPr>
        <w:t xml:space="preserve"> </w:t>
      </w:r>
      <w:r w:rsidRPr="006F07C8">
        <w:rPr>
          <w:rFonts w:ascii="Times New Roman" w:hAnsi="Times New Roman" w:cs="Times New Roman"/>
          <w:i/>
          <w:noProof/>
          <w:sz w:val="24"/>
          <w:szCs w:val="24"/>
          <w:lang w:val="en-GB"/>
        </w:rPr>
        <w:t>(LD20)</w:t>
      </w:r>
      <w:r w:rsidRPr="006F07C8">
        <w:rPr>
          <w:rFonts w:ascii="Times New Roman" w:hAnsi="Times New Roman" w:cs="Times New Roman"/>
          <w:noProof/>
          <w:sz w:val="24"/>
          <w:szCs w:val="24"/>
          <w:lang w:val="en-GB"/>
        </w:rPr>
        <w:t xml:space="preserve">. Seattle: University of Washington - </w:t>
      </w:r>
      <w:r w:rsidRPr="006F07C8">
        <w:rPr>
          <w:rFonts w:ascii="Times New Roman" w:hAnsi="Times New Roman" w:cs="Times New Roman"/>
          <w:noProof/>
          <w:sz w:val="24"/>
          <w:szCs w:val="24"/>
          <w:lang w:val="en-GB"/>
        </w:rPr>
        <w:lastRenderedPageBreak/>
        <w:t>Interdisciplinary Commitee on Language and Society. panlex.org/pubs/etc/ecmodels.pdf‎.</w:t>
      </w:r>
    </w:p>
    <w:p w:rsidR="004934E3" w:rsidRPr="006F07C8" w:rsidRDefault="004934E3" w:rsidP="002F52A9">
      <w:pPr>
        <w:spacing w:after="0" w:line="240" w:lineRule="auto"/>
        <w:ind w:left="720" w:hanging="720"/>
        <w:jc w:val="both"/>
        <w:rPr>
          <w:rFonts w:ascii="Times New Roman" w:hAnsi="Times New Roman" w:cs="Times New Roman"/>
          <w:noProof/>
          <w:sz w:val="24"/>
          <w:szCs w:val="24"/>
          <w:lang w:val="en-GB"/>
        </w:rPr>
      </w:pPr>
      <w:bookmarkStart w:id="32" w:name="_ENREF_65"/>
      <w:r w:rsidRPr="006F07C8">
        <w:rPr>
          <w:rFonts w:ascii="Times New Roman" w:hAnsi="Times New Roman" w:cs="Times New Roman"/>
          <w:noProof/>
          <w:sz w:val="24"/>
          <w:szCs w:val="24"/>
          <w:lang w:val="en-GB"/>
        </w:rPr>
        <w:t xml:space="preserve">Pool, Jonathan. 1996. "Optimal language regimes for the European Union", </w:t>
      </w:r>
      <w:r w:rsidRPr="006F07C8">
        <w:rPr>
          <w:rFonts w:ascii="Times New Roman" w:hAnsi="Times New Roman" w:cs="Times New Roman"/>
          <w:i/>
          <w:noProof/>
          <w:sz w:val="24"/>
          <w:szCs w:val="24"/>
          <w:lang w:val="en-GB"/>
        </w:rPr>
        <w:t>International Journal of the Sociology of Language,</w:t>
      </w:r>
      <w:r w:rsidRPr="006F07C8">
        <w:rPr>
          <w:rFonts w:ascii="Times New Roman" w:hAnsi="Times New Roman" w:cs="Times New Roman"/>
          <w:noProof/>
          <w:sz w:val="24"/>
          <w:szCs w:val="24"/>
          <w:lang w:val="en-GB"/>
        </w:rPr>
        <w:t xml:space="preserve"> 121, pp. 159 - 179.</w:t>
      </w:r>
      <w:bookmarkEnd w:id="32"/>
    </w:p>
    <w:p w:rsidR="004934E3" w:rsidRPr="006F07C8" w:rsidRDefault="004934E3" w:rsidP="002F52A9">
      <w:pPr>
        <w:spacing w:after="0" w:line="240" w:lineRule="auto"/>
        <w:ind w:left="720" w:hanging="720"/>
        <w:jc w:val="both"/>
        <w:rPr>
          <w:rFonts w:ascii="Times New Roman" w:hAnsi="Times New Roman" w:cs="Times New Roman"/>
          <w:noProof/>
          <w:sz w:val="24"/>
          <w:szCs w:val="24"/>
        </w:rPr>
      </w:pPr>
      <w:bookmarkStart w:id="33" w:name="_ENREF_66"/>
      <w:r w:rsidRPr="006F07C8">
        <w:rPr>
          <w:rFonts w:ascii="Times New Roman" w:hAnsi="Times New Roman" w:cs="Times New Roman"/>
          <w:noProof/>
          <w:sz w:val="24"/>
          <w:szCs w:val="24"/>
        </w:rPr>
        <w:t xml:space="preserve">Robichaud, David. 2011. "Justice et politiques linguistiques: Pourquoi les laisser-fairistes devraient exiger des interventions de l’État", </w:t>
      </w:r>
      <w:r w:rsidRPr="006F07C8">
        <w:rPr>
          <w:rFonts w:ascii="Times New Roman" w:hAnsi="Times New Roman" w:cs="Times New Roman"/>
          <w:i/>
          <w:noProof/>
          <w:sz w:val="24"/>
          <w:szCs w:val="24"/>
        </w:rPr>
        <w:t>Philosophiques,</w:t>
      </w:r>
      <w:r w:rsidRPr="006F07C8">
        <w:rPr>
          <w:rFonts w:ascii="Times New Roman" w:hAnsi="Times New Roman" w:cs="Times New Roman"/>
          <w:noProof/>
          <w:sz w:val="24"/>
          <w:szCs w:val="24"/>
        </w:rPr>
        <w:t xml:space="preserve"> 38 (2), pp. 419-438.</w:t>
      </w:r>
      <w:bookmarkEnd w:id="33"/>
    </w:p>
    <w:p w:rsidR="004934E3" w:rsidRPr="006F07C8" w:rsidRDefault="004934E3" w:rsidP="002F52A9">
      <w:pPr>
        <w:spacing w:after="0" w:line="240" w:lineRule="auto"/>
        <w:ind w:left="720" w:hanging="720"/>
        <w:jc w:val="both"/>
        <w:rPr>
          <w:rFonts w:ascii="Times New Roman" w:hAnsi="Times New Roman" w:cs="Times New Roman"/>
          <w:noProof/>
          <w:sz w:val="24"/>
          <w:szCs w:val="24"/>
          <w:lang w:val="en-GB"/>
        </w:rPr>
      </w:pPr>
      <w:bookmarkStart w:id="34" w:name="_ENREF_67"/>
      <w:r w:rsidRPr="006F07C8">
        <w:rPr>
          <w:rFonts w:ascii="Times New Roman" w:hAnsi="Times New Roman" w:cs="Times New Roman"/>
          <w:noProof/>
          <w:sz w:val="24"/>
          <w:szCs w:val="24"/>
          <w:lang w:val="en-GB"/>
        </w:rPr>
        <w:t xml:space="preserve">Romaine, Suzanne. 2013. "Politics and policies of promoting multilingualism in the European Union", </w:t>
      </w:r>
      <w:r w:rsidRPr="006F07C8">
        <w:rPr>
          <w:rFonts w:ascii="Times New Roman" w:hAnsi="Times New Roman" w:cs="Times New Roman"/>
          <w:i/>
          <w:noProof/>
          <w:sz w:val="24"/>
          <w:szCs w:val="24"/>
          <w:lang w:val="en-GB"/>
        </w:rPr>
        <w:t>Language Policy,</w:t>
      </w:r>
      <w:r w:rsidRPr="006F07C8">
        <w:rPr>
          <w:rFonts w:ascii="Times New Roman" w:hAnsi="Times New Roman" w:cs="Times New Roman"/>
          <w:noProof/>
          <w:sz w:val="24"/>
          <w:szCs w:val="24"/>
          <w:lang w:val="en-GB"/>
        </w:rPr>
        <w:t xml:space="preserve"> 12, pp. 115-137.</w:t>
      </w:r>
      <w:bookmarkEnd w:id="34"/>
    </w:p>
    <w:p w:rsidR="004934E3" w:rsidRPr="006F07C8" w:rsidRDefault="004934E3" w:rsidP="002F52A9">
      <w:pPr>
        <w:spacing w:after="0" w:line="240" w:lineRule="auto"/>
        <w:ind w:left="720" w:hanging="720"/>
        <w:jc w:val="both"/>
        <w:rPr>
          <w:rFonts w:ascii="Times New Roman" w:hAnsi="Times New Roman" w:cs="Times New Roman"/>
          <w:noProof/>
          <w:sz w:val="24"/>
          <w:szCs w:val="24"/>
          <w:lang w:val="it-IT"/>
        </w:rPr>
      </w:pPr>
      <w:bookmarkStart w:id="35" w:name="_ENREF_68"/>
      <w:r w:rsidRPr="006F07C8">
        <w:rPr>
          <w:rFonts w:ascii="Times New Roman" w:hAnsi="Times New Roman" w:cs="Times New Roman"/>
          <w:noProof/>
          <w:sz w:val="24"/>
          <w:szCs w:val="24"/>
          <w:lang w:val="it-IT"/>
        </w:rPr>
        <w:t xml:space="preserve">Rossi-Landi, Ferruccio. 1968. </w:t>
      </w:r>
      <w:r w:rsidRPr="006F07C8">
        <w:rPr>
          <w:rFonts w:ascii="Times New Roman" w:hAnsi="Times New Roman" w:cs="Times New Roman"/>
          <w:i/>
          <w:noProof/>
          <w:sz w:val="24"/>
          <w:szCs w:val="24"/>
          <w:lang w:val="it-IT"/>
        </w:rPr>
        <w:t>Il linguaggio come lavoro e come mercato. Una teoria della produzione e dell'alienazione linguistiche</w:t>
      </w:r>
      <w:r w:rsidRPr="006F07C8">
        <w:rPr>
          <w:rFonts w:ascii="Times New Roman" w:hAnsi="Times New Roman" w:cs="Times New Roman"/>
          <w:noProof/>
          <w:sz w:val="24"/>
          <w:szCs w:val="24"/>
          <w:lang w:val="it-IT"/>
        </w:rPr>
        <w:t xml:space="preserve">. Milano: Bompiani. </w:t>
      </w:r>
      <w:bookmarkEnd w:id="35"/>
    </w:p>
    <w:p w:rsidR="004934E3" w:rsidRPr="006F07C8" w:rsidRDefault="004934E3" w:rsidP="002F52A9">
      <w:pPr>
        <w:spacing w:after="0" w:line="240" w:lineRule="auto"/>
        <w:ind w:left="720" w:hanging="720"/>
        <w:jc w:val="both"/>
        <w:rPr>
          <w:rFonts w:ascii="Times New Roman" w:hAnsi="Times New Roman" w:cs="Times New Roman"/>
          <w:noProof/>
          <w:sz w:val="24"/>
          <w:szCs w:val="24"/>
          <w:lang w:val="en-GB"/>
        </w:rPr>
      </w:pPr>
      <w:bookmarkStart w:id="36" w:name="_ENREF_69"/>
      <w:r w:rsidRPr="006F07C8">
        <w:rPr>
          <w:rFonts w:ascii="Times New Roman" w:hAnsi="Times New Roman" w:cs="Times New Roman"/>
          <w:noProof/>
          <w:sz w:val="24"/>
          <w:szCs w:val="24"/>
          <w:lang w:val="it-IT"/>
        </w:rPr>
        <w:t>Rubin, Joan e Björn  H. Jernudd</w:t>
      </w:r>
      <w:r w:rsidRPr="006F07C8">
        <w:rPr>
          <w:rFonts w:ascii="Times New Roman" w:hAnsi="Times New Roman" w:cs="Times New Roman"/>
          <w:b/>
          <w:noProof/>
          <w:sz w:val="24"/>
          <w:szCs w:val="24"/>
          <w:lang w:val="it-IT"/>
        </w:rPr>
        <w:t xml:space="preserve"> </w:t>
      </w:r>
      <w:r w:rsidRPr="006F07C8">
        <w:rPr>
          <w:rFonts w:ascii="Times New Roman" w:hAnsi="Times New Roman" w:cs="Times New Roman"/>
          <w:noProof/>
          <w:sz w:val="24"/>
          <w:szCs w:val="24"/>
          <w:lang w:val="it-IT"/>
        </w:rPr>
        <w:t xml:space="preserve">(a cura di). 1971. </w:t>
      </w:r>
      <w:r w:rsidRPr="006F07C8">
        <w:rPr>
          <w:rFonts w:ascii="Times New Roman" w:hAnsi="Times New Roman" w:cs="Times New Roman"/>
          <w:i/>
          <w:noProof/>
          <w:sz w:val="24"/>
          <w:szCs w:val="24"/>
          <w:lang w:val="en-GB"/>
        </w:rPr>
        <w:t>Can language be planned? Sociolinguistic theory and practice for developing nations</w:t>
      </w:r>
      <w:r w:rsidRPr="006F07C8">
        <w:rPr>
          <w:rFonts w:ascii="Times New Roman" w:hAnsi="Times New Roman" w:cs="Times New Roman"/>
          <w:noProof/>
          <w:sz w:val="24"/>
          <w:szCs w:val="24"/>
          <w:lang w:val="en-GB"/>
        </w:rPr>
        <w:t>. Honolulu: The University Press of Hawaii.</w:t>
      </w:r>
      <w:bookmarkEnd w:id="36"/>
    </w:p>
    <w:p w:rsidR="004934E3" w:rsidRPr="006F07C8" w:rsidRDefault="004934E3" w:rsidP="002F52A9">
      <w:pPr>
        <w:spacing w:after="0" w:line="240" w:lineRule="auto"/>
        <w:ind w:left="720" w:hanging="720"/>
        <w:jc w:val="both"/>
        <w:rPr>
          <w:rFonts w:ascii="Times New Roman" w:hAnsi="Times New Roman" w:cs="Times New Roman"/>
          <w:noProof/>
          <w:sz w:val="24"/>
          <w:szCs w:val="24"/>
          <w:lang w:val="en-GB"/>
        </w:rPr>
      </w:pPr>
      <w:bookmarkStart w:id="37" w:name="_ENREF_70"/>
      <w:r w:rsidRPr="006F07C8">
        <w:rPr>
          <w:rFonts w:ascii="Times New Roman" w:hAnsi="Times New Roman" w:cs="Times New Roman"/>
          <w:noProof/>
          <w:sz w:val="24"/>
          <w:szCs w:val="24"/>
          <w:lang w:val="en-GB"/>
        </w:rPr>
        <w:t xml:space="preserve">Seidlhofer, Barbara, Angelika Breiteneder, e Marie-Luise Pitzl. 2006. "English as a lingua franca in Europe: Challenges for applied linguistics", </w:t>
      </w:r>
      <w:r w:rsidRPr="006F07C8">
        <w:rPr>
          <w:rFonts w:ascii="Times New Roman" w:hAnsi="Times New Roman" w:cs="Times New Roman"/>
          <w:i/>
          <w:noProof/>
          <w:sz w:val="24"/>
          <w:szCs w:val="24"/>
          <w:lang w:val="en-GB"/>
        </w:rPr>
        <w:t xml:space="preserve">Annual Review of Applied Linguistics </w:t>
      </w:r>
      <w:r w:rsidRPr="006F07C8">
        <w:rPr>
          <w:rFonts w:ascii="Times New Roman" w:hAnsi="Times New Roman" w:cs="Times New Roman"/>
          <w:noProof/>
          <w:sz w:val="24"/>
          <w:szCs w:val="24"/>
          <w:lang w:val="en-GB"/>
        </w:rPr>
        <w:t>26, pp. 3-34.</w:t>
      </w:r>
      <w:bookmarkEnd w:id="37"/>
    </w:p>
    <w:p w:rsidR="004934E3" w:rsidRPr="006F07C8" w:rsidRDefault="004934E3" w:rsidP="002F52A9">
      <w:pPr>
        <w:spacing w:after="0" w:line="240" w:lineRule="auto"/>
        <w:ind w:left="720" w:hanging="720"/>
        <w:jc w:val="both"/>
        <w:rPr>
          <w:rFonts w:ascii="Times New Roman" w:hAnsi="Times New Roman" w:cs="Times New Roman"/>
          <w:noProof/>
          <w:sz w:val="24"/>
          <w:szCs w:val="24"/>
          <w:lang w:val="en-GB"/>
        </w:rPr>
      </w:pPr>
      <w:bookmarkStart w:id="38" w:name="_ENREF_71"/>
      <w:r w:rsidRPr="006F07C8">
        <w:rPr>
          <w:rFonts w:ascii="Times New Roman" w:hAnsi="Times New Roman" w:cs="Times New Roman"/>
          <w:noProof/>
          <w:sz w:val="24"/>
          <w:szCs w:val="24"/>
          <w:lang w:val="en-GB"/>
        </w:rPr>
        <w:t xml:space="preserve">Shohamy, Elana. 2006. </w:t>
      </w:r>
      <w:r w:rsidRPr="006F07C8">
        <w:rPr>
          <w:rFonts w:ascii="Times New Roman" w:hAnsi="Times New Roman" w:cs="Times New Roman"/>
          <w:i/>
          <w:noProof/>
          <w:sz w:val="24"/>
          <w:szCs w:val="24"/>
          <w:lang w:val="en-GB"/>
        </w:rPr>
        <w:t>Language policy. Hidden agendas and new approaches</w:t>
      </w:r>
      <w:r w:rsidRPr="006F07C8">
        <w:rPr>
          <w:rFonts w:ascii="Times New Roman" w:hAnsi="Times New Roman" w:cs="Times New Roman"/>
          <w:noProof/>
          <w:sz w:val="24"/>
          <w:szCs w:val="24"/>
          <w:lang w:val="en-GB"/>
        </w:rPr>
        <w:t xml:space="preserve">. Londra: Routledge. </w:t>
      </w:r>
      <w:bookmarkEnd w:id="38"/>
    </w:p>
    <w:p w:rsidR="004934E3" w:rsidRPr="006F07C8" w:rsidRDefault="004934E3" w:rsidP="002F52A9">
      <w:pPr>
        <w:spacing w:after="0" w:line="240" w:lineRule="auto"/>
        <w:ind w:left="720" w:hanging="720"/>
        <w:jc w:val="both"/>
        <w:rPr>
          <w:rFonts w:ascii="Times New Roman" w:hAnsi="Times New Roman" w:cs="Times New Roman"/>
          <w:noProof/>
          <w:sz w:val="24"/>
          <w:szCs w:val="24"/>
          <w:lang w:val="en-GB"/>
        </w:rPr>
      </w:pPr>
      <w:bookmarkStart w:id="39" w:name="_ENREF_72"/>
      <w:r w:rsidRPr="006F07C8">
        <w:rPr>
          <w:rFonts w:ascii="Times New Roman" w:hAnsi="Times New Roman" w:cs="Times New Roman"/>
          <w:noProof/>
          <w:sz w:val="24"/>
          <w:szCs w:val="24"/>
          <w:lang w:val="en-GB"/>
        </w:rPr>
        <w:t xml:space="preserve">Solé Camardons, Joan e Anna Torrijos. 2008. "El sistema d’indicadors lingüístics a Catalunya", </w:t>
      </w:r>
      <w:r w:rsidRPr="006F07C8">
        <w:rPr>
          <w:rFonts w:ascii="Times New Roman" w:hAnsi="Times New Roman" w:cs="Times New Roman"/>
          <w:i/>
          <w:noProof/>
          <w:sz w:val="24"/>
          <w:szCs w:val="24"/>
          <w:lang w:val="en-GB"/>
        </w:rPr>
        <w:t>Llengua i Ús - Revista tècnica de Política Lingüística,</w:t>
      </w:r>
      <w:r w:rsidRPr="006F07C8">
        <w:rPr>
          <w:rFonts w:ascii="Times New Roman" w:hAnsi="Times New Roman" w:cs="Times New Roman"/>
          <w:noProof/>
          <w:sz w:val="24"/>
          <w:szCs w:val="24"/>
          <w:lang w:val="en-GB"/>
        </w:rPr>
        <w:t xml:space="preserve"> (43), pp. 92-103.</w:t>
      </w:r>
      <w:bookmarkEnd w:id="39"/>
    </w:p>
    <w:p w:rsidR="004934E3" w:rsidRPr="006F07C8" w:rsidRDefault="004934E3" w:rsidP="002F52A9">
      <w:pPr>
        <w:spacing w:after="0" w:line="240" w:lineRule="auto"/>
        <w:ind w:left="720" w:hanging="720"/>
        <w:jc w:val="both"/>
        <w:rPr>
          <w:rFonts w:ascii="Times New Roman" w:hAnsi="Times New Roman" w:cs="Times New Roman"/>
          <w:noProof/>
          <w:sz w:val="24"/>
          <w:szCs w:val="24"/>
          <w:lang w:val="it-IT"/>
        </w:rPr>
      </w:pPr>
      <w:bookmarkStart w:id="40" w:name="_ENREF_73"/>
      <w:r w:rsidRPr="006F07C8">
        <w:rPr>
          <w:rFonts w:ascii="Times New Roman" w:hAnsi="Times New Roman" w:cs="Times New Roman"/>
          <w:noProof/>
          <w:sz w:val="24"/>
          <w:szCs w:val="24"/>
          <w:lang w:val="it-IT"/>
        </w:rPr>
        <w:t xml:space="preserve">Tesauro, Giuseppe. 2001. </w:t>
      </w:r>
      <w:r w:rsidRPr="006F07C8">
        <w:rPr>
          <w:rFonts w:ascii="Times New Roman" w:hAnsi="Times New Roman" w:cs="Times New Roman"/>
          <w:i/>
          <w:noProof/>
          <w:sz w:val="24"/>
          <w:szCs w:val="24"/>
          <w:lang w:val="it-IT"/>
        </w:rPr>
        <w:t>Diritto comunitario</w:t>
      </w:r>
      <w:r w:rsidRPr="006F07C8">
        <w:rPr>
          <w:rFonts w:ascii="Times New Roman" w:hAnsi="Times New Roman" w:cs="Times New Roman"/>
          <w:noProof/>
          <w:sz w:val="24"/>
          <w:szCs w:val="24"/>
          <w:lang w:val="it-IT"/>
        </w:rPr>
        <w:t xml:space="preserve">. Padova: Cedam. </w:t>
      </w:r>
      <w:bookmarkEnd w:id="40"/>
    </w:p>
    <w:p w:rsidR="004934E3" w:rsidRPr="006F07C8" w:rsidRDefault="004934E3" w:rsidP="002F52A9">
      <w:pPr>
        <w:spacing w:after="0" w:line="240" w:lineRule="auto"/>
        <w:ind w:left="720" w:hanging="720"/>
        <w:jc w:val="both"/>
        <w:rPr>
          <w:rFonts w:ascii="Times New Roman" w:hAnsi="Times New Roman" w:cs="Times New Roman"/>
          <w:noProof/>
          <w:sz w:val="24"/>
          <w:szCs w:val="24"/>
          <w:lang w:val="en-GB"/>
        </w:rPr>
      </w:pPr>
      <w:bookmarkStart w:id="41" w:name="_ENREF_74"/>
      <w:r w:rsidRPr="006F07C8">
        <w:rPr>
          <w:rFonts w:ascii="Times New Roman" w:hAnsi="Times New Roman" w:cs="Times New Roman"/>
          <w:noProof/>
          <w:sz w:val="24"/>
          <w:szCs w:val="24"/>
          <w:lang w:val="en-GB"/>
        </w:rPr>
        <w:t xml:space="preserve">The Economist. 2013. "Language diversity: Johnson: Just speak English?", </w:t>
      </w:r>
      <w:r w:rsidRPr="006F07C8">
        <w:rPr>
          <w:rFonts w:ascii="Times New Roman" w:hAnsi="Times New Roman" w:cs="Times New Roman"/>
          <w:i/>
          <w:noProof/>
          <w:sz w:val="24"/>
          <w:szCs w:val="24"/>
          <w:lang w:val="en-GB"/>
        </w:rPr>
        <w:t>The Economist</w:t>
      </w:r>
      <w:r w:rsidRPr="006F07C8">
        <w:rPr>
          <w:rFonts w:ascii="Times New Roman" w:hAnsi="Times New Roman" w:cs="Times New Roman"/>
          <w:noProof/>
          <w:sz w:val="24"/>
          <w:szCs w:val="24"/>
          <w:lang w:val="en-GB"/>
        </w:rPr>
        <w:t>, 17 settembre 2013.</w:t>
      </w:r>
      <w:bookmarkEnd w:id="41"/>
    </w:p>
    <w:p w:rsidR="004934E3" w:rsidRPr="006F07C8" w:rsidRDefault="004934E3" w:rsidP="002F52A9">
      <w:pPr>
        <w:spacing w:after="0" w:line="240" w:lineRule="auto"/>
        <w:ind w:left="720" w:hanging="720"/>
        <w:jc w:val="both"/>
        <w:rPr>
          <w:rFonts w:ascii="Times New Roman" w:hAnsi="Times New Roman" w:cs="Times New Roman"/>
          <w:noProof/>
          <w:sz w:val="24"/>
          <w:szCs w:val="24"/>
        </w:rPr>
      </w:pPr>
      <w:bookmarkStart w:id="42" w:name="_ENREF_75"/>
      <w:r w:rsidRPr="006F07C8">
        <w:rPr>
          <w:rFonts w:ascii="Times New Roman" w:hAnsi="Times New Roman" w:cs="Times New Roman"/>
          <w:noProof/>
          <w:sz w:val="24"/>
          <w:szCs w:val="24"/>
          <w:lang w:val="it-IT"/>
        </w:rPr>
        <w:t>Tosi, Arturo</w:t>
      </w:r>
      <w:r w:rsidRPr="006F07C8">
        <w:rPr>
          <w:rFonts w:ascii="Times New Roman" w:hAnsi="Times New Roman" w:cs="Times New Roman"/>
          <w:b/>
          <w:noProof/>
          <w:sz w:val="24"/>
          <w:szCs w:val="24"/>
          <w:lang w:val="it-IT"/>
        </w:rPr>
        <w:t xml:space="preserve"> </w:t>
      </w:r>
      <w:r w:rsidRPr="006F07C8">
        <w:rPr>
          <w:rFonts w:ascii="Times New Roman" w:hAnsi="Times New Roman" w:cs="Times New Roman"/>
          <w:noProof/>
          <w:sz w:val="24"/>
          <w:szCs w:val="24"/>
          <w:lang w:val="it-IT"/>
        </w:rPr>
        <w:t xml:space="preserve">(a cura di). 2013. </w:t>
      </w:r>
      <w:r w:rsidRPr="006F07C8">
        <w:rPr>
          <w:rFonts w:ascii="Times New Roman" w:hAnsi="Times New Roman" w:cs="Times New Roman"/>
          <w:i/>
          <w:noProof/>
          <w:sz w:val="24"/>
          <w:szCs w:val="24"/>
          <w:lang w:val="en-GB"/>
        </w:rPr>
        <w:t>The EU Multilingual translation in an ecology of language perspective</w:t>
      </w:r>
      <w:r w:rsidRPr="006F07C8">
        <w:rPr>
          <w:rFonts w:ascii="Times New Roman" w:hAnsi="Times New Roman" w:cs="Times New Roman"/>
          <w:noProof/>
          <w:sz w:val="24"/>
          <w:szCs w:val="24"/>
          <w:lang w:val="en-GB"/>
        </w:rPr>
        <w:t xml:space="preserve">. </w:t>
      </w:r>
      <w:r w:rsidRPr="006F07C8">
        <w:rPr>
          <w:rFonts w:ascii="Times New Roman" w:hAnsi="Times New Roman" w:cs="Times New Roman"/>
          <w:noProof/>
          <w:sz w:val="24"/>
          <w:szCs w:val="24"/>
        </w:rPr>
        <w:t>Oxford: Blackwell.</w:t>
      </w:r>
      <w:bookmarkEnd w:id="42"/>
    </w:p>
    <w:p w:rsidR="004934E3" w:rsidRPr="006F07C8" w:rsidRDefault="004934E3" w:rsidP="002F52A9">
      <w:pPr>
        <w:spacing w:after="0" w:line="240" w:lineRule="auto"/>
        <w:ind w:left="720" w:hanging="720"/>
        <w:jc w:val="both"/>
        <w:rPr>
          <w:rFonts w:ascii="Times New Roman" w:hAnsi="Times New Roman" w:cs="Times New Roman"/>
          <w:noProof/>
          <w:sz w:val="24"/>
          <w:szCs w:val="24"/>
          <w:lang w:val="en-GB"/>
        </w:rPr>
      </w:pPr>
      <w:bookmarkStart w:id="43" w:name="_ENREF_76"/>
      <w:r w:rsidRPr="006F07C8">
        <w:rPr>
          <w:rFonts w:ascii="Times New Roman" w:hAnsi="Times New Roman" w:cs="Times New Roman"/>
          <w:noProof/>
          <w:sz w:val="24"/>
          <w:szCs w:val="24"/>
        </w:rPr>
        <w:t xml:space="preserve">Vaillancourt, François e Olivier Coche. 2009. </w:t>
      </w:r>
      <w:r w:rsidRPr="006F07C8">
        <w:rPr>
          <w:rFonts w:ascii="Times New Roman" w:hAnsi="Times New Roman" w:cs="Times New Roman"/>
          <w:i/>
          <w:noProof/>
          <w:sz w:val="24"/>
          <w:szCs w:val="24"/>
        </w:rPr>
        <w:t>Les politiques fédérales en matière de langues officielles au Canada : coûts et avantages en 2006</w:t>
      </w:r>
      <w:r w:rsidRPr="006F07C8">
        <w:rPr>
          <w:rFonts w:ascii="Times New Roman" w:hAnsi="Times New Roman" w:cs="Times New Roman"/>
          <w:noProof/>
          <w:sz w:val="24"/>
          <w:szCs w:val="24"/>
        </w:rPr>
        <w:t xml:space="preserve">, Études en politique linguistique. </w:t>
      </w:r>
      <w:r w:rsidRPr="006F07C8">
        <w:rPr>
          <w:rFonts w:ascii="Times New Roman" w:hAnsi="Times New Roman" w:cs="Times New Roman"/>
          <w:noProof/>
          <w:sz w:val="24"/>
          <w:szCs w:val="24"/>
          <w:lang w:val="en-GB"/>
        </w:rPr>
        <w:t>Vancouver: Institut Fraser.</w:t>
      </w:r>
      <w:bookmarkEnd w:id="43"/>
    </w:p>
    <w:p w:rsidR="004934E3" w:rsidRPr="006F07C8" w:rsidRDefault="004934E3" w:rsidP="002F52A9">
      <w:pPr>
        <w:spacing w:after="0" w:line="240" w:lineRule="auto"/>
        <w:ind w:left="720" w:hanging="720"/>
        <w:jc w:val="both"/>
        <w:rPr>
          <w:rFonts w:ascii="Times New Roman" w:hAnsi="Times New Roman" w:cs="Times New Roman"/>
          <w:noProof/>
          <w:sz w:val="24"/>
          <w:szCs w:val="24"/>
          <w:lang w:val="en-GB"/>
        </w:rPr>
      </w:pPr>
      <w:bookmarkStart w:id="44" w:name="_ENREF_77"/>
      <w:r w:rsidRPr="006F07C8">
        <w:rPr>
          <w:rFonts w:ascii="Times New Roman" w:hAnsi="Times New Roman" w:cs="Times New Roman"/>
          <w:noProof/>
          <w:sz w:val="24"/>
          <w:szCs w:val="24"/>
          <w:lang w:val="en-GB"/>
        </w:rPr>
        <w:t xml:space="preserve">Van Parijs, Philippe. 2011. </w:t>
      </w:r>
      <w:r w:rsidRPr="006F07C8">
        <w:rPr>
          <w:rFonts w:ascii="Times New Roman" w:hAnsi="Times New Roman" w:cs="Times New Roman"/>
          <w:i/>
          <w:noProof/>
          <w:sz w:val="24"/>
          <w:szCs w:val="24"/>
          <w:lang w:val="en-GB"/>
        </w:rPr>
        <w:t>Linguistic justice for Europe and for the World</w:t>
      </w:r>
      <w:r w:rsidRPr="006F07C8">
        <w:rPr>
          <w:rFonts w:ascii="Times New Roman" w:hAnsi="Times New Roman" w:cs="Times New Roman"/>
          <w:noProof/>
          <w:sz w:val="24"/>
          <w:szCs w:val="24"/>
          <w:lang w:val="en-GB"/>
        </w:rPr>
        <w:t xml:space="preserve">. Oxford: Oxford University Press. </w:t>
      </w:r>
      <w:bookmarkEnd w:id="44"/>
    </w:p>
    <w:p w:rsidR="00B6360C" w:rsidRPr="002F52A9" w:rsidRDefault="004934E3" w:rsidP="002F52A9">
      <w:pPr>
        <w:spacing w:line="240" w:lineRule="auto"/>
        <w:ind w:left="720" w:hanging="720"/>
        <w:jc w:val="both"/>
        <w:rPr>
          <w:rFonts w:ascii="Times New Roman" w:hAnsi="Times New Roman" w:cs="Times New Roman"/>
          <w:sz w:val="24"/>
          <w:szCs w:val="24"/>
          <w:lang w:val="it-IT"/>
        </w:rPr>
      </w:pPr>
      <w:bookmarkStart w:id="45" w:name="_ENREF_78"/>
      <w:r w:rsidRPr="006F07C8">
        <w:rPr>
          <w:rFonts w:ascii="Times New Roman" w:hAnsi="Times New Roman" w:cs="Times New Roman"/>
          <w:noProof/>
          <w:sz w:val="24"/>
          <w:szCs w:val="24"/>
          <w:lang w:val="en-GB"/>
        </w:rPr>
        <w:t xml:space="preserve">Weimer, David L. e Aidan R. Vining. 2005. </w:t>
      </w:r>
      <w:r w:rsidRPr="006F07C8">
        <w:rPr>
          <w:rFonts w:ascii="Times New Roman" w:hAnsi="Times New Roman" w:cs="Times New Roman"/>
          <w:i/>
          <w:noProof/>
          <w:sz w:val="24"/>
          <w:szCs w:val="24"/>
          <w:lang w:val="en-GB"/>
        </w:rPr>
        <w:t>Policy analysis: Concepts and practice</w:t>
      </w:r>
      <w:r w:rsidRPr="006F07C8">
        <w:rPr>
          <w:rFonts w:ascii="Times New Roman" w:hAnsi="Times New Roman" w:cs="Times New Roman"/>
          <w:noProof/>
          <w:sz w:val="24"/>
          <w:szCs w:val="24"/>
          <w:lang w:val="en-GB"/>
        </w:rPr>
        <w:t xml:space="preserve"> (4a edizione). Englewood Cliffs: Prentice-Hall. </w:t>
      </w:r>
      <w:bookmarkEnd w:id="45"/>
      <w:r w:rsidRPr="006F07C8">
        <w:rPr>
          <w:rFonts w:ascii="Times New Roman" w:hAnsi="Times New Roman" w:cs="Times New Roman"/>
          <w:sz w:val="24"/>
          <w:szCs w:val="24"/>
          <w:lang w:val="it-IT"/>
        </w:rPr>
        <w:fldChar w:fldCharType="end"/>
      </w:r>
      <w:bookmarkStart w:id="46" w:name="_GoBack"/>
      <w:bookmarkEnd w:id="31"/>
      <w:bookmarkEnd w:id="46"/>
    </w:p>
    <w:sectPr w:rsidR="00B6360C" w:rsidRPr="002F52A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4B1B" w:rsidRDefault="00B14B1B" w:rsidP="0093246A">
      <w:pPr>
        <w:spacing w:after="0" w:line="240" w:lineRule="auto"/>
      </w:pPr>
      <w:r>
        <w:separator/>
      </w:r>
    </w:p>
  </w:endnote>
  <w:endnote w:type="continuationSeparator" w:id="0">
    <w:p w:rsidR="00B14B1B" w:rsidRDefault="00B14B1B" w:rsidP="00932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ndalus">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5355068"/>
      <w:docPartObj>
        <w:docPartGallery w:val="Page Numbers (Bottom of Page)"/>
        <w:docPartUnique/>
      </w:docPartObj>
    </w:sdtPr>
    <w:sdtEndPr>
      <w:rPr>
        <w:rFonts w:ascii="Palatino Linotype" w:hAnsi="Palatino Linotype"/>
      </w:rPr>
    </w:sdtEndPr>
    <w:sdtContent>
      <w:p w:rsidR="005A17D4" w:rsidRPr="003F411A" w:rsidRDefault="005A17D4">
        <w:pPr>
          <w:pStyle w:val="Footer"/>
          <w:jc w:val="center"/>
          <w:rPr>
            <w:rFonts w:ascii="Palatino Linotype" w:hAnsi="Palatino Linotype"/>
          </w:rPr>
        </w:pPr>
        <w:r w:rsidRPr="003F411A">
          <w:rPr>
            <w:rFonts w:ascii="Palatino Linotype" w:hAnsi="Palatino Linotype"/>
          </w:rPr>
          <w:fldChar w:fldCharType="begin"/>
        </w:r>
        <w:r w:rsidRPr="003F411A">
          <w:rPr>
            <w:rFonts w:ascii="Palatino Linotype" w:hAnsi="Palatino Linotype"/>
          </w:rPr>
          <w:instrText>PAGE   \* MERGEFORMAT</w:instrText>
        </w:r>
        <w:r w:rsidRPr="003F411A">
          <w:rPr>
            <w:rFonts w:ascii="Palatino Linotype" w:hAnsi="Palatino Linotype"/>
          </w:rPr>
          <w:fldChar w:fldCharType="separate"/>
        </w:r>
        <w:r w:rsidR="00E5223B" w:rsidRPr="00E5223B">
          <w:rPr>
            <w:rFonts w:ascii="Palatino Linotype" w:hAnsi="Palatino Linotype"/>
            <w:noProof/>
            <w:lang w:val="fr-FR"/>
          </w:rPr>
          <w:t>27</w:t>
        </w:r>
        <w:r w:rsidRPr="003F411A">
          <w:rPr>
            <w:rFonts w:ascii="Palatino Linotype" w:hAnsi="Palatino Linotype"/>
          </w:rPr>
          <w:fldChar w:fldCharType="end"/>
        </w:r>
      </w:p>
    </w:sdtContent>
  </w:sdt>
  <w:p w:rsidR="005A17D4" w:rsidRDefault="005A17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4B1B" w:rsidRDefault="00B14B1B" w:rsidP="0093246A">
      <w:pPr>
        <w:spacing w:after="0" w:line="240" w:lineRule="auto"/>
      </w:pPr>
      <w:r>
        <w:separator/>
      </w:r>
    </w:p>
  </w:footnote>
  <w:footnote w:type="continuationSeparator" w:id="0">
    <w:p w:rsidR="00B14B1B" w:rsidRDefault="00B14B1B" w:rsidP="0093246A">
      <w:pPr>
        <w:spacing w:after="0" w:line="240" w:lineRule="auto"/>
      </w:pPr>
      <w:r>
        <w:continuationSeparator/>
      </w:r>
    </w:p>
  </w:footnote>
  <w:footnote w:id="1">
    <w:p w:rsidR="005A17D4" w:rsidRPr="002F52A9" w:rsidRDefault="005A17D4" w:rsidP="003C3D1C">
      <w:pPr>
        <w:pStyle w:val="FootnoteText"/>
        <w:jc w:val="both"/>
        <w:rPr>
          <w:rFonts w:ascii="Times New Roman" w:hAnsi="Times New Roman" w:cs="Times New Roman"/>
          <w:lang w:val="it-IT"/>
        </w:rPr>
      </w:pPr>
      <w:r w:rsidRPr="002F52A9">
        <w:rPr>
          <w:rStyle w:val="FootnoteReference"/>
          <w:rFonts w:ascii="Times New Roman" w:hAnsi="Times New Roman" w:cs="Times New Roman"/>
          <w:lang w:val="it-IT"/>
        </w:rPr>
        <w:footnoteRef/>
      </w:r>
      <w:r w:rsidRPr="002F52A9">
        <w:rPr>
          <w:rFonts w:ascii="Times New Roman" w:hAnsi="Times New Roman" w:cs="Times New Roman"/>
          <w:lang w:val="de-DE"/>
        </w:rPr>
        <w:t xml:space="preserve"> Institut für Finanzwissenschaft, Humboldt-Universität zu Berlin, Germania. </w:t>
      </w:r>
      <w:r w:rsidRPr="002F52A9">
        <w:rPr>
          <w:rFonts w:ascii="Times New Roman" w:hAnsi="Times New Roman" w:cs="Times New Roman"/>
          <w:lang w:val="it-IT"/>
        </w:rPr>
        <w:t xml:space="preserve">L’autore ringrazia per il loro sostegno finanziario il Fondo nazionale svizzero (progetto </w:t>
      </w:r>
      <w:r w:rsidRPr="002F52A9">
        <w:rPr>
          <w:rFonts w:ascii="Times New Roman" w:hAnsi="Times New Roman" w:cs="Times New Roman"/>
          <w:iCs/>
          <w:lang w:val="it-IT"/>
        </w:rPr>
        <w:t xml:space="preserve">PBGEP1-136158), la Research Executive Agency (progetto </w:t>
      </w:r>
      <w:r w:rsidRPr="002F52A9">
        <w:rPr>
          <w:rFonts w:ascii="Times New Roman" w:hAnsi="Times New Roman" w:cs="Times New Roman"/>
          <w:lang w:val="it-IT"/>
        </w:rPr>
        <w:t>PIEF-GA-2012-327225) e il Center for Applied Statistics and Economics (C.A.S.E.). Si ringraziano Gabriele Iannàccaro, Regina Kühne, Nannette Schliebner Bengt-Arne Wickström per i loro preziosi suggerimenti. Tutti gli indirizzi dei siti Internet citati sono stati verificati nel febbraio 2014.</w:t>
      </w:r>
    </w:p>
  </w:footnote>
  <w:footnote w:id="2">
    <w:p w:rsidR="005A17D4" w:rsidRPr="002F52A9" w:rsidRDefault="005A17D4" w:rsidP="002F52A9">
      <w:pPr>
        <w:pStyle w:val="FootnoteText"/>
        <w:jc w:val="both"/>
        <w:rPr>
          <w:rFonts w:ascii="Times New Roman" w:hAnsi="Times New Roman" w:cs="Times New Roman"/>
          <w:lang w:val="it-IT"/>
        </w:rPr>
      </w:pPr>
      <w:r w:rsidRPr="002F52A9">
        <w:rPr>
          <w:rStyle w:val="FootnoteReference"/>
          <w:rFonts w:ascii="Times New Roman" w:hAnsi="Times New Roman" w:cs="Times New Roman"/>
        </w:rPr>
        <w:footnoteRef/>
      </w:r>
      <w:r w:rsidRPr="002F52A9">
        <w:rPr>
          <w:rFonts w:ascii="Times New Roman" w:hAnsi="Times New Roman" w:cs="Times New Roman"/>
          <w:lang w:val="it-IT"/>
        </w:rPr>
        <w:t xml:space="preserve"> Fra gli altri si segnalano </w:t>
      </w:r>
      <w:r w:rsidRPr="002F52A9">
        <w:rPr>
          <w:rFonts w:ascii="Times New Roman" w:hAnsi="Times New Roman" w:cs="Times New Roman"/>
          <w:noProof/>
          <w:lang w:val="it-IT"/>
        </w:rPr>
        <w:t>Phillipson (</w:t>
      </w:r>
      <w:hyperlink w:anchor="_ENREF_62" w:tooltip="Phillipson, 2003 #178" w:history="1">
        <w:r w:rsidRPr="002F52A9">
          <w:rPr>
            <w:rFonts w:ascii="Times New Roman" w:hAnsi="Times New Roman" w:cs="Times New Roman"/>
            <w:lang w:val="en-GB"/>
          </w:rPr>
          <w:fldChar w:fldCharType="begin"/>
        </w:r>
        <w:r w:rsidRPr="002F52A9">
          <w:rPr>
            <w:rFonts w:ascii="Times New Roman" w:hAnsi="Times New Roman" w:cs="Times New Roman"/>
            <w:lang w:val="it-IT"/>
          </w:rPr>
          <w:instrText xml:space="preserve"> ADDIN EN.CITE &lt;EndNote&gt;&lt;Cite ExcludeAuth="1"&gt;&lt;Author&gt;Phillipson&lt;/Author&gt;&lt;Year&gt;2003&lt;/Year&gt;&lt;RecNum&gt;178&lt;/RecNum&gt;&lt;DisplayText&gt;2003&lt;/DisplayText&gt;&lt;record&gt;&lt;rec-number&gt;178&lt;/rec-number&gt;&lt;foreign-keys&gt;&lt;key app="EN" db-id="wvvszzd93a0z5wesdfpvdv9z5wrra5p05axp"&gt;178&lt;/key&gt;&lt;/foreign-keys&gt;&lt;ref-type name="Book"&gt;6&lt;/ref-type&gt;&lt;contributors&gt;&lt;authors&gt;&lt;author&gt;Phillipson, Robert&lt;/author&gt;&lt;/authors&gt;&lt;/contributors&gt;&lt;titles&gt;&lt;title&gt;English-only Europe? Challenging language policy&lt;/title&gt;&lt;/titles&gt;&lt;dates&gt;&lt;year&gt;2003&lt;/year&gt;&lt;/dates&gt;&lt;pub-location&gt;London&lt;/pub-location&gt;&lt;publisher&gt;Routledge&lt;/publisher&gt;&lt;urls&gt;&lt;/urls&gt;&lt;/record&gt;&lt;/Cite&gt;&lt;/EndNote&gt;</w:instrText>
        </w:r>
        <w:r w:rsidRPr="002F52A9">
          <w:rPr>
            <w:rFonts w:ascii="Times New Roman" w:hAnsi="Times New Roman" w:cs="Times New Roman"/>
            <w:lang w:val="en-GB"/>
          </w:rPr>
          <w:fldChar w:fldCharType="separate"/>
        </w:r>
        <w:r w:rsidRPr="002F52A9">
          <w:rPr>
            <w:rFonts w:ascii="Times New Roman" w:hAnsi="Times New Roman" w:cs="Times New Roman"/>
            <w:noProof/>
            <w:lang w:val="it-IT"/>
          </w:rPr>
          <w:t>2003</w:t>
        </w:r>
        <w:r w:rsidRPr="002F52A9">
          <w:rPr>
            <w:rFonts w:ascii="Times New Roman" w:hAnsi="Times New Roman" w:cs="Times New Roman"/>
            <w:lang w:val="en-GB"/>
          </w:rPr>
          <w:fldChar w:fldCharType="end"/>
        </w:r>
      </w:hyperlink>
      <w:r w:rsidRPr="002F52A9">
        <w:rPr>
          <w:rFonts w:ascii="Times New Roman" w:hAnsi="Times New Roman" w:cs="Times New Roman"/>
          <w:noProof/>
          <w:lang w:val="it-IT"/>
        </w:rPr>
        <w:t xml:space="preserve">), </w:t>
      </w:r>
      <w:r w:rsidRPr="002F52A9">
        <w:rPr>
          <w:rFonts w:ascii="Times New Roman" w:hAnsi="Times New Roman" w:cs="Times New Roman"/>
          <w:lang w:val="it-IT"/>
        </w:rPr>
        <w:t>Ammon (</w:t>
      </w:r>
      <w:hyperlink w:anchor="_ENREF_1" w:tooltip="Ammon, 2006 #824" w:history="1">
        <w:r w:rsidRPr="002F52A9">
          <w:rPr>
            <w:rFonts w:ascii="Times New Roman" w:hAnsi="Times New Roman" w:cs="Times New Roman"/>
            <w:lang w:val="en-GB"/>
          </w:rPr>
          <w:fldChar w:fldCharType="begin"/>
        </w:r>
        <w:r w:rsidRPr="002F52A9">
          <w:rPr>
            <w:rFonts w:ascii="Times New Roman" w:hAnsi="Times New Roman" w:cs="Times New Roman"/>
            <w:lang w:val="it-IT"/>
          </w:rPr>
          <w:instrText xml:space="preserve"> ADDIN EN.CITE &lt;EndNote&gt;&lt;Cite ExcludeAuth="1"&gt;&lt;Author&gt;Ammon&lt;/Author&gt;&lt;Year&gt;2006&lt;/Year&gt;&lt;RecNum&gt;824&lt;/RecNum&gt;&lt;DisplayText&gt;2006&lt;/DisplayText&gt;&lt;record&gt;&lt;rec-number&gt;824&lt;/rec-number&gt;&lt;foreign-keys&gt;&lt;key app="EN" db-id="wvvszzd93a0z5wesdfpvdv9z5wrra5p05axp"&gt;824&lt;/key&gt;&lt;/foreign-keys&gt;&lt;ref-type name="Journal Article"&gt;17&lt;/ref-type&gt;&lt;contributors&gt;&lt;authors&gt;&lt;author&gt;Ammon, Ulrich&lt;/author&gt;&lt;/authors&gt;&lt;/contributors&gt;&lt;titles&gt;&lt;title&gt;Language conflicts in the European Union. On finding a politically acceptable and practicable solution for EU institutions that satisfies diverging interests&lt;/title&gt;&lt;secondary-title&gt;International Journal of Applied Linguistics&lt;/secondary-title&gt;&lt;/titles&gt;&lt;periodical&gt;&lt;full-title&gt;International Journal of Applied Linguistics&lt;/full-title&gt;&lt;/periodical&gt;&lt;pages&gt;319-338&lt;/pages&gt;&lt;volume&gt;16&lt;/volume&gt;&lt;dates&gt;&lt;year&gt;2006&lt;/year&gt;&lt;/dates&gt;&lt;urls&gt;&lt;/urls&gt;&lt;/record&gt;&lt;/Cite&gt;&lt;/EndNote&gt;</w:instrText>
        </w:r>
        <w:r w:rsidRPr="002F52A9">
          <w:rPr>
            <w:rFonts w:ascii="Times New Roman" w:hAnsi="Times New Roman" w:cs="Times New Roman"/>
            <w:lang w:val="en-GB"/>
          </w:rPr>
          <w:fldChar w:fldCharType="separate"/>
        </w:r>
        <w:r w:rsidRPr="002F52A9">
          <w:rPr>
            <w:rFonts w:ascii="Times New Roman" w:hAnsi="Times New Roman" w:cs="Times New Roman"/>
            <w:noProof/>
            <w:lang w:val="it-IT"/>
          </w:rPr>
          <w:t>2006</w:t>
        </w:r>
        <w:r w:rsidRPr="002F52A9">
          <w:rPr>
            <w:rFonts w:ascii="Times New Roman" w:hAnsi="Times New Roman" w:cs="Times New Roman"/>
            <w:lang w:val="en-GB"/>
          </w:rPr>
          <w:fldChar w:fldCharType="end"/>
        </w:r>
      </w:hyperlink>
      <w:r w:rsidRPr="002F52A9">
        <w:rPr>
          <w:rFonts w:ascii="Times New Roman" w:hAnsi="Times New Roman" w:cs="Times New Roman"/>
          <w:lang w:val="it-IT"/>
        </w:rPr>
        <w:t xml:space="preserve">), </w:t>
      </w:r>
      <w:r w:rsidRPr="002F52A9">
        <w:rPr>
          <w:rFonts w:ascii="Times New Roman" w:hAnsi="Times New Roman" w:cs="Times New Roman"/>
          <w:noProof/>
          <w:lang w:val="it-IT"/>
        </w:rPr>
        <w:t>Krzyżanowski and Wodak (</w:t>
      </w:r>
      <w:hyperlink w:anchor="_ENREF_54" w:tooltip="Krzyżanowski, 2011 #823" w:history="1">
        <w:r w:rsidRPr="002F52A9">
          <w:rPr>
            <w:rFonts w:ascii="Times New Roman" w:hAnsi="Times New Roman" w:cs="Times New Roman"/>
            <w:noProof/>
            <w:lang w:val="en-GB"/>
          </w:rPr>
          <w:fldChar w:fldCharType="begin"/>
        </w:r>
        <w:r w:rsidRPr="002F52A9">
          <w:rPr>
            <w:rFonts w:ascii="Times New Roman" w:hAnsi="Times New Roman" w:cs="Times New Roman"/>
            <w:noProof/>
            <w:lang w:val="it-IT"/>
          </w:rPr>
          <w:instrText xml:space="preserve"> ADDIN EN.CITE &lt;EndNote&gt;&lt;Cite ExcludeAuth="1"&gt;&lt;Author&gt;Krzyżanowski&lt;/Author&gt;&lt;Year&gt;2011&lt;/Year&gt;&lt;RecNum&gt;823&lt;/RecNum&gt;&lt;DisplayText&gt;2011&lt;/DisplayText&gt;&lt;record&gt;&lt;rec-number&gt;823&lt;/rec-number&gt;&lt;foreign-keys&gt;&lt;key app="EN" db-id="wvvszzd93a0z5wesdfpvdv9z5wrra5p05axp"&gt;823&lt;/key&gt;&lt;/foreign-keys&gt;&lt;ref-type name="Journal Article"&gt;17&lt;/ref-type&gt;&lt;contributors&gt;&lt;authors&gt;&lt;author&gt;&lt;style face="normal" font="default" size="100%"&gt;K&lt;/style&gt;&lt;style face="normal" font="default" charset="238" size="100%"&gt;rzyżanowski&lt;/style&gt;&lt;style face="normal" font="default" size="100%"&gt;, Micha&lt;/style&gt;&lt;style face="normal" font="default" charset="238" size="100%"&gt;ł&lt;/style&gt;&lt;/author&gt;&lt;author&gt;Wodak, Ruth&lt;/author&gt;&lt;/authors&gt;&lt;/contributors&gt;&lt;titles&gt;&lt;title&gt;Political strategies and language policies: the European Union Lisbon strategy and its implications for the EU’s language and multilingualism policy&lt;/title&gt;&lt;secondary-title&gt;Language Policy&lt;/secondary-title&gt;&lt;/titles&gt;&lt;periodical&gt;&lt;full-title&gt;Language Policy&lt;/full-title&gt;&lt;/periodical&gt;&lt;pages&gt;115-136&lt;/pages&gt;&lt;volume&gt;10&lt;/volume&gt;&lt;dates&gt;&lt;year&gt;2011&lt;/year&gt;&lt;/dates&gt;&lt;urls&gt;&lt;/urls&gt;&lt;/record&gt;&lt;/Cite&gt;&lt;/EndNote&gt;</w:instrText>
        </w:r>
        <w:r w:rsidRPr="002F52A9">
          <w:rPr>
            <w:rFonts w:ascii="Times New Roman" w:hAnsi="Times New Roman" w:cs="Times New Roman"/>
            <w:noProof/>
            <w:lang w:val="en-GB"/>
          </w:rPr>
          <w:fldChar w:fldCharType="separate"/>
        </w:r>
        <w:r w:rsidRPr="002F52A9">
          <w:rPr>
            <w:rFonts w:ascii="Times New Roman" w:hAnsi="Times New Roman" w:cs="Times New Roman"/>
            <w:noProof/>
            <w:lang w:val="it-IT"/>
          </w:rPr>
          <w:t>2011</w:t>
        </w:r>
        <w:r w:rsidRPr="002F52A9">
          <w:rPr>
            <w:rFonts w:ascii="Times New Roman" w:hAnsi="Times New Roman" w:cs="Times New Roman"/>
            <w:noProof/>
            <w:lang w:val="en-GB"/>
          </w:rPr>
          <w:fldChar w:fldCharType="end"/>
        </w:r>
      </w:hyperlink>
      <w:r w:rsidRPr="002F52A9">
        <w:rPr>
          <w:rFonts w:ascii="Times New Roman" w:hAnsi="Times New Roman" w:cs="Times New Roman"/>
          <w:noProof/>
          <w:lang w:val="it-IT"/>
        </w:rPr>
        <w:t xml:space="preserve">), </w:t>
      </w:r>
      <w:r w:rsidRPr="002F52A9">
        <w:rPr>
          <w:rFonts w:ascii="Times New Roman" w:hAnsi="Times New Roman" w:cs="Times New Roman"/>
          <w:lang w:val="it-IT"/>
        </w:rPr>
        <w:t>Marácz e Rosello (</w:t>
      </w:r>
      <w:hyperlink w:anchor="_ENREF_57" w:tooltip="Marácz, 2012 #827" w:history="1">
        <w:r w:rsidRPr="002F52A9">
          <w:rPr>
            <w:rFonts w:ascii="Times New Roman" w:hAnsi="Times New Roman" w:cs="Times New Roman"/>
            <w:lang w:val="en-GB"/>
          </w:rPr>
          <w:fldChar w:fldCharType="begin"/>
        </w:r>
        <w:r w:rsidRPr="002F52A9">
          <w:rPr>
            <w:rFonts w:ascii="Times New Roman" w:hAnsi="Times New Roman" w:cs="Times New Roman"/>
            <w:lang w:val="it-IT"/>
          </w:rPr>
          <w:instrText xml:space="preserve"> ADDIN EN.CITE &lt;EndNote&gt;&lt;Cite ExcludeAuth="1"&gt;&lt;Author&gt;Marác&lt;/Author&gt;&lt;Year&gt;2012&lt;/Year&gt;&lt;RecNum&gt;827&lt;/RecNum&gt;&lt;DisplayText&gt;2012&lt;/DisplayText&gt;&lt;record&gt;&lt;rec-number&gt;827&lt;/rec-number&gt;&lt;foreign-keys&gt;&lt;key app="EN" db-id="wvvszzd93a0z5wesdfpvdv9z5wrra5p05axp"&gt;827&lt;/key&gt;&lt;/foreign-keys&gt;&lt;ref-type name="Edited Book"&gt;28&lt;/ref-type&gt;&lt;contributors&gt;&lt;authors&gt;&lt;author&gt;Marácz, László&lt;/author&gt;&lt;author&gt;Rosello, Mireille&lt;/author&gt;&lt;/authors&gt;&lt;/contributors&gt;&lt;titles&gt;&lt;title&gt;Multilingual Europe, multilingual Europeans&lt;/title&gt;&lt;/titles&gt;&lt;dates&gt;&lt;year&gt;2012&lt;/year&gt;&lt;/dates&gt;&lt;pub-location&gt;Amsterdam&lt;/pub-location&gt;&lt;publisher&gt;Rodopi&lt;/publisher&gt;&lt;urls&gt;&lt;/urls&gt;&lt;/record&gt;&lt;/Cite&gt;&lt;/EndNote&gt;</w:instrText>
        </w:r>
        <w:r w:rsidRPr="002F52A9">
          <w:rPr>
            <w:rFonts w:ascii="Times New Roman" w:hAnsi="Times New Roman" w:cs="Times New Roman"/>
            <w:lang w:val="en-GB"/>
          </w:rPr>
          <w:fldChar w:fldCharType="separate"/>
        </w:r>
        <w:r w:rsidRPr="002F52A9">
          <w:rPr>
            <w:rFonts w:ascii="Times New Roman" w:hAnsi="Times New Roman" w:cs="Times New Roman"/>
            <w:noProof/>
            <w:lang w:val="it-IT"/>
          </w:rPr>
          <w:t>2012</w:t>
        </w:r>
        <w:r w:rsidRPr="002F52A9">
          <w:rPr>
            <w:rFonts w:ascii="Times New Roman" w:hAnsi="Times New Roman" w:cs="Times New Roman"/>
            <w:lang w:val="en-GB"/>
          </w:rPr>
          <w:fldChar w:fldCharType="end"/>
        </w:r>
      </w:hyperlink>
      <w:r w:rsidRPr="002F52A9">
        <w:rPr>
          <w:rFonts w:ascii="Times New Roman" w:hAnsi="Times New Roman" w:cs="Times New Roman"/>
          <w:lang w:val="it-IT"/>
        </w:rPr>
        <w:t xml:space="preserve">), </w:t>
      </w:r>
      <w:r w:rsidRPr="002F52A9">
        <w:rPr>
          <w:rFonts w:ascii="Times New Roman" w:hAnsi="Times New Roman" w:cs="Times New Roman"/>
          <w:noProof/>
          <w:lang w:val="it-IT"/>
        </w:rPr>
        <w:t>Romaine (</w:t>
      </w:r>
      <w:hyperlink w:anchor="_ENREF_67" w:tooltip="Romaine, 2013 #884" w:history="1">
        <w:r w:rsidRPr="002F52A9">
          <w:rPr>
            <w:rFonts w:ascii="Times New Roman" w:hAnsi="Times New Roman" w:cs="Times New Roman"/>
            <w:noProof/>
            <w:lang w:val="en-GB"/>
          </w:rPr>
          <w:fldChar w:fldCharType="begin"/>
        </w:r>
        <w:r w:rsidRPr="002F52A9">
          <w:rPr>
            <w:rFonts w:ascii="Times New Roman" w:hAnsi="Times New Roman" w:cs="Times New Roman"/>
            <w:noProof/>
            <w:lang w:val="it-IT"/>
          </w:rPr>
          <w:instrText xml:space="preserve"> ADDIN EN.CITE &lt;EndNote&gt;&lt;Cite ExcludeAuth="1"&gt;&lt;Author&gt;Romaine&lt;/Author&gt;&lt;Year&gt;2013&lt;/Year&gt;&lt;RecNum&gt;884&lt;/RecNum&gt;&lt;DisplayText&gt;2013&lt;/DisplayText&gt;&lt;record&gt;&lt;rec-number&gt;884&lt;/rec-number&gt;&lt;foreign-keys&gt;&lt;key app="EN" db-id="wvvszzd93a0z5wesdfpvdv9z5wrra5p05axp"&gt;884&lt;/key&gt;&lt;/foreign-keys&gt;&lt;ref-type name="Journal Article"&gt;17&lt;/ref-type&gt;&lt;contributors&gt;&lt;authors&gt;&lt;author&gt;Romaine, Suzanne&lt;/author&gt;&lt;/authors&gt;&lt;/contributors&gt;&lt;titles&gt;&lt;title&gt;Politics and policies of promoting multilingualism in the European Union&lt;/title&gt;&lt;secondary-title&gt;Language Policy&lt;/secondary-title&gt;&lt;/titles&gt;&lt;periodical&gt;&lt;full-title&gt;Language Policy&lt;/full-title&gt;&lt;/periodical&gt;&lt;pages&gt;115-137&lt;/pages&gt;&lt;volume&gt;12&lt;/volume&gt;&lt;dates&gt;&lt;year&gt;2013&lt;/year&gt;&lt;/dates&gt;&lt;urls&gt;&lt;/urls&gt;&lt;/record&gt;&lt;/Cite&gt;&lt;/EndNote&gt;</w:instrText>
        </w:r>
        <w:r w:rsidRPr="002F52A9">
          <w:rPr>
            <w:rFonts w:ascii="Times New Roman" w:hAnsi="Times New Roman" w:cs="Times New Roman"/>
            <w:noProof/>
            <w:lang w:val="en-GB"/>
          </w:rPr>
          <w:fldChar w:fldCharType="separate"/>
        </w:r>
        <w:r w:rsidRPr="002F52A9">
          <w:rPr>
            <w:rFonts w:ascii="Times New Roman" w:hAnsi="Times New Roman" w:cs="Times New Roman"/>
            <w:noProof/>
            <w:lang w:val="it-IT"/>
          </w:rPr>
          <w:t>2013</w:t>
        </w:r>
        <w:r w:rsidRPr="002F52A9">
          <w:rPr>
            <w:rFonts w:ascii="Times New Roman" w:hAnsi="Times New Roman" w:cs="Times New Roman"/>
            <w:noProof/>
            <w:lang w:val="en-GB"/>
          </w:rPr>
          <w:fldChar w:fldCharType="end"/>
        </w:r>
      </w:hyperlink>
      <w:r w:rsidRPr="002F52A9">
        <w:rPr>
          <w:rFonts w:ascii="Times New Roman" w:hAnsi="Times New Roman" w:cs="Times New Roman"/>
          <w:noProof/>
          <w:lang w:val="it-IT"/>
        </w:rPr>
        <w:t xml:space="preserve">), </w:t>
      </w:r>
      <w:r w:rsidRPr="002F52A9">
        <w:rPr>
          <w:rFonts w:ascii="Times New Roman" w:hAnsi="Times New Roman" w:cs="Times New Roman"/>
          <w:lang w:val="it-IT"/>
        </w:rPr>
        <w:t>e diversi contributi in Arzoz (</w:t>
      </w:r>
      <w:hyperlink w:anchor="_ENREF_2" w:tooltip="Arzoz, 2008 #618" w:history="1">
        <w:r w:rsidRPr="002F52A9">
          <w:rPr>
            <w:rFonts w:ascii="Times New Roman" w:hAnsi="Times New Roman" w:cs="Times New Roman"/>
            <w:lang w:val="en-GB"/>
          </w:rPr>
          <w:fldChar w:fldCharType="begin"/>
        </w:r>
        <w:r w:rsidRPr="002F52A9">
          <w:rPr>
            <w:rFonts w:ascii="Times New Roman" w:hAnsi="Times New Roman" w:cs="Times New Roman"/>
            <w:lang w:val="it-IT"/>
          </w:rPr>
          <w:instrText xml:space="preserve"> ADDIN EN.CITE &lt;EndNote&gt;&lt;Cite ExcludeAuth="1"&gt;&lt;Author&gt;Arzoz&lt;/Author&gt;&lt;Year&gt;2008&lt;/Year&gt;&lt;RecNum&gt;618&lt;/RecNum&gt;&lt;DisplayText&gt;2008&lt;/DisplayText&gt;&lt;record&gt;&lt;rec-number&gt;618&lt;/rec-number&gt;&lt;foreign-keys&gt;&lt;key app="EN" db-id="wvvszzd93a0z5wesdfpvdv9z5wrra5p05axp"&gt;618&lt;/key&gt;&lt;/foreign-keys&gt;&lt;ref-type name="Edited Book"&gt;28&lt;/ref-type&gt;&lt;contributors&gt;&lt;authors&gt;&lt;author&gt;Arzoz, Xabier&lt;/author&gt;&lt;/authors&gt;&lt;/contributors&gt;&lt;titles&gt;&lt;title&gt;Respecting Linguistic Diversity in the European Union&lt;/title&gt;&lt;/titles&gt;&lt;dates&gt;&lt;year&gt;2008&lt;/year&gt;&lt;/dates&gt;&lt;pub-location&gt;Amsterdam&lt;/pub-location&gt;&lt;publisher&gt;John Benjamins&lt;/publisher&gt;&lt;urls&gt;&lt;/urls&gt;&lt;/record&gt;&lt;/Cite&gt;&lt;/EndNote&gt;</w:instrText>
        </w:r>
        <w:r w:rsidRPr="002F52A9">
          <w:rPr>
            <w:rFonts w:ascii="Times New Roman" w:hAnsi="Times New Roman" w:cs="Times New Roman"/>
            <w:lang w:val="en-GB"/>
          </w:rPr>
          <w:fldChar w:fldCharType="separate"/>
        </w:r>
        <w:r w:rsidRPr="002F52A9">
          <w:rPr>
            <w:rFonts w:ascii="Times New Roman" w:hAnsi="Times New Roman" w:cs="Times New Roman"/>
            <w:noProof/>
            <w:lang w:val="it-IT"/>
          </w:rPr>
          <w:t>2008</w:t>
        </w:r>
        <w:r w:rsidRPr="002F52A9">
          <w:rPr>
            <w:rFonts w:ascii="Times New Roman" w:hAnsi="Times New Roman" w:cs="Times New Roman"/>
            <w:lang w:val="en-GB"/>
          </w:rPr>
          <w:fldChar w:fldCharType="end"/>
        </w:r>
      </w:hyperlink>
      <w:r w:rsidRPr="002F52A9">
        <w:rPr>
          <w:rFonts w:ascii="Times New Roman" w:hAnsi="Times New Roman" w:cs="Times New Roman"/>
          <w:lang w:val="it-IT"/>
        </w:rPr>
        <w:t>) e in Tosi (</w:t>
      </w:r>
      <w:hyperlink w:anchor="_ENREF_75" w:tooltip="Tosi, 2013 #886" w:history="1">
        <w:r w:rsidRPr="002F52A9">
          <w:rPr>
            <w:rFonts w:ascii="Times New Roman" w:hAnsi="Times New Roman" w:cs="Times New Roman"/>
            <w:lang w:val="en-GB"/>
          </w:rPr>
          <w:fldChar w:fldCharType="begin"/>
        </w:r>
        <w:r w:rsidRPr="002F52A9">
          <w:rPr>
            <w:rFonts w:ascii="Times New Roman" w:hAnsi="Times New Roman" w:cs="Times New Roman"/>
            <w:lang w:val="it-IT"/>
          </w:rPr>
          <w:instrText xml:space="preserve"> ADDIN EN.CITE &lt;EndNote&gt;&lt;Cite ExcludeAuth="1"&gt;&lt;Author&gt;Tosi&lt;/Author&gt;&lt;Year&gt;2013&lt;/Year&gt;&lt;RecNum&gt;886&lt;/RecNum&gt;&lt;DisplayText&gt;2013&lt;/DisplayText&gt;&lt;record&gt;&lt;rec-number&gt;886&lt;/rec-number&gt;&lt;foreign-keys&gt;&lt;key app="EN" db-id="wvvszzd93a0z5wesdfpvdv9z5wrra5p05axp"&gt;886&lt;/key&gt;&lt;/foreign-keys&gt;&lt;ref-type name="Edited Book"&gt;28&lt;/ref-type&gt;&lt;contributors&gt;&lt;authors&gt;&lt;author&gt;Tosi, Arturo&lt;/author&gt;&lt;/authors&gt;&lt;/contributors&gt;&lt;titles&gt;&lt;title&gt;The EU Multilingual translation in an ecology of language perspective&lt;/title&gt;&lt;secondary-title&gt;International Journal of Applied Linguistics&lt;/secondary-title&gt;&lt;/titles&gt;&lt;periodical&gt;&lt;full-title&gt;International Journal of Applied Linguistics&lt;/full-title&gt;&lt;/periodical&gt;&lt;volume&gt;23 of the International Journal of Applied Linguistics&lt;/volume&gt;&lt;dates&gt;&lt;year&gt;2013&lt;/year&gt;&lt;/dates&gt;&lt;pub-location&gt;Oxford&lt;/pub-location&gt;&lt;publisher&gt;Blackwell&lt;/publisher&gt;&lt;urls&gt;&lt;/urls&gt;&lt;/record&gt;&lt;/Cite&gt;&lt;/EndNote&gt;</w:instrText>
        </w:r>
        <w:r w:rsidRPr="002F52A9">
          <w:rPr>
            <w:rFonts w:ascii="Times New Roman" w:hAnsi="Times New Roman" w:cs="Times New Roman"/>
            <w:lang w:val="en-GB"/>
          </w:rPr>
          <w:fldChar w:fldCharType="separate"/>
        </w:r>
        <w:r w:rsidRPr="002F52A9">
          <w:rPr>
            <w:rFonts w:ascii="Times New Roman" w:hAnsi="Times New Roman" w:cs="Times New Roman"/>
            <w:noProof/>
            <w:lang w:val="it-IT"/>
          </w:rPr>
          <w:t>2013</w:t>
        </w:r>
        <w:r w:rsidRPr="002F52A9">
          <w:rPr>
            <w:rFonts w:ascii="Times New Roman" w:hAnsi="Times New Roman" w:cs="Times New Roman"/>
            <w:lang w:val="en-GB"/>
          </w:rPr>
          <w:fldChar w:fldCharType="end"/>
        </w:r>
      </w:hyperlink>
      <w:r w:rsidRPr="002F52A9">
        <w:rPr>
          <w:rFonts w:ascii="Times New Roman" w:hAnsi="Times New Roman" w:cs="Times New Roman"/>
          <w:lang w:val="it-IT"/>
        </w:rPr>
        <w:t>) nell’aerea della linguistica applicata e traduttologia; De Swaan (</w:t>
      </w:r>
      <w:hyperlink w:anchor="_ENREF_21" w:tooltip="De Swaan, 2007 #562" w:history="1">
        <w:r w:rsidRPr="002F52A9">
          <w:rPr>
            <w:rFonts w:ascii="Times New Roman" w:hAnsi="Times New Roman" w:cs="Times New Roman"/>
            <w:lang w:val="it-IT"/>
          </w:rPr>
          <w:fldChar w:fldCharType="begin"/>
        </w:r>
        <w:r w:rsidRPr="002F52A9">
          <w:rPr>
            <w:rFonts w:ascii="Times New Roman" w:hAnsi="Times New Roman" w:cs="Times New Roman"/>
            <w:lang w:val="it-IT"/>
          </w:rPr>
          <w:instrText xml:space="preserve"> ADDIN EN.CITE &lt;EndNote&gt;&lt;Cite ExcludeAuth="1"&gt;&lt;Author&gt;De Swaan&lt;/Author&gt;&lt;Year&gt;2007&lt;/Year&gt;&lt;RecNum&gt;562&lt;/RecNum&gt;&lt;DisplayText&gt;2007&lt;/DisplayText&gt;&lt;record&gt;&lt;rec-number&gt;562&lt;/rec-number&gt;&lt;foreign-keys&gt;&lt;key app="EN" db-id="wvvszzd93a0z5wesdfpvdv9z5wrra5p05axp"&gt;562&lt;/key&gt;&lt;/foreign-keys&gt;&lt;ref-type name="Journal Article"&gt;17&lt;/ref-type&gt;&lt;contributors&gt;&lt;authors&gt;&lt;author&gt;De Swaan, Abram&lt;/author&gt;&lt;/authors&gt;&lt;/contributors&gt;&lt;titles&gt;&lt;title&gt;The language predicament of the EU since the enlargements&lt;/title&gt;&lt;secondary-title&gt;Sociolinguistica&lt;/secondary-title&gt;&lt;/titles&gt;&lt;periodical&gt;&lt;full-title&gt;Sociolinguistica&lt;/full-title&gt;&lt;/periodical&gt;&lt;pages&gt;1-21&lt;/pages&gt;&lt;volume&gt;21&lt;/volume&gt;&lt;dates&gt;&lt;year&gt;2007&lt;/year&gt;&lt;/dates&gt;&lt;urls&gt;&lt;/urls&gt;&lt;/record&gt;&lt;/Cite&gt;&lt;/EndNote&gt;</w:instrText>
        </w:r>
        <w:r w:rsidRPr="002F52A9">
          <w:rPr>
            <w:rFonts w:ascii="Times New Roman" w:hAnsi="Times New Roman" w:cs="Times New Roman"/>
            <w:lang w:val="it-IT"/>
          </w:rPr>
          <w:fldChar w:fldCharType="separate"/>
        </w:r>
        <w:r w:rsidRPr="002F52A9">
          <w:rPr>
            <w:rFonts w:ascii="Times New Roman" w:hAnsi="Times New Roman" w:cs="Times New Roman"/>
            <w:noProof/>
            <w:lang w:val="it-IT"/>
          </w:rPr>
          <w:t>2007</w:t>
        </w:r>
        <w:r w:rsidRPr="002F52A9">
          <w:rPr>
            <w:rFonts w:ascii="Times New Roman" w:hAnsi="Times New Roman" w:cs="Times New Roman"/>
            <w:lang w:val="it-IT"/>
          </w:rPr>
          <w:fldChar w:fldCharType="end"/>
        </w:r>
      </w:hyperlink>
      <w:r w:rsidRPr="002F52A9">
        <w:rPr>
          <w:rFonts w:ascii="Times New Roman" w:hAnsi="Times New Roman" w:cs="Times New Roman"/>
          <w:lang w:val="it-IT"/>
        </w:rPr>
        <w:t>), Kraus (</w:t>
      </w:r>
      <w:hyperlink w:anchor="_ENREF_53" w:tooltip="Kraus, 2008 #797" w:history="1">
        <w:r w:rsidRPr="002F52A9">
          <w:rPr>
            <w:rFonts w:ascii="Times New Roman" w:hAnsi="Times New Roman" w:cs="Times New Roman"/>
          </w:rPr>
          <w:fldChar w:fldCharType="begin"/>
        </w:r>
        <w:r w:rsidRPr="002F52A9">
          <w:rPr>
            <w:rFonts w:ascii="Times New Roman" w:hAnsi="Times New Roman" w:cs="Times New Roman"/>
            <w:lang w:val="it-IT"/>
          </w:rPr>
          <w:instrText xml:space="preserve"> ADDIN EN.CITE &lt;EndNote&gt;&lt;Cite ExcludeAuth="1"&gt;&lt;Author&gt;Kraus&lt;/Author&gt;&lt;Year&gt;2008&lt;/Year&gt;&lt;RecNum&gt;797&lt;/RecNum&gt;&lt;DisplayText&gt;2008&lt;/DisplayText&gt;&lt;record&gt;&lt;rec-number&gt;797&lt;/rec-number&gt;&lt;foreign-keys&gt;&lt;key app="EN" db-id="wvvszzd93a0z5wesdfpvdv9z5wrra5p05axp"&gt;797&lt;/key&gt;&lt;/foreign-keys&gt;&lt;ref-type name="Book"&gt;6&lt;/ref-type&gt;&lt;contributors&gt;&lt;authors&gt;&lt;author&gt;Kraus, Peter A.&lt;/author&gt;&lt;/authors&gt;&lt;/contributors&gt;&lt;titles&gt;&lt;title&gt;A Union of diversity: Language, identity and polity-building in Europe&lt;/title&gt;&lt;/titles&gt;&lt;dates&gt;&lt;year&gt;2008&lt;/year&gt;&lt;/dates&gt;&lt;publisher&gt;Cambridge University Press&lt;/publisher&gt;&lt;urls&gt;&lt;/urls&gt;&lt;/record&gt;&lt;/Cite&gt;&lt;/EndNote&gt;</w:instrText>
        </w:r>
        <w:r w:rsidRPr="002F52A9">
          <w:rPr>
            <w:rFonts w:ascii="Times New Roman" w:hAnsi="Times New Roman" w:cs="Times New Roman"/>
          </w:rPr>
          <w:fldChar w:fldCharType="separate"/>
        </w:r>
        <w:r w:rsidRPr="002F52A9">
          <w:rPr>
            <w:rFonts w:ascii="Times New Roman" w:hAnsi="Times New Roman" w:cs="Times New Roman"/>
            <w:noProof/>
            <w:lang w:val="it-IT"/>
          </w:rPr>
          <w:t>2008</w:t>
        </w:r>
        <w:r w:rsidRPr="002F52A9">
          <w:rPr>
            <w:rFonts w:ascii="Times New Roman" w:hAnsi="Times New Roman" w:cs="Times New Roman"/>
          </w:rPr>
          <w:fldChar w:fldCharType="end"/>
        </w:r>
      </w:hyperlink>
      <w:r w:rsidRPr="002F52A9">
        <w:rPr>
          <w:rFonts w:ascii="Times New Roman" w:hAnsi="Times New Roman" w:cs="Times New Roman"/>
          <w:lang w:val="it-IT"/>
        </w:rPr>
        <w:t>), Van Parijs (</w:t>
      </w:r>
      <w:hyperlink w:anchor="_ENREF_77" w:tooltip="Van Parijs, 2011 #794" w:history="1">
        <w:r w:rsidRPr="002F52A9">
          <w:rPr>
            <w:rFonts w:ascii="Times New Roman" w:hAnsi="Times New Roman" w:cs="Times New Roman"/>
            <w:lang w:val="en-GB"/>
          </w:rPr>
          <w:fldChar w:fldCharType="begin"/>
        </w:r>
        <w:r w:rsidRPr="002F52A9">
          <w:rPr>
            <w:rFonts w:ascii="Times New Roman" w:hAnsi="Times New Roman" w:cs="Times New Roman"/>
            <w:lang w:val="it-IT"/>
          </w:rPr>
          <w:instrText xml:space="preserve"> ADDIN EN.CITE &lt;EndNote&gt;&lt;Cite ExcludeAuth="1"&gt;&lt;Author&gt;Van Parijs&lt;/Author&gt;&lt;Year&gt;2011&lt;/Year&gt;&lt;RecNum&gt;794&lt;/RecNum&gt;&lt;DisplayText&gt;2011&lt;/DisplayText&gt;&lt;record&gt;&lt;rec-number&gt;794&lt;/rec-number&gt;&lt;foreign-keys&gt;&lt;key app="EN" db-id="wvvszzd93a0z5wesdfpvdv9z5wrra5p05axp"&gt;794&lt;/key&gt;&lt;/foreign-keys&gt;&lt;ref-type name="Book"&gt;6&lt;/ref-type&gt;&lt;contributors&gt;&lt;authors&gt;&lt;author&gt;Van Parijs, Philippe&lt;/author&gt;&lt;/authors&gt;&lt;/contributors&gt;&lt;titles&gt;&lt;title&gt;Linguistic justice for Europe and for the World&lt;/title&gt;&lt;/titles&gt;&lt;dates&gt;&lt;year&gt;2011&lt;/year&gt;&lt;/dates&gt;&lt;pub-location&gt;Oxford&lt;/pub-location&gt;&lt;publisher&gt;Oxford University Press&lt;/publisher&gt;&lt;urls&gt;&lt;/urls&gt;&lt;/record&gt;&lt;/Cite&gt;&lt;/EndNote&gt;</w:instrText>
        </w:r>
        <w:r w:rsidRPr="002F52A9">
          <w:rPr>
            <w:rFonts w:ascii="Times New Roman" w:hAnsi="Times New Roman" w:cs="Times New Roman"/>
            <w:lang w:val="en-GB"/>
          </w:rPr>
          <w:fldChar w:fldCharType="separate"/>
        </w:r>
        <w:r w:rsidRPr="002F52A9">
          <w:rPr>
            <w:rFonts w:ascii="Times New Roman" w:hAnsi="Times New Roman" w:cs="Times New Roman"/>
            <w:noProof/>
            <w:lang w:val="it-IT"/>
          </w:rPr>
          <w:t>2011</w:t>
        </w:r>
        <w:r w:rsidRPr="002F52A9">
          <w:rPr>
            <w:rFonts w:ascii="Times New Roman" w:hAnsi="Times New Roman" w:cs="Times New Roman"/>
            <w:lang w:val="en-GB"/>
          </w:rPr>
          <w:fldChar w:fldCharType="end"/>
        </w:r>
      </w:hyperlink>
      <w:r w:rsidRPr="002F52A9">
        <w:rPr>
          <w:rFonts w:ascii="Times New Roman" w:hAnsi="Times New Roman" w:cs="Times New Roman"/>
          <w:lang w:val="it-IT"/>
        </w:rPr>
        <w:t>) e Castiglione e Longman (</w:t>
      </w:r>
      <w:hyperlink w:anchor="_ENREF_11" w:tooltip="Castiglione, 2007 #619" w:history="1">
        <w:r w:rsidRPr="002F52A9">
          <w:rPr>
            <w:rFonts w:ascii="Times New Roman" w:hAnsi="Times New Roman" w:cs="Times New Roman"/>
            <w:lang w:val="en-GB"/>
          </w:rPr>
          <w:fldChar w:fldCharType="begin"/>
        </w:r>
        <w:r w:rsidRPr="002F52A9">
          <w:rPr>
            <w:rFonts w:ascii="Times New Roman" w:hAnsi="Times New Roman" w:cs="Times New Roman"/>
            <w:lang w:val="it-IT"/>
          </w:rPr>
          <w:instrText xml:space="preserve"> ADDIN EN.CITE &lt;EndNote&gt;&lt;Cite ExcludeAuth="1"&gt;&lt;Author&gt;Castiglione&lt;/Author&gt;&lt;Year&gt;2007&lt;/Year&gt;&lt;RecNum&gt;619&lt;/RecNum&gt;&lt;DisplayText&gt;2007&lt;/DisplayText&gt;&lt;record&gt;&lt;rec-number&gt;619&lt;/rec-number&gt;&lt;foreign-keys&gt;&lt;key app="EN" db-id="wvvszzd93a0z5wesdfpvdv9z5wrra5p05axp"&gt;619&lt;/key&gt;&lt;/foreign-keys&gt;&lt;ref-type name="Edited Book"&gt;28&lt;/ref-type&gt;&lt;contributors&gt;&lt;authors&gt;&lt;author&gt;Castiglione, Dario&lt;/author&gt;&lt;author&gt;Longman, Chris&lt;/author&gt;&lt;/authors&gt;&lt;/contributors&gt;&lt;titles&gt;&lt;title&gt;The language question in Europe and diverse societies: Political, legal and social perspectives&lt;/title&gt;&lt;/titles&gt;&lt;dates&gt;&lt;year&gt;2007&lt;/year&gt;&lt;/dates&gt;&lt;pub-location&gt;Oxford&lt;/pub-location&gt;&lt;publisher&gt;Hart Publishing&lt;/publisher&gt;&lt;urls&gt;&lt;/urls&gt;&lt;/record&gt;&lt;/Cite&gt;&lt;/EndNote&gt;</w:instrText>
        </w:r>
        <w:r w:rsidRPr="002F52A9">
          <w:rPr>
            <w:rFonts w:ascii="Times New Roman" w:hAnsi="Times New Roman" w:cs="Times New Roman"/>
            <w:lang w:val="en-GB"/>
          </w:rPr>
          <w:fldChar w:fldCharType="separate"/>
        </w:r>
        <w:r w:rsidRPr="002F52A9">
          <w:rPr>
            <w:rFonts w:ascii="Times New Roman" w:hAnsi="Times New Roman" w:cs="Times New Roman"/>
            <w:noProof/>
            <w:lang w:val="it-IT"/>
          </w:rPr>
          <w:t>2007</w:t>
        </w:r>
        <w:r w:rsidRPr="002F52A9">
          <w:rPr>
            <w:rFonts w:ascii="Times New Roman" w:hAnsi="Times New Roman" w:cs="Times New Roman"/>
            <w:lang w:val="en-GB"/>
          </w:rPr>
          <w:fldChar w:fldCharType="end"/>
        </w:r>
      </w:hyperlink>
      <w:r w:rsidRPr="002F52A9">
        <w:rPr>
          <w:rFonts w:ascii="Times New Roman" w:hAnsi="Times New Roman" w:cs="Times New Roman"/>
          <w:lang w:val="it-IT"/>
        </w:rPr>
        <w:t>) per le scienze politiche e filosofiche; Gazzola (</w:t>
      </w:r>
      <w:hyperlink w:anchor="_ENREF_27" w:tooltip="Gazzola, 2006 #227" w:history="1">
        <w:r w:rsidRPr="002F52A9">
          <w:rPr>
            <w:rFonts w:ascii="Times New Roman" w:hAnsi="Times New Roman" w:cs="Times New Roman"/>
            <w:lang w:val="it-IT"/>
          </w:rPr>
          <w:fldChar w:fldCharType="begin"/>
        </w:r>
        <w:r w:rsidRPr="002F52A9">
          <w:rPr>
            <w:rFonts w:ascii="Times New Roman" w:hAnsi="Times New Roman" w:cs="Times New Roman"/>
            <w:lang w:val="it-IT"/>
          </w:rPr>
          <w:instrText xml:space="preserve"> ADDIN EN.CITE &lt;EndNote&gt;&lt;Cite ExcludeAuth="1"&gt;&lt;Author&gt;Gazzola&lt;/Author&gt;&lt;Year&gt;2006&lt;/Year&gt;&lt;RecNum&gt;227&lt;/RecNum&gt;&lt;DisplayText&gt;2006a&lt;/DisplayText&gt;&lt;record&gt;&lt;rec-number&gt;227&lt;/rec-number&gt;&lt;foreign-keys&gt;&lt;key app="EN" db-id="wvvszzd93a0z5wesdfpvdv9z5wrra5p05axp"&gt;227&lt;/key&gt;&lt;/foreign-keys&gt;&lt;ref-type name="Book Section"&gt;5&lt;/ref-type&gt;&lt;contributors&gt;&lt;authors&gt;&lt;author&gt;Gazzola, Michele&lt;/author&gt;&lt;/authors&gt;&lt;secondary-authors&gt;&lt;author&gt;Carli, Augusto&lt;/author&gt;&lt;/secondary-authors&gt;&lt;/contributors&gt;&lt;titles&gt;&lt;title&gt;La gestione del multilinguismo nell&amp;apos;Unione europea&lt;/title&gt;&lt;secondary-title&gt;Le sfide della politica linguistica di oggi: fra la valorizzazione del multilingualismo migratorio locale e le istanze del plurilinguismo europeo&lt;/secondary-title&gt;&lt;/titles&gt;&lt;pages&gt;17-117&lt;/pages&gt;&lt;keywords&gt;&lt;keyword&gt;multilinguisme Union europ©*enne&lt;/keyword&gt;&lt;keyword&gt;planification linguistique Europe&lt;/keyword&gt;&lt;keyword&gt;Africain ©* l&amp;apos;©*tranger (peuple) changement de code (linguistique) italien (langue)&lt;/keyword&gt;&lt;/keywords&gt;&lt;dates&gt;&lt;year&gt;2006&lt;/year&gt;&lt;/dates&gt;&lt;pub-location&gt;Milan&lt;/pub-location&gt;&lt;publisher&gt;FrancoAngeli&lt;/publisher&gt;&lt;isbn&gt;8846473825&lt;/isbn&gt;&lt;accession-num&gt;vtls004090517&lt;/accession-num&gt;&lt;urls&gt;&lt;/urls&gt;&lt;/record&gt;&lt;/Cite&gt;&lt;/EndNote&gt;</w:instrText>
        </w:r>
        <w:r w:rsidRPr="002F52A9">
          <w:rPr>
            <w:rFonts w:ascii="Times New Roman" w:hAnsi="Times New Roman" w:cs="Times New Roman"/>
            <w:lang w:val="it-IT"/>
          </w:rPr>
          <w:fldChar w:fldCharType="separate"/>
        </w:r>
        <w:r w:rsidRPr="002F52A9">
          <w:rPr>
            <w:rFonts w:ascii="Times New Roman" w:hAnsi="Times New Roman" w:cs="Times New Roman"/>
            <w:noProof/>
            <w:lang w:val="it-IT"/>
          </w:rPr>
          <w:t>2006a</w:t>
        </w:r>
        <w:r w:rsidRPr="002F52A9">
          <w:rPr>
            <w:rFonts w:ascii="Times New Roman" w:hAnsi="Times New Roman" w:cs="Times New Roman"/>
            <w:lang w:val="it-IT"/>
          </w:rPr>
          <w:fldChar w:fldCharType="end"/>
        </w:r>
      </w:hyperlink>
      <w:r w:rsidRPr="002F52A9">
        <w:rPr>
          <w:rFonts w:ascii="Times New Roman" w:hAnsi="Times New Roman" w:cs="Times New Roman"/>
          <w:lang w:val="it-IT"/>
        </w:rPr>
        <w:t xml:space="preserve">), </w:t>
      </w:r>
      <w:r w:rsidRPr="002F52A9">
        <w:rPr>
          <w:rFonts w:ascii="Times New Roman" w:hAnsi="Times New Roman" w:cs="Times New Roman"/>
          <w:noProof/>
          <w:lang w:val="it-IT"/>
        </w:rPr>
        <w:t>Grin (</w:t>
      </w:r>
      <w:hyperlink w:anchor="_ENREF_39" w:tooltip="Grin, 2004 #86" w:history="1">
        <w:r w:rsidRPr="002F52A9">
          <w:rPr>
            <w:rFonts w:ascii="Times New Roman" w:hAnsi="Times New Roman" w:cs="Times New Roman"/>
            <w:noProof/>
            <w:lang w:val="it-IT"/>
          </w:rPr>
          <w:fldChar w:fldCharType="begin"/>
        </w:r>
        <w:r w:rsidRPr="002F52A9">
          <w:rPr>
            <w:rFonts w:ascii="Times New Roman" w:hAnsi="Times New Roman" w:cs="Times New Roman"/>
            <w:noProof/>
            <w:lang w:val="it-IT"/>
          </w:rPr>
          <w:instrText xml:space="preserve"> ADDIN EN.CITE &lt;EndNote&gt;&lt;Cite ExcludeAuth="1"&gt;&lt;Author&gt;Grin&lt;/Author&gt;&lt;Year&gt;2004&lt;/Year&gt;&lt;RecNum&gt;86&lt;/RecNum&gt;&lt;DisplayText&gt;2004b&lt;/DisplayText&gt;&lt;record&gt;&lt;rec-number&gt;86&lt;/rec-number&gt;&lt;foreign-keys&gt;&lt;key app="EN" db-id="wvvszzd93a0z5wesdfpvdv9z5wrra5p05axp"&gt;86&lt;/key&gt;&lt;/foreign-keys&gt;&lt;ref-type name="Journal Article"&gt;17&lt;/ref-type&gt;&lt;contributors&gt;&lt;authors&gt;&lt;author&gt;Grin, François&lt;/author&gt;&lt;/authors&gt;&lt;/contributors&gt;&lt;titles&gt;&lt;title&gt;L&amp;apos;élargissement de l&amp;apos;Union européenne: questions de coût et justice linguistique&lt;/title&gt;&lt;secondary-title&gt;Panoramiques&lt;/secondary-title&gt;&lt;/titles&gt;&lt;pages&gt;97-104&lt;/pages&gt;&lt;volume&gt;69&lt;/volume&gt;&lt;dates&gt;&lt;year&gt;2004&lt;/year&gt;&lt;/dates&gt;&lt;urls&gt;&lt;/urls&gt;&lt;/record&gt;&lt;/Cite&gt;&lt;/EndNote&gt;</w:instrText>
        </w:r>
        <w:r w:rsidRPr="002F52A9">
          <w:rPr>
            <w:rFonts w:ascii="Times New Roman" w:hAnsi="Times New Roman" w:cs="Times New Roman"/>
            <w:noProof/>
            <w:lang w:val="it-IT"/>
          </w:rPr>
          <w:fldChar w:fldCharType="separate"/>
        </w:r>
        <w:r w:rsidRPr="002F52A9">
          <w:rPr>
            <w:rFonts w:ascii="Times New Roman" w:hAnsi="Times New Roman" w:cs="Times New Roman"/>
            <w:noProof/>
            <w:lang w:val="it-IT"/>
          </w:rPr>
          <w:t>2004b</w:t>
        </w:r>
        <w:r w:rsidRPr="002F52A9">
          <w:rPr>
            <w:rFonts w:ascii="Times New Roman" w:hAnsi="Times New Roman" w:cs="Times New Roman"/>
            <w:noProof/>
            <w:lang w:val="it-IT"/>
          </w:rPr>
          <w:fldChar w:fldCharType="end"/>
        </w:r>
      </w:hyperlink>
      <w:r w:rsidRPr="002F52A9">
        <w:rPr>
          <w:rFonts w:ascii="Times New Roman" w:hAnsi="Times New Roman" w:cs="Times New Roman"/>
          <w:noProof/>
          <w:lang w:val="it-IT"/>
        </w:rPr>
        <w:t xml:space="preserve">), </w:t>
      </w:r>
      <w:r w:rsidRPr="002F52A9">
        <w:rPr>
          <w:rFonts w:ascii="Times New Roman" w:hAnsi="Times New Roman" w:cs="Times New Roman"/>
          <w:lang w:val="it-IT"/>
        </w:rPr>
        <w:t>Ginsburgh e Weber (</w:t>
      </w:r>
      <w:hyperlink w:anchor="_ENREF_33" w:tooltip="Ginsburgh, 2005 #75" w:history="1">
        <w:r w:rsidRPr="002F52A9">
          <w:rPr>
            <w:rFonts w:ascii="Times New Roman" w:hAnsi="Times New Roman" w:cs="Times New Roman"/>
            <w:lang w:val="en-GB"/>
          </w:rPr>
          <w:fldChar w:fldCharType="begin"/>
        </w:r>
        <w:r w:rsidRPr="002F52A9">
          <w:rPr>
            <w:rFonts w:ascii="Times New Roman" w:hAnsi="Times New Roman" w:cs="Times New Roman"/>
            <w:lang w:val="it-IT"/>
          </w:rPr>
          <w:instrText xml:space="preserve"> ADDIN EN.CITE &lt;EndNote&gt;&lt;Cite ExcludeAuth="1"&gt;&lt;Author&gt;Ginsburgh&lt;/Author&gt;&lt;Year&gt;2005&lt;/Year&gt;&lt;RecNum&gt;75&lt;/RecNum&gt;&lt;DisplayText&gt;2005&lt;/DisplayText&gt;&lt;record&gt;&lt;rec-number&gt;75&lt;/rec-number&gt;&lt;foreign-keys&gt;&lt;key app="EN" db-id="wvvszzd93a0z5wesdfpvdv9z5wrra5p05axp"&gt;75&lt;/key&gt;&lt;/foreign-keys&gt;&lt;ref-type name="Journal Article"&gt;17&lt;/ref-type&gt;&lt;contributors&gt;&lt;authors&gt;&lt;author&gt;Ginsburgh, Victor&lt;/author&gt;&lt;author&gt;Weber, Shlomo&lt;/author&gt;&lt;/authors&gt;&lt;/contributors&gt;&lt;titles&gt;&lt;title&gt;Language disenfranchisement in the European Union&lt;/title&gt;&lt;secondary-title&gt;Journal of Common Market Studies&lt;/secondary-title&gt;&lt;/titles&gt;&lt;periodical&gt;&lt;full-title&gt;Journal of Common Market Studies&lt;/full-title&gt;&lt;/periodical&gt;&lt;pages&gt;273-286&lt;/pages&gt;&lt;volume&gt;43&lt;/volume&gt;&lt;number&gt;2&lt;/number&gt;&lt;dates&gt;&lt;year&gt;2005&lt;/year&gt;&lt;/dates&gt;&lt;urls&gt;&lt;/urls&gt;&lt;/record&gt;&lt;/Cite&gt;&lt;/EndNote&gt;</w:instrText>
        </w:r>
        <w:r w:rsidRPr="002F52A9">
          <w:rPr>
            <w:rFonts w:ascii="Times New Roman" w:hAnsi="Times New Roman" w:cs="Times New Roman"/>
            <w:lang w:val="en-GB"/>
          </w:rPr>
          <w:fldChar w:fldCharType="separate"/>
        </w:r>
        <w:r w:rsidRPr="002F52A9">
          <w:rPr>
            <w:rFonts w:ascii="Times New Roman" w:hAnsi="Times New Roman" w:cs="Times New Roman"/>
            <w:lang w:val="it-IT"/>
          </w:rPr>
          <w:t>2005</w:t>
        </w:r>
        <w:r w:rsidRPr="002F52A9">
          <w:rPr>
            <w:rFonts w:ascii="Times New Roman" w:hAnsi="Times New Roman" w:cs="Times New Roman"/>
            <w:lang w:val="it-IT"/>
          </w:rPr>
          <w:fldChar w:fldCharType="end"/>
        </w:r>
      </w:hyperlink>
      <w:r w:rsidRPr="002F52A9">
        <w:rPr>
          <w:rFonts w:ascii="Times New Roman" w:hAnsi="Times New Roman" w:cs="Times New Roman"/>
          <w:lang w:val="it-IT"/>
        </w:rPr>
        <w:t>) e Gazzola e Grin (</w:t>
      </w:r>
      <w:hyperlink w:anchor="_ENREF_31" w:tooltip="Gazzola, 2013 #880" w:history="1">
        <w:r w:rsidRPr="002F52A9">
          <w:rPr>
            <w:rFonts w:ascii="Times New Roman" w:hAnsi="Times New Roman" w:cs="Times New Roman"/>
            <w:lang w:val="en-GB"/>
          </w:rPr>
          <w:fldChar w:fldCharType="begin"/>
        </w:r>
        <w:r w:rsidRPr="002F52A9">
          <w:rPr>
            <w:rFonts w:ascii="Times New Roman" w:hAnsi="Times New Roman" w:cs="Times New Roman"/>
            <w:lang w:val="it-IT"/>
          </w:rPr>
          <w:instrText xml:space="preserve"> ADDIN EN.CITE &lt;EndNote&gt;&lt;Cite ExcludeAuth="1"&gt;&lt;Author&gt;Gazzola&lt;/Author&gt;&lt;Year&gt;2013&lt;/Year&gt;&lt;RecNum&gt;880&lt;/RecNum&gt;&lt;DisplayText&gt;2013&lt;/DisplayText&gt;&lt;record&gt;&lt;rec-number&gt;880&lt;/rec-number&gt;&lt;foreign-keys&gt;&lt;key app="EN" db-id="wvvszzd93a0z5wesdfpvdv9z5wrra5p05axp"&gt;880&lt;/key&gt;&lt;/foreign-keys&gt;&lt;ref-type name="Journal Article"&gt;17&lt;/ref-type&gt;&lt;contributors&gt;&lt;authors&gt;&lt;author&gt;Gazzola, Michele&lt;/author&gt;&lt;author&gt;Grin, François&lt;/author&gt;&lt;/authors&gt;&lt;/contributors&gt;&lt;titles&gt;&lt;title&gt;Is ELF more effective and fair than translation? An evaluation of the EU’s multilingual regime&lt;/title&gt;&lt;secondary-title&gt;International Journal of Applied Linguistics&lt;/secondary-title&gt;&lt;/titles&gt;&lt;periodical&gt;&lt;full-title&gt;International Journal of Applied Linguistics&lt;/full-title&gt;&lt;/periodical&gt;&lt;pages&gt;93-107&lt;/pages&gt;&lt;volume&gt;23&lt;/volume&gt;&lt;number&gt;1&lt;/number&gt;&lt;dates&gt;&lt;year&gt;2013&lt;/year&gt;&lt;/dates&gt;&lt;urls&gt;&lt;/urls&gt;&lt;/record&gt;&lt;/Cite&gt;&lt;/EndNote&gt;</w:instrText>
        </w:r>
        <w:r w:rsidRPr="002F52A9">
          <w:rPr>
            <w:rFonts w:ascii="Times New Roman" w:hAnsi="Times New Roman" w:cs="Times New Roman"/>
            <w:lang w:val="en-GB"/>
          </w:rPr>
          <w:fldChar w:fldCharType="separate"/>
        </w:r>
        <w:r w:rsidRPr="002F52A9">
          <w:rPr>
            <w:rFonts w:ascii="Times New Roman" w:hAnsi="Times New Roman" w:cs="Times New Roman"/>
            <w:noProof/>
            <w:lang w:val="it-IT"/>
          </w:rPr>
          <w:t>2013</w:t>
        </w:r>
        <w:r w:rsidRPr="002F52A9">
          <w:rPr>
            <w:rFonts w:ascii="Times New Roman" w:hAnsi="Times New Roman" w:cs="Times New Roman"/>
            <w:lang w:val="it-IT"/>
          </w:rPr>
          <w:fldChar w:fldCharType="end"/>
        </w:r>
      </w:hyperlink>
      <w:r w:rsidRPr="002F52A9">
        <w:rPr>
          <w:rFonts w:ascii="Times New Roman" w:hAnsi="Times New Roman" w:cs="Times New Roman"/>
          <w:lang w:val="it-IT"/>
        </w:rPr>
        <w:t>) per l’economia.</w:t>
      </w:r>
    </w:p>
  </w:footnote>
  <w:footnote w:id="3">
    <w:p w:rsidR="005A17D4" w:rsidRPr="002F52A9" w:rsidRDefault="005A17D4" w:rsidP="002F52A9">
      <w:pPr>
        <w:pStyle w:val="FootnoteText"/>
        <w:jc w:val="both"/>
        <w:rPr>
          <w:rFonts w:ascii="Times New Roman" w:hAnsi="Times New Roman" w:cs="Times New Roman"/>
          <w:lang w:val="it-IT"/>
        </w:rPr>
      </w:pPr>
      <w:r w:rsidRPr="002F52A9">
        <w:rPr>
          <w:rStyle w:val="FootnoteReference"/>
          <w:rFonts w:ascii="Times New Roman" w:hAnsi="Times New Roman" w:cs="Times New Roman"/>
        </w:rPr>
        <w:footnoteRef/>
      </w:r>
      <w:r w:rsidRPr="002F52A9">
        <w:rPr>
          <w:rFonts w:ascii="Times New Roman" w:hAnsi="Times New Roman" w:cs="Times New Roman"/>
          <w:lang w:val="it-IT"/>
        </w:rPr>
        <w:t xml:space="preserve"> Non si tratta di negare che il cambiamento linguistico possa avvenire indipendentemente dall’intervento dello Stato su una certa realtà sociolinguistica. Il concetto di </w:t>
      </w:r>
      <w:r w:rsidRPr="002F52A9">
        <w:rPr>
          <w:rFonts w:ascii="Times New Roman" w:hAnsi="Times New Roman" w:cs="Times New Roman"/>
          <w:i/>
          <w:lang w:val="it-IT"/>
        </w:rPr>
        <w:t xml:space="preserve">drift </w:t>
      </w:r>
      <w:r w:rsidRPr="002F52A9">
        <w:rPr>
          <w:rFonts w:ascii="Times New Roman" w:hAnsi="Times New Roman" w:cs="Times New Roman"/>
          <w:lang w:val="it-IT"/>
        </w:rPr>
        <w:t>elaborato da Sapir, per esempio, rimanda infatti al normale processo di differenziazione e cambiamento linguistico che inevitabilmente ha luogo all’interno di una comunità linguistica (</w:t>
      </w:r>
      <w:r w:rsidRPr="002F52A9">
        <w:rPr>
          <w:rFonts w:ascii="Times New Roman" w:hAnsi="Times New Roman" w:cs="Times New Roman"/>
          <w:noProof/>
          <w:lang w:val="it-IT"/>
        </w:rPr>
        <w:t>Mufwene</w:t>
      </w:r>
      <w:r w:rsidRPr="002F52A9">
        <w:rPr>
          <w:rFonts w:ascii="Times New Roman" w:hAnsi="Times New Roman" w:cs="Times New Roman"/>
          <w:noProof/>
          <w:lang w:val="it-IT"/>
        </w:rPr>
        <w:t xml:space="preserve">‬ </w:t>
      </w:r>
      <w:hyperlink w:anchor="_ENREF_60" w:tooltip="Mufwene‬, 2008 #942" w:history="1">
        <w:r w:rsidRPr="002F52A9">
          <w:rPr>
            <w:rFonts w:ascii="Times New Roman" w:hAnsi="Times New Roman" w:cs="Times New Roman"/>
            <w:lang w:val="it-IT"/>
          </w:rPr>
          <w:fldChar w:fldCharType="begin"/>
        </w:r>
        <w:r w:rsidRPr="002F52A9">
          <w:rPr>
            <w:rFonts w:ascii="Times New Roman" w:hAnsi="Times New Roman" w:cs="Times New Roman"/>
            <w:lang w:val="it-IT"/>
          </w:rPr>
          <w:instrText xml:space="preserve"> ADDIN EN.CITE &lt;EndNote&gt;&lt;Cite ExcludeAuth="1"&gt;&lt;Author&gt;Mufwene</w:instrText>
        </w:r>
        <w:r w:rsidRPr="002F52A9">
          <w:rPr>
            <w:rFonts w:ascii="Times New Roman" w:hAnsi="Times New Roman" w:cs="Times New Roman"/>
            <w:lang w:val="it-IT"/>
          </w:rPr>
          <w:instrText>‬&lt;/Author&gt;&lt;Year&gt;2008&lt;/Year&gt;&lt;RecNum&gt;942&lt;/RecNum&gt;&lt;Pages&gt;71-72&lt;/Pages&gt;&lt;DisplayText&gt;2008: 71-72&lt;/DisplayText&gt;&lt;record&gt;&lt;rec-number&gt;942&lt;/rec-number&gt;&lt;foreign-keys&gt;&lt;key app="EN" db-id="wvvszzd93a0z5wesdfpvdv9z5wrra5p05axp"&gt;942&lt;/key&gt;&lt;/foreign-keys&gt;&lt;ref-type name="Book"&gt;6&lt;/ref-type&gt;&lt;contributors&gt;&lt;authors&gt;&lt;author&gt;Mufwene</w:instrText>
        </w:r>
        <w:r w:rsidRPr="002F52A9">
          <w:rPr>
            <w:rFonts w:ascii="Times New Roman" w:hAnsi="Times New Roman" w:cs="Times New Roman"/>
            <w:lang w:val="it-IT"/>
          </w:rPr>
          <w:instrText>‬, Salikoko S.&lt;/author&gt;&lt;/authors&gt;&lt;/contributors&gt;&lt;titles&gt;&lt;title&gt;</w:instrText>
        </w:r>
        <w:dir w:val="ltr">
          <w:r w:rsidRPr="002F52A9">
            <w:rPr>
              <w:rFonts w:ascii="Times New Roman" w:hAnsi="Times New Roman" w:cs="Times New Roman"/>
              <w:lang w:val="it-IT"/>
            </w:rPr>
            <w:instrText>Language Evolution</w:instrText>
          </w:r>
          <w:r w:rsidRPr="002F52A9">
            <w:rPr>
              <w:rFonts w:ascii="Times New Roman" w:hAnsi="Times New Roman" w:cs="Times New Roman"/>
              <w:lang w:val="it-IT"/>
            </w:rPr>
            <w:instrText xml:space="preserve">‬: </w:instrText>
          </w:r>
          <w:dir w:val="ltr">
            <w:r w:rsidRPr="002F52A9">
              <w:rPr>
                <w:rFonts w:ascii="Times New Roman" w:hAnsi="Times New Roman" w:cs="Times New Roman"/>
                <w:lang w:val="it-IT"/>
              </w:rPr>
              <w:instrText>Contact, Competition and Change&lt;/title&gt;&lt;/titles&gt;&lt;dates&gt;&lt;year&gt;2008&lt;/year&gt;&lt;/dates&gt;&lt;pub-location&gt;London&lt;/pub-location&gt;&lt;publisher&gt;Continuum International Publishing Group&lt;/publisher&gt;&lt;urls&gt;&lt;/urls&gt;&lt;/record&gt;&lt;/Cite&gt;&lt;/EndNote&gt;</w:instrText>
            </w:r>
            <w:r w:rsidRPr="002F52A9">
              <w:rPr>
                <w:rFonts w:ascii="Times New Roman" w:hAnsi="Times New Roman" w:cs="Times New Roman"/>
                <w:lang w:val="it-IT"/>
              </w:rPr>
              <w:fldChar w:fldCharType="separate"/>
            </w:r>
            <w:r w:rsidRPr="002F52A9">
              <w:rPr>
                <w:rFonts w:ascii="Times New Roman" w:hAnsi="Times New Roman" w:cs="Times New Roman"/>
                <w:noProof/>
                <w:lang w:val="it-IT"/>
              </w:rPr>
              <w:t>2008: 71-72</w:t>
            </w:r>
            <w:r w:rsidRPr="002F52A9">
              <w:rPr>
                <w:rFonts w:ascii="Times New Roman" w:hAnsi="Times New Roman" w:cs="Times New Roman"/>
                <w:lang w:val="it-IT"/>
              </w:rPr>
              <w:fldChar w:fldCharType="end"/>
            </w:r>
            <w:r w:rsidRPr="002F52A9">
              <w:rPr>
                <w:rFonts w:ascii="Times New Roman" w:hAnsi="Times New Roman" w:cs="Times New Roman"/>
                <w:lang w:val="it-IT"/>
              </w:rPr>
              <w:t>‬</w:t>
            </w:r>
            <w:r w:rsidRPr="002F52A9">
              <w:rPr>
                <w:rFonts w:ascii="Times New Roman" w:hAnsi="Times New Roman" w:cs="Times New Roman"/>
                <w:lang w:val="it-IT"/>
              </w:rPr>
              <w:t>‬</w:t>
            </w:r>
            <w:r w:rsidRPr="002F52A9">
              <w:rPr>
                <w:rFonts w:ascii="Times New Roman" w:hAnsi="Times New Roman" w:cs="Times New Roman"/>
                <w:lang w:val="it-IT"/>
              </w:rPr>
              <w:t>‬</w:t>
            </w:r>
            <w:r w:rsidRPr="002F52A9">
              <w:rPr>
                <w:rFonts w:ascii="Times New Roman" w:hAnsi="Times New Roman" w:cs="Times New Roman"/>
                <w:lang w:val="it-IT"/>
              </w:rPr>
              <w:t>‬</w:t>
            </w:r>
            <w:r w:rsidRPr="003C3D1C">
              <w:rPr>
                <w:lang w:val="it-IT"/>
              </w:rPr>
              <w:t>‬</w:t>
            </w:r>
            <w:r w:rsidRPr="003C3D1C">
              <w:rPr>
                <w:lang w:val="it-IT"/>
              </w:rPr>
              <w:t>‬</w:t>
            </w:r>
            <w:r w:rsidRPr="00D252D5">
              <w:rPr>
                <w:lang w:val="it-IT"/>
              </w:rPr>
              <w:t>‬</w:t>
            </w:r>
            <w:r w:rsidRPr="00D252D5">
              <w:rPr>
                <w:lang w:val="it-IT"/>
              </w:rPr>
              <w:t>‬</w:t>
            </w:r>
            <w:r w:rsidRPr="00B226A5">
              <w:rPr>
                <w:lang w:val="it-IT"/>
              </w:rPr>
              <w:t>‬</w:t>
            </w:r>
            <w:r w:rsidRPr="00B226A5">
              <w:rPr>
                <w:lang w:val="it-IT"/>
              </w:rPr>
              <w:t>‬</w:t>
            </w:r>
            <w:r w:rsidRPr="004A10FC">
              <w:rPr>
                <w:lang w:val="it-IT"/>
              </w:rPr>
              <w:t>‬</w:t>
            </w:r>
            <w:r w:rsidRPr="004A10FC">
              <w:rPr>
                <w:lang w:val="it-IT"/>
              </w:rPr>
              <w:t>‬</w:t>
            </w:r>
            <w:r w:rsidRPr="006C2813">
              <w:rPr>
                <w:lang w:val="it-IT"/>
              </w:rPr>
              <w:t>‬</w:t>
            </w:r>
            <w:r w:rsidRPr="006C2813">
              <w:rPr>
                <w:lang w:val="it-IT"/>
              </w:rPr>
              <w:t>‬</w:t>
            </w:r>
            <w:r w:rsidRPr="00FA1E72">
              <w:rPr>
                <w:lang w:val="it-IT"/>
              </w:rPr>
              <w:t>‬</w:t>
            </w:r>
            <w:r w:rsidRPr="00FA1E72">
              <w:rPr>
                <w:lang w:val="it-IT"/>
              </w:rPr>
              <w:t>‬</w:t>
            </w:r>
            <w:r w:rsidRPr="00DA34EC">
              <w:rPr>
                <w:lang w:val="it-IT"/>
              </w:rPr>
              <w:t>‬</w:t>
            </w:r>
            <w:r w:rsidRPr="00DA34EC">
              <w:rPr>
                <w:lang w:val="it-IT"/>
              </w:rPr>
              <w:t>‬</w:t>
            </w:r>
            <w:r w:rsidRPr="00DA34EC">
              <w:rPr>
                <w:lang w:val="it-IT"/>
              </w:rPr>
              <w:t>‬</w:t>
            </w:r>
            <w:r w:rsidRPr="00DA34EC">
              <w:rPr>
                <w:lang w:val="it-IT"/>
              </w:rPr>
              <w:t>‬</w:t>
            </w:r>
            <w:r w:rsidRPr="00087B27">
              <w:rPr>
                <w:lang w:val="it-IT"/>
              </w:rPr>
              <w:t>‬</w:t>
            </w:r>
            <w:r w:rsidRPr="00087B27">
              <w:rPr>
                <w:lang w:val="it-IT"/>
              </w:rPr>
              <w:t>‬</w:t>
            </w:r>
            <w:r w:rsidRPr="00087B27">
              <w:rPr>
                <w:lang w:val="it-IT"/>
              </w:rPr>
              <w:t>‬</w:t>
            </w:r>
            <w:r w:rsidRPr="00087B27">
              <w:rPr>
                <w:lang w:val="it-IT"/>
              </w:rPr>
              <w:t>‬</w:t>
            </w:r>
            <w:r w:rsidRPr="00541112">
              <w:rPr>
                <w:lang w:val="it-IT"/>
              </w:rPr>
              <w:t>‬</w:t>
            </w:r>
            <w:r w:rsidRPr="00541112">
              <w:rPr>
                <w:lang w:val="it-IT"/>
              </w:rPr>
              <w:t>‬</w:t>
            </w:r>
            <w:r w:rsidRPr="00FC21BB">
              <w:rPr>
                <w:lang w:val="it-IT"/>
              </w:rPr>
              <w:t>‬</w:t>
            </w:r>
            <w:r w:rsidRPr="00FC21BB">
              <w:rPr>
                <w:lang w:val="it-IT"/>
              </w:rPr>
              <w:t>‬</w:t>
            </w:r>
            <w:r w:rsidRPr="005A17D4">
              <w:rPr>
                <w:lang w:val="it-IT"/>
              </w:rPr>
              <w:t>‬</w:t>
            </w:r>
            <w:r w:rsidRPr="005A17D4">
              <w:rPr>
                <w:lang w:val="it-IT"/>
              </w:rPr>
              <w:t>‬</w:t>
            </w:r>
            <w:r w:rsidR="00B14B1B">
              <w:t>‬</w:t>
            </w:r>
            <w:r w:rsidR="00B14B1B">
              <w:t>‬</w:t>
            </w:r>
          </w:dir>
        </w:dir>
      </w:hyperlink>
      <w:r w:rsidRPr="002F52A9">
        <w:rPr>
          <w:rFonts w:ascii="Times New Roman" w:hAnsi="Times New Roman" w:cs="Times New Roman"/>
          <w:lang w:val="it-IT"/>
        </w:rPr>
        <w:t>‬</w:t>
      </w:r>
      <w:r w:rsidRPr="002F52A9">
        <w:rPr>
          <w:rFonts w:ascii="Times New Roman" w:hAnsi="Times New Roman" w:cs="Times New Roman"/>
          <w:lang w:val="it-IT"/>
        </w:rPr>
        <w:t>‬</w:t>
      </w:r>
      <w:r w:rsidRPr="002F52A9">
        <w:rPr>
          <w:rFonts w:ascii="Times New Roman" w:hAnsi="Times New Roman" w:cs="Times New Roman"/>
          <w:lang w:val="it-IT"/>
        </w:rPr>
        <w:t>‬</w:t>
      </w:r>
      <w:r w:rsidRPr="002F52A9">
        <w:rPr>
          <w:rFonts w:ascii="Times New Roman" w:hAnsi="Times New Roman" w:cs="Times New Roman"/>
          <w:lang w:val="it-IT"/>
        </w:rPr>
        <w:t>‬</w:t>
      </w:r>
      <w:r w:rsidRPr="002F52A9">
        <w:rPr>
          <w:rFonts w:ascii="Times New Roman" w:hAnsi="Times New Roman" w:cs="Times New Roman"/>
          <w:lang w:val="it-IT"/>
        </w:rPr>
        <w:t>‬</w:t>
      </w:r>
      <w:r w:rsidRPr="002F52A9">
        <w:rPr>
          <w:rFonts w:ascii="Times New Roman" w:hAnsi="Times New Roman" w:cs="Times New Roman"/>
          <w:lang w:val="it-IT"/>
        </w:rPr>
        <w:t>‬</w:t>
      </w:r>
      <w:r w:rsidRPr="002F52A9">
        <w:rPr>
          <w:rFonts w:ascii="Times New Roman" w:hAnsi="Times New Roman" w:cs="Times New Roman"/>
          <w:lang w:val="it-IT"/>
        </w:rPr>
        <w:t>‬</w:t>
      </w:r>
      <w:r w:rsidRPr="002F52A9">
        <w:rPr>
          <w:rFonts w:ascii="Times New Roman" w:hAnsi="Times New Roman" w:cs="Times New Roman"/>
          <w:lang w:val="it-IT"/>
        </w:rPr>
        <w:t>‬</w:t>
      </w:r>
      <w:r w:rsidRPr="002F52A9">
        <w:rPr>
          <w:rFonts w:ascii="Times New Roman" w:hAnsi="Times New Roman" w:cs="Times New Roman"/>
          <w:lang w:val="it-IT"/>
        </w:rPr>
        <w:t>‬</w:t>
      </w:r>
      <w:r w:rsidRPr="002F52A9">
        <w:rPr>
          <w:rFonts w:ascii="Times New Roman" w:hAnsi="Times New Roman" w:cs="Times New Roman"/>
          <w:lang w:val="it-IT"/>
        </w:rPr>
        <w:t>‬</w:t>
      </w:r>
      <w:r w:rsidRPr="002F52A9">
        <w:rPr>
          <w:rFonts w:ascii="Times New Roman" w:hAnsi="Times New Roman" w:cs="Times New Roman"/>
          <w:lang w:val="it-IT"/>
        </w:rPr>
        <w:t>‬</w:t>
      </w:r>
      <w:r w:rsidRPr="002F52A9">
        <w:rPr>
          <w:rFonts w:ascii="Times New Roman" w:hAnsi="Times New Roman" w:cs="Times New Roman"/>
          <w:lang w:val="it-IT"/>
        </w:rPr>
        <w:t>‬</w:t>
      </w:r>
      <w:r w:rsidRPr="002F52A9">
        <w:rPr>
          <w:rFonts w:ascii="Times New Roman" w:hAnsi="Times New Roman" w:cs="Times New Roman"/>
          <w:noProof/>
          <w:lang w:val="it-IT"/>
        </w:rPr>
        <w:t xml:space="preserve">). Ci si vuole invece riferire all’idea secondo cui gli interventi collettivi nelle realtà sociolinguistiche in quanto tali sarebbero ingiustificatamente intrusivi e non desiderabili dal punto di vista della filosofia liberale, oltre che destinati al fallimento (per un contradditorio si veda </w:t>
      </w:r>
      <w:hyperlink w:anchor="_ENREF_58" w:tooltip="May, 2011 #889" w:history="1">
        <w:r w:rsidRPr="002F52A9">
          <w:rPr>
            <w:rFonts w:ascii="Times New Roman" w:hAnsi="Times New Roman" w:cs="Times New Roman"/>
            <w:noProof/>
            <w:lang w:val="it-IT"/>
          </w:rPr>
          <w:fldChar w:fldCharType="begin"/>
        </w:r>
        <w:r w:rsidRPr="002F52A9">
          <w:rPr>
            <w:rFonts w:ascii="Times New Roman" w:hAnsi="Times New Roman" w:cs="Times New Roman"/>
            <w:noProof/>
            <w:lang w:val="it-IT"/>
          </w:rPr>
          <w:instrText xml:space="preserve"> ADDIN EN.CITE &lt;EndNote&gt;&lt;Cite&gt;&lt;Author&gt;May&lt;/Author&gt;&lt;Year&gt;2011&lt;/Year&gt;&lt;RecNum&gt;889&lt;/RecNum&gt;&lt;DisplayText&gt;May 2011&lt;/DisplayText&gt;&lt;record&gt;&lt;rec-number&gt;889&lt;/rec-number&gt;&lt;foreign-keys&gt;&lt;key app="EN" db-id="wvvszzd93a0z5wesdfpvdv9z5wrra5p05axp"&gt;889&lt;/key&gt;&lt;/foreign-keys&gt;&lt;ref-type name="Book"&gt;6&lt;/ref-type&gt;&lt;contributors&gt;&lt;authors&gt;&lt;author&gt;May, Stephen&lt;/author&gt;&lt;/authors&gt;&lt;/contributors&gt;&lt;titles&gt;&lt;title&gt;Language and Minority Rights: Ethnicity, Nationalism and the Politics of Language&lt;/title&gt;&lt;/titles&gt;&lt;dates&gt;&lt;year&gt;2011&lt;/year&gt;&lt;/dates&gt;&lt;pub-location&gt;London&lt;/pub-location&gt;&lt;publisher&gt;Routledge&lt;/publisher&gt;&lt;urls&gt;&lt;/urls&gt;&lt;/record&gt;&lt;/Cite&gt;&lt;/EndNote&gt;</w:instrText>
        </w:r>
        <w:r w:rsidRPr="002F52A9">
          <w:rPr>
            <w:rFonts w:ascii="Times New Roman" w:hAnsi="Times New Roman" w:cs="Times New Roman"/>
            <w:noProof/>
            <w:lang w:val="it-IT"/>
          </w:rPr>
          <w:fldChar w:fldCharType="separate"/>
        </w:r>
        <w:r w:rsidRPr="002F52A9">
          <w:rPr>
            <w:rFonts w:ascii="Times New Roman" w:hAnsi="Times New Roman" w:cs="Times New Roman"/>
            <w:noProof/>
            <w:lang w:val="it-IT"/>
          </w:rPr>
          <w:t>May 2011</w:t>
        </w:r>
        <w:r w:rsidRPr="002F52A9">
          <w:rPr>
            <w:rFonts w:ascii="Times New Roman" w:hAnsi="Times New Roman" w:cs="Times New Roman"/>
            <w:noProof/>
            <w:lang w:val="it-IT"/>
          </w:rPr>
          <w:fldChar w:fldCharType="end"/>
        </w:r>
      </w:hyperlink>
      <w:r w:rsidRPr="002F52A9">
        <w:rPr>
          <w:rFonts w:ascii="Times New Roman" w:hAnsi="Times New Roman" w:cs="Times New Roman"/>
          <w:noProof/>
          <w:lang w:val="it-IT"/>
        </w:rPr>
        <w:t xml:space="preserve">, </w:t>
      </w:r>
      <w:hyperlink w:anchor="_ENREF_66" w:tooltip="Robichaud, 2011 #943" w:history="1">
        <w:r w:rsidRPr="002F52A9">
          <w:rPr>
            <w:rFonts w:ascii="Times New Roman" w:hAnsi="Times New Roman" w:cs="Times New Roman"/>
            <w:noProof/>
            <w:lang w:val="it-IT"/>
          </w:rPr>
          <w:fldChar w:fldCharType="begin"/>
        </w:r>
        <w:r w:rsidRPr="002F52A9">
          <w:rPr>
            <w:rFonts w:ascii="Times New Roman" w:hAnsi="Times New Roman" w:cs="Times New Roman"/>
            <w:noProof/>
            <w:lang w:val="it-IT"/>
          </w:rPr>
          <w:instrText xml:space="preserve"> ADDIN EN.CITE &lt;EndNote&gt;&lt;Cite&gt;&lt;Author&gt;Robichaud&lt;/Author&gt;&lt;Year&gt;2011&lt;/Year&gt;&lt;RecNum&gt;943&lt;/RecNum&gt;&lt;DisplayText&gt;Robichaud 2011&lt;/DisplayText&gt;&lt;record&gt;&lt;rec-number&gt;943&lt;/rec-number&gt;&lt;foreign-keys&gt;&lt;key app="EN" db-id="wvvszzd93a0z5wesdfpvdv9z5wrra5p05axp"&gt;943&lt;/key&gt;&lt;/foreign-keys&gt;&lt;ref-type name="Journal Article"&gt;17&lt;/ref-type&gt;&lt;contributors&gt;&lt;authors&gt;&lt;author&gt;Robichaud, David&lt;/author&gt;&lt;/authors&gt;&lt;/contributors&gt;&lt;titles&gt;&lt;title&gt;Justice et politiques linguistiques: Pourquoi les laisser-fairistes devraient exiger des interventions de l’État&lt;/title&gt;&lt;secondary-title&gt;Philosophiques&lt;/secondary-title&gt;&lt;/titles&gt;&lt;periodical&gt;&lt;full-title&gt;Philosophiques&lt;/full-title&gt;&lt;/periodical&gt;&lt;pages&gt;419-438&lt;/pages&gt;&lt;volume&gt;38&lt;/volume&gt;&lt;number&gt;2&lt;/number&gt;&lt;dates&gt;&lt;year&gt;2011&lt;/year&gt;&lt;/dates&gt;&lt;urls&gt;&lt;/urls&gt;&lt;electronic-resource-num&gt;10.7202/1007458ar&lt;/electronic-resource-num&gt;&lt;/record&gt;&lt;/Cite&gt;&lt;/EndNote&gt;</w:instrText>
        </w:r>
        <w:r w:rsidRPr="002F52A9">
          <w:rPr>
            <w:rFonts w:ascii="Times New Roman" w:hAnsi="Times New Roman" w:cs="Times New Roman"/>
            <w:noProof/>
            <w:lang w:val="it-IT"/>
          </w:rPr>
          <w:fldChar w:fldCharType="separate"/>
        </w:r>
        <w:r w:rsidRPr="002F52A9">
          <w:rPr>
            <w:rFonts w:ascii="Times New Roman" w:hAnsi="Times New Roman" w:cs="Times New Roman"/>
            <w:noProof/>
            <w:lang w:val="it-IT"/>
          </w:rPr>
          <w:t>Robichaud 2011</w:t>
        </w:r>
        <w:r w:rsidRPr="002F52A9">
          <w:rPr>
            <w:rFonts w:ascii="Times New Roman" w:hAnsi="Times New Roman" w:cs="Times New Roman"/>
            <w:noProof/>
            <w:lang w:val="it-IT"/>
          </w:rPr>
          <w:fldChar w:fldCharType="end"/>
        </w:r>
      </w:hyperlink>
      <w:r w:rsidRPr="002F52A9">
        <w:rPr>
          <w:rFonts w:ascii="Times New Roman" w:hAnsi="Times New Roman" w:cs="Times New Roman"/>
          <w:noProof/>
          <w:lang w:val="it-IT"/>
        </w:rPr>
        <w:t xml:space="preserve"> e diversi contributi in Kymlicka e Patten </w:t>
      </w:r>
      <w:hyperlink w:anchor="_ENREF_55" w:tooltip="Kymlicka, 2003 #240" w:history="1">
        <w:r w:rsidRPr="002F52A9">
          <w:rPr>
            <w:rFonts w:ascii="Times New Roman" w:hAnsi="Times New Roman" w:cs="Times New Roman"/>
            <w:noProof/>
            <w:lang w:val="it-IT"/>
          </w:rPr>
          <w:fldChar w:fldCharType="begin"/>
        </w:r>
        <w:r w:rsidRPr="002F52A9">
          <w:rPr>
            <w:rFonts w:ascii="Times New Roman" w:hAnsi="Times New Roman" w:cs="Times New Roman"/>
            <w:noProof/>
            <w:lang w:val="it-IT"/>
          </w:rPr>
          <w:instrText xml:space="preserve"> ADDIN EN.CITE &lt;EndNote&gt;&lt;Cite ExcludeAuth="1"&gt;&lt;Author&gt;Kymlicka&lt;/Author&gt;&lt;Year&gt;2003&lt;/Year&gt;&lt;RecNum&gt;240&lt;/RecNum&gt;&lt;DisplayText&gt;2003&lt;/DisplayText&gt;&lt;record&gt;&lt;rec-number&gt;240&lt;/rec-number&gt;&lt;foreign-keys&gt;&lt;key app="EN" db-id="wvvszzd93a0z5wesdfpvdv9z5wrra5p05axp"&gt;240&lt;/key&gt;&lt;/foreign-keys&gt;&lt;ref-type name="Edited Book"&gt;28&lt;/ref-type&gt;&lt;contributors&gt;&lt;authors&gt;&lt;author&gt;Kymlicka, Will&lt;/author&gt;&lt;author&gt;Patten, Alan&lt;/author&gt;&lt;/authors&gt;&lt;/contributors&gt;&lt;titles&gt;&lt;title&gt;Language rights and political theory&lt;/title&gt;&lt;/titles&gt;&lt;keywords&gt;&lt;keyword&gt;droits fondamentaux langue&lt;/keyword&gt;&lt;keyword&gt;droits fondamentaux langue [©*tudes diverses]&lt;/keyword&gt;&lt;/keywords&gt;&lt;dates&gt;&lt;year&gt;2003&lt;/year&gt;&lt;/dates&gt;&lt;pub-location&gt;Oxford&lt;/pub-location&gt;&lt;publisher&gt;Oxford University Press&lt;/publisher&gt;&lt;isbn&gt;019926290X (hbk.)&amp;#xD;0199262918 (pbk.)&lt;/isbn&gt;&lt;accession-num&gt;vtls003402137&lt;/accession-num&gt;&lt;urls&gt;&lt;/urls&gt;&lt;/record&gt;&lt;/Cite&gt;&lt;/EndNote&gt;</w:instrText>
        </w:r>
        <w:r w:rsidRPr="002F52A9">
          <w:rPr>
            <w:rFonts w:ascii="Times New Roman" w:hAnsi="Times New Roman" w:cs="Times New Roman"/>
            <w:noProof/>
            <w:lang w:val="it-IT"/>
          </w:rPr>
          <w:fldChar w:fldCharType="separate"/>
        </w:r>
        <w:r w:rsidRPr="002F52A9">
          <w:rPr>
            <w:rFonts w:ascii="Times New Roman" w:hAnsi="Times New Roman" w:cs="Times New Roman"/>
            <w:noProof/>
            <w:lang w:val="it-IT"/>
          </w:rPr>
          <w:t>2003</w:t>
        </w:r>
        <w:r w:rsidRPr="002F52A9">
          <w:rPr>
            <w:rFonts w:ascii="Times New Roman" w:hAnsi="Times New Roman" w:cs="Times New Roman"/>
            <w:noProof/>
            <w:lang w:val="it-IT"/>
          </w:rPr>
          <w:fldChar w:fldCharType="end"/>
        </w:r>
      </w:hyperlink>
      <w:r w:rsidRPr="002F52A9">
        <w:rPr>
          <w:rFonts w:ascii="Times New Roman" w:hAnsi="Times New Roman" w:cs="Times New Roman"/>
          <w:noProof/>
          <w:lang w:val="it-IT"/>
        </w:rPr>
        <w:t>) .</w:t>
      </w:r>
      <w:r w:rsidRPr="002F52A9">
        <w:rPr>
          <w:rFonts w:ascii="Times New Roman" w:hAnsi="Times New Roman" w:cs="Times New Roman"/>
          <w:lang w:val="it-IT"/>
        </w:rPr>
        <w:t>‬</w:t>
      </w:r>
      <w:r w:rsidRPr="002F52A9">
        <w:rPr>
          <w:rFonts w:ascii="Times New Roman" w:hAnsi="Times New Roman" w:cs="Times New Roman"/>
          <w:lang w:val="it-IT"/>
        </w:rPr>
        <w:t>‬</w:t>
      </w:r>
      <w:r w:rsidRPr="00284C98">
        <w:rPr>
          <w:lang w:val="it-IT"/>
        </w:rPr>
        <w:t>‬</w:t>
      </w:r>
      <w:r w:rsidRPr="00284C98">
        <w:rPr>
          <w:lang w:val="it-IT"/>
        </w:rPr>
        <w:t>‬</w:t>
      </w:r>
      <w:r w:rsidRPr="00FC21BB">
        <w:rPr>
          <w:lang w:val="it-IT"/>
        </w:rPr>
        <w:t>‬</w:t>
      </w:r>
      <w:r w:rsidRPr="00FC21BB">
        <w:rPr>
          <w:lang w:val="it-IT"/>
        </w:rPr>
        <w:t>‬</w:t>
      </w:r>
      <w:r w:rsidR="00E872BA">
        <w:t>‬</w:t>
      </w:r>
      <w:r w:rsidR="00E872BA">
        <w:t>‬</w:t>
      </w:r>
    </w:p>
  </w:footnote>
  <w:footnote w:id="4">
    <w:p w:rsidR="005A17D4" w:rsidRPr="002F52A9" w:rsidRDefault="005A17D4" w:rsidP="002F52A9">
      <w:pPr>
        <w:pStyle w:val="FootnoteText"/>
        <w:jc w:val="both"/>
        <w:rPr>
          <w:rFonts w:ascii="Times New Roman" w:hAnsi="Times New Roman" w:cs="Times New Roman"/>
          <w:lang w:val="it-IT"/>
        </w:rPr>
      </w:pPr>
      <w:r w:rsidRPr="002F52A9">
        <w:rPr>
          <w:rStyle w:val="FootnoteReference"/>
          <w:rFonts w:ascii="Times New Roman" w:hAnsi="Times New Roman" w:cs="Times New Roman"/>
        </w:rPr>
        <w:footnoteRef/>
      </w:r>
      <w:r w:rsidRPr="002F52A9">
        <w:rPr>
          <w:rFonts w:ascii="Times New Roman" w:hAnsi="Times New Roman" w:cs="Times New Roman"/>
          <w:lang w:val="it-IT"/>
        </w:rPr>
        <w:t xml:space="preserve"> Questo teorema è conosciuto come primo teorema fondamentale dell’economia del benessere ed è visto come la dimostrazione matematica della metafora della “mano invisibile” di Adam Smith. Va detto, per precisione, che il teorema è valido sotto alcune precise e condizioni stringenti e di non facilmente realizzabili. Esso resta tuttavia un punto di riferimento nell’analisi dell’efficienza di diversi sistemi di produzione e scambio.</w:t>
      </w:r>
    </w:p>
  </w:footnote>
  <w:footnote w:id="5">
    <w:p w:rsidR="005A17D4" w:rsidRPr="002F52A9" w:rsidRDefault="005A17D4" w:rsidP="002F52A9">
      <w:pPr>
        <w:pStyle w:val="FootnoteText"/>
        <w:jc w:val="both"/>
        <w:rPr>
          <w:rFonts w:ascii="Times New Roman" w:hAnsi="Times New Roman" w:cs="Times New Roman"/>
          <w:lang w:val="it-IT"/>
        </w:rPr>
      </w:pPr>
      <w:r w:rsidRPr="002F52A9">
        <w:rPr>
          <w:rStyle w:val="FootnoteReference"/>
          <w:rFonts w:ascii="Times New Roman" w:hAnsi="Times New Roman" w:cs="Times New Roman"/>
          <w:lang w:val="it-IT"/>
        </w:rPr>
        <w:footnoteRef/>
      </w:r>
      <w:r w:rsidRPr="002F52A9">
        <w:rPr>
          <w:rFonts w:ascii="Times New Roman" w:hAnsi="Times New Roman" w:cs="Times New Roman"/>
          <w:lang w:val="it-IT"/>
        </w:rPr>
        <w:t xml:space="preserve"> Dal punto di vista economico, il concetto di fallimento del mercato può essere utilizzato per giustificare l’intervento dello Stato nelle realtà sociolinguistiche. Si rimanda a Gazzola (</w:t>
      </w:r>
      <w:hyperlink w:anchor="_ENREF_28" w:tooltip="Gazzola, 2006 #484" w:history="1">
        <w:r w:rsidRPr="002F52A9">
          <w:rPr>
            <w:rFonts w:ascii="Times New Roman" w:hAnsi="Times New Roman" w:cs="Times New Roman"/>
            <w:lang w:val="it-IT"/>
          </w:rPr>
          <w:fldChar w:fldCharType="begin"/>
        </w:r>
        <w:r w:rsidRPr="002F52A9">
          <w:rPr>
            <w:rFonts w:ascii="Times New Roman" w:hAnsi="Times New Roman" w:cs="Times New Roman"/>
            <w:lang w:val="it-IT"/>
          </w:rPr>
          <w:instrText xml:space="preserve"> ADDIN EN.CITE &lt;EndNote&gt;&lt;Cite ExcludeAuth="1"&gt;&lt;Author&gt;Gazzola&lt;/Author&gt;&lt;Year&gt;2006&lt;/Year&gt;&lt;RecNum&gt;484&lt;/RecNum&gt;&lt;DisplayText&gt;2006b&lt;/DisplayText&gt;&lt;record&gt;&lt;rec-number&gt;484&lt;/rec-number&gt;&lt;foreign-keys&gt;&lt;key app="EN" db-id="wvvszzd93a0z5wesdfpvdv9z5wrra5p05axp"&gt;484&lt;/key&gt;&lt;/foreign-keys&gt;&lt;ref-type name="Journal Article"&gt;17&lt;/ref-type&gt;&lt;contributors&gt;&lt;authors&gt;&lt;author&gt;Gazzola, Michele&lt;/author&gt;&lt;/authors&gt;&lt;/contributors&gt;&lt;titles&gt;&lt;title&gt;Lingue, Potere e Conflitto. L’economia della guerra delle lingue in Europa&lt;/title&gt;&lt;secondary-title&gt;Metàbasis&lt;/secondary-title&gt;&lt;/titles&gt;&lt;periodical&gt;&lt;full-title&gt;Metàbasis&lt;/full-title&gt;&lt;/periodical&gt;&lt;pages&gt;1-15&lt;/pages&gt;&lt;volume&gt;1&lt;/volume&gt;&lt;number&gt;1&lt;/number&gt;&lt;dates&gt;&lt;year&gt;2006&lt;/year&gt;&lt;/dates&gt;&lt;urls&gt;&lt;related-urls&gt;&lt;url&gt;http://www.metabasis.it/1/default.htm&lt;/url&gt;&lt;/related-urls&gt;&lt;/urls&gt;&lt;/record&gt;&lt;/Cite&gt;&lt;/EndNote&gt;</w:instrText>
        </w:r>
        <w:r w:rsidRPr="002F52A9">
          <w:rPr>
            <w:rFonts w:ascii="Times New Roman" w:hAnsi="Times New Roman" w:cs="Times New Roman"/>
            <w:lang w:val="it-IT"/>
          </w:rPr>
          <w:fldChar w:fldCharType="separate"/>
        </w:r>
        <w:r w:rsidRPr="002F52A9">
          <w:rPr>
            <w:rFonts w:ascii="Times New Roman" w:hAnsi="Times New Roman" w:cs="Times New Roman"/>
            <w:noProof/>
            <w:lang w:val="it-IT"/>
          </w:rPr>
          <w:t>2006b</w:t>
        </w:r>
        <w:r w:rsidRPr="002F52A9">
          <w:rPr>
            <w:rFonts w:ascii="Times New Roman" w:hAnsi="Times New Roman" w:cs="Times New Roman"/>
            <w:lang w:val="it-IT"/>
          </w:rPr>
          <w:fldChar w:fldCharType="end"/>
        </w:r>
      </w:hyperlink>
      <w:r w:rsidRPr="002F52A9">
        <w:rPr>
          <w:rFonts w:ascii="Times New Roman" w:hAnsi="Times New Roman" w:cs="Times New Roman"/>
          <w:lang w:val="it-IT"/>
        </w:rPr>
        <w:t>) e Grin (</w:t>
      </w:r>
      <w:hyperlink w:anchor="_ENREF_36" w:tooltip="Grin, 2003 #68" w:history="1">
        <w:r w:rsidRPr="002F52A9">
          <w:rPr>
            <w:rFonts w:ascii="Times New Roman" w:hAnsi="Times New Roman" w:cs="Times New Roman"/>
            <w:lang w:val="it-IT"/>
          </w:rPr>
          <w:fldChar w:fldCharType="begin"/>
        </w:r>
        <w:r w:rsidRPr="002F52A9">
          <w:rPr>
            <w:rFonts w:ascii="Times New Roman" w:hAnsi="Times New Roman" w:cs="Times New Roman"/>
            <w:lang w:val="it-IT"/>
          </w:rPr>
          <w:instrText xml:space="preserve"> ADDIN EN.CITE &lt;EndNote&gt;&lt;Cite ExcludeAuth="1"&gt;&lt;Author&gt;Grin&lt;/Author&gt;&lt;Year&gt;2003&lt;/Year&gt;&lt;RecNum&gt;68&lt;/RecNum&gt;&lt;DisplayText&gt;2003a&lt;/DisplayText&gt;&lt;record&gt;&lt;rec-number&gt;68&lt;/rec-number&gt;&lt;foreign-keys&gt;&lt;key app="EN" db-id="wvvszzd93a0z5wesdfpvdv9z5wrra5p05axp"&gt;68&lt;/key&gt;&lt;/foreign-keys&gt;&lt;ref-type name="Journal Article"&gt;17&lt;/ref-type&gt;&lt;contributors&gt;&lt;authors&gt;&lt;author&gt;Grin, François&lt;/author&gt;&lt;/authors&gt;&lt;/contributors&gt;&lt;titles&gt;&lt;title&gt;Language planning and economics&lt;/title&gt;&lt;secondary-title&gt;Current Issues in Language Planning&lt;/secondary-title&gt;&lt;/titles&gt;&lt;periodical&gt;&lt;full-title&gt;Current Issues in Language Planning&lt;/full-title&gt;&lt;/periodical&gt;&lt;pages&gt;1-66&lt;/pages&gt;&lt;volume&gt;4&lt;/volume&gt;&lt;number&gt;1&lt;/number&gt;&lt;dates&gt;&lt;year&gt;2003&lt;/year&gt;&lt;/dates&gt;&lt;urls&gt;&lt;/urls&gt;&lt;/record&gt;&lt;/Cite&gt;&lt;/EndNote&gt;</w:instrText>
        </w:r>
        <w:r w:rsidRPr="002F52A9">
          <w:rPr>
            <w:rFonts w:ascii="Times New Roman" w:hAnsi="Times New Roman" w:cs="Times New Roman"/>
            <w:lang w:val="it-IT"/>
          </w:rPr>
          <w:fldChar w:fldCharType="separate"/>
        </w:r>
        <w:r w:rsidRPr="002F52A9">
          <w:rPr>
            <w:rFonts w:ascii="Times New Roman" w:hAnsi="Times New Roman" w:cs="Times New Roman"/>
            <w:noProof/>
            <w:lang w:val="it-IT"/>
          </w:rPr>
          <w:t>2003a</w:t>
        </w:r>
        <w:r w:rsidRPr="002F52A9">
          <w:rPr>
            <w:rFonts w:ascii="Times New Roman" w:hAnsi="Times New Roman" w:cs="Times New Roman"/>
            <w:lang w:val="it-IT"/>
          </w:rPr>
          <w:fldChar w:fldCharType="end"/>
        </w:r>
      </w:hyperlink>
      <w:r w:rsidRPr="002F52A9">
        <w:rPr>
          <w:rFonts w:ascii="Times New Roman" w:hAnsi="Times New Roman" w:cs="Times New Roman"/>
          <w:lang w:val="it-IT"/>
        </w:rPr>
        <w:t>) per un’approfondita discussione.</w:t>
      </w:r>
    </w:p>
  </w:footnote>
  <w:footnote w:id="6">
    <w:p w:rsidR="005A17D4" w:rsidRPr="002F52A9" w:rsidRDefault="005A17D4" w:rsidP="002F52A9">
      <w:pPr>
        <w:pStyle w:val="FootnoteText"/>
        <w:jc w:val="both"/>
        <w:rPr>
          <w:rFonts w:ascii="Times New Roman" w:hAnsi="Times New Roman" w:cs="Times New Roman"/>
          <w:lang w:val="it-IT"/>
        </w:rPr>
      </w:pPr>
      <w:r w:rsidRPr="002F52A9">
        <w:rPr>
          <w:rStyle w:val="FootnoteReference"/>
          <w:rFonts w:ascii="Times New Roman" w:hAnsi="Times New Roman" w:cs="Times New Roman"/>
        </w:rPr>
        <w:footnoteRef/>
      </w:r>
      <w:r w:rsidRPr="002F52A9">
        <w:rPr>
          <w:rFonts w:ascii="Times New Roman" w:hAnsi="Times New Roman" w:cs="Times New Roman"/>
          <w:lang w:val="it-IT"/>
        </w:rPr>
        <w:t xml:space="preserve"> Come Crystal osserva “gli studi sulla pianificazione linguistica hanno dimostrato che è possibile che i gruppi sociali modifichino lo sviluppo di una lingua e che le questioni normative [cioè se sia desiderabile interferire o no, M.G.] sono molto controverse” (</w:t>
      </w:r>
      <w:hyperlink w:anchor="_ENREF_18" w:tooltip="Crystal, 1993 #473" w:history="1">
        <w:r w:rsidRPr="002F52A9">
          <w:rPr>
            <w:rFonts w:ascii="Times New Roman" w:hAnsi="Times New Roman" w:cs="Times New Roman"/>
            <w:lang w:val="it-IT"/>
          </w:rPr>
          <w:fldChar w:fldCharType="begin"/>
        </w:r>
        <w:r w:rsidRPr="002F52A9">
          <w:rPr>
            <w:rFonts w:ascii="Times New Roman" w:hAnsi="Times New Roman" w:cs="Times New Roman"/>
            <w:lang w:val="it-IT"/>
          </w:rPr>
          <w:instrText xml:space="preserve"> ADDIN EN.CITE &lt;EndNote&gt;&lt;Cite&gt;&lt;Author&gt;Crystal&lt;/Author&gt;&lt;Year&gt;1993&lt;/Year&gt;&lt;RecNum&gt;473&lt;/RecNum&gt;&lt;Pages&gt;364&lt;/Pages&gt;&lt;DisplayText&gt;Crystal 1993: 364&lt;/DisplayText&gt;&lt;record&gt;&lt;rec-number&gt;473&lt;/rec-number&gt;&lt;foreign-keys&gt;&lt;key app="EN" db-id="wvvszzd93a0z5wesdfpvdv9z5wrra5p05axp"&gt;473&lt;/key&gt;&lt;/foreign-keys&gt;&lt;ref-type name="Book"&gt;6&lt;/ref-type&gt;&lt;contributors&gt;&lt;authors&gt;&lt;author&gt;Crystal, David&lt;/author&gt;&lt;/authors&gt;&lt;/contributors&gt;&lt;titles&gt;&lt;title&gt;Enciclopedia Cambridge delle scienze del linguaggio&lt;/title&gt;&lt;translated-title&gt;Trad. italiana di: The Cambridge Encyclopedia of Language, 1987&lt;/translated-title&gt;&lt;/titles&gt;&lt;keywords&gt;&lt;keyword&gt;langage [encyclopédie]&lt;/keyword&gt;&lt;keyword&gt;linguistique [encyclopédie]&lt;/keyword&gt;&lt;/keywords&gt;&lt;dates&gt;&lt;year&gt;1993&lt;/year&gt;&lt;/dates&gt;&lt;pub-location&gt;Bologna&lt;/pub-location&gt;&lt;publisher&gt;Zanichelli&lt;/publisher&gt;&lt;isbn&gt;8808140784&lt;/isbn&gt;&lt;urls&gt;&lt;/urls&gt;&lt;/record&gt;&lt;/Cite&gt;&lt;/EndNote&gt;</w:instrText>
        </w:r>
        <w:r w:rsidRPr="002F52A9">
          <w:rPr>
            <w:rFonts w:ascii="Times New Roman" w:hAnsi="Times New Roman" w:cs="Times New Roman"/>
            <w:lang w:val="it-IT"/>
          </w:rPr>
          <w:fldChar w:fldCharType="separate"/>
        </w:r>
        <w:r w:rsidRPr="002F52A9">
          <w:rPr>
            <w:rFonts w:ascii="Times New Roman" w:hAnsi="Times New Roman" w:cs="Times New Roman"/>
            <w:noProof/>
            <w:lang w:val="it-IT"/>
          </w:rPr>
          <w:t>Crystal 1993: 364</w:t>
        </w:r>
        <w:r w:rsidRPr="002F52A9">
          <w:rPr>
            <w:rFonts w:ascii="Times New Roman" w:hAnsi="Times New Roman" w:cs="Times New Roman"/>
            <w:lang w:val="it-IT"/>
          </w:rPr>
          <w:fldChar w:fldCharType="end"/>
        </w:r>
      </w:hyperlink>
      <w:r w:rsidRPr="002F52A9">
        <w:rPr>
          <w:rFonts w:ascii="Times New Roman" w:hAnsi="Times New Roman" w:cs="Times New Roman"/>
          <w:lang w:val="it-IT"/>
        </w:rPr>
        <w:t>). Per una critica alla teoria del cambiamento linguistico “naturale” o “spontaneo” si veda Keller (</w:t>
      </w:r>
      <w:hyperlink w:anchor="_ENREF_52" w:tooltip="Keller, 1994 #296" w:history="1">
        <w:r w:rsidRPr="002F52A9">
          <w:rPr>
            <w:rFonts w:ascii="Times New Roman" w:hAnsi="Times New Roman" w:cs="Times New Roman"/>
            <w:lang w:val="it-IT"/>
          </w:rPr>
          <w:fldChar w:fldCharType="begin"/>
        </w:r>
        <w:r w:rsidRPr="002F52A9">
          <w:rPr>
            <w:rFonts w:ascii="Times New Roman" w:hAnsi="Times New Roman" w:cs="Times New Roman"/>
            <w:lang w:val="it-IT"/>
          </w:rPr>
          <w:instrText xml:space="preserve"> ADDIN EN.CITE &lt;EndNote&gt;&lt;Cite ExcludeAuth="1"&gt;&lt;Author&gt;Keller&lt;/Author&gt;&lt;Year&gt;1994&lt;/Year&gt;&lt;RecNum&gt;296&lt;/RecNum&gt;&lt;DisplayText&gt;1994&lt;/DisplayText&gt;&lt;record&gt;&lt;rec-number&gt;296&lt;/rec-number&gt;&lt;foreign-keys&gt;&lt;key app="EN" db-id="wvvszzd93a0z5wesdfpvdv9z5wrra5p05axp"&gt;296&lt;/key&gt;&lt;/foreign-keys&gt;&lt;ref-type name="Book"&gt;6&lt;/ref-type&gt;&lt;contributors&gt;&lt;authors&gt;&lt;author&gt;Keller, Rudi&lt;/author&gt;&lt;/authors&gt;&lt;/contributors&gt;&lt;titles&gt;&lt;title&gt;On language change. The invisible hand in language&lt;/title&gt;&lt;/titles&gt;&lt;pages&gt;XI, 182 p.&lt;/pages&gt;&lt;keywords&gt;&lt;keyword&gt;changement (linguistique)&lt;/keyword&gt;&lt;/keywords&gt;&lt;dates&gt;&lt;year&gt;1994&lt;/year&gt;&lt;/dates&gt;&lt;pub-location&gt;London - New York&lt;/pub-location&gt;&lt;publisher&gt;Routledge&lt;/publisher&gt;&lt;isbn&gt;0415076714 (hbk)&amp;#xD;0415076722 (pbk)&lt;/isbn&gt;&lt;urls&gt;&lt;/urls&gt;&lt;/record&gt;&lt;/Cite&gt;&lt;/EndNote&gt;</w:instrText>
        </w:r>
        <w:r w:rsidRPr="002F52A9">
          <w:rPr>
            <w:rFonts w:ascii="Times New Roman" w:hAnsi="Times New Roman" w:cs="Times New Roman"/>
            <w:lang w:val="it-IT"/>
          </w:rPr>
          <w:fldChar w:fldCharType="separate"/>
        </w:r>
        <w:r w:rsidRPr="002F52A9">
          <w:rPr>
            <w:rFonts w:ascii="Times New Roman" w:hAnsi="Times New Roman" w:cs="Times New Roman"/>
            <w:noProof/>
            <w:lang w:val="it-IT"/>
          </w:rPr>
          <w:t>1994</w:t>
        </w:r>
        <w:r w:rsidRPr="002F52A9">
          <w:rPr>
            <w:rFonts w:ascii="Times New Roman" w:hAnsi="Times New Roman" w:cs="Times New Roman"/>
            <w:lang w:val="it-IT"/>
          </w:rPr>
          <w:fldChar w:fldCharType="end"/>
        </w:r>
      </w:hyperlink>
      <w:r w:rsidRPr="002F52A9">
        <w:rPr>
          <w:rFonts w:ascii="Times New Roman" w:hAnsi="Times New Roman" w:cs="Times New Roman"/>
          <w:lang w:val="it-IT"/>
        </w:rPr>
        <w:t>).</w:t>
      </w:r>
    </w:p>
  </w:footnote>
  <w:footnote w:id="7">
    <w:p w:rsidR="005A17D4" w:rsidRPr="002F52A9" w:rsidRDefault="005A17D4" w:rsidP="002F52A9">
      <w:pPr>
        <w:pStyle w:val="FootnoteText"/>
        <w:jc w:val="both"/>
        <w:rPr>
          <w:rFonts w:ascii="Times New Roman" w:hAnsi="Times New Roman" w:cs="Times New Roman"/>
          <w:lang w:val="it-IT"/>
        </w:rPr>
      </w:pPr>
      <w:r w:rsidRPr="002F52A9">
        <w:rPr>
          <w:rStyle w:val="FootnoteReference"/>
          <w:rFonts w:ascii="Times New Roman" w:hAnsi="Times New Roman" w:cs="Times New Roman"/>
          <w:lang w:val="it-IT"/>
        </w:rPr>
        <w:footnoteRef/>
      </w:r>
      <w:r w:rsidRPr="002F52A9">
        <w:rPr>
          <w:rFonts w:ascii="Times New Roman" w:hAnsi="Times New Roman" w:cs="Times New Roman"/>
          <w:lang w:val="it-IT"/>
        </w:rPr>
        <w:t xml:space="preserve"> Rimando a </w:t>
      </w:r>
      <w:r w:rsidRPr="002F52A9">
        <w:rPr>
          <w:rFonts w:ascii="Times New Roman" w:hAnsi="Times New Roman" w:cs="Times New Roman"/>
          <w:noProof/>
          <w:lang w:val="it-IT"/>
        </w:rPr>
        <w:t>Dell'Aquila e Iannàccaro</w:t>
      </w:r>
      <w:r w:rsidRPr="002F52A9">
        <w:rPr>
          <w:rFonts w:ascii="Times New Roman" w:hAnsi="Times New Roman" w:cs="Times New Roman"/>
          <w:lang w:val="it-IT"/>
        </w:rPr>
        <w:t xml:space="preserve"> (</w:t>
      </w:r>
      <w:hyperlink w:anchor="_ENREF_22" w:tooltip="Dell'Aquila, 2004 #67" w:history="1">
        <w:r w:rsidRPr="002F52A9">
          <w:rPr>
            <w:rFonts w:ascii="Times New Roman" w:hAnsi="Times New Roman" w:cs="Times New Roman"/>
            <w:lang w:val="it-IT"/>
          </w:rPr>
          <w:fldChar w:fldCharType="begin"/>
        </w:r>
        <w:r w:rsidRPr="002F52A9">
          <w:rPr>
            <w:rFonts w:ascii="Times New Roman" w:hAnsi="Times New Roman" w:cs="Times New Roman"/>
            <w:lang w:val="it-IT"/>
          </w:rPr>
          <w:instrText xml:space="preserve"> ADDIN EN.CITE &lt;EndNote&gt;&lt;Cite ExcludeAuth="1"&gt;&lt;Author&gt;Dell&amp;apos;Aquila&lt;/Author&gt;&lt;Year&gt;2004&lt;/Year&gt;&lt;RecNum&gt;67&lt;/RecNum&gt;&lt;DisplayText&gt;2004&lt;/DisplayText&gt;&lt;record&gt;&lt;rec-number&gt;67&lt;/rec-number&gt;&lt;foreign-keys&gt;&lt;key app="EN" db-id="wvvszzd93a0z5wesdfpvdv9z5wrra5p05axp"&gt;67&lt;/key&gt;&lt;/foreign-keys&gt;&lt;ref-type name="Book"&gt;6&lt;/ref-type&gt;&lt;contributors&gt;&lt;authors&gt;&lt;author&gt;Dell&amp;apos;Aquila, Vittorio&lt;/author&gt;&lt;author&gt;Iannàccaro, Gabriele&lt;/author&gt;&lt;/authors&gt;&lt;/contributors&gt;&lt;titles&gt;&lt;title&gt;La pianificazione linguistica. Lingue, società e istituzioni&lt;/title&gt;&lt;/titles&gt;&lt;pages&gt;209&lt;/pages&gt;&lt;dates&gt;&lt;year&gt;2004&lt;/year&gt;&lt;/dates&gt;&lt;pub-location&gt;Rome&lt;/pub-location&gt;&lt;publisher&gt;Carocci&lt;/publisher&gt;&lt;urls&gt;&lt;/urls&gt;&lt;/record&gt;&lt;/Cite&gt;&lt;/EndNote&gt;</w:instrText>
        </w:r>
        <w:r w:rsidRPr="002F52A9">
          <w:rPr>
            <w:rFonts w:ascii="Times New Roman" w:hAnsi="Times New Roman" w:cs="Times New Roman"/>
            <w:lang w:val="it-IT"/>
          </w:rPr>
          <w:fldChar w:fldCharType="separate"/>
        </w:r>
        <w:r w:rsidRPr="002F52A9">
          <w:rPr>
            <w:rFonts w:ascii="Times New Roman" w:hAnsi="Times New Roman" w:cs="Times New Roman"/>
            <w:noProof/>
            <w:lang w:val="it-IT"/>
          </w:rPr>
          <w:t>2004</w:t>
        </w:r>
        <w:r w:rsidRPr="002F52A9">
          <w:rPr>
            <w:rFonts w:ascii="Times New Roman" w:hAnsi="Times New Roman" w:cs="Times New Roman"/>
            <w:lang w:val="it-IT"/>
          </w:rPr>
          <w:fldChar w:fldCharType="end"/>
        </w:r>
      </w:hyperlink>
      <w:r w:rsidRPr="002F52A9">
        <w:rPr>
          <w:rFonts w:ascii="Times New Roman" w:hAnsi="Times New Roman" w:cs="Times New Roman"/>
          <w:lang w:val="it-IT"/>
        </w:rPr>
        <w:t xml:space="preserve">) e a </w:t>
      </w:r>
      <w:r w:rsidRPr="002F52A9">
        <w:rPr>
          <w:rFonts w:ascii="Times New Roman" w:hAnsi="Times New Roman" w:cs="Times New Roman"/>
          <w:noProof/>
          <w:lang w:val="it-IT"/>
        </w:rPr>
        <w:t>Hornberger</w:t>
      </w:r>
      <w:r w:rsidRPr="002F52A9">
        <w:rPr>
          <w:rFonts w:ascii="Times New Roman" w:hAnsi="Times New Roman" w:cs="Times New Roman"/>
          <w:lang w:val="it-IT"/>
        </w:rPr>
        <w:t xml:space="preserve"> (</w:t>
      </w:r>
      <w:hyperlink w:anchor="_ENREF_46" w:tooltip="Hornberger, 2006 #309" w:history="1">
        <w:r w:rsidRPr="002F52A9">
          <w:rPr>
            <w:rFonts w:ascii="Times New Roman" w:hAnsi="Times New Roman" w:cs="Times New Roman"/>
            <w:lang w:val="it-IT"/>
          </w:rPr>
          <w:fldChar w:fldCharType="begin"/>
        </w:r>
        <w:r w:rsidRPr="002F52A9">
          <w:rPr>
            <w:rFonts w:ascii="Times New Roman" w:hAnsi="Times New Roman" w:cs="Times New Roman"/>
            <w:lang w:val="it-IT"/>
          </w:rPr>
          <w:instrText xml:space="preserve"> ADDIN EN.CITE &lt;EndNote&gt;&lt;Cite ExcludeAuth="1"&gt;&lt;Author&gt;Hornberger&lt;/Author&gt;&lt;Year&gt;2006&lt;/Year&gt;&lt;RecNum&gt;309&lt;/RecNum&gt;&lt;DisplayText&gt;2006&lt;/DisplayText&gt;&lt;record&gt;&lt;rec-number&gt;309&lt;/rec-number&gt;&lt;foreign-keys&gt;&lt;key app="EN" db-id="wvvszzd93a0z5wesdfpvdv9z5wrra5p05axp"&gt;309&lt;/key&gt;&lt;/foreign-keys&gt;&lt;ref-type name="Book Section"&gt;5&lt;/ref-type&gt;&lt;contributors&gt;&lt;authors&gt;&lt;author&gt;Hornberger, Nancy H.&lt;/author&gt;&lt;/authors&gt;&lt;/contributors&gt;&lt;titles&gt;&lt;title&gt;Frameworks and models in language policy and planning &lt;/title&gt;&lt;secondary-title&gt;An Introduction to language policy. Theory and methods&lt;/secondary-title&gt;&lt;/titles&gt;&lt;pages&gt;24-41&lt;/pages&gt;&lt;dates&gt;&lt;year&gt;2006&lt;/year&gt;&lt;/dates&gt;&lt;pub-location&gt;Oxford&lt;/pub-location&gt;&lt;publisher&gt;Blackwell&lt;/publisher&gt;&lt;urls&gt;&lt;/urls&gt;&lt;/record&gt;&lt;/Cite&gt;&lt;/EndNote&gt;</w:instrText>
        </w:r>
        <w:r w:rsidRPr="002F52A9">
          <w:rPr>
            <w:rFonts w:ascii="Times New Roman" w:hAnsi="Times New Roman" w:cs="Times New Roman"/>
            <w:lang w:val="it-IT"/>
          </w:rPr>
          <w:fldChar w:fldCharType="separate"/>
        </w:r>
        <w:r w:rsidRPr="002F52A9">
          <w:rPr>
            <w:rFonts w:ascii="Times New Roman" w:hAnsi="Times New Roman" w:cs="Times New Roman"/>
            <w:noProof/>
            <w:lang w:val="it-IT"/>
          </w:rPr>
          <w:t>2006</w:t>
        </w:r>
        <w:r w:rsidRPr="002F52A9">
          <w:rPr>
            <w:rFonts w:ascii="Times New Roman" w:hAnsi="Times New Roman" w:cs="Times New Roman"/>
            <w:lang w:val="it-IT"/>
          </w:rPr>
          <w:fldChar w:fldCharType="end"/>
        </w:r>
      </w:hyperlink>
      <w:r w:rsidRPr="002F52A9">
        <w:rPr>
          <w:rFonts w:ascii="Times New Roman" w:hAnsi="Times New Roman" w:cs="Times New Roman"/>
          <w:lang w:val="it-IT"/>
        </w:rPr>
        <w:t xml:space="preserve">) per le definizioni di </w:t>
      </w:r>
      <w:r w:rsidRPr="002F52A9">
        <w:rPr>
          <w:rFonts w:ascii="Times New Roman" w:hAnsi="Times New Roman" w:cs="Times New Roman"/>
          <w:i/>
          <w:lang w:val="it-IT"/>
        </w:rPr>
        <w:t>corpus</w:t>
      </w:r>
      <w:r w:rsidRPr="002F52A9">
        <w:rPr>
          <w:rFonts w:ascii="Times New Roman" w:hAnsi="Times New Roman" w:cs="Times New Roman"/>
          <w:lang w:val="it-IT"/>
        </w:rPr>
        <w:t xml:space="preserve">, </w:t>
      </w:r>
      <w:r w:rsidRPr="002F52A9">
        <w:rPr>
          <w:rFonts w:ascii="Times New Roman" w:hAnsi="Times New Roman" w:cs="Times New Roman"/>
          <w:i/>
          <w:lang w:val="it-IT"/>
        </w:rPr>
        <w:t xml:space="preserve">status </w:t>
      </w:r>
      <w:r w:rsidRPr="002F52A9">
        <w:rPr>
          <w:rFonts w:ascii="Times New Roman" w:hAnsi="Times New Roman" w:cs="Times New Roman"/>
          <w:lang w:val="it-IT"/>
        </w:rPr>
        <w:t xml:space="preserve">o </w:t>
      </w:r>
      <w:r w:rsidRPr="002F52A9">
        <w:rPr>
          <w:rFonts w:ascii="Times New Roman" w:hAnsi="Times New Roman" w:cs="Times New Roman"/>
          <w:i/>
          <w:lang w:val="it-IT"/>
        </w:rPr>
        <w:t>acquisition planning</w:t>
      </w:r>
      <w:r w:rsidRPr="002F52A9">
        <w:rPr>
          <w:rFonts w:ascii="Times New Roman" w:hAnsi="Times New Roman" w:cs="Times New Roman"/>
          <w:lang w:val="it-IT"/>
        </w:rPr>
        <w:t>.</w:t>
      </w:r>
    </w:p>
  </w:footnote>
  <w:footnote w:id="8">
    <w:p w:rsidR="005A17D4" w:rsidRPr="002F52A9" w:rsidRDefault="005A17D4" w:rsidP="002F52A9">
      <w:pPr>
        <w:pStyle w:val="FootnoteText"/>
        <w:jc w:val="both"/>
        <w:rPr>
          <w:rFonts w:ascii="Times New Roman" w:hAnsi="Times New Roman" w:cs="Times New Roman"/>
          <w:lang w:val="it-IT"/>
        </w:rPr>
      </w:pPr>
      <w:r w:rsidRPr="002F52A9">
        <w:rPr>
          <w:rStyle w:val="FootnoteReference"/>
          <w:rFonts w:ascii="Times New Roman" w:hAnsi="Times New Roman" w:cs="Times New Roman"/>
          <w:lang w:val="it-IT"/>
        </w:rPr>
        <w:footnoteRef/>
      </w:r>
      <w:r w:rsidRPr="002F52A9">
        <w:rPr>
          <w:rFonts w:ascii="Times New Roman" w:hAnsi="Times New Roman" w:cs="Times New Roman"/>
          <w:lang w:val="it-IT"/>
        </w:rPr>
        <w:t xml:space="preserve"> Sulla distinzione fra politiche linguistiche esplicite e politiche linguistiche di fatto rimando a Shohamy (</w:t>
      </w:r>
      <w:hyperlink w:anchor="_ENREF_71" w:tooltip="Shohamy, 2006 #445" w:history="1">
        <w:r w:rsidRPr="002F52A9">
          <w:rPr>
            <w:rFonts w:ascii="Times New Roman" w:hAnsi="Times New Roman" w:cs="Times New Roman"/>
            <w:lang w:val="it-IT"/>
          </w:rPr>
          <w:fldChar w:fldCharType="begin"/>
        </w:r>
        <w:r w:rsidRPr="002F52A9">
          <w:rPr>
            <w:rFonts w:ascii="Times New Roman" w:hAnsi="Times New Roman" w:cs="Times New Roman"/>
            <w:lang w:val="it-IT"/>
          </w:rPr>
          <w:instrText xml:space="preserve"> ADDIN EN.CITE &lt;EndNote&gt;&lt;Cite ExcludeAuth="1"&gt;&lt;Author&gt;Shohamy&lt;/Author&gt;&lt;Year&gt;2006&lt;/Year&gt;&lt;RecNum&gt;445&lt;/RecNum&gt;&lt;DisplayText&gt;2006&lt;/DisplayText&gt;&lt;record&gt;&lt;rec-number&gt;445&lt;/rec-number&gt;&lt;foreign-keys&gt;&lt;key app="EN" db-id="wvvszzd93a0z5wesdfpvdv9z5wrra5p05axp"&gt;445&lt;/key&gt;&lt;/foreign-keys&gt;&lt;ref-type name="Book"&gt;6&lt;/ref-type&gt;&lt;contributors&gt;&lt;authors&gt;&lt;author&gt;Shohamy, Elana&lt;/author&gt;&lt;/authors&gt;&lt;/contributors&gt;&lt;titles&gt;&lt;title&gt;Language policy. Hidden agendas and new approaches&lt;/title&gt;&lt;/titles&gt;&lt;dates&gt;&lt;year&gt;2006&lt;/year&gt;&lt;/dates&gt;&lt;pub-location&gt;London&lt;/pub-location&gt;&lt;publisher&gt;Routledge&lt;/publisher&gt;&lt;urls&gt;&lt;/urls&gt;&lt;/record&gt;&lt;/Cite&gt;&lt;/EndNote&gt;</w:instrText>
        </w:r>
        <w:r w:rsidRPr="002F52A9">
          <w:rPr>
            <w:rFonts w:ascii="Times New Roman" w:hAnsi="Times New Roman" w:cs="Times New Roman"/>
            <w:lang w:val="it-IT"/>
          </w:rPr>
          <w:fldChar w:fldCharType="separate"/>
        </w:r>
        <w:r w:rsidRPr="002F52A9">
          <w:rPr>
            <w:rFonts w:ascii="Times New Roman" w:hAnsi="Times New Roman" w:cs="Times New Roman"/>
            <w:noProof/>
            <w:lang w:val="it-IT"/>
          </w:rPr>
          <w:t>2006</w:t>
        </w:r>
        <w:r w:rsidRPr="002F52A9">
          <w:rPr>
            <w:rFonts w:ascii="Times New Roman" w:hAnsi="Times New Roman" w:cs="Times New Roman"/>
            <w:lang w:val="it-IT"/>
          </w:rPr>
          <w:fldChar w:fldCharType="end"/>
        </w:r>
      </w:hyperlink>
      <w:r w:rsidRPr="002F52A9">
        <w:rPr>
          <w:rFonts w:ascii="Times New Roman" w:hAnsi="Times New Roman" w:cs="Times New Roman"/>
          <w:lang w:val="it-IT"/>
        </w:rPr>
        <w:t>).</w:t>
      </w:r>
    </w:p>
  </w:footnote>
  <w:footnote w:id="9">
    <w:p w:rsidR="005A17D4" w:rsidRPr="002F52A9" w:rsidRDefault="005A17D4" w:rsidP="002F52A9">
      <w:pPr>
        <w:pStyle w:val="FootnoteText"/>
        <w:jc w:val="both"/>
        <w:rPr>
          <w:rFonts w:ascii="Times New Roman" w:hAnsi="Times New Roman" w:cs="Times New Roman"/>
          <w:lang w:val="it-IT"/>
        </w:rPr>
      </w:pPr>
      <w:r w:rsidRPr="002F52A9">
        <w:rPr>
          <w:rStyle w:val="FootnoteReference"/>
          <w:rFonts w:ascii="Times New Roman" w:hAnsi="Times New Roman" w:cs="Times New Roman"/>
          <w:lang w:val="it-IT"/>
        </w:rPr>
        <w:footnoteRef/>
      </w:r>
      <w:r w:rsidRPr="002F52A9">
        <w:rPr>
          <w:rFonts w:ascii="Times New Roman" w:hAnsi="Times New Roman" w:cs="Times New Roman"/>
          <w:lang w:val="it-IT"/>
        </w:rPr>
        <w:t xml:space="preserve"> Rimando, fra gli altri, a Bezzi (</w:t>
      </w:r>
      <w:hyperlink w:anchor="_ENREF_8" w:tooltip="Bezzi, 2010 #918" w:history="1">
        <w:r w:rsidRPr="002F52A9">
          <w:rPr>
            <w:rFonts w:ascii="Times New Roman" w:hAnsi="Times New Roman" w:cs="Times New Roman"/>
            <w:lang w:val="it-IT"/>
          </w:rPr>
          <w:fldChar w:fldCharType="begin"/>
        </w:r>
        <w:r w:rsidRPr="002F52A9">
          <w:rPr>
            <w:rFonts w:ascii="Times New Roman" w:hAnsi="Times New Roman" w:cs="Times New Roman"/>
            <w:lang w:val="it-IT"/>
          </w:rPr>
          <w:instrText xml:space="preserve"> ADDIN EN.CITE &lt;EndNote&gt;&lt;Cite ExcludeAuth="1"&gt;&lt;Author&gt;Bezzi&lt;/Author&gt;&lt;Year&gt;2010&lt;/Year&gt;&lt;RecNum&gt;918&lt;/RecNum&gt;&lt;DisplayText&gt;2010&lt;/DisplayText&gt;&lt;record&gt;&lt;rec-number&gt;918&lt;/rec-number&gt;&lt;foreign-keys&gt;&lt;key app="EN" db-id="wvvszzd93a0z5wesdfpvdv9z5wrra5p05axp"&gt;918&lt;/key&gt;&lt;/foreign-keys&gt;&lt;ref-type name="Book"&gt;6&lt;/ref-type&gt;&lt;contributors&gt;&lt;authors&gt;&lt;author&gt;Bezzi, Claudio&lt;/author&gt;&lt;/authors&gt;&lt;/contributors&gt;&lt;titles&gt;&lt;title&gt;Il nuovo disegno della ricerca valutativa&lt;/title&gt;&lt;/titles&gt;&lt;dates&gt;&lt;year&gt;2010&lt;/year&gt;&lt;/dates&gt;&lt;pub-location&gt;Milano&lt;/pub-location&gt;&lt;publisher&gt;FrancoAngeli&lt;/publisher&gt;&lt;urls&gt;&lt;/urls&gt;&lt;/record&gt;&lt;/Cite&gt;&lt;/EndNote&gt;</w:instrText>
        </w:r>
        <w:r w:rsidRPr="002F52A9">
          <w:rPr>
            <w:rFonts w:ascii="Times New Roman" w:hAnsi="Times New Roman" w:cs="Times New Roman"/>
            <w:lang w:val="it-IT"/>
          </w:rPr>
          <w:fldChar w:fldCharType="separate"/>
        </w:r>
        <w:r w:rsidRPr="002F52A9">
          <w:rPr>
            <w:rFonts w:ascii="Times New Roman" w:hAnsi="Times New Roman" w:cs="Times New Roman"/>
            <w:noProof/>
            <w:lang w:val="it-IT"/>
          </w:rPr>
          <w:t>2010</w:t>
        </w:r>
        <w:r w:rsidRPr="002F52A9">
          <w:rPr>
            <w:rFonts w:ascii="Times New Roman" w:hAnsi="Times New Roman" w:cs="Times New Roman"/>
            <w:lang w:val="it-IT"/>
          </w:rPr>
          <w:fldChar w:fldCharType="end"/>
        </w:r>
      </w:hyperlink>
      <w:r w:rsidRPr="002F52A9">
        <w:rPr>
          <w:rFonts w:ascii="Times New Roman" w:hAnsi="Times New Roman" w:cs="Times New Roman"/>
          <w:lang w:val="it-IT"/>
        </w:rPr>
        <w:t xml:space="preserve">) e a </w:t>
      </w:r>
      <w:r w:rsidRPr="002F52A9">
        <w:rPr>
          <w:rFonts w:ascii="Times New Roman" w:hAnsi="Times New Roman" w:cs="Times New Roman"/>
          <w:noProof/>
          <w:lang w:val="it-IT"/>
        </w:rPr>
        <w:t>Weimer e Vining</w:t>
      </w:r>
      <w:r w:rsidRPr="002F52A9">
        <w:rPr>
          <w:rFonts w:ascii="Times New Roman" w:hAnsi="Times New Roman" w:cs="Times New Roman"/>
          <w:lang w:val="it-IT"/>
        </w:rPr>
        <w:t xml:space="preserve"> (</w:t>
      </w:r>
      <w:hyperlink w:anchor="_ENREF_78" w:tooltip="Weimer, 2005 #278" w:history="1">
        <w:r w:rsidRPr="002F52A9">
          <w:rPr>
            <w:rFonts w:ascii="Times New Roman" w:hAnsi="Times New Roman" w:cs="Times New Roman"/>
            <w:lang w:val="it-IT"/>
          </w:rPr>
          <w:fldChar w:fldCharType="begin"/>
        </w:r>
        <w:r w:rsidRPr="002F52A9">
          <w:rPr>
            <w:rFonts w:ascii="Times New Roman" w:hAnsi="Times New Roman" w:cs="Times New Roman"/>
            <w:lang w:val="it-IT"/>
          </w:rPr>
          <w:instrText xml:space="preserve"> ADDIN EN.CITE &lt;EndNote&gt;&lt;Cite ExcludeAuth="1"&gt;&lt;Author&gt;Weimer&lt;/Author&gt;&lt;Year&gt;2005&lt;/Year&gt;&lt;RecNum&gt;278&lt;/RecNum&gt;&lt;DisplayText&gt;2005&lt;/DisplayText&gt;&lt;record&gt;&lt;rec-number&gt;278&lt;/rec-number&gt;&lt;foreign-keys&gt;&lt;key app="EN" db-id="wvvszzd93a0z5wesdfpvdv9z5wrra5p05axp"&gt;278&lt;/key&gt;&lt;/foreign-keys&gt;&lt;ref-type name="Book"&gt;6&lt;/ref-type&gt;&lt;contributors&gt;&lt;authors&gt;&lt;author&gt;Weimer, David L.&lt;/author&gt;&lt;author&gt;Vining, Aidan R.&lt;/author&gt;&lt;/authors&gt;&lt;/contributors&gt;&lt;titles&gt;&lt;title&gt;Policy analysis: Concepts and practice&lt;/title&gt;&lt;/titles&gt;&lt;edition&gt;4th ed.&lt;/edition&gt;&lt;keywords&gt;&lt;keyword&gt;analyse politique&lt;/keyword&gt;&lt;keyword&gt;politique publique - analyse&lt;/keyword&gt;&lt;/keywords&gt;&lt;dates&gt;&lt;year&gt;2005&lt;/year&gt;&lt;/dates&gt;&lt;pub-location&gt;Englewood Cliffs&lt;/pub-location&gt;&lt;publisher&gt;Prentice-Hall&lt;/publisher&gt;&lt;isbn&gt;0131090836&lt;/isbn&gt;&lt;accession-num&gt;vtls003064546&lt;/accession-num&gt;&lt;urls&gt;&lt;/urls&gt;&lt;/record&gt;&lt;/Cite&gt;&lt;/EndNote&gt;</w:instrText>
        </w:r>
        <w:r w:rsidRPr="002F52A9">
          <w:rPr>
            <w:rFonts w:ascii="Times New Roman" w:hAnsi="Times New Roman" w:cs="Times New Roman"/>
            <w:lang w:val="it-IT"/>
          </w:rPr>
          <w:fldChar w:fldCharType="separate"/>
        </w:r>
        <w:r w:rsidRPr="002F52A9">
          <w:rPr>
            <w:rFonts w:ascii="Times New Roman" w:hAnsi="Times New Roman" w:cs="Times New Roman"/>
            <w:noProof/>
            <w:lang w:val="it-IT"/>
          </w:rPr>
          <w:t>2005</w:t>
        </w:r>
        <w:r w:rsidRPr="002F52A9">
          <w:rPr>
            <w:rFonts w:ascii="Times New Roman" w:hAnsi="Times New Roman" w:cs="Times New Roman"/>
            <w:lang w:val="it-IT"/>
          </w:rPr>
          <w:fldChar w:fldCharType="end"/>
        </w:r>
      </w:hyperlink>
      <w:r w:rsidRPr="002F52A9">
        <w:rPr>
          <w:rFonts w:ascii="Times New Roman" w:hAnsi="Times New Roman" w:cs="Times New Roman"/>
          <w:lang w:val="it-IT"/>
        </w:rPr>
        <w:t>).</w:t>
      </w:r>
    </w:p>
  </w:footnote>
  <w:footnote w:id="10">
    <w:p w:rsidR="005A17D4" w:rsidRPr="002F52A9" w:rsidRDefault="005A17D4" w:rsidP="002F52A9">
      <w:pPr>
        <w:pStyle w:val="FootnoteText"/>
        <w:jc w:val="both"/>
        <w:rPr>
          <w:rFonts w:ascii="Times New Roman" w:hAnsi="Times New Roman" w:cs="Times New Roman"/>
          <w:lang w:val="it-IT"/>
        </w:rPr>
      </w:pPr>
      <w:r w:rsidRPr="002F52A9">
        <w:rPr>
          <w:rStyle w:val="FootnoteReference"/>
          <w:rFonts w:ascii="Times New Roman" w:hAnsi="Times New Roman" w:cs="Times New Roman"/>
        </w:rPr>
        <w:footnoteRef/>
      </w:r>
      <w:r w:rsidRPr="002F52A9">
        <w:rPr>
          <w:rFonts w:ascii="Times New Roman" w:hAnsi="Times New Roman" w:cs="Times New Roman"/>
          <w:lang w:val="it-IT"/>
        </w:rPr>
        <w:t xml:space="preserve"> Si veda Gazzola (</w:t>
      </w:r>
      <w:hyperlink w:anchor="_ENREF_30" w:tooltip="Gazzola, 2014 #887" w:history="1">
        <w:r w:rsidRPr="002F52A9">
          <w:rPr>
            <w:rFonts w:ascii="Times New Roman" w:hAnsi="Times New Roman" w:cs="Times New Roman"/>
            <w:lang w:val="it-IT"/>
          </w:rPr>
          <w:fldChar w:fldCharType="begin"/>
        </w:r>
        <w:r w:rsidRPr="002F52A9">
          <w:rPr>
            <w:rFonts w:ascii="Times New Roman" w:hAnsi="Times New Roman" w:cs="Times New Roman"/>
            <w:lang w:val="it-IT"/>
          </w:rPr>
          <w:instrText xml:space="preserve"> ADDIN EN.CITE &lt;EndNote&gt;&lt;Cite ExcludeAuth="1"&gt;&lt;Author&gt;Gazzola&lt;/Author&gt;&lt;Year&gt;2014&lt;/Year&gt;&lt;RecNum&gt;887&lt;/RecNum&gt;&lt;DisplayText&gt;2014&lt;/DisplayText&gt;&lt;record&gt;&lt;rec-number&gt;887&lt;/rec-number&gt;&lt;foreign-keys&gt;&lt;key app="EN" db-id="wvvszzd93a0z5wesdfpvdv9z5wrra5p05axp"&gt;887&lt;/key&gt;&lt;/foreign-keys&gt;&lt;ref-type name="Book"&gt;6&lt;/ref-type&gt;&lt;contributors&gt;&lt;authors&gt;&lt;author&gt;Gazzola, Michele&lt;/author&gt;&lt;/authors&gt;&lt;/contributors&gt;&lt;titles&gt;&lt;title&gt;The evaluation of language regimes. Theory and application to multilingual patent organisations&lt;/title&gt;&lt;/titles&gt;&lt;dates&gt;&lt;year&gt;2014&lt;/year&gt;&lt;/dates&gt;&lt;pub-location&gt;Amsterdam&lt;/pub-location&gt;&lt;publisher&gt;John Benjamins&lt;/publisher&gt;&lt;urls&gt;&lt;/urls&gt;&lt;/record&gt;&lt;/Cite&gt;&lt;/EndNote&gt;</w:instrText>
        </w:r>
        <w:r w:rsidRPr="002F52A9">
          <w:rPr>
            <w:rFonts w:ascii="Times New Roman" w:hAnsi="Times New Roman" w:cs="Times New Roman"/>
            <w:lang w:val="it-IT"/>
          </w:rPr>
          <w:fldChar w:fldCharType="separate"/>
        </w:r>
        <w:r w:rsidRPr="002F52A9">
          <w:rPr>
            <w:rFonts w:ascii="Times New Roman" w:hAnsi="Times New Roman" w:cs="Times New Roman"/>
            <w:noProof/>
            <w:lang w:val="it-IT"/>
          </w:rPr>
          <w:t>2014</w:t>
        </w:r>
        <w:r w:rsidRPr="002F52A9">
          <w:rPr>
            <w:rFonts w:ascii="Times New Roman" w:hAnsi="Times New Roman" w:cs="Times New Roman"/>
            <w:lang w:val="it-IT"/>
          </w:rPr>
          <w:fldChar w:fldCharType="end"/>
        </w:r>
      </w:hyperlink>
      <w:r w:rsidRPr="002F52A9">
        <w:rPr>
          <w:rFonts w:ascii="Times New Roman" w:hAnsi="Times New Roman" w:cs="Times New Roman"/>
          <w:lang w:val="it-IT"/>
        </w:rPr>
        <w:t>) per una panoramica.</w:t>
      </w:r>
    </w:p>
  </w:footnote>
  <w:footnote w:id="11">
    <w:p w:rsidR="005A17D4" w:rsidRPr="002F52A9" w:rsidRDefault="005A17D4" w:rsidP="002F52A9">
      <w:pPr>
        <w:pStyle w:val="FootnoteText"/>
        <w:jc w:val="both"/>
        <w:rPr>
          <w:rFonts w:ascii="Times New Roman" w:hAnsi="Times New Roman" w:cs="Times New Roman"/>
          <w:lang w:val="it-IT"/>
        </w:rPr>
      </w:pPr>
      <w:r w:rsidRPr="002F52A9">
        <w:rPr>
          <w:rStyle w:val="FootnoteReference"/>
          <w:rFonts w:ascii="Times New Roman" w:hAnsi="Times New Roman" w:cs="Times New Roman"/>
          <w:lang w:val="it-IT"/>
        </w:rPr>
        <w:footnoteRef/>
      </w:r>
      <w:r w:rsidRPr="002F52A9">
        <w:rPr>
          <w:rFonts w:ascii="Times New Roman" w:hAnsi="Times New Roman" w:cs="Times New Roman"/>
          <w:lang w:val="it-IT"/>
        </w:rPr>
        <w:t xml:space="preserve"> Si vedano, per esempio, gli indicatori discussi da </w:t>
      </w:r>
      <w:r w:rsidRPr="002F52A9">
        <w:rPr>
          <w:rFonts w:ascii="Times New Roman" w:hAnsi="Times New Roman" w:cs="Times New Roman"/>
          <w:noProof/>
          <w:lang w:val="it-IT"/>
        </w:rPr>
        <w:t>Solé Camardons and Torrijos</w:t>
      </w:r>
      <w:r w:rsidRPr="002F52A9">
        <w:rPr>
          <w:rFonts w:ascii="Times New Roman" w:hAnsi="Times New Roman" w:cs="Times New Roman"/>
          <w:lang w:val="it-IT"/>
        </w:rPr>
        <w:t xml:space="preserve"> (</w:t>
      </w:r>
      <w:hyperlink w:anchor="_ENREF_72" w:tooltip="Solé Camardons, 2008 #516" w:history="1">
        <w:r w:rsidRPr="002F52A9">
          <w:rPr>
            <w:rFonts w:ascii="Times New Roman" w:hAnsi="Times New Roman" w:cs="Times New Roman"/>
            <w:lang w:val="it-IT"/>
          </w:rPr>
          <w:fldChar w:fldCharType="begin"/>
        </w:r>
        <w:r w:rsidRPr="002F52A9">
          <w:rPr>
            <w:rFonts w:ascii="Times New Roman" w:hAnsi="Times New Roman" w:cs="Times New Roman"/>
            <w:lang w:val="it-IT"/>
          </w:rPr>
          <w:instrText xml:space="preserve"> ADDIN EN.CITE &lt;EndNote&gt;&lt;Cite ExcludeAuth="1"&gt;&lt;Author&gt;Solé Camardons&lt;/Author&gt;&lt;Year&gt;2008&lt;/Year&gt;&lt;RecNum&gt;516&lt;/RecNum&gt;&lt;DisplayText&gt;2008&lt;/DisplayText&gt;&lt;record&gt;&lt;rec-number&gt;516&lt;/rec-number&gt;&lt;foreign-keys&gt;&lt;key app="EN" db-id="wvvszzd93a0z5wesdfpvdv9z5wrra5p05axp"&gt;516&lt;/key&gt;&lt;/foreign-keys&gt;&lt;ref-type name="Journal Article"&gt;17&lt;/ref-type&gt;&lt;contributors&gt;&lt;authors&gt;&lt;author&gt;Solé Camardons, Joan&lt;/author&gt;&lt;author&gt;Torrijos, Anna&lt;/author&gt;&lt;/authors&gt;&lt;/contributors&gt;&lt;titles&gt;&lt;title&gt;El sistema d’indicadors lingüístics a Catalunya&lt;/title&gt;&lt;secondary-title&gt;Llengua i Ús - Revista tècnica de Política Lingüística&lt;/secondary-title&gt;&lt;/titles&gt;&lt;periodical&gt;&lt;full-title&gt;Llengua i Ús - Revista tècnica de Política Lingüística&lt;/full-title&gt;&lt;/periodical&gt;&lt;pages&gt;92-103&lt;/pages&gt;&lt;number&gt;43&lt;/number&gt;&lt;dates&gt;&lt;year&gt;2008&lt;/year&gt;&lt;/dates&gt;&lt;urls&gt;&lt;/urls&gt;&lt;/record&gt;&lt;/Cite&gt;&lt;/EndNote&gt;</w:instrText>
        </w:r>
        <w:r w:rsidRPr="002F52A9">
          <w:rPr>
            <w:rFonts w:ascii="Times New Roman" w:hAnsi="Times New Roman" w:cs="Times New Roman"/>
            <w:lang w:val="it-IT"/>
          </w:rPr>
          <w:fldChar w:fldCharType="separate"/>
        </w:r>
        <w:r w:rsidRPr="002F52A9">
          <w:rPr>
            <w:rFonts w:ascii="Times New Roman" w:hAnsi="Times New Roman" w:cs="Times New Roman"/>
            <w:noProof/>
            <w:lang w:val="it-IT"/>
          </w:rPr>
          <w:t>2008</w:t>
        </w:r>
        <w:r w:rsidRPr="002F52A9">
          <w:rPr>
            <w:rFonts w:ascii="Times New Roman" w:hAnsi="Times New Roman" w:cs="Times New Roman"/>
            <w:lang w:val="it-IT"/>
          </w:rPr>
          <w:fldChar w:fldCharType="end"/>
        </w:r>
      </w:hyperlink>
      <w:r w:rsidRPr="002F52A9">
        <w:rPr>
          <w:rFonts w:ascii="Times New Roman" w:hAnsi="Times New Roman" w:cs="Times New Roman"/>
          <w:lang w:val="it-IT"/>
        </w:rPr>
        <w:t>) per l’area catalana, Iannàccaro per le lingue minoritarie in Italia (</w:t>
      </w:r>
      <w:hyperlink w:anchor="_ENREF_48" w:tooltip="Iannàccaro, 2010 #919" w:history="1">
        <w:r w:rsidRPr="002F52A9">
          <w:rPr>
            <w:rFonts w:ascii="Times New Roman" w:hAnsi="Times New Roman" w:cs="Times New Roman"/>
            <w:lang w:val="it-IT"/>
          </w:rPr>
          <w:fldChar w:fldCharType="begin"/>
        </w:r>
        <w:r w:rsidRPr="002F52A9">
          <w:rPr>
            <w:rFonts w:ascii="Times New Roman" w:hAnsi="Times New Roman" w:cs="Times New Roman"/>
            <w:lang w:val="it-IT"/>
          </w:rPr>
          <w:instrText xml:space="preserve"> ADDIN EN.CITE &lt;EndNote&gt;&lt;Cite ExcludeAuth="1"&gt;&lt;Author&gt;Iannàccaro&lt;/Author&gt;&lt;Year&gt;2010&lt;/Year&gt;&lt;RecNum&gt;919&lt;/RecNum&gt;&lt;DisplayText&gt;2010&lt;/DisplayText&gt;&lt;record&gt;&lt;rec-number&gt;919&lt;/rec-number&gt;&lt;foreign-keys&gt;&lt;key app="EN" db-id="wvvszzd93a0z5wesdfpvdv9z5wrra5p05axp"&gt;919&lt;/key&gt;&lt;/foreign-keys&gt;&lt;ref-type name="Report"&gt;27&lt;/ref-type&gt;&lt;contributors&gt;&lt;authors&gt;&lt;author&gt;Iannàccaro, Gabriele&lt;/author&gt;&lt;/authors&gt;&lt;/contributors&gt;&lt;titles&gt;&lt;title&gt;Lingue di minoranza e scuola. A dieci anni dalla legge 482/99&lt;/title&gt;&lt;/titles&gt;&lt;dates&gt;&lt;year&gt;2010&lt;/year&gt;&lt;/dates&gt;&lt;pub-location&gt;Roma&lt;/pub-location&gt;&lt;publisher&gt;Ministero dell&amp;apos;Istruzione, Università e Ricerca (MIUR)&lt;/publisher&gt;&lt;urls&gt;&lt;/urls&gt;&lt;/record&gt;&lt;/Cite&gt;&lt;/EndNote&gt;</w:instrText>
        </w:r>
        <w:r w:rsidRPr="002F52A9">
          <w:rPr>
            <w:rFonts w:ascii="Times New Roman" w:hAnsi="Times New Roman" w:cs="Times New Roman"/>
            <w:lang w:val="it-IT"/>
          </w:rPr>
          <w:fldChar w:fldCharType="separate"/>
        </w:r>
        <w:r w:rsidRPr="002F52A9">
          <w:rPr>
            <w:rFonts w:ascii="Times New Roman" w:hAnsi="Times New Roman" w:cs="Times New Roman"/>
            <w:noProof/>
            <w:lang w:val="it-IT"/>
          </w:rPr>
          <w:t>2010</w:t>
        </w:r>
        <w:r w:rsidRPr="002F52A9">
          <w:rPr>
            <w:rFonts w:ascii="Times New Roman" w:hAnsi="Times New Roman" w:cs="Times New Roman"/>
            <w:lang w:val="it-IT"/>
          </w:rPr>
          <w:fldChar w:fldCharType="end"/>
        </w:r>
      </w:hyperlink>
      <w:r w:rsidRPr="002F52A9">
        <w:rPr>
          <w:rFonts w:ascii="Times New Roman" w:hAnsi="Times New Roman" w:cs="Times New Roman"/>
          <w:lang w:val="it-IT"/>
        </w:rPr>
        <w:t xml:space="preserve">), e da diversi autori in </w:t>
      </w:r>
      <w:r w:rsidRPr="002F52A9">
        <w:rPr>
          <w:rFonts w:ascii="Times New Roman" w:hAnsi="Times New Roman" w:cs="Times New Roman"/>
          <w:noProof/>
          <w:lang w:val="it-IT"/>
        </w:rPr>
        <w:t>Moretti</w:t>
      </w:r>
      <w:r w:rsidRPr="002F52A9">
        <w:rPr>
          <w:rFonts w:ascii="Times New Roman" w:hAnsi="Times New Roman" w:cs="Times New Roman"/>
          <w:i/>
          <w:noProof/>
          <w:lang w:val="it-IT"/>
        </w:rPr>
        <w:t xml:space="preserve"> et al.</w:t>
      </w:r>
      <w:r w:rsidRPr="002F52A9">
        <w:rPr>
          <w:rFonts w:ascii="Times New Roman" w:hAnsi="Times New Roman" w:cs="Times New Roman"/>
          <w:lang w:val="it-IT"/>
        </w:rPr>
        <w:t xml:space="preserve"> (</w:t>
      </w:r>
      <w:hyperlink w:anchor="_ENREF_59" w:tooltip="Moretti, 2011 #782" w:history="1">
        <w:r w:rsidRPr="002F52A9">
          <w:rPr>
            <w:rFonts w:ascii="Times New Roman" w:hAnsi="Times New Roman" w:cs="Times New Roman"/>
            <w:lang w:val="it-IT"/>
          </w:rPr>
          <w:fldChar w:fldCharType="begin"/>
        </w:r>
        <w:r w:rsidRPr="002F52A9">
          <w:rPr>
            <w:rFonts w:ascii="Times New Roman" w:hAnsi="Times New Roman" w:cs="Times New Roman"/>
            <w:lang w:val="it-IT"/>
          </w:rPr>
          <w:instrText xml:space="preserve"> ADDIN EN.CITE &lt;EndNote&gt;&lt;Cite ExcludeAuth="1"&gt;&lt;Author&gt;Moretti&lt;/Author&gt;&lt;Year&gt;2011&lt;/Year&gt;&lt;RecNum&gt;782&lt;/RecNum&gt;&lt;DisplayText&gt;2011&lt;/DisplayText&gt;&lt;record&gt;&lt;rec-number&gt;782&lt;/rec-number&gt;&lt;foreign-keys&gt;&lt;key app="EN" db-id="wvvszzd93a0z5wesdfpvdv9z5wrra5p05axp"&gt;782&lt;/key&gt;&lt;/foreign-keys&gt;&lt;ref-type name="Edited Book"&gt;28&lt;/ref-type&gt;&lt;contributors&gt;&lt;authors&gt;&lt;author&gt;Moretti, Bruno&lt;/author&gt;&lt;author&gt;Pandolfi, Elena Maria&lt;/author&gt;&lt;author&gt;Casoni, Matteo&lt;/author&gt;&lt;/authors&gt;&lt;/contributors&gt;&lt;titles&gt;&lt;title&gt;Vitalità di una lingua minoritaria. Aspetti e proposte metodologiche/ Vitality of a minority language. Aspects and methodological issues&lt;/title&gt;&lt;/titles&gt;&lt;dates&gt;&lt;year&gt;2011&lt;/year&gt;&lt;/dates&gt;&lt;pub-location&gt;Bellinzona&lt;/pub-location&gt;&lt;publisher&gt;Osservatorio Linguistico della Svizzera Italiana&lt;/publisher&gt;&lt;urls&gt;&lt;/urls&gt;&lt;/record&gt;&lt;/Cite&gt;&lt;/EndNote&gt;</w:instrText>
        </w:r>
        <w:r w:rsidRPr="002F52A9">
          <w:rPr>
            <w:rFonts w:ascii="Times New Roman" w:hAnsi="Times New Roman" w:cs="Times New Roman"/>
            <w:lang w:val="it-IT"/>
          </w:rPr>
          <w:fldChar w:fldCharType="separate"/>
        </w:r>
        <w:r w:rsidRPr="002F52A9">
          <w:rPr>
            <w:rFonts w:ascii="Times New Roman" w:hAnsi="Times New Roman" w:cs="Times New Roman"/>
            <w:noProof/>
            <w:lang w:val="it-IT"/>
          </w:rPr>
          <w:t>2011</w:t>
        </w:r>
        <w:r w:rsidRPr="002F52A9">
          <w:rPr>
            <w:rFonts w:ascii="Times New Roman" w:hAnsi="Times New Roman" w:cs="Times New Roman"/>
            <w:lang w:val="it-IT"/>
          </w:rPr>
          <w:fldChar w:fldCharType="end"/>
        </w:r>
      </w:hyperlink>
      <w:r w:rsidRPr="002F52A9">
        <w:rPr>
          <w:rFonts w:ascii="Times New Roman" w:hAnsi="Times New Roman" w:cs="Times New Roman"/>
          <w:lang w:val="it-IT"/>
        </w:rPr>
        <w:t>) per la Svizzera e le minoranze germanofone.</w:t>
      </w:r>
    </w:p>
  </w:footnote>
  <w:footnote w:id="12">
    <w:p w:rsidR="005A17D4" w:rsidRPr="002F52A9" w:rsidRDefault="005A17D4" w:rsidP="002F52A9">
      <w:pPr>
        <w:spacing w:after="0" w:line="240" w:lineRule="auto"/>
        <w:jc w:val="both"/>
        <w:rPr>
          <w:rFonts w:ascii="Times New Roman" w:hAnsi="Times New Roman" w:cs="Times New Roman"/>
          <w:sz w:val="20"/>
          <w:szCs w:val="20"/>
          <w:lang w:val="it-IT"/>
        </w:rPr>
      </w:pPr>
      <w:r w:rsidRPr="002F52A9">
        <w:rPr>
          <w:rStyle w:val="FootnoteReference"/>
          <w:rFonts w:ascii="Times New Roman" w:hAnsi="Times New Roman" w:cs="Times New Roman"/>
          <w:sz w:val="20"/>
          <w:szCs w:val="20"/>
          <w:lang w:val="it-IT"/>
        </w:rPr>
        <w:footnoteRef/>
      </w:r>
      <w:r w:rsidRPr="002F52A9">
        <w:rPr>
          <w:rFonts w:ascii="Times New Roman" w:hAnsi="Times New Roman" w:cs="Times New Roman"/>
          <w:sz w:val="20"/>
          <w:szCs w:val="20"/>
          <w:lang w:val="it-IT"/>
        </w:rPr>
        <w:t xml:space="preserve"> Si rimanda a </w:t>
      </w:r>
      <w:r w:rsidRPr="002F52A9">
        <w:rPr>
          <w:rFonts w:ascii="Times New Roman" w:hAnsi="Times New Roman" w:cs="Times New Roman"/>
          <w:noProof/>
          <w:sz w:val="20"/>
          <w:szCs w:val="20"/>
          <w:lang w:val="it-IT"/>
        </w:rPr>
        <w:t>Gazzola</w:t>
      </w:r>
      <w:r w:rsidRPr="002F52A9">
        <w:rPr>
          <w:rFonts w:ascii="Times New Roman" w:hAnsi="Times New Roman" w:cs="Times New Roman"/>
          <w:sz w:val="20"/>
          <w:szCs w:val="20"/>
          <w:lang w:val="it-IT"/>
        </w:rPr>
        <w:t xml:space="preserve"> (</w:t>
      </w:r>
      <w:hyperlink w:anchor="_ENREF_27" w:tooltip="Gazzola, 2006 #227" w:history="1">
        <w:r w:rsidRPr="002F52A9">
          <w:rPr>
            <w:rFonts w:ascii="Times New Roman" w:hAnsi="Times New Roman" w:cs="Times New Roman"/>
            <w:sz w:val="20"/>
            <w:szCs w:val="20"/>
            <w:lang w:val="it-IT"/>
          </w:rPr>
          <w:fldChar w:fldCharType="begin"/>
        </w:r>
        <w:r w:rsidRPr="002F52A9">
          <w:rPr>
            <w:rFonts w:ascii="Times New Roman" w:hAnsi="Times New Roman" w:cs="Times New Roman"/>
            <w:sz w:val="20"/>
            <w:szCs w:val="20"/>
            <w:lang w:val="it-IT"/>
          </w:rPr>
          <w:instrText xml:space="preserve"> ADDIN EN.CITE &lt;EndNote&gt;&lt;Cite ExcludeAuth="1"&gt;&lt;Author&gt;Gazzola&lt;/Author&gt;&lt;Year&gt;2006&lt;/Year&gt;&lt;RecNum&gt;227&lt;/RecNum&gt;&lt;DisplayText&gt;2006a&lt;/DisplayText&gt;&lt;record&gt;&lt;rec-number&gt;227&lt;/rec-number&gt;&lt;foreign-keys&gt;&lt;key app="EN" db-id="wvvszzd93a0z5wesdfpvdv9z5wrra5p05axp"&gt;227&lt;/key&gt;&lt;/foreign-keys&gt;&lt;ref-type name="Book Section"&gt;5&lt;/ref-type&gt;&lt;contributors&gt;&lt;authors&gt;&lt;author&gt;Gazzola, Michele&lt;/author&gt;&lt;/authors&gt;&lt;secondary-authors&gt;&lt;author&gt;Carli, Augusto&lt;/author&gt;&lt;/secondary-authors&gt;&lt;/contributors&gt;&lt;titles&gt;&lt;title&gt;La gestione del multilinguismo nell&amp;apos;Unione europea&lt;/title&gt;&lt;secondary-title&gt;Le sfide della politica linguistica di oggi: fra la valorizzazione del multilingualismo migratorio locale e le istanze del plurilinguismo europeo&lt;/secondary-title&gt;&lt;/titles&gt;&lt;pages&gt;17-117&lt;/pages&gt;&lt;keywords&gt;&lt;keyword&gt;multilinguisme Union europ©*enne&lt;/keyword&gt;&lt;keyword&gt;planification linguistique Europe&lt;/keyword&gt;&lt;keyword&gt;Africain ©* l&amp;apos;©*tranger (peuple) changement de code (linguistique) italien (langue)&lt;/keyword&gt;&lt;/keywords&gt;&lt;dates&gt;&lt;year&gt;2006&lt;/year&gt;&lt;/dates&gt;&lt;pub-location&gt;Milan&lt;/pub-location&gt;&lt;publisher&gt;FrancoAngeli&lt;/publisher&gt;&lt;isbn&gt;8846473825&lt;/isbn&gt;&lt;accession-num&gt;vtls004090517&lt;/accession-num&gt;&lt;urls&gt;&lt;/urls&gt;&lt;/record&gt;&lt;/Cite&gt;&lt;/EndNote&gt;</w:instrText>
        </w:r>
        <w:r w:rsidRPr="002F52A9">
          <w:rPr>
            <w:rFonts w:ascii="Times New Roman" w:hAnsi="Times New Roman" w:cs="Times New Roman"/>
            <w:sz w:val="20"/>
            <w:szCs w:val="20"/>
            <w:lang w:val="it-IT"/>
          </w:rPr>
          <w:fldChar w:fldCharType="separate"/>
        </w:r>
        <w:r w:rsidRPr="002F52A9">
          <w:rPr>
            <w:rFonts w:ascii="Times New Roman" w:hAnsi="Times New Roman" w:cs="Times New Roman"/>
            <w:noProof/>
            <w:sz w:val="20"/>
            <w:szCs w:val="20"/>
            <w:lang w:val="it-IT"/>
          </w:rPr>
          <w:t>2006a</w:t>
        </w:r>
        <w:r w:rsidRPr="002F52A9">
          <w:rPr>
            <w:rFonts w:ascii="Times New Roman" w:hAnsi="Times New Roman" w:cs="Times New Roman"/>
            <w:sz w:val="20"/>
            <w:szCs w:val="20"/>
            <w:lang w:val="it-IT"/>
          </w:rPr>
          <w:fldChar w:fldCharType="end"/>
        </w:r>
      </w:hyperlink>
      <w:r w:rsidRPr="002F52A9">
        <w:rPr>
          <w:rFonts w:ascii="Times New Roman" w:hAnsi="Times New Roman" w:cs="Times New Roman"/>
          <w:sz w:val="20"/>
          <w:szCs w:val="20"/>
          <w:lang w:val="it-IT"/>
        </w:rPr>
        <w:t xml:space="preserve">), </w:t>
      </w:r>
      <w:r w:rsidRPr="002F52A9">
        <w:rPr>
          <w:rFonts w:ascii="Times New Roman" w:hAnsi="Times New Roman" w:cs="Times New Roman"/>
          <w:noProof/>
          <w:sz w:val="20"/>
          <w:szCs w:val="20"/>
          <w:lang w:val="it-IT"/>
        </w:rPr>
        <w:t>Phillipson</w:t>
      </w:r>
      <w:r w:rsidRPr="002F52A9">
        <w:rPr>
          <w:rFonts w:ascii="Times New Roman" w:hAnsi="Times New Roman" w:cs="Times New Roman"/>
          <w:sz w:val="20"/>
          <w:szCs w:val="20"/>
          <w:lang w:val="it-IT"/>
        </w:rPr>
        <w:t xml:space="preserve"> (</w:t>
      </w:r>
      <w:hyperlink w:anchor="_ENREF_62" w:tooltip="Phillipson, 2003 #178" w:history="1">
        <w:r w:rsidRPr="002F52A9">
          <w:rPr>
            <w:rFonts w:ascii="Times New Roman" w:hAnsi="Times New Roman" w:cs="Times New Roman"/>
            <w:sz w:val="20"/>
            <w:szCs w:val="20"/>
            <w:lang w:val="it-IT"/>
          </w:rPr>
          <w:fldChar w:fldCharType="begin"/>
        </w:r>
        <w:r w:rsidRPr="002F52A9">
          <w:rPr>
            <w:rFonts w:ascii="Times New Roman" w:hAnsi="Times New Roman" w:cs="Times New Roman"/>
            <w:sz w:val="20"/>
            <w:szCs w:val="20"/>
            <w:lang w:val="it-IT"/>
          </w:rPr>
          <w:instrText xml:space="preserve"> ADDIN EN.CITE &lt;EndNote&gt;&lt;Cite ExcludeAuth="1"&gt;&lt;Author&gt;Phillipson&lt;/Author&gt;&lt;Year&gt;2003&lt;/Year&gt;&lt;RecNum&gt;178&lt;/RecNum&gt;&lt;DisplayText&gt;2003&lt;/DisplayText&gt;&lt;record&gt;&lt;rec-number&gt;178&lt;/rec-number&gt;&lt;foreign-keys&gt;&lt;key app="EN" db-id="wvvszzd93a0z5wesdfpvdv9z5wrra5p05axp"&gt;178&lt;/key&gt;&lt;/foreign-keys&gt;&lt;ref-type name="Book"&gt;6&lt;/ref-type&gt;&lt;contributors&gt;&lt;authors&gt;&lt;author&gt;Phillipson, Robert&lt;/author&gt;&lt;/authors&gt;&lt;/contributors&gt;&lt;titles&gt;&lt;title&gt;English-only Europe? Challenging language policy&lt;/title&gt;&lt;/titles&gt;&lt;dates&gt;&lt;year&gt;2003&lt;/year&gt;&lt;/dates&gt;&lt;pub-location&gt;London&lt;/pub-location&gt;&lt;publisher&gt;Routledge&lt;/publisher&gt;&lt;urls&gt;&lt;/urls&gt;&lt;/record&gt;&lt;/Cite&gt;&lt;/EndNote&gt;</w:instrText>
        </w:r>
        <w:r w:rsidRPr="002F52A9">
          <w:rPr>
            <w:rFonts w:ascii="Times New Roman" w:hAnsi="Times New Roman" w:cs="Times New Roman"/>
            <w:sz w:val="20"/>
            <w:szCs w:val="20"/>
            <w:lang w:val="it-IT"/>
          </w:rPr>
          <w:fldChar w:fldCharType="separate"/>
        </w:r>
        <w:r w:rsidRPr="002F52A9">
          <w:rPr>
            <w:rFonts w:ascii="Times New Roman" w:hAnsi="Times New Roman" w:cs="Times New Roman"/>
            <w:noProof/>
            <w:sz w:val="20"/>
            <w:szCs w:val="20"/>
            <w:lang w:val="it-IT"/>
          </w:rPr>
          <w:t>2003</w:t>
        </w:r>
        <w:r w:rsidRPr="002F52A9">
          <w:rPr>
            <w:rFonts w:ascii="Times New Roman" w:hAnsi="Times New Roman" w:cs="Times New Roman"/>
            <w:sz w:val="20"/>
            <w:szCs w:val="20"/>
            <w:lang w:val="it-IT"/>
          </w:rPr>
          <w:fldChar w:fldCharType="end"/>
        </w:r>
      </w:hyperlink>
      <w:r w:rsidRPr="002F52A9">
        <w:rPr>
          <w:rFonts w:ascii="Times New Roman" w:hAnsi="Times New Roman" w:cs="Times New Roman"/>
          <w:sz w:val="20"/>
          <w:szCs w:val="20"/>
          <w:lang w:val="it-IT"/>
        </w:rPr>
        <w:t xml:space="preserve">), </w:t>
      </w:r>
      <w:r w:rsidRPr="002F52A9">
        <w:rPr>
          <w:rFonts w:ascii="Times New Roman" w:hAnsi="Times New Roman" w:cs="Times New Roman"/>
          <w:noProof/>
          <w:sz w:val="20"/>
          <w:szCs w:val="20"/>
          <w:lang w:val="it-IT"/>
        </w:rPr>
        <w:t>Athanassiou</w:t>
      </w:r>
      <w:r w:rsidRPr="002F52A9">
        <w:rPr>
          <w:rFonts w:ascii="Times New Roman" w:hAnsi="Times New Roman" w:cs="Times New Roman"/>
          <w:sz w:val="20"/>
          <w:szCs w:val="20"/>
          <w:lang w:val="it-IT"/>
        </w:rPr>
        <w:t xml:space="preserve"> (</w:t>
      </w:r>
      <w:hyperlink w:anchor="_ENREF_3" w:tooltip="Athanassiou, 2006 #803" w:history="1">
        <w:r w:rsidRPr="002F52A9">
          <w:rPr>
            <w:rFonts w:ascii="Times New Roman" w:hAnsi="Times New Roman" w:cs="Times New Roman"/>
            <w:sz w:val="20"/>
            <w:szCs w:val="20"/>
            <w:lang w:val="it-IT"/>
          </w:rPr>
          <w:fldChar w:fldCharType="begin"/>
        </w:r>
        <w:r w:rsidRPr="002F52A9">
          <w:rPr>
            <w:rFonts w:ascii="Times New Roman" w:hAnsi="Times New Roman" w:cs="Times New Roman"/>
            <w:sz w:val="20"/>
            <w:szCs w:val="20"/>
            <w:lang w:val="it-IT"/>
          </w:rPr>
          <w:instrText xml:space="preserve"> ADDIN EN.CITE &lt;EndNote&gt;&lt;Cite ExcludeAuth="1"&gt;&lt;Author&gt;Athanassiou&lt;/Author&gt;&lt;Year&gt;2006&lt;/Year&gt;&lt;RecNum&gt;803&lt;/RecNum&gt;&lt;DisplayText&gt;2006&lt;/DisplayText&gt;&lt;record&gt;&lt;rec-number&gt;803&lt;/rec-number&gt;&lt;foreign-keys&gt;&lt;key app="EN" db-id="wvvszzd93a0z5wesdfpvdv9z5wrra5p05axp"&gt;803&lt;/key&gt;&lt;/foreign-keys&gt;&lt;ref-type name="Unpublished Work"&gt;34&lt;/ref-type&gt;&lt;contributors&gt;&lt;authors&gt;&lt;author&gt;Athanassiou, Phoebus&lt;/author&gt;&lt;/authors&gt;&lt;/contributors&gt;&lt;titles&gt;&lt;title&gt;The application of multilingualism in the European Union context&lt;/title&gt;&lt;secondary-title&gt;Legal Working Paper Series&lt;/secondary-title&gt;&lt;/titles&gt;&lt;number&gt;2&lt;/number&gt;&lt;dates&gt;&lt;year&gt;2006&lt;/year&gt;&lt;/dates&gt;&lt;pub-location&gt;Frankfurt am Main&lt;/pub-location&gt;&lt;publisher&gt;European Central Bank&lt;/publisher&gt;&lt;urls&gt;&lt;/urls&gt;&lt;/record&gt;&lt;/Cite&gt;&lt;/EndNote&gt;</w:instrText>
        </w:r>
        <w:r w:rsidRPr="002F52A9">
          <w:rPr>
            <w:rFonts w:ascii="Times New Roman" w:hAnsi="Times New Roman" w:cs="Times New Roman"/>
            <w:sz w:val="20"/>
            <w:szCs w:val="20"/>
            <w:lang w:val="it-IT"/>
          </w:rPr>
          <w:fldChar w:fldCharType="separate"/>
        </w:r>
        <w:r w:rsidRPr="002F52A9">
          <w:rPr>
            <w:rFonts w:ascii="Times New Roman" w:hAnsi="Times New Roman" w:cs="Times New Roman"/>
            <w:noProof/>
            <w:sz w:val="20"/>
            <w:szCs w:val="20"/>
            <w:lang w:val="it-IT"/>
          </w:rPr>
          <w:t>2006</w:t>
        </w:r>
        <w:r w:rsidRPr="002F52A9">
          <w:rPr>
            <w:rFonts w:ascii="Times New Roman" w:hAnsi="Times New Roman" w:cs="Times New Roman"/>
            <w:sz w:val="20"/>
            <w:szCs w:val="20"/>
            <w:lang w:val="it-IT"/>
          </w:rPr>
          <w:fldChar w:fldCharType="end"/>
        </w:r>
      </w:hyperlink>
      <w:r w:rsidRPr="002F52A9">
        <w:rPr>
          <w:rFonts w:ascii="Times New Roman" w:hAnsi="Times New Roman" w:cs="Times New Roman"/>
          <w:sz w:val="20"/>
          <w:szCs w:val="20"/>
          <w:lang w:val="it-IT"/>
        </w:rPr>
        <w:t xml:space="preserve">), </w:t>
      </w:r>
      <w:r w:rsidRPr="002F52A9">
        <w:rPr>
          <w:rFonts w:ascii="Times New Roman" w:hAnsi="Times New Roman" w:cs="Times New Roman"/>
          <w:noProof/>
          <w:sz w:val="20"/>
          <w:szCs w:val="20"/>
          <w:lang w:val="it-IT"/>
        </w:rPr>
        <w:t>Hanf</w:t>
      </w:r>
      <w:r w:rsidRPr="002F52A9">
        <w:rPr>
          <w:rFonts w:ascii="Times New Roman" w:hAnsi="Times New Roman" w:cs="Times New Roman"/>
          <w:i/>
          <w:noProof/>
          <w:sz w:val="20"/>
          <w:szCs w:val="20"/>
          <w:lang w:val="it-IT"/>
        </w:rPr>
        <w:t xml:space="preserve"> et al.</w:t>
      </w:r>
      <w:r w:rsidRPr="002F52A9">
        <w:rPr>
          <w:rFonts w:ascii="Times New Roman" w:hAnsi="Times New Roman" w:cs="Times New Roman"/>
          <w:noProof/>
          <w:sz w:val="20"/>
          <w:szCs w:val="20"/>
          <w:lang w:val="it-IT"/>
        </w:rPr>
        <w:t>(</w:t>
      </w:r>
      <w:hyperlink w:anchor="_ENREF_45" w:tooltip="Hanf, 2010 #938" w:history="1">
        <w:r w:rsidRPr="002F52A9">
          <w:rPr>
            <w:rFonts w:ascii="Times New Roman" w:hAnsi="Times New Roman" w:cs="Times New Roman"/>
            <w:sz w:val="20"/>
            <w:szCs w:val="20"/>
            <w:lang w:val="it-IT"/>
          </w:rPr>
          <w:fldChar w:fldCharType="begin"/>
        </w:r>
        <w:r w:rsidRPr="002F52A9">
          <w:rPr>
            <w:rFonts w:ascii="Times New Roman" w:hAnsi="Times New Roman" w:cs="Times New Roman"/>
            <w:sz w:val="20"/>
            <w:szCs w:val="20"/>
            <w:lang w:val="it-IT"/>
          </w:rPr>
          <w:instrText xml:space="preserve"> ADDIN EN.CITE &lt;EndNote&gt;&lt;Cite ExcludeAuth="1"&gt;&lt;Author&gt;Hanf&lt;/Author&gt;&lt;Year&gt;2010&lt;/Year&gt;&lt;RecNum&gt;938&lt;/RecNum&gt;&lt;DisplayText&gt;2010&lt;/DisplayText&gt;&lt;record&gt;&lt;rec-number&gt;938&lt;/rec-number&gt;&lt;foreign-keys&gt;&lt;key app="EN" db-id="wvvszzd93a0z5wesdfpvdv9z5wrra5p05axp"&gt;938&lt;/key&gt;&lt;/foreign-keys&gt;&lt;ref-type name="Edited Book"&gt;28&lt;/ref-type&gt;&lt;contributors&gt;&lt;authors&gt;&lt;author&gt;Hanf, Dominik&lt;/author&gt;&lt;author&gt;Malacek, Klaus&lt;/author&gt;&lt;author&gt;Muir, Elise&lt;/author&gt;&lt;/authors&gt;&lt;/contributors&gt;&lt;titles&gt;&lt;title&gt;Langues et construction européenne&lt;/title&gt;&lt;/titles&gt;&lt;dates&gt;&lt;year&gt;2010&lt;/year&gt;&lt;/dates&gt;&lt;pub-location&gt;Brussels&lt;/pub-location&gt;&lt;publisher&gt;Peter Lang&lt;/publisher&gt;&lt;urls&gt;&lt;/urls&gt;&lt;/record&gt;&lt;/Cite&gt;&lt;/EndNote&gt;</w:instrText>
        </w:r>
        <w:r w:rsidRPr="002F52A9">
          <w:rPr>
            <w:rFonts w:ascii="Times New Roman" w:hAnsi="Times New Roman" w:cs="Times New Roman"/>
            <w:sz w:val="20"/>
            <w:szCs w:val="20"/>
            <w:lang w:val="it-IT"/>
          </w:rPr>
          <w:fldChar w:fldCharType="separate"/>
        </w:r>
        <w:r w:rsidRPr="002F52A9">
          <w:rPr>
            <w:rFonts w:ascii="Times New Roman" w:hAnsi="Times New Roman" w:cs="Times New Roman"/>
            <w:noProof/>
            <w:sz w:val="20"/>
            <w:szCs w:val="20"/>
            <w:lang w:val="it-IT"/>
          </w:rPr>
          <w:t>2010</w:t>
        </w:r>
        <w:r w:rsidRPr="002F52A9">
          <w:rPr>
            <w:rFonts w:ascii="Times New Roman" w:hAnsi="Times New Roman" w:cs="Times New Roman"/>
            <w:sz w:val="20"/>
            <w:szCs w:val="20"/>
            <w:lang w:val="it-IT"/>
          </w:rPr>
          <w:fldChar w:fldCharType="end"/>
        </w:r>
      </w:hyperlink>
      <w:r w:rsidRPr="002F52A9">
        <w:rPr>
          <w:rFonts w:ascii="Times New Roman" w:hAnsi="Times New Roman" w:cs="Times New Roman"/>
          <w:noProof/>
          <w:sz w:val="20"/>
          <w:szCs w:val="20"/>
          <w:lang w:val="it-IT"/>
        </w:rPr>
        <w:t>)</w:t>
      </w:r>
      <w:r w:rsidRPr="002F52A9">
        <w:rPr>
          <w:rFonts w:ascii="Times New Roman" w:hAnsi="Times New Roman" w:cs="Times New Roman"/>
          <w:sz w:val="20"/>
          <w:szCs w:val="20"/>
          <w:lang w:val="it-IT"/>
        </w:rPr>
        <w:t>, e</w:t>
      </w:r>
      <w:r w:rsidRPr="002F52A9">
        <w:rPr>
          <w:rFonts w:ascii="Times New Roman" w:hAnsi="Times New Roman" w:cs="Times New Roman"/>
          <w:noProof/>
          <w:sz w:val="20"/>
          <w:szCs w:val="20"/>
          <w:lang w:val="it-IT"/>
        </w:rPr>
        <w:t xml:space="preserve"> Nißl </w:t>
      </w:r>
      <w:r w:rsidRPr="002F52A9">
        <w:rPr>
          <w:rFonts w:ascii="Times New Roman" w:hAnsi="Times New Roman" w:cs="Times New Roman"/>
          <w:sz w:val="20"/>
          <w:szCs w:val="20"/>
          <w:lang w:val="it-IT"/>
        </w:rPr>
        <w:t>(</w:t>
      </w:r>
      <w:hyperlink w:anchor="_ENREF_61" w:tooltip="Nißl, 2011 #802" w:history="1">
        <w:r w:rsidRPr="002F52A9">
          <w:rPr>
            <w:rFonts w:ascii="Times New Roman" w:hAnsi="Times New Roman" w:cs="Times New Roman"/>
            <w:sz w:val="20"/>
            <w:szCs w:val="20"/>
            <w:lang w:val="it-IT"/>
          </w:rPr>
          <w:fldChar w:fldCharType="begin"/>
        </w:r>
        <w:r w:rsidRPr="002F52A9">
          <w:rPr>
            <w:rFonts w:ascii="Times New Roman" w:hAnsi="Times New Roman" w:cs="Times New Roman"/>
            <w:sz w:val="20"/>
            <w:szCs w:val="20"/>
            <w:lang w:val="it-IT"/>
          </w:rPr>
          <w:instrText xml:space="preserve"> ADDIN EN.CITE &lt;EndNote&gt;&lt;Cite ExcludeAuth="1"&gt;&lt;Author&gt;Nißl&lt;/Author&gt;&lt;Year&gt;2011&lt;/Year&gt;&lt;RecNum&gt;802&lt;/RecNum&gt;&lt;DisplayText&gt;2011&lt;/DisplayText&gt;&lt;record&gt;&lt;rec-number&gt;802&lt;/rec-number&gt;&lt;foreign-keys&gt;&lt;key app="EN" db-id="wvvszzd93a0z5wesdfpvdv9z5wrra5p05axp"&gt;802&lt;/key&gt;&lt;/foreign-keys&gt;&lt;ref-type name="Book"&gt;6&lt;/ref-type&gt;&lt;contributors&gt;&lt;authors&gt;&lt;author&gt;Nißl, Sandra&lt;/author&gt;&lt;/authors&gt;&lt;/contributors&gt;&lt;titles&gt;&lt;title&gt;Die Sprachenfrage in der Europäischen Union. Möglichkeiten und Grenzen einer Sprachenpolitik für Europa&lt;/title&gt;&lt;/titles&gt;&lt;dates&gt;&lt;year&gt;2011&lt;/year&gt;&lt;/dates&gt;&lt;pub-location&gt;München&lt;/pub-location&gt;&lt;publisher&gt;Herbert Utz&lt;/publisher&gt;&lt;urls&gt;&lt;/urls&gt;&lt;/record&gt;&lt;/Cite&gt;&lt;/EndNote&gt;</w:instrText>
        </w:r>
        <w:r w:rsidRPr="002F52A9">
          <w:rPr>
            <w:rFonts w:ascii="Times New Roman" w:hAnsi="Times New Roman" w:cs="Times New Roman"/>
            <w:sz w:val="20"/>
            <w:szCs w:val="20"/>
            <w:lang w:val="it-IT"/>
          </w:rPr>
          <w:fldChar w:fldCharType="separate"/>
        </w:r>
        <w:r w:rsidRPr="002F52A9">
          <w:rPr>
            <w:rFonts w:ascii="Times New Roman" w:hAnsi="Times New Roman" w:cs="Times New Roman"/>
            <w:noProof/>
            <w:sz w:val="20"/>
            <w:szCs w:val="20"/>
            <w:lang w:val="it-IT"/>
          </w:rPr>
          <w:t>2011</w:t>
        </w:r>
        <w:r w:rsidRPr="002F52A9">
          <w:rPr>
            <w:rFonts w:ascii="Times New Roman" w:hAnsi="Times New Roman" w:cs="Times New Roman"/>
            <w:sz w:val="20"/>
            <w:szCs w:val="20"/>
            <w:lang w:val="it-IT"/>
          </w:rPr>
          <w:fldChar w:fldCharType="end"/>
        </w:r>
      </w:hyperlink>
      <w:r w:rsidRPr="002F52A9">
        <w:rPr>
          <w:rFonts w:ascii="Times New Roman" w:hAnsi="Times New Roman" w:cs="Times New Roman"/>
          <w:sz w:val="20"/>
          <w:szCs w:val="20"/>
          <w:lang w:val="it-IT"/>
        </w:rPr>
        <w:t>).</w:t>
      </w:r>
    </w:p>
  </w:footnote>
  <w:footnote w:id="13">
    <w:p w:rsidR="005A17D4" w:rsidRPr="002F52A9" w:rsidRDefault="005A17D4" w:rsidP="002F52A9">
      <w:pPr>
        <w:pStyle w:val="FootnoteText"/>
        <w:jc w:val="both"/>
        <w:rPr>
          <w:rFonts w:ascii="Times New Roman" w:hAnsi="Times New Roman" w:cs="Times New Roman"/>
          <w:lang w:val="it-IT"/>
        </w:rPr>
      </w:pPr>
      <w:r w:rsidRPr="002F52A9">
        <w:rPr>
          <w:rStyle w:val="FootnoteReference"/>
          <w:rFonts w:ascii="Times New Roman" w:hAnsi="Times New Roman" w:cs="Times New Roman"/>
          <w:lang w:val="it-IT"/>
        </w:rPr>
        <w:footnoteRef/>
      </w:r>
      <w:r w:rsidRPr="002F52A9">
        <w:rPr>
          <w:rFonts w:ascii="Times New Roman" w:hAnsi="Times New Roman" w:cs="Times New Roman"/>
          <w:lang w:val="it-IT"/>
        </w:rPr>
        <w:t xml:space="preserve"> L’articolo stabilisce che ogni cittadino dell'Unione può scrivere alle istituzioni, agli organi o agli organismi della UE nelle lingue ufficiali dell’Unione stessa e ricevere una risposta nella stessa lingua.</w:t>
      </w:r>
    </w:p>
  </w:footnote>
  <w:footnote w:id="14">
    <w:p w:rsidR="005A17D4" w:rsidRPr="002F52A9" w:rsidRDefault="005A17D4" w:rsidP="002F52A9">
      <w:pPr>
        <w:pStyle w:val="FootnoteText"/>
        <w:jc w:val="both"/>
        <w:rPr>
          <w:rFonts w:ascii="Times New Roman" w:hAnsi="Times New Roman" w:cs="Times New Roman"/>
          <w:lang w:val="it-IT"/>
        </w:rPr>
      </w:pPr>
      <w:r w:rsidRPr="002F52A9">
        <w:rPr>
          <w:rStyle w:val="FootnoteReference"/>
          <w:rFonts w:ascii="Times New Roman" w:hAnsi="Times New Roman" w:cs="Times New Roman"/>
          <w:lang w:val="it-IT"/>
        </w:rPr>
        <w:footnoteRef/>
      </w:r>
      <w:r w:rsidRPr="002F52A9">
        <w:rPr>
          <w:rFonts w:ascii="Times New Roman" w:hAnsi="Times New Roman" w:cs="Times New Roman"/>
          <w:lang w:val="it-IT"/>
        </w:rPr>
        <w:t xml:space="preserve"> Rimando a </w:t>
      </w:r>
      <w:r w:rsidRPr="002F52A9">
        <w:rPr>
          <w:rFonts w:ascii="Times New Roman" w:hAnsi="Times New Roman" w:cs="Times New Roman"/>
          <w:noProof/>
          <w:lang w:val="it-IT"/>
        </w:rPr>
        <w:t>Grin</w:t>
      </w:r>
      <w:r w:rsidRPr="002F52A9">
        <w:rPr>
          <w:rFonts w:ascii="Times New Roman" w:hAnsi="Times New Roman" w:cs="Times New Roman"/>
          <w:i/>
          <w:noProof/>
          <w:lang w:val="it-IT"/>
        </w:rPr>
        <w:t xml:space="preserve"> et al. </w:t>
      </w:r>
      <w:r w:rsidRPr="002F52A9">
        <w:rPr>
          <w:rFonts w:ascii="Times New Roman" w:hAnsi="Times New Roman" w:cs="Times New Roman"/>
          <w:noProof/>
          <w:lang w:val="it-IT"/>
        </w:rPr>
        <w:t>(</w:t>
      </w:r>
      <w:hyperlink w:anchor="_ENREF_44" w:tooltip="Grin, 2005 #125" w:history="1">
        <w:r w:rsidRPr="002F52A9">
          <w:rPr>
            <w:rFonts w:ascii="Times New Roman" w:hAnsi="Times New Roman" w:cs="Times New Roman"/>
            <w:lang w:val="it-IT"/>
          </w:rPr>
          <w:fldChar w:fldCharType="begin"/>
        </w:r>
        <w:r w:rsidRPr="002F52A9">
          <w:rPr>
            <w:rFonts w:ascii="Times New Roman" w:hAnsi="Times New Roman" w:cs="Times New Roman"/>
            <w:lang w:val="it-IT"/>
          </w:rPr>
          <w:instrText xml:space="preserve"> ADDIN EN.CITE &lt;EndNote&gt;&lt;Cite ExcludeAuth="1"&gt;&lt;Author&gt;Grin&lt;/Author&gt;&lt;Year&gt;2005&lt;/Year&gt;&lt;RecNum&gt;125&lt;/RecNum&gt;&lt;DisplayText&gt;2005&lt;/DisplayText&gt;&lt;record&gt;&lt;rec-number&gt;125&lt;/rec-number&gt;&lt;foreign-keys&gt;&lt;key app="EN" db-id="wvvszzd93a0z5wesdfpvdv9z5wrra5p05axp"&gt;125&lt;/key&gt;&lt;/foreign-keys&gt;&lt;ref-type name="Report"&gt;27&lt;/ref-type&gt;&lt;contributors&gt;&lt;authors&gt;&lt;author&gt;Grin, François&lt;/author&gt;&lt;author&gt;Gazzola, Michele&lt;/author&gt;&lt;author&gt;Moring, Tom&lt;/author&gt;&lt;author&gt;Häggmann, Johan&lt;/author&gt;&lt;/authors&gt;&lt;/contributors&gt;&lt;titles&gt;&lt;title&gt;Ten years of EU support for regional or minority languages: A financial assessment&lt;/title&gt;&lt;secondary-title&gt;ÉLF Working Papers No 1&lt;/secondary-title&gt;&lt;/titles&gt;&lt;dates&gt;&lt;year&gt;2005&lt;/year&gt;&lt;/dates&gt;&lt;pub-location&gt;Geneva&lt;/pub-location&gt;&lt;publisher&gt;University of Geneva&lt;/publisher&gt;&lt;urls&gt;&lt;related-urls&gt;&lt;url&gt;http://bit.ly/1be33YC&lt;/url&gt;&lt;/related-urls&gt;&lt;/urls&gt;&lt;/record&gt;&lt;/Cite&gt;&lt;/EndNote&gt;</w:instrText>
        </w:r>
        <w:r w:rsidRPr="002F52A9">
          <w:rPr>
            <w:rFonts w:ascii="Times New Roman" w:hAnsi="Times New Roman" w:cs="Times New Roman"/>
            <w:lang w:val="it-IT"/>
          </w:rPr>
          <w:fldChar w:fldCharType="separate"/>
        </w:r>
        <w:r w:rsidRPr="002F52A9">
          <w:rPr>
            <w:rFonts w:ascii="Times New Roman" w:hAnsi="Times New Roman" w:cs="Times New Roman"/>
            <w:noProof/>
            <w:lang w:val="it-IT"/>
          </w:rPr>
          <w:t>2005</w:t>
        </w:r>
        <w:r w:rsidRPr="002F52A9">
          <w:rPr>
            <w:rFonts w:ascii="Times New Roman" w:hAnsi="Times New Roman" w:cs="Times New Roman"/>
            <w:lang w:val="it-IT"/>
          </w:rPr>
          <w:fldChar w:fldCharType="end"/>
        </w:r>
      </w:hyperlink>
      <w:r w:rsidRPr="002F52A9">
        <w:rPr>
          <w:rFonts w:ascii="Times New Roman" w:hAnsi="Times New Roman" w:cs="Times New Roman"/>
          <w:noProof/>
          <w:lang w:val="it-IT"/>
        </w:rPr>
        <w:t>)</w:t>
      </w:r>
      <w:r w:rsidRPr="002F52A9">
        <w:rPr>
          <w:rFonts w:ascii="Times New Roman" w:hAnsi="Times New Roman" w:cs="Times New Roman"/>
          <w:lang w:val="it-IT"/>
        </w:rPr>
        <w:t xml:space="preserve"> per uno studio approfondito sul tema.</w:t>
      </w:r>
    </w:p>
  </w:footnote>
  <w:footnote w:id="15">
    <w:p w:rsidR="005A17D4" w:rsidRPr="002F52A9" w:rsidRDefault="005A17D4" w:rsidP="002F52A9">
      <w:pPr>
        <w:pStyle w:val="FootnoteText"/>
        <w:jc w:val="both"/>
        <w:rPr>
          <w:rFonts w:ascii="Times New Roman" w:hAnsi="Times New Roman" w:cs="Times New Roman"/>
          <w:lang w:val="it-IT"/>
        </w:rPr>
      </w:pPr>
      <w:r w:rsidRPr="002F52A9">
        <w:rPr>
          <w:rStyle w:val="FootnoteReference"/>
          <w:rFonts w:ascii="Times New Roman" w:hAnsi="Times New Roman" w:cs="Times New Roman"/>
          <w:lang w:val="it-IT"/>
        </w:rPr>
        <w:footnoteRef/>
      </w:r>
      <w:r w:rsidRPr="002F52A9">
        <w:rPr>
          <w:rFonts w:ascii="Times New Roman" w:hAnsi="Times New Roman" w:cs="Times New Roman"/>
          <w:lang w:val="it-IT"/>
        </w:rPr>
        <w:t xml:space="preserve"> Si tratta del cosiddetto “lingua materna+2”. Si veda Grin (</w:t>
      </w:r>
      <w:hyperlink w:anchor="_ENREF_41" w:tooltip="Grin, 2006 #372" w:history="1">
        <w:r w:rsidRPr="002F52A9">
          <w:rPr>
            <w:rFonts w:ascii="Times New Roman" w:hAnsi="Times New Roman" w:cs="Times New Roman"/>
            <w:lang w:val="it-IT"/>
          </w:rPr>
          <w:fldChar w:fldCharType="begin"/>
        </w:r>
        <w:r w:rsidRPr="002F52A9">
          <w:rPr>
            <w:rFonts w:ascii="Times New Roman" w:hAnsi="Times New Roman" w:cs="Times New Roman"/>
            <w:lang w:val="it-IT"/>
          </w:rPr>
          <w:instrText xml:space="preserve"> ADDIN EN.CITE &lt;EndNote&gt;&lt;Cite ExcludeAuth="1"&gt;&lt;Author&gt;Grin&lt;/Author&gt;&lt;Year&gt;2006&lt;/Year&gt;&lt;RecNum&gt;372&lt;/RecNum&gt;&lt;DisplayText&gt;2006&lt;/DisplayText&gt;&lt;record&gt;&lt;rec-number&gt;372&lt;/rec-number&gt;&lt;foreign-keys&gt;&lt;key app="EN" db-id="wvvszzd93a0z5wesdfpvdv9z5wrra5p05axp"&gt;372&lt;/key&gt;&lt;/foreign-keys&gt;&lt;ref-type name="Journal Article"&gt;17&lt;/ref-type&gt;&lt;contributors&gt;&lt;authors&gt;&lt;author&gt;Grin, François&lt;/author&gt;&lt;/authors&gt;&lt;/contributors&gt;&lt;titles&gt;&lt;title&gt;Peut-on faire confiance au modèle ‘1+2’? Une évaluation critique des scénarios de communication dans l’Europe multilingue&lt;/title&gt;&lt;secondary-title&gt;Revista de Llengua i Dret &lt;/secondary-title&gt;&lt;/titles&gt;&lt;pages&gt;217-231&lt;/pages&gt;&lt;volume&gt;45&lt;/volume&gt;&lt;dates&gt;&lt;year&gt;2006&lt;/year&gt;&lt;/dates&gt;&lt;urls&gt;&lt;/urls&gt;&lt;/record&gt;&lt;/Cite&gt;&lt;/EndNote&gt;</w:instrText>
        </w:r>
        <w:r w:rsidRPr="002F52A9">
          <w:rPr>
            <w:rFonts w:ascii="Times New Roman" w:hAnsi="Times New Roman" w:cs="Times New Roman"/>
            <w:lang w:val="it-IT"/>
          </w:rPr>
          <w:fldChar w:fldCharType="separate"/>
        </w:r>
        <w:r w:rsidRPr="002F52A9">
          <w:rPr>
            <w:rFonts w:ascii="Times New Roman" w:hAnsi="Times New Roman" w:cs="Times New Roman"/>
            <w:noProof/>
            <w:lang w:val="it-IT"/>
          </w:rPr>
          <w:t>2006</w:t>
        </w:r>
        <w:r w:rsidRPr="002F52A9">
          <w:rPr>
            <w:rFonts w:ascii="Times New Roman" w:hAnsi="Times New Roman" w:cs="Times New Roman"/>
            <w:lang w:val="it-IT"/>
          </w:rPr>
          <w:fldChar w:fldCharType="end"/>
        </w:r>
      </w:hyperlink>
      <w:r w:rsidRPr="002F52A9">
        <w:rPr>
          <w:rFonts w:ascii="Times New Roman" w:hAnsi="Times New Roman" w:cs="Times New Roman"/>
          <w:lang w:val="it-IT"/>
        </w:rPr>
        <w:t>) per discussione critica di questo modello.</w:t>
      </w:r>
    </w:p>
  </w:footnote>
  <w:footnote w:id="16">
    <w:p w:rsidR="005A17D4" w:rsidRPr="002F52A9" w:rsidRDefault="005A17D4" w:rsidP="002F52A9">
      <w:pPr>
        <w:pStyle w:val="FootnoteText"/>
        <w:jc w:val="both"/>
        <w:rPr>
          <w:rFonts w:ascii="Times New Roman" w:hAnsi="Times New Roman" w:cs="Times New Roman"/>
          <w:lang w:val="it-IT"/>
        </w:rPr>
      </w:pPr>
      <w:r w:rsidRPr="002F52A9">
        <w:rPr>
          <w:rStyle w:val="FootnoteReference"/>
          <w:rFonts w:ascii="Times New Roman" w:hAnsi="Times New Roman" w:cs="Times New Roman"/>
          <w:lang w:val="it-IT"/>
        </w:rPr>
        <w:footnoteRef/>
      </w:r>
      <w:r w:rsidRPr="002F52A9">
        <w:rPr>
          <w:rFonts w:ascii="Times New Roman" w:hAnsi="Times New Roman" w:cs="Times New Roman"/>
          <w:lang w:val="it-IT"/>
        </w:rPr>
        <w:t xml:space="preserve"> Dal 2005 è prevista la possibilità di utilizzare, in determinate circostanze, anche lingue che non siano ufficiali, tipicamente delle lingue regionali come il catalano. Tuttavia, le spese di traduzione e interpretazione aggiuntive sono a carico dello Stato membro richiedente (</w:t>
      </w:r>
      <w:hyperlink w:anchor="_ENREF_27" w:tooltip="Gazzola, 2006 #227" w:history="1">
        <w:r w:rsidRPr="002F52A9">
          <w:rPr>
            <w:rFonts w:ascii="Times New Roman" w:hAnsi="Times New Roman" w:cs="Times New Roman"/>
            <w:lang w:val="it-IT"/>
          </w:rPr>
          <w:fldChar w:fldCharType="begin"/>
        </w:r>
        <w:r w:rsidRPr="002F52A9">
          <w:rPr>
            <w:rFonts w:ascii="Times New Roman" w:hAnsi="Times New Roman" w:cs="Times New Roman"/>
            <w:lang w:val="it-IT"/>
          </w:rPr>
          <w:instrText xml:space="preserve"> ADDIN EN.CITE &lt;EndNote&gt;&lt;Cite&gt;&lt;Author&gt;Gazzola&lt;/Author&gt;&lt;Year&gt;2006&lt;/Year&gt;&lt;RecNum&gt;227&lt;/RecNum&gt;&lt;Pages&gt;30-31)&lt;/Pages&gt;&lt;DisplayText&gt;Gazzola 2006a: 30-31)&lt;/DisplayText&gt;&lt;record&gt;&lt;rec-number&gt;227&lt;/rec-number&gt;&lt;foreign-keys&gt;&lt;key app="EN" db-id="wvvszzd93a0z5wesdfpvdv9z5wrra5p05axp"&gt;227&lt;/key&gt;&lt;/foreign-keys&gt;&lt;ref-type name="Book Section"&gt;5&lt;/ref-type&gt;&lt;contributors&gt;&lt;authors&gt;&lt;author&gt;Gazzola, Michele&lt;/author&gt;&lt;/authors&gt;&lt;secondary-authors&gt;&lt;author&gt;Carli, Augusto&lt;/author&gt;&lt;/secondary-authors&gt;&lt;/contributors&gt;&lt;titles&gt;&lt;title&gt;La gestione del multilinguismo nell&amp;apos;Unione europea&lt;/title&gt;&lt;secondary-title&gt;Le sfide della politica linguistica di oggi: fra la valorizzazione del multilingualismo migratorio locale e le istanze del plurilinguismo europeo&lt;/secondary-title&gt;&lt;/titles&gt;&lt;pages&gt;17-117&lt;/pages&gt;&lt;keywords&gt;&lt;keyword&gt;multilinguisme Union europ©*enne&lt;/keyword&gt;&lt;keyword&gt;planification linguistique Europe&lt;/keyword&gt;&lt;keyword&gt;Africain ©* l&amp;apos;©*tranger (peuple) changement de code (linguistique) italien (langue)&lt;/keyword&gt;&lt;/keywords&gt;&lt;dates&gt;&lt;year&gt;2006&lt;/year&gt;&lt;/dates&gt;&lt;pub-location&gt;Milan&lt;/pub-location&gt;&lt;publisher&gt;FrancoAngeli&lt;/publisher&gt;&lt;isbn&gt;8846473825&lt;/isbn&gt;&lt;accession-num&gt;vtls004090517&lt;/accession-num&gt;&lt;urls&gt;&lt;/urls&gt;&lt;/record&gt;&lt;/Cite&gt;&lt;/EndNote&gt;</w:instrText>
        </w:r>
        <w:r w:rsidRPr="002F52A9">
          <w:rPr>
            <w:rFonts w:ascii="Times New Roman" w:hAnsi="Times New Roman" w:cs="Times New Roman"/>
            <w:lang w:val="it-IT"/>
          </w:rPr>
          <w:fldChar w:fldCharType="separate"/>
        </w:r>
        <w:r w:rsidRPr="002F52A9">
          <w:rPr>
            <w:rFonts w:ascii="Times New Roman" w:hAnsi="Times New Roman" w:cs="Times New Roman"/>
            <w:noProof/>
            <w:lang w:val="it-IT"/>
          </w:rPr>
          <w:t>Gazzola 2006a: 30-31)</w:t>
        </w:r>
        <w:r w:rsidRPr="002F52A9">
          <w:rPr>
            <w:rFonts w:ascii="Times New Roman" w:hAnsi="Times New Roman" w:cs="Times New Roman"/>
            <w:lang w:val="it-IT"/>
          </w:rPr>
          <w:fldChar w:fldCharType="end"/>
        </w:r>
      </w:hyperlink>
      <w:r w:rsidRPr="002F52A9">
        <w:rPr>
          <w:rFonts w:ascii="Times New Roman" w:hAnsi="Times New Roman" w:cs="Times New Roman"/>
          <w:lang w:val="it-IT"/>
        </w:rPr>
        <w:t>.</w:t>
      </w:r>
    </w:p>
  </w:footnote>
  <w:footnote w:id="17">
    <w:p w:rsidR="005A17D4" w:rsidRPr="002F52A9" w:rsidRDefault="005A17D4" w:rsidP="002F52A9">
      <w:pPr>
        <w:pStyle w:val="FootnoteText"/>
        <w:jc w:val="both"/>
        <w:rPr>
          <w:rFonts w:ascii="Times New Roman" w:hAnsi="Times New Roman" w:cs="Times New Roman"/>
          <w:lang w:val="it-IT"/>
        </w:rPr>
      </w:pPr>
      <w:r w:rsidRPr="002F52A9">
        <w:rPr>
          <w:rStyle w:val="FootnoteReference"/>
          <w:rFonts w:ascii="Times New Roman" w:hAnsi="Times New Roman" w:cs="Times New Roman"/>
        </w:rPr>
        <w:footnoteRef/>
      </w:r>
      <w:r w:rsidRPr="002F52A9">
        <w:rPr>
          <w:rFonts w:ascii="Times New Roman" w:hAnsi="Times New Roman" w:cs="Times New Roman"/>
          <w:lang w:val="it-IT"/>
        </w:rPr>
        <w:t xml:space="preserve"> Si tratta principalmente di garantire l’uso delle due lingue ufficiali nei documenti e servizi orali del governo federale, nei servizi pubblici radio-televisivi, nell’amministrazione della giustizia e nell’etichettatura dei prodotti di consumo (</w:t>
      </w:r>
      <w:r w:rsidRPr="002F52A9">
        <w:rPr>
          <w:rFonts w:ascii="Times New Roman" w:hAnsi="Times New Roman" w:cs="Times New Roman"/>
          <w:noProof/>
          <w:lang w:val="it-IT"/>
        </w:rPr>
        <w:t>Vaillancourt e Coche</w:t>
      </w:r>
      <w:r w:rsidRPr="002F52A9">
        <w:rPr>
          <w:rFonts w:ascii="Times New Roman" w:hAnsi="Times New Roman" w:cs="Times New Roman"/>
          <w:lang w:val="it-IT"/>
        </w:rPr>
        <w:t xml:space="preserve"> </w:t>
      </w:r>
      <w:hyperlink w:anchor="_ENREF_76" w:tooltip="Vaillancourt, 2009 #574" w:history="1">
        <w:r w:rsidRPr="002F52A9">
          <w:rPr>
            <w:rFonts w:ascii="Times New Roman" w:hAnsi="Times New Roman" w:cs="Times New Roman"/>
            <w:lang w:val="it-IT"/>
          </w:rPr>
          <w:fldChar w:fldCharType="begin"/>
        </w:r>
        <w:r w:rsidRPr="002F52A9">
          <w:rPr>
            <w:rFonts w:ascii="Times New Roman" w:hAnsi="Times New Roman" w:cs="Times New Roman"/>
            <w:lang w:val="it-IT"/>
          </w:rPr>
          <w:instrText xml:space="preserve"> ADDIN EN.CITE &lt;EndNote&gt;&lt;Cite ExcludeAuth="1"&gt;&lt;Author&gt;Vaillancourt&lt;/Author&gt;&lt;Year&gt;2009&lt;/Year&gt;&lt;RecNum&gt;574&lt;/RecNum&gt;&lt;Pages&gt;2&lt;/Pages&gt;&lt;DisplayText&gt;2009: 2&lt;/DisplayText&gt;&lt;record&gt;&lt;rec-number&gt;574&lt;/rec-number&gt;&lt;foreign-keys&gt;&lt;key app="EN" db-id="wvvszzd93a0z5wesdfpvdv9z5wrra5p05axp"&gt;574&lt;/key&gt;&lt;/foreign-keys&gt;&lt;ref-type name="Report"&gt;27&lt;/ref-type&gt;&lt;contributors&gt;&lt;authors&gt;&lt;author&gt;Vaillancourt, François&lt;/author&gt;&lt;author&gt;Coche, Olivier&lt;/author&gt;&lt;/authors&gt;&lt;/contributors&gt;&lt;titles&gt;&lt;title&gt;Les politiques fédérales en matière de langues officielles au Canada : coûts et avantages en 2006&lt;/title&gt;&lt;secondary-title&gt;Études en politique linguistique&lt;/secondary-title&gt;&lt;/titles&gt;&lt;dates&gt;&lt;year&gt;2009&lt;/year&gt;&lt;/dates&gt;&lt;pub-location&gt;Vancouver&lt;/pub-location&gt;&lt;publisher&gt;Institut Fraser&lt;/publisher&gt;&lt;urls&gt;&lt;/urls&gt;&lt;/record&gt;&lt;/Cite&gt;&lt;/EndNote&gt;</w:instrText>
        </w:r>
        <w:r w:rsidRPr="002F52A9">
          <w:rPr>
            <w:rFonts w:ascii="Times New Roman" w:hAnsi="Times New Roman" w:cs="Times New Roman"/>
            <w:lang w:val="it-IT"/>
          </w:rPr>
          <w:fldChar w:fldCharType="separate"/>
        </w:r>
        <w:r w:rsidRPr="002F52A9">
          <w:rPr>
            <w:rFonts w:ascii="Times New Roman" w:hAnsi="Times New Roman" w:cs="Times New Roman"/>
            <w:noProof/>
            <w:lang w:val="it-IT"/>
          </w:rPr>
          <w:t>2009: 2</w:t>
        </w:r>
        <w:r w:rsidRPr="002F52A9">
          <w:rPr>
            <w:rFonts w:ascii="Times New Roman" w:hAnsi="Times New Roman" w:cs="Times New Roman"/>
            <w:lang w:val="it-IT"/>
          </w:rPr>
          <w:fldChar w:fldCharType="end"/>
        </w:r>
      </w:hyperlink>
      <w:r w:rsidRPr="002F52A9">
        <w:rPr>
          <w:rFonts w:ascii="Times New Roman" w:hAnsi="Times New Roman" w:cs="Times New Roman"/>
          <w:lang w:val="it-IT"/>
        </w:rPr>
        <w:t>). Le spese per l’insegnamento linguistico nei sistema di istruzione, quindi, sono escluse.</w:t>
      </w:r>
    </w:p>
  </w:footnote>
  <w:footnote w:id="18">
    <w:p w:rsidR="005A17D4" w:rsidRPr="002F52A9" w:rsidRDefault="005A17D4" w:rsidP="002F52A9">
      <w:pPr>
        <w:pStyle w:val="FootnoteText"/>
        <w:jc w:val="both"/>
        <w:rPr>
          <w:rFonts w:ascii="Times New Roman" w:hAnsi="Times New Roman" w:cs="Times New Roman"/>
          <w:lang w:val="it-IT"/>
        </w:rPr>
      </w:pPr>
      <w:r w:rsidRPr="002F52A9">
        <w:rPr>
          <w:rStyle w:val="FootnoteReference"/>
          <w:rFonts w:ascii="Times New Roman" w:hAnsi="Times New Roman" w:cs="Times New Roman"/>
        </w:rPr>
        <w:footnoteRef/>
      </w:r>
      <w:r w:rsidRPr="002F52A9">
        <w:rPr>
          <w:rFonts w:ascii="Times New Roman" w:hAnsi="Times New Roman" w:cs="Times New Roman"/>
          <w:lang w:val="it-IT"/>
        </w:rPr>
        <w:t xml:space="preserve"> Le autorità di Malta non hanno permesso la divulgazione dei dati a persone terze. I Paesi Bassi non hanno raccolto dati sulle competenze linguistiche dei loro residenti rendendo quindi di scarso interesse l’inclusione di questo paese per gli scopi del presente articolo.</w:t>
      </w:r>
    </w:p>
  </w:footnote>
  <w:footnote w:id="19">
    <w:p w:rsidR="005A17D4" w:rsidRPr="002F52A9" w:rsidRDefault="005A17D4" w:rsidP="002F52A9">
      <w:pPr>
        <w:pStyle w:val="FootnoteText"/>
        <w:jc w:val="both"/>
        <w:rPr>
          <w:rFonts w:ascii="Times New Roman" w:hAnsi="Times New Roman" w:cs="Times New Roman"/>
          <w:lang w:val="it-IT"/>
        </w:rPr>
      </w:pPr>
      <w:r w:rsidRPr="002F52A9">
        <w:rPr>
          <w:rStyle w:val="FootnoteReference"/>
          <w:rFonts w:ascii="Times New Roman" w:hAnsi="Times New Roman" w:cs="Times New Roman"/>
        </w:rPr>
        <w:footnoteRef/>
      </w:r>
      <w:r w:rsidRPr="002F52A9">
        <w:rPr>
          <w:rFonts w:ascii="Times New Roman" w:hAnsi="Times New Roman" w:cs="Times New Roman"/>
          <w:lang w:val="it-IT"/>
        </w:rPr>
        <w:t xml:space="preserve"> La lista delle 38 lingue </w:t>
      </w:r>
      <w:r w:rsidRPr="00541112">
        <w:rPr>
          <w:rFonts w:ascii="Times New Roman" w:hAnsi="Times New Roman" w:cs="Times New Roman"/>
          <w:highlight w:val="yellow"/>
          <w:lang w:val="it-IT"/>
        </w:rPr>
        <w:t>incluse nell’AES</w:t>
      </w:r>
      <w:r>
        <w:rPr>
          <w:rFonts w:ascii="Times New Roman" w:hAnsi="Times New Roman" w:cs="Times New Roman"/>
          <w:lang w:val="it-IT"/>
        </w:rPr>
        <w:t xml:space="preserve"> </w:t>
      </w:r>
      <w:r w:rsidRPr="002F52A9">
        <w:rPr>
          <w:rFonts w:ascii="Times New Roman" w:hAnsi="Times New Roman" w:cs="Times New Roman"/>
          <w:lang w:val="it-IT"/>
        </w:rPr>
        <w:t>è formalmente definita come segue: arabo, basco, bulgaro, bosniaco, catalano, ceco, cinese, croato, danese, estone, finlandese, francese, frisone, galiziano, gallese, greco, inglese, irlandese, italiano, lettone, lituano, lussemburghese, maltese, norvegese, olandese, polacco, portoghese, rumeno, russo, serbo, slovacco, sloveno, spagnolo, svedese, tedesco, turco, ungherese, valenziano.</w:t>
      </w:r>
    </w:p>
  </w:footnote>
  <w:footnote w:id="20">
    <w:p w:rsidR="005A17D4" w:rsidRPr="002F52A9" w:rsidRDefault="005A17D4" w:rsidP="002F52A9">
      <w:pPr>
        <w:pStyle w:val="FootnoteText"/>
        <w:jc w:val="both"/>
        <w:rPr>
          <w:rFonts w:ascii="Times New Roman" w:hAnsi="Times New Roman" w:cs="Times New Roman"/>
          <w:lang w:val="it-IT"/>
        </w:rPr>
      </w:pPr>
      <w:r w:rsidRPr="002F52A9">
        <w:rPr>
          <w:rStyle w:val="FootnoteReference"/>
          <w:rFonts w:ascii="Times New Roman" w:hAnsi="Times New Roman" w:cs="Times New Roman"/>
          <w:lang w:val="it-IT"/>
        </w:rPr>
        <w:footnoteRef/>
      </w:r>
      <w:r w:rsidRPr="002F52A9">
        <w:rPr>
          <w:rFonts w:ascii="Times New Roman" w:hAnsi="Times New Roman" w:cs="Times New Roman"/>
          <w:lang w:val="it-IT"/>
        </w:rPr>
        <w:t xml:space="preserve"> Si rimanda a Gazzola (</w:t>
      </w:r>
      <w:hyperlink w:anchor="_ENREF_30" w:tooltip="Gazzola, 2014 #887" w:history="1">
        <w:r w:rsidRPr="002F52A9">
          <w:rPr>
            <w:rFonts w:ascii="Times New Roman" w:hAnsi="Times New Roman" w:cs="Times New Roman"/>
            <w:lang w:val="it-IT"/>
          </w:rPr>
          <w:fldChar w:fldCharType="begin"/>
        </w:r>
        <w:r w:rsidRPr="002F52A9">
          <w:rPr>
            <w:rFonts w:ascii="Times New Roman" w:hAnsi="Times New Roman" w:cs="Times New Roman"/>
            <w:lang w:val="it-IT"/>
          </w:rPr>
          <w:instrText xml:space="preserve"> ADDIN EN.CITE &lt;EndNote&gt;&lt;Cite ExcludeAuth="1"&gt;&lt;Author&gt;Gazzola&lt;/Author&gt;&lt;Year&gt;2014&lt;/Year&gt;&lt;RecNum&gt;887&lt;/RecNum&gt;&lt;DisplayText&gt;2014&lt;/DisplayText&gt;&lt;record&gt;&lt;rec-number&gt;887&lt;/rec-number&gt;&lt;foreign-keys&gt;&lt;key app="EN" db-id="wvvszzd93a0z5wesdfpvdv9z5wrra5p05axp"&gt;887&lt;/key&gt;&lt;/foreign-keys&gt;&lt;ref-type name="Book"&gt;6&lt;/ref-type&gt;&lt;contributors&gt;&lt;authors&gt;&lt;author&gt;Gazzola, Michele&lt;/author&gt;&lt;/authors&gt;&lt;/contributors&gt;&lt;titles&gt;&lt;title&gt;The evaluation of language regimes. Theory and application to multilingual patent organisations&lt;/title&gt;&lt;/titles&gt;&lt;dates&gt;&lt;year&gt;2014&lt;/year&gt;&lt;/dates&gt;&lt;pub-location&gt;Amsterdam&lt;/pub-location&gt;&lt;publisher&gt;John Benjamins&lt;/publisher&gt;&lt;urls&gt;&lt;/urls&gt;&lt;/record&gt;&lt;/Cite&gt;&lt;/EndNote&gt;</w:instrText>
        </w:r>
        <w:r w:rsidRPr="002F52A9">
          <w:rPr>
            <w:rFonts w:ascii="Times New Roman" w:hAnsi="Times New Roman" w:cs="Times New Roman"/>
            <w:lang w:val="it-IT"/>
          </w:rPr>
          <w:fldChar w:fldCharType="separate"/>
        </w:r>
        <w:r w:rsidRPr="002F52A9">
          <w:rPr>
            <w:rFonts w:ascii="Times New Roman" w:hAnsi="Times New Roman" w:cs="Times New Roman"/>
            <w:noProof/>
            <w:lang w:val="it-IT"/>
          </w:rPr>
          <w:t>2014</w:t>
        </w:r>
        <w:r w:rsidRPr="002F52A9">
          <w:rPr>
            <w:rFonts w:ascii="Times New Roman" w:hAnsi="Times New Roman" w:cs="Times New Roman"/>
            <w:lang w:val="it-IT"/>
          </w:rPr>
          <w:fldChar w:fldCharType="end"/>
        </w:r>
      </w:hyperlink>
      <w:r w:rsidRPr="002F52A9">
        <w:rPr>
          <w:rFonts w:ascii="Times New Roman" w:hAnsi="Times New Roman" w:cs="Times New Roman"/>
          <w:lang w:val="it-IT"/>
        </w:rPr>
        <w:t xml:space="preserve">) e </w:t>
      </w:r>
      <w:r w:rsidRPr="002F52A9">
        <w:rPr>
          <w:rFonts w:ascii="Times New Roman" w:hAnsi="Times New Roman" w:cs="Times New Roman"/>
          <w:noProof/>
          <w:lang w:val="it-IT"/>
        </w:rPr>
        <w:t>Grin e Gazzola (</w:t>
      </w:r>
      <w:hyperlink w:anchor="_ENREF_43" w:tooltip="Grin, 2013 #801" w:history="1">
        <w:r w:rsidRPr="002F52A9">
          <w:rPr>
            <w:rFonts w:ascii="Times New Roman" w:hAnsi="Times New Roman" w:cs="Times New Roman"/>
            <w:lang w:val="it-IT"/>
          </w:rPr>
          <w:fldChar w:fldCharType="begin"/>
        </w:r>
        <w:r w:rsidRPr="002F52A9">
          <w:rPr>
            <w:rFonts w:ascii="Times New Roman" w:hAnsi="Times New Roman" w:cs="Times New Roman"/>
            <w:lang w:val="it-IT"/>
          </w:rPr>
          <w:instrText xml:space="preserve"> ADDIN EN.CITE &lt;EndNote&gt;&lt;Cite ExcludeAuth="1"&gt;&lt;Author&gt;Grin&lt;/Author&gt;&lt;Year&gt;2013&lt;/Year&gt;&lt;RecNum&gt;801&lt;/RecNum&gt;&lt;DisplayText&gt;2013&lt;/DisplayText&gt;&lt;record&gt;&lt;rec-number&gt;801&lt;/rec-number&gt;&lt;foreign-keys&gt;&lt;key app="EN" db-id="wvvszzd93a0z5wesdfpvdv9z5wrra5p05axp"&gt;801&lt;/key&gt;&lt;/foreign-keys&gt;&lt;ref-type name="Book Section"&gt;5&lt;/ref-type&gt;&lt;contributors&gt;&lt;authors&gt;&lt;author&gt;Grin, François&lt;/author&gt;&lt;author&gt;Gazzola, Michele&lt;/author&gt;&lt;/authors&gt;&lt;secondary-authors&gt;&lt;author&gt;Berthoud, Anne-Claude&lt;/author&gt;&lt;author&gt;Grin, François&lt;/author&gt;&lt;author&gt;Lüdi, Georges&lt;/author&gt;&lt;/secondary-authors&gt;&lt;/contributors&gt;&lt;titles&gt;&lt;title&gt;Assessing efficiency and fairness in multilingual communication: theory and application through indicators&lt;/title&gt;&lt;secondary-title&gt;Exploring the dynamics of multilingualism&lt;/secondary-title&gt;&lt;/titles&gt;&lt;pages&gt;365–386&lt;/pages&gt;&lt;dates&gt;&lt;year&gt;2013&lt;/year&gt;&lt;/dates&gt;&lt;pub-location&gt;Amsterdam&lt;/pub-location&gt;&lt;publisher&gt;John Benjamins&lt;/publisher&gt;&lt;urls&gt;&lt;/urls&gt;&lt;/record&gt;&lt;/Cite&gt;&lt;/EndNote&gt;</w:instrText>
        </w:r>
        <w:r w:rsidRPr="002F52A9">
          <w:rPr>
            <w:rFonts w:ascii="Times New Roman" w:hAnsi="Times New Roman" w:cs="Times New Roman"/>
            <w:lang w:val="it-IT"/>
          </w:rPr>
          <w:fldChar w:fldCharType="separate"/>
        </w:r>
        <w:r w:rsidRPr="002F52A9">
          <w:rPr>
            <w:rFonts w:ascii="Times New Roman" w:hAnsi="Times New Roman" w:cs="Times New Roman"/>
            <w:noProof/>
            <w:lang w:val="it-IT"/>
          </w:rPr>
          <w:t>2013</w:t>
        </w:r>
        <w:r w:rsidRPr="002F52A9">
          <w:rPr>
            <w:rFonts w:ascii="Times New Roman" w:hAnsi="Times New Roman" w:cs="Times New Roman"/>
            <w:lang w:val="it-IT"/>
          </w:rPr>
          <w:fldChar w:fldCharType="end"/>
        </w:r>
      </w:hyperlink>
      <w:r w:rsidRPr="002F52A9">
        <w:rPr>
          <w:rFonts w:ascii="Times New Roman" w:hAnsi="Times New Roman" w:cs="Times New Roman"/>
          <w:lang w:val="it-IT"/>
        </w:rPr>
        <w:t>) per una discussione più approfondita del concetto di efficacia applicato alle politiche linguistiche.</w:t>
      </w:r>
    </w:p>
  </w:footnote>
  <w:footnote w:id="21">
    <w:p w:rsidR="005A17D4" w:rsidRPr="002F52A9" w:rsidRDefault="005A17D4" w:rsidP="002F52A9">
      <w:pPr>
        <w:pStyle w:val="FootnoteText"/>
        <w:jc w:val="both"/>
        <w:rPr>
          <w:rFonts w:ascii="Times New Roman" w:hAnsi="Times New Roman" w:cs="Times New Roman"/>
          <w:lang w:val="it-IT"/>
        </w:rPr>
      </w:pPr>
      <w:r w:rsidRPr="002F52A9">
        <w:rPr>
          <w:rStyle w:val="FootnoteReference"/>
          <w:rFonts w:ascii="Times New Roman" w:hAnsi="Times New Roman" w:cs="Times New Roman"/>
          <w:lang w:val="it-IT"/>
        </w:rPr>
        <w:footnoteRef/>
      </w:r>
      <w:r w:rsidRPr="002F52A9">
        <w:rPr>
          <w:rFonts w:ascii="Times New Roman" w:hAnsi="Times New Roman" w:cs="Times New Roman"/>
          <w:lang w:val="it-IT"/>
        </w:rPr>
        <w:t xml:space="preserve"> Ad esempio, un residente di lingua materna tedesca con un’eccellente conoscenza dell’inglese è contato solo una volta se entrambe le lingue sono ufficiali.</w:t>
      </w:r>
    </w:p>
  </w:footnote>
  <w:footnote w:id="22">
    <w:p w:rsidR="005A17D4" w:rsidRPr="002F52A9" w:rsidRDefault="005A17D4" w:rsidP="002F52A9">
      <w:pPr>
        <w:pStyle w:val="FootnoteText"/>
        <w:jc w:val="both"/>
        <w:rPr>
          <w:rFonts w:ascii="Times New Roman" w:hAnsi="Times New Roman" w:cs="Times New Roman"/>
          <w:lang w:val="it-IT"/>
        </w:rPr>
      </w:pPr>
      <w:r w:rsidRPr="002F52A9">
        <w:rPr>
          <w:rStyle w:val="FootnoteReference"/>
          <w:rFonts w:ascii="Times New Roman" w:hAnsi="Times New Roman" w:cs="Times New Roman"/>
          <w:lang w:val="it-IT"/>
        </w:rPr>
        <w:footnoteRef/>
      </w:r>
      <w:r w:rsidRPr="002F52A9">
        <w:rPr>
          <w:rFonts w:ascii="Times New Roman" w:hAnsi="Times New Roman" w:cs="Times New Roman"/>
          <w:lang w:val="it-IT"/>
        </w:rPr>
        <w:t xml:space="preserve"> </w:t>
      </w:r>
      <w:r w:rsidRPr="002F52A9">
        <w:rPr>
          <w:rFonts w:ascii="Times New Roman" w:hAnsi="Times New Roman" w:cs="Times New Roman"/>
          <w:bCs/>
          <w:lang w:val="it-IT"/>
        </w:rPr>
        <w:t xml:space="preserve">Secondo questo studio la percentuale di tutti residenti europei non nativi dell’inglese che dichiarano una conoscenza molto buona di questa lingua non supererebbe il 7% dei residenti nella UE a 27 stati membri. Sommando la percentuale di nativi anglofoni con i non nativi con una conoscenza molto buona di questa lingua si raggiunge una percentuale del 21%, ovvero un </w:t>
      </w:r>
      <w:r w:rsidRPr="002F52A9">
        <w:rPr>
          <w:rFonts w:ascii="Times New Roman" w:hAnsi="Times New Roman" w:cs="Times New Roman"/>
          <w:bCs/>
          <w:i/>
          <w:lang w:val="it-IT"/>
        </w:rPr>
        <w:t>E</w:t>
      </w:r>
      <w:r w:rsidRPr="002F52A9">
        <w:rPr>
          <w:rFonts w:ascii="Times New Roman" w:hAnsi="Times New Roman" w:cs="Times New Roman"/>
          <w:bCs/>
          <w:i/>
          <w:vertAlign w:val="subscript"/>
          <w:lang w:val="it-IT"/>
        </w:rPr>
        <w:t xml:space="preserve">r </w:t>
      </w:r>
      <w:r w:rsidRPr="002F52A9">
        <w:rPr>
          <w:rFonts w:ascii="Times New Roman" w:hAnsi="Times New Roman" w:cs="Times New Roman"/>
          <w:bCs/>
          <w:lang w:val="it-IT"/>
        </w:rPr>
        <w:t>del 79%; un valore per l’appunto molto vicino a quello ottenuto con i dati della IEA.</w:t>
      </w:r>
    </w:p>
  </w:footnote>
  <w:footnote w:id="23">
    <w:p w:rsidR="005A17D4" w:rsidRPr="002F52A9" w:rsidRDefault="005A17D4" w:rsidP="002F52A9">
      <w:pPr>
        <w:pStyle w:val="FootnoteText"/>
        <w:jc w:val="both"/>
        <w:rPr>
          <w:rFonts w:ascii="Times New Roman" w:hAnsi="Times New Roman" w:cs="Times New Roman"/>
          <w:lang w:val="it-IT"/>
        </w:rPr>
      </w:pPr>
      <w:r w:rsidRPr="002F52A9">
        <w:rPr>
          <w:rStyle w:val="FootnoteReference"/>
          <w:rFonts w:ascii="Times New Roman" w:hAnsi="Times New Roman" w:cs="Times New Roman"/>
        </w:rPr>
        <w:footnoteRef/>
      </w:r>
      <w:r w:rsidRPr="002F52A9">
        <w:rPr>
          <w:rFonts w:ascii="Times New Roman" w:hAnsi="Times New Roman" w:cs="Times New Roman"/>
          <w:lang w:val="it-IT"/>
        </w:rPr>
        <w:t xml:space="preserve"> Anche nell’ipotesi di une regime monolingue l’UE avrebbe bisogno di tradurre dei documenti verso l’inglese da altre lingue usate ufficialmente a livello nazionale e di servizi di revisione e controllo di qualità per i testi scritti da funzionari non madrelingua (Gazzola e Grin </w:t>
      </w:r>
      <w:hyperlink w:anchor="_ENREF_31" w:tooltip="Gazzola, 2013 #880" w:history="1">
        <w:r w:rsidRPr="002F52A9">
          <w:rPr>
            <w:rFonts w:ascii="Times New Roman" w:hAnsi="Times New Roman" w:cs="Times New Roman"/>
            <w:lang w:val="it-IT"/>
          </w:rPr>
          <w:fldChar w:fldCharType="begin"/>
        </w:r>
        <w:r w:rsidRPr="002F52A9">
          <w:rPr>
            <w:rFonts w:ascii="Times New Roman" w:hAnsi="Times New Roman" w:cs="Times New Roman"/>
            <w:lang w:val="it-IT"/>
          </w:rPr>
          <w:instrText xml:space="preserve"> ADDIN EN.CITE &lt;EndNote&gt;&lt;Cite ExcludeAuth="1"&gt;&lt;Author&gt;Gazzola&lt;/Author&gt;&lt;Year&gt;2013&lt;/Year&gt;&lt;RecNum&gt;880&lt;/RecNum&gt;&lt;DisplayText&gt;2013&lt;/DisplayText&gt;&lt;record&gt;&lt;rec-number&gt;880&lt;/rec-number&gt;&lt;foreign-keys&gt;&lt;key app="EN" db-id="wvvszzd93a0z5wesdfpvdv9z5wrra5p05axp"&gt;880&lt;/key&gt;&lt;/foreign-keys&gt;&lt;ref-type name="Journal Article"&gt;17&lt;/ref-type&gt;&lt;contributors&gt;&lt;authors&gt;&lt;author&gt;Gazzola, Michele&lt;/author&gt;&lt;author&gt;Grin, François&lt;/author&gt;&lt;/authors&gt;&lt;/contributors&gt;&lt;titles&gt;&lt;title&gt;Is ELF more effective and fair than translation? An evaluation of the EU’s multilingual regime&lt;/title&gt;&lt;secondary-title&gt;International Journal of Applied Linguistics&lt;/secondary-title&gt;&lt;/titles&gt;&lt;periodical&gt;&lt;full-title&gt;International Journal of Applied Linguistics&lt;/full-title&gt;&lt;/periodical&gt;&lt;pages&gt;93-107&lt;/pages&gt;&lt;volume&gt;23&lt;/volume&gt;&lt;number&gt;1&lt;/number&gt;&lt;dates&gt;&lt;year&gt;2013&lt;/year&gt;&lt;/dates&gt;&lt;urls&gt;&lt;/urls&gt;&lt;/record&gt;&lt;/Cite&gt;&lt;/EndNote&gt;</w:instrText>
        </w:r>
        <w:r w:rsidRPr="002F52A9">
          <w:rPr>
            <w:rFonts w:ascii="Times New Roman" w:hAnsi="Times New Roman" w:cs="Times New Roman"/>
            <w:lang w:val="it-IT"/>
          </w:rPr>
          <w:fldChar w:fldCharType="separate"/>
        </w:r>
        <w:r w:rsidRPr="002F52A9">
          <w:rPr>
            <w:rFonts w:ascii="Times New Roman" w:hAnsi="Times New Roman" w:cs="Times New Roman"/>
            <w:lang w:val="it-IT"/>
          </w:rPr>
          <w:t>2013</w:t>
        </w:r>
        <w:r w:rsidRPr="002F52A9">
          <w:rPr>
            <w:rFonts w:ascii="Times New Roman" w:hAnsi="Times New Roman" w:cs="Times New Roman"/>
            <w:lang w:val="it-IT"/>
          </w:rPr>
          <w:fldChar w:fldCharType="end"/>
        </w:r>
      </w:hyperlink>
      <w:r w:rsidRPr="002F52A9">
        <w:rPr>
          <w:rFonts w:ascii="Times New Roman" w:hAnsi="Times New Roman" w:cs="Times New Roman"/>
          <w:lang w:val="it-IT"/>
        </w:rPr>
        <w:t>).</w:t>
      </w:r>
    </w:p>
  </w:footnote>
  <w:footnote w:id="24">
    <w:p w:rsidR="005A17D4" w:rsidRPr="002F52A9" w:rsidRDefault="005A17D4" w:rsidP="002F52A9">
      <w:pPr>
        <w:pStyle w:val="FootnoteText"/>
        <w:jc w:val="both"/>
        <w:rPr>
          <w:rFonts w:ascii="Times New Roman" w:hAnsi="Times New Roman" w:cs="Times New Roman"/>
          <w:lang w:val="it-IT"/>
        </w:rPr>
      </w:pPr>
      <w:r w:rsidRPr="002F52A9">
        <w:rPr>
          <w:rStyle w:val="FootnoteReference"/>
          <w:rFonts w:ascii="Times New Roman" w:hAnsi="Times New Roman" w:cs="Times New Roman"/>
        </w:rPr>
        <w:footnoteRef/>
      </w:r>
      <w:r w:rsidRPr="002F52A9">
        <w:rPr>
          <w:rFonts w:ascii="Times New Roman" w:hAnsi="Times New Roman" w:cs="Times New Roman"/>
          <w:lang w:val="it-IT"/>
        </w:rPr>
        <w:t xml:space="preserve"> In economia il termine costo-opportunità indica il valore economico della migliore alternativa possibile quando si compie una scelta. Ad esempio, per un professionista il costo opportunità di impiegare sul luogo di lavoro un’ora in più per leggere un documento della UE redatto in una lingua che egli non padroneggia (rispetto al tempo necessario per leggere un documento redatto in una lingua che egli conosce bene) è il valore di un’ora di lavoro spesa ad occuparsi della propria attività professionale principale, cioè il salario orario.</w:t>
      </w:r>
    </w:p>
  </w:footnote>
  <w:footnote w:id="25">
    <w:p w:rsidR="005A17D4" w:rsidRPr="002F52A9" w:rsidRDefault="005A17D4" w:rsidP="002F52A9">
      <w:pPr>
        <w:spacing w:line="240" w:lineRule="auto"/>
        <w:jc w:val="both"/>
        <w:rPr>
          <w:rFonts w:ascii="Times New Roman" w:hAnsi="Times New Roman" w:cs="Times New Roman"/>
          <w:sz w:val="20"/>
          <w:szCs w:val="20"/>
          <w:lang w:val="it-IT"/>
        </w:rPr>
      </w:pPr>
      <w:r w:rsidRPr="002F52A9">
        <w:rPr>
          <w:rStyle w:val="FootnoteReference"/>
          <w:rFonts w:ascii="Times New Roman" w:hAnsi="Times New Roman" w:cs="Times New Roman"/>
          <w:sz w:val="20"/>
          <w:szCs w:val="20"/>
        </w:rPr>
        <w:footnoteRef/>
      </w:r>
      <w:r w:rsidRPr="002F52A9">
        <w:rPr>
          <w:rFonts w:ascii="Times New Roman" w:hAnsi="Times New Roman" w:cs="Times New Roman"/>
          <w:sz w:val="20"/>
          <w:szCs w:val="20"/>
          <w:lang w:val="it-IT"/>
        </w:rPr>
        <w:t xml:space="preserve"> Ad esempio, la percentuale di chi dichiara di conoscere l’inglese a livello eccellente aumenta fra generazioni, ma molto meno, in proporzione, rispetto alla percentuale di coloro che hanno almeno una conoscenza elementare di questa lingua. Si tenga presente che l’effetto dell’aumento della percentuale di residenti che parlano l’inglese come lingua straniera a livello eccellente sull’indicatore </w:t>
      </w:r>
      <w:r w:rsidRPr="002F52A9">
        <w:rPr>
          <w:rFonts w:ascii="Times New Roman" w:hAnsi="Times New Roman" w:cs="Times New Roman"/>
          <w:bCs/>
          <w:i/>
          <w:sz w:val="20"/>
          <w:szCs w:val="20"/>
          <w:lang w:val="it-IT"/>
        </w:rPr>
        <w:t>E</w:t>
      </w:r>
      <w:r w:rsidRPr="002F52A9">
        <w:rPr>
          <w:rFonts w:ascii="Times New Roman" w:hAnsi="Times New Roman" w:cs="Times New Roman"/>
          <w:bCs/>
          <w:i/>
          <w:sz w:val="20"/>
          <w:szCs w:val="20"/>
          <w:vertAlign w:val="subscript"/>
          <w:lang w:val="it-IT"/>
        </w:rPr>
        <w:t>r</w:t>
      </w:r>
      <w:r w:rsidRPr="002F52A9">
        <w:rPr>
          <w:rFonts w:ascii="Times New Roman" w:hAnsi="Times New Roman" w:cs="Times New Roman"/>
          <w:sz w:val="20"/>
          <w:szCs w:val="20"/>
          <w:lang w:val="it-IT"/>
        </w:rPr>
        <w:t xml:space="preserve"> è in parte compensato da un calo percentuale dei nativi dell’inglese. Considerazioni analoghe possono essere fatte per il regime oligarchico.</w:t>
      </w:r>
    </w:p>
  </w:footnote>
  <w:footnote w:id="26">
    <w:p w:rsidR="005A17D4" w:rsidRPr="002F52A9" w:rsidRDefault="005A17D4" w:rsidP="002F52A9">
      <w:pPr>
        <w:pStyle w:val="FootnoteText"/>
        <w:jc w:val="both"/>
        <w:rPr>
          <w:rFonts w:ascii="Times New Roman" w:hAnsi="Times New Roman" w:cs="Times New Roman"/>
          <w:lang w:val="it-IT"/>
        </w:rPr>
      </w:pPr>
      <w:r w:rsidRPr="002F52A9">
        <w:rPr>
          <w:rStyle w:val="FootnoteReference"/>
          <w:rFonts w:ascii="Times New Roman" w:hAnsi="Times New Roman" w:cs="Times New Roman"/>
        </w:rPr>
        <w:footnoteRef/>
      </w:r>
      <w:r w:rsidRPr="002F52A9">
        <w:rPr>
          <w:rFonts w:ascii="Times New Roman" w:hAnsi="Times New Roman" w:cs="Times New Roman"/>
          <w:lang w:val="it-IT"/>
        </w:rPr>
        <w:t xml:space="preserve"> Si ricorda che appartenere al primo quintile di reddito significa collocarsi nel 20% della popolazione con reddito da lavoro relativamente più basso, mentre collocarsi nel quinto quintile significa collocarsi nel 20% della popolazione con reddito da lavoro relativamente più alto.</w:t>
      </w:r>
    </w:p>
  </w:footnote>
  <w:footnote w:id="27">
    <w:p w:rsidR="005A17D4" w:rsidRPr="002F52A9" w:rsidRDefault="005A17D4" w:rsidP="002F52A9">
      <w:pPr>
        <w:spacing w:after="0" w:line="240" w:lineRule="auto"/>
        <w:jc w:val="both"/>
        <w:rPr>
          <w:rFonts w:ascii="Times New Roman" w:hAnsi="Times New Roman" w:cs="Times New Roman"/>
          <w:sz w:val="20"/>
          <w:szCs w:val="20"/>
          <w:lang w:val="it-IT"/>
        </w:rPr>
      </w:pPr>
      <w:r w:rsidRPr="002F52A9">
        <w:rPr>
          <w:rStyle w:val="FootnoteReference"/>
          <w:rFonts w:ascii="Times New Roman" w:hAnsi="Times New Roman" w:cs="Times New Roman"/>
          <w:sz w:val="20"/>
          <w:szCs w:val="20"/>
          <w:lang w:val="it-IT"/>
        </w:rPr>
        <w:footnoteRef/>
      </w:r>
      <w:r w:rsidRPr="002F52A9">
        <w:rPr>
          <w:rFonts w:ascii="Times New Roman" w:hAnsi="Times New Roman" w:cs="Times New Roman"/>
          <w:sz w:val="20"/>
          <w:szCs w:val="20"/>
          <w:lang w:val="it-IT"/>
        </w:rPr>
        <w:t xml:space="preserve"> In primo luogo non è possibile includere in Regno Unito nell’analisi e quindi la quasi totalità dei nativi dell’inglese in Europa. Inoltre, probabilmente per un errore nella raccolta dei dati nella IEA, la distribuzione statistica della variabile reddito da lavoro per Spagna e l’Ungheria è distorta verso il primo quintile. La conclusione generale tuttavia non cambia se Spagna e l’Ungheria sono escluse dall’analisi, e la relazione fra tassi di esclusione linguistica e reddito nel caso del regime monolingue rimane valida per tutti gli altri paesi.</w:t>
      </w:r>
    </w:p>
  </w:footnote>
  <w:footnote w:id="28">
    <w:p w:rsidR="005A17D4" w:rsidRPr="002F52A9" w:rsidRDefault="005A17D4" w:rsidP="002F52A9">
      <w:pPr>
        <w:pStyle w:val="FootnoteText"/>
        <w:jc w:val="both"/>
        <w:rPr>
          <w:rFonts w:ascii="Times New Roman" w:hAnsi="Times New Roman" w:cs="Times New Roman"/>
          <w:lang w:val="it-IT"/>
        </w:rPr>
      </w:pPr>
      <w:r w:rsidRPr="002F52A9">
        <w:rPr>
          <w:rStyle w:val="FootnoteReference"/>
          <w:rFonts w:ascii="Times New Roman" w:hAnsi="Times New Roman" w:cs="Times New Roman"/>
          <w:lang w:val="it-IT"/>
        </w:rPr>
        <w:footnoteRef/>
      </w:r>
      <w:r w:rsidRPr="002F52A9">
        <w:rPr>
          <w:rFonts w:ascii="Times New Roman" w:hAnsi="Times New Roman" w:cs="Times New Roman"/>
          <w:lang w:val="it-IT"/>
        </w:rPr>
        <w:t xml:space="preserve"> La differenza fra i valori del tasso di esclusione linguistica assoluta per i livelli di istruzione pre-elementare ed elementare non è statisticamente significativa ai livelli convenzionali.</w:t>
      </w:r>
    </w:p>
  </w:footnote>
  <w:footnote w:id="29">
    <w:p w:rsidR="005A17D4" w:rsidRPr="002F52A9" w:rsidRDefault="005A17D4" w:rsidP="002F52A9">
      <w:pPr>
        <w:pStyle w:val="FootnoteText"/>
        <w:jc w:val="both"/>
        <w:rPr>
          <w:rFonts w:ascii="Times New Roman" w:hAnsi="Times New Roman" w:cs="Times New Roman"/>
          <w:lang w:val="it-IT"/>
        </w:rPr>
      </w:pPr>
      <w:r w:rsidRPr="002F52A9">
        <w:rPr>
          <w:rStyle w:val="FootnoteReference"/>
          <w:rFonts w:ascii="Times New Roman" w:hAnsi="Times New Roman" w:cs="Times New Roman"/>
          <w:lang w:val="it-IT"/>
        </w:rPr>
        <w:footnoteRef/>
      </w:r>
      <w:r w:rsidRPr="002F52A9">
        <w:rPr>
          <w:rFonts w:ascii="Times New Roman" w:hAnsi="Times New Roman" w:cs="Times New Roman"/>
          <w:lang w:val="it-IT"/>
        </w:rPr>
        <w:t xml:space="preserve"> Sono state omesse tre categorie professionali previste nella IEA, vale a dire le categorie di “studente, in formazione e lavoro non pagato”, “inattivo” e “in servizio militare obbligatorio”. La scelta si può giustificare non solo per questioni di comodità espositiva, ma soprattutto perché ognuna di queste categorie separatamente rappresenta solo l’1% o meno del campione.</w:t>
      </w:r>
    </w:p>
  </w:footnote>
  <w:footnote w:id="30">
    <w:p w:rsidR="005A17D4" w:rsidRPr="002F52A9" w:rsidRDefault="005A17D4" w:rsidP="002F52A9">
      <w:pPr>
        <w:pStyle w:val="FootnoteText"/>
        <w:jc w:val="both"/>
        <w:rPr>
          <w:rFonts w:ascii="Times New Roman" w:hAnsi="Times New Roman" w:cs="Times New Roman"/>
          <w:lang w:val="it-IT"/>
        </w:rPr>
      </w:pPr>
      <w:r w:rsidRPr="002F52A9">
        <w:rPr>
          <w:rStyle w:val="FootnoteReference"/>
          <w:rFonts w:ascii="Times New Roman" w:hAnsi="Times New Roman" w:cs="Times New Roman"/>
          <w:lang w:val="it-IT"/>
        </w:rPr>
        <w:footnoteRef/>
      </w:r>
      <w:r w:rsidRPr="002F52A9">
        <w:rPr>
          <w:rFonts w:ascii="Times New Roman" w:hAnsi="Times New Roman" w:cs="Times New Roman"/>
          <w:lang w:val="it-IT"/>
        </w:rPr>
        <w:t xml:space="preserve"> Una lista completa è disponibile all’indirizzo </w:t>
      </w:r>
      <w:hyperlink r:id="rId1" w:history="1">
        <w:r w:rsidRPr="002F52A9">
          <w:rPr>
            <w:rStyle w:val="Hyperlink"/>
            <w:rFonts w:ascii="Times New Roman" w:hAnsi="Times New Roman" w:cs="Times New Roman"/>
            <w:lang w:val="it-IT"/>
          </w:rPr>
          <w:t>http://ec.europa.eu/policies/index_it.htm</w:t>
        </w:r>
      </w:hyperlink>
      <w:r w:rsidRPr="002F52A9">
        <w:rPr>
          <w:rFonts w:ascii="Times New Roman" w:hAnsi="Times New Roman" w:cs="Times New Roman"/>
          <w:lang w:val="it-IT"/>
        </w:rPr>
        <w:t>.</w:t>
      </w:r>
    </w:p>
  </w:footnote>
  <w:footnote w:id="31">
    <w:p w:rsidR="005A17D4" w:rsidRPr="002F52A9" w:rsidRDefault="005A17D4" w:rsidP="002F52A9">
      <w:pPr>
        <w:pStyle w:val="FootnoteText"/>
        <w:jc w:val="both"/>
        <w:rPr>
          <w:rFonts w:ascii="Times New Roman" w:hAnsi="Times New Roman" w:cs="Times New Roman"/>
          <w:lang w:val="it-IT"/>
        </w:rPr>
      </w:pPr>
      <w:r w:rsidRPr="002F52A9">
        <w:rPr>
          <w:rStyle w:val="FootnoteReference"/>
          <w:rFonts w:ascii="Times New Roman" w:hAnsi="Times New Roman" w:cs="Times New Roman"/>
          <w:lang w:val="it-IT"/>
        </w:rPr>
        <w:footnoteRef/>
      </w:r>
      <w:r w:rsidRPr="002F52A9">
        <w:rPr>
          <w:rFonts w:ascii="Times New Roman" w:hAnsi="Times New Roman" w:cs="Times New Roman"/>
          <w:lang w:val="it-IT"/>
        </w:rPr>
        <w:t xml:space="preserve"> La Commissione ricorre agli appalti pubblici per acquistare beni e servizi, ad esempio, studi, assistenza tecnica, formazione, consulenze, servizi di conferenza e pubblicitari, libri e attrezzature. Una lista di tutti i bandi di gara, appalti, sovvenzioni europee è disponibile all’indirizzo </w:t>
      </w:r>
      <w:hyperlink r:id="rId2" w:history="1">
        <w:r w:rsidRPr="002F52A9">
          <w:rPr>
            <w:rStyle w:val="Hyperlink"/>
            <w:rFonts w:ascii="Times New Roman" w:hAnsi="Times New Roman" w:cs="Times New Roman"/>
            <w:lang w:val="it-IT"/>
          </w:rPr>
          <w:t>http://ec.europa.eu/contracts_grants/contracts_it.htm</w:t>
        </w:r>
      </w:hyperlink>
      <w:r w:rsidRPr="002F52A9">
        <w:rPr>
          <w:rFonts w:ascii="Times New Roman" w:hAnsi="Times New Roman" w:cs="Times New Roman"/>
          <w:lang w:val="it-IT"/>
        </w:rPr>
        <w:t>. Nella maggior parte dei casi questi bandi sono disponibili solo in inglese o in francese, inglese e tedesco.</w:t>
      </w:r>
    </w:p>
  </w:footnote>
  <w:footnote w:id="32">
    <w:p w:rsidR="005A17D4" w:rsidRPr="002F52A9" w:rsidRDefault="005A17D4" w:rsidP="002F52A9">
      <w:pPr>
        <w:spacing w:line="240" w:lineRule="auto"/>
        <w:jc w:val="both"/>
        <w:rPr>
          <w:rFonts w:ascii="Times New Roman" w:hAnsi="Times New Roman" w:cs="Times New Roman"/>
          <w:sz w:val="20"/>
          <w:szCs w:val="20"/>
          <w:lang w:val="it-IT"/>
        </w:rPr>
      </w:pPr>
      <w:r w:rsidRPr="002F52A9">
        <w:rPr>
          <w:rStyle w:val="FootnoteReference"/>
          <w:rFonts w:ascii="Times New Roman" w:hAnsi="Times New Roman" w:cs="Times New Roman"/>
          <w:sz w:val="20"/>
          <w:szCs w:val="20"/>
          <w:lang w:val="it-IT"/>
        </w:rPr>
        <w:footnoteRef/>
      </w:r>
      <w:r w:rsidRPr="002F52A9">
        <w:rPr>
          <w:rFonts w:ascii="Times New Roman" w:hAnsi="Times New Roman" w:cs="Times New Roman"/>
          <w:sz w:val="20"/>
          <w:szCs w:val="20"/>
          <w:lang w:val="it-IT"/>
        </w:rPr>
        <w:t xml:space="preserve"> È possibile stabilire delle associazioni fra la </w:t>
      </w:r>
      <w:r w:rsidRPr="002F52A9">
        <w:rPr>
          <w:rFonts w:ascii="Times New Roman" w:hAnsi="Times New Roman" w:cs="Times New Roman"/>
          <w:sz w:val="20"/>
          <w:szCs w:val="20"/>
          <w:lang w:val="it-IT"/>
        </w:rPr>
        <w:fldChar w:fldCharType="begin"/>
      </w:r>
      <w:r w:rsidRPr="002F52A9">
        <w:rPr>
          <w:rFonts w:ascii="Times New Roman" w:hAnsi="Times New Roman" w:cs="Times New Roman"/>
          <w:sz w:val="20"/>
          <w:szCs w:val="20"/>
          <w:lang w:val="it-IT"/>
        </w:rPr>
        <w:instrText xml:space="preserve"> REF _Ref378699931 \h  \* MERGEFORMAT </w:instrText>
      </w:r>
      <w:r w:rsidRPr="002F52A9">
        <w:rPr>
          <w:rFonts w:ascii="Times New Roman" w:hAnsi="Times New Roman" w:cs="Times New Roman"/>
          <w:sz w:val="20"/>
          <w:szCs w:val="20"/>
          <w:lang w:val="it-IT"/>
        </w:rPr>
      </w:r>
      <w:r w:rsidRPr="002F52A9">
        <w:rPr>
          <w:rFonts w:ascii="Times New Roman" w:hAnsi="Times New Roman" w:cs="Times New Roman"/>
          <w:sz w:val="20"/>
          <w:szCs w:val="20"/>
          <w:lang w:val="it-IT"/>
        </w:rPr>
        <w:fldChar w:fldCharType="separate"/>
      </w:r>
      <w:r w:rsidRPr="002F52A9">
        <w:rPr>
          <w:rFonts w:ascii="Times New Roman" w:hAnsi="Times New Roman" w:cs="Times New Roman"/>
          <w:sz w:val="20"/>
          <w:szCs w:val="20"/>
          <w:lang w:val="it-IT"/>
        </w:rPr>
        <w:t xml:space="preserve">Tabella </w:t>
      </w:r>
      <w:r>
        <w:rPr>
          <w:rFonts w:ascii="Times New Roman" w:hAnsi="Times New Roman" w:cs="Times New Roman"/>
          <w:noProof/>
          <w:sz w:val="20"/>
          <w:szCs w:val="20"/>
          <w:lang w:val="it-IT"/>
        </w:rPr>
        <w:t>9</w:t>
      </w:r>
      <w:r w:rsidRPr="002F52A9">
        <w:rPr>
          <w:rFonts w:ascii="Times New Roman" w:hAnsi="Times New Roman" w:cs="Times New Roman"/>
          <w:sz w:val="20"/>
          <w:szCs w:val="20"/>
          <w:lang w:val="it-IT"/>
        </w:rPr>
        <w:fldChar w:fldCharType="end"/>
      </w:r>
      <w:r w:rsidRPr="002F52A9">
        <w:rPr>
          <w:rFonts w:ascii="Times New Roman" w:hAnsi="Times New Roman" w:cs="Times New Roman"/>
          <w:sz w:val="20"/>
          <w:szCs w:val="20"/>
          <w:lang w:val="it-IT"/>
        </w:rPr>
        <w:t xml:space="preserve"> e la </w:t>
      </w:r>
      <w:r w:rsidRPr="002F52A9">
        <w:rPr>
          <w:rFonts w:ascii="Times New Roman" w:hAnsi="Times New Roman" w:cs="Times New Roman"/>
          <w:sz w:val="20"/>
          <w:szCs w:val="20"/>
          <w:lang w:val="it-IT"/>
        </w:rPr>
        <w:fldChar w:fldCharType="begin"/>
      </w:r>
      <w:r w:rsidRPr="002F52A9">
        <w:rPr>
          <w:rFonts w:ascii="Times New Roman" w:hAnsi="Times New Roman" w:cs="Times New Roman"/>
          <w:sz w:val="20"/>
          <w:szCs w:val="20"/>
          <w:lang w:val="it-IT"/>
        </w:rPr>
        <w:instrText xml:space="preserve"> REF _Ref378671523 \h  \* MERGEFORMAT </w:instrText>
      </w:r>
      <w:r w:rsidRPr="002F52A9">
        <w:rPr>
          <w:rFonts w:ascii="Times New Roman" w:hAnsi="Times New Roman" w:cs="Times New Roman"/>
          <w:sz w:val="20"/>
          <w:szCs w:val="20"/>
          <w:lang w:val="it-IT"/>
        </w:rPr>
      </w:r>
      <w:r w:rsidRPr="002F52A9">
        <w:rPr>
          <w:rFonts w:ascii="Times New Roman" w:hAnsi="Times New Roman" w:cs="Times New Roman"/>
          <w:sz w:val="20"/>
          <w:szCs w:val="20"/>
          <w:lang w:val="it-IT"/>
        </w:rPr>
        <w:fldChar w:fldCharType="separate"/>
      </w:r>
      <w:r w:rsidRPr="002F52A9">
        <w:rPr>
          <w:rFonts w:ascii="Times New Roman" w:hAnsi="Times New Roman" w:cs="Times New Roman"/>
          <w:sz w:val="20"/>
          <w:szCs w:val="20"/>
          <w:lang w:val="it-IT"/>
        </w:rPr>
        <w:t xml:space="preserve">Tabella </w:t>
      </w:r>
      <w:r>
        <w:rPr>
          <w:rFonts w:ascii="Times New Roman" w:hAnsi="Times New Roman" w:cs="Times New Roman"/>
          <w:noProof/>
          <w:sz w:val="20"/>
          <w:szCs w:val="20"/>
          <w:lang w:val="it-IT"/>
        </w:rPr>
        <w:t>7</w:t>
      </w:r>
      <w:r w:rsidRPr="002F52A9">
        <w:rPr>
          <w:rFonts w:ascii="Times New Roman" w:hAnsi="Times New Roman" w:cs="Times New Roman"/>
          <w:sz w:val="20"/>
          <w:szCs w:val="20"/>
          <w:lang w:val="it-IT"/>
        </w:rPr>
        <w:fldChar w:fldCharType="end"/>
      </w:r>
      <w:r w:rsidRPr="002F52A9">
        <w:rPr>
          <w:rFonts w:ascii="Times New Roman" w:hAnsi="Times New Roman" w:cs="Times New Roman"/>
          <w:sz w:val="20"/>
          <w:szCs w:val="20"/>
          <w:lang w:val="it-IT"/>
        </w:rPr>
        <w:t>. Il regime linguistico adottato dalla DG Agricoltura e sviluppo rurale per le sue pagine Internet (francese, inglese e tedesco) esclude una percentuale compresa fra il 52% e il 67% degli appartenenti alla categoria professionale “Agricoltori ed operai qualificati dell’agricoltura e della pesca”.</w:t>
      </w:r>
    </w:p>
  </w:footnote>
  <w:footnote w:id="33">
    <w:p w:rsidR="005A17D4" w:rsidRPr="002F52A9" w:rsidRDefault="005A17D4" w:rsidP="002F52A9">
      <w:pPr>
        <w:pStyle w:val="FootnoteText"/>
        <w:jc w:val="both"/>
        <w:rPr>
          <w:rFonts w:ascii="Times New Roman" w:hAnsi="Times New Roman" w:cs="Times New Roman"/>
          <w:lang w:val="it-IT"/>
        </w:rPr>
      </w:pPr>
      <w:r w:rsidRPr="002F52A9">
        <w:rPr>
          <w:rStyle w:val="FootnoteReference"/>
          <w:rFonts w:ascii="Times New Roman" w:hAnsi="Times New Roman" w:cs="Times New Roman"/>
          <w:lang w:val="it-IT"/>
        </w:rPr>
        <w:footnoteRef/>
      </w:r>
      <w:r w:rsidRPr="002F52A9">
        <w:rPr>
          <w:rFonts w:ascii="Times New Roman" w:hAnsi="Times New Roman" w:cs="Times New Roman"/>
          <w:lang w:val="it-IT"/>
        </w:rPr>
        <w:t xml:space="preserve"> Il lettore è invitato a riferirsi alla lista di più di 200 indicatori per la valutazione delle politiche linguistiche elaborati nel quadro del progetto europeo DYLAN ― </w:t>
      </w:r>
      <w:r w:rsidRPr="002F52A9">
        <w:rPr>
          <w:rFonts w:ascii="Times New Roman" w:hAnsi="Times New Roman" w:cs="Times New Roman"/>
          <w:i/>
          <w:lang w:val="it-IT"/>
        </w:rPr>
        <w:t>Dynamiques des langues et gestion de la diversité</w:t>
      </w:r>
      <w:r w:rsidRPr="002F52A9">
        <w:rPr>
          <w:rFonts w:ascii="Times New Roman" w:hAnsi="Times New Roman" w:cs="Times New Roman"/>
          <w:lang w:val="it-IT"/>
        </w:rPr>
        <w:t xml:space="preserve"> ― (Grin e Gazzola </w:t>
      </w:r>
      <w:hyperlink w:anchor="_ENREF_43" w:tooltip="Grin, 2013 #801" w:history="1">
        <w:r w:rsidRPr="002F52A9">
          <w:rPr>
            <w:rFonts w:ascii="Times New Roman" w:hAnsi="Times New Roman" w:cs="Times New Roman"/>
            <w:lang w:val="it-IT"/>
          </w:rPr>
          <w:fldChar w:fldCharType="begin"/>
        </w:r>
        <w:r w:rsidRPr="002F52A9">
          <w:rPr>
            <w:rFonts w:ascii="Times New Roman" w:hAnsi="Times New Roman" w:cs="Times New Roman"/>
            <w:lang w:val="it-IT"/>
          </w:rPr>
          <w:instrText xml:space="preserve"> ADDIN EN.CITE &lt;EndNote&gt;&lt;Cite ExcludeAuth="1"&gt;&lt;Author&gt;Grin&lt;/Author&gt;&lt;Year&gt;2013&lt;/Year&gt;&lt;RecNum&gt;801&lt;/RecNum&gt;&lt;DisplayText&gt;2013&lt;/DisplayText&gt;&lt;record&gt;&lt;rec-number&gt;801&lt;/rec-number&gt;&lt;foreign-keys&gt;&lt;key app="EN" db-id="wvvszzd93a0z5wesdfpvdv9z5wrra5p05axp"&gt;801&lt;/key&gt;&lt;/foreign-keys&gt;&lt;ref-type name="Book Section"&gt;5&lt;/ref-type&gt;&lt;contributors&gt;&lt;authors&gt;&lt;author&gt;Grin, François&lt;/author&gt;&lt;author&gt;Gazzola, Michele&lt;/author&gt;&lt;/authors&gt;&lt;secondary-authors&gt;&lt;author&gt;Berthoud, Anne-Claude&lt;/author&gt;&lt;author&gt;Grin, François&lt;/author&gt;&lt;author&gt;Lüdi, Georges&lt;/author&gt;&lt;/secondary-authors&gt;&lt;/contributors&gt;&lt;titles&gt;&lt;title&gt;Assessing efficiency and fairness in multilingual communication: theory and application through indicators&lt;/title&gt;&lt;secondary-title&gt;Exploring the dynamics of multilingualism&lt;/secondary-title&gt;&lt;/titles&gt;&lt;pages&gt;365–386&lt;/pages&gt;&lt;dates&gt;&lt;year&gt;2013&lt;/year&gt;&lt;/dates&gt;&lt;pub-location&gt;Amsterdam&lt;/pub-location&gt;&lt;publisher&gt;John Benjamins&lt;/publisher&gt;&lt;urls&gt;&lt;/urls&gt;&lt;/record&gt;&lt;/Cite&gt;&lt;/EndNote&gt;</w:instrText>
        </w:r>
        <w:r w:rsidRPr="002F52A9">
          <w:rPr>
            <w:rFonts w:ascii="Times New Roman" w:hAnsi="Times New Roman" w:cs="Times New Roman"/>
            <w:lang w:val="it-IT"/>
          </w:rPr>
          <w:fldChar w:fldCharType="separate"/>
        </w:r>
        <w:r w:rsidRPr="002F52A9">
          <w:rPr>
            <w:rFonts w:ascii="Times New Roman" w:hAnsi="Times New Roman" w:cs="Times New Roman"/>
            <w:noProof/>
            <w:lang w:val="it-IT"/>
          </w:rPr>
          <w:t>2013</w:t>
        </w:r>
        <w:r w:rsidRPr="002F52A9">
          <w:rPr>
            <w:rFonts w:ascii="Times New Roman" w:hAnsi="Times New Roman" w:cs="Times New Roman"/>
            <w:lang w:val="it-IT"/>
          </w:rPr>
          <w:fldChar w:fldCharType="end"/>
        </w:r>
      </w:hyperlink>
      <w:r w:rsidRPr="002F52A9">
        <w:rPr>
          <w:rFonts w:ascii="Times New Roman" w:hAnsi="Times New Roman" w:cs="Times New Roman"/>
          <w:lang w:val="it-IT"/>
        </w:rPr>
        <w:t>), e disponibili su sito del progetto (</w:t>
      </w:r>
      <w:hyperlink r:id="rId3" w:history="1">
        <w:r w:rsidRPr="002F52A9">
          <w:rPr>
            <w:rStyle w:val="Hyperlink"/>
            <w:rFonts w:ascii="Times New Roman" w:hAnsi="Times New Roman" w:cs="Times New Roman"/>
            <w:lang w:val="it-IT"/>
          </w:rPr>
          <w:t>www.dylan-project.org</w:t>
        </w:r>
      </w:hyperlink>
      <w:r w:rsidRPr="002F52A9">
        <w:rPr>
          <w:rFonts w:ascii="Times New Roman" w:hAnsi="Times New Roman" w:cs="Times New Roman"/>
          <w:lang w:val="it-IT"/>
        </w:rPr>
        <w:t xml:space="preserve">) oppure sul sito Internet l’Osservatorio “Economia-Lingue-Formazione” dell’Università di Ginevra, </w:t>
      </w:r>
      <w:hyperlink r:id="rId4" w:history="1">
        <w:r w:rsidRPr="002F52A9">
          <w:rPr>
            <w:rStyle w:val="Hyperlink"/>
            <w:rFonts w:ascii="Times New Roman" w:hAnsi="Times New Roman" w:cs="Times New Roman"/>
            <w:lang w:val="it-IT"/>
          </w:rPr>
          <w:t>www.elf.unige.ch</w:t>
        </w:r>
      </w:hyperlink>
      <w:r w:rsidRPr="002F52A9">
        <w:rPr>
          <w:rFonts w:ascii="Times New Roman" w:hAnsi="Times New Roman" w:cs="Times New Roman"/>
          <w:lang w:val="it-IT"/>
        </w:rPr>
        <w:t>.</w:t>
      </w:r>
    </w:p>
  </w:footnote>
  <w:footnote w:id="34">
    <w:p w:rsidR="005A17D4" w:rsidRPr="002F52A9" w:rsidRDefault="005A17D4" w:rsidP="002F52A9">
      <w:pPr>
        <w:pStyle w:val="FootnoteText"/>
        <w:jc w:val="both"/>
        <w:rPr>
          <w:rFonts w:ascii="Times New Roman" w:hAnsi="Times New Roman" w:cs="Times New Roman"/>
          <w:lang w:val="it-IT"/>
        </w:rPr>
      </w:pPr>
      <w:r w:rsidRPr="002F52A9">
        <w:rPr>
          <w:rStyle w:val="FootnoteReference"/>
          <w:rFonts w:ascii="Times New Roman" w:hAnsi="Times New Roman" w:cs="Times New Roman"/>
        </w:rPr>
        <w:footnoteRef/>
      </w:r>
      <w:r w:rsidRPr="002F52A9">
        <w:rPr>
          <w:rFonts w:ascii="Times New Roman" w:hAnsi="Times New Roman" w:cs="Times New Roman"/>
          <w:lang w:val="it-IT"/>
        </w:rPr>
        <w:t xml:space="preserve"> </w:t>
      </w:r>
      <w:r w:rsidRPr="002F52A9">
        <w:rPr>
          <w:rFonts w:ascii="Times New Roman" w:hAnsi="Times New Roman" w:cs="Times New Roman"/>
          <w:noProof/>
          <w:lang w:val="it-IT"/>
        </w:rPr>
        <w:t xml:space="preserve">È </w:t>
      </w:r>
      <w:r w:rsidRPr="002F52A9">
        <w:rPr>
          <w:rFonts w:ascii="Times New Roman" w:hAnsi="Times New Roman" w:cs="Times New Roman"/>
          <w:lang w:val="it-IT"/>
        </w:rPr>
        <w:t>stato fatto notare che una politica coordinata volta a diffondere in modo capillare delle competenze in inglese nella popolazione europea non nativa, coniugata a un’applicazione decisa del principio di territorialità linguistica a salvaguardia delle altre lingue, potrebbe risolvere in modo accettabile i problemi collegati alle diseguaglianze connesse all’utilizzo di una sola lingua nella comunicazione europea (</w:t>
      </w:r>
      <w:hyperlink w:anchor="_ENREF_77" w:tooltip="Van Parijs, 2011 #794" w:history="1">
        <w:r w:rsidRPr="002F52A9">
          <w:rPr>
            <w:rFonts w:ascii="Times New Roman" w:hAnsi="Times New Roman" w:cs="Times New Roman"/>
            <w:lang w:val="it-IT"/>
          </w:rPr>
          <w:fldChar w:fldCharType="begin"/>
        </w:r>
        <w:r w:rsidRPr="002F52A9">
          <w:rPr>
            <w:rFonts w:ascii="Times New Roman" w:hAnsi="Times New Roman" w:cs="Times New Roman"/>
            <w:lang w:val="it-IT"/>
          </w:rPr>
          <w:instrText xml:space="preserve"> ADDIN EN.CITE &lt;EndNote&gt;&lt;Cite&gt;&lt;Author&gt;Van Parijs&lt;/Author&gt;&lt;Year&gt;2011&lt;/Year&gt;&lt;RecNum&gt;794&lt;/RecNum&gt;&lt;DisplayText&gt;Van Parijs 2011&lt;/DisplayText&gt;&lt;record&gt;&lt;rec-number&gt;794&lt;/rec-number&gt;&lt;foreign-keys&gt;&lt;key app="EN" db-id="wvvszzd93a0z5wesdfpvdv9z5wrra5p05axp"&gt;794&lt;/key&gt;&lt;/foreign-keys&gt;&lt;ref-type name="Book"&gt;6&lt;/ref-type&gt;&lt;contributors&gt;&lt;authors&gt;&lt;author&gt;Van Parijs, Philippe&lt;/author&gt;&lt;/authors&gt;&lt;/contributors&gt;&lt;titles&gt;&lt;title&gt;Linguistic justice for Europe and for the World&lt;/title&gt;&lt;/titles&gt;&lt;dates&gt;&lt;year&gt;2011&lt;/year&gt;&lt;/dates&gt;&lt;pub-location&gt;Oxford&lt;/pub-location&gt;&lt;publisher&gt;Oxford University Press&lt;/publisher&gt;&lt;urls&gt;&lt;/urls&gt;&lt;/record&gt;&lt;/Cite&gt;&lt;/EndNote&gt;</w:instrText>
        </w:r>
        <w:r w:rsidRPr="002F52A9">
          <w:rPr>
            <w:rFonts w:ascii="Times New Roman" w:hAnsi="Times New Roman" w:cs="Times New Roman"/>
            <w:lang w:val="it-IT"/>
          </w:rPr>
          <w:fldChar w:fldCharType="separate"/>
        </w:r>
        <w:r w:rsidRPr="002F52A9">
          <w:rPr>
            <w:rFonts w:ascii="Times New Roman" w:hAnsi="Times New Roman" w:cs="Times New Roman"/>
            <w:lang w:val="it-IT"/>
          </w:rPr>
          <w:t>Van Parijs 2011</w:t>
        </w:r>
        <w:r w:rsidRPr="002F52A9">
          <w:rPr>
            <w:rFonts w:ascii="Times New Roman" w:hAnsi="Times New Roman" w:cs="Times New Roman"/>
            <w:lang w:val="it-IT"/>
          </w:rPr>
          <w:fldChar w:fldCharType="end"/>
        </w:r>
      </w:hyperlink>
      <w:r w:rsidRPr="002F52A9">
        <w:rPr>
          <w:rFonts w:ascii="Times New Roman" w:hAnsi="Times New Roman" w:cs="Times New Roman"/>
          <w:lang w:val="it-IT"/>
        </w:rPr>
        <w:t>). Al di là del fatto che le due politiche risultano in realtà contraddittorie (</w:t>
      </w:r>
      <w:hyperlink w:anchor="_ENREF_56" w:tooltip="Lacey, 2013 #898" w:history="1">
        <w:r w:rsidRPr="002F52A9">
          <w:rPr>
            <w:rFonts w:ascii="Times New Roman" w:hAnsi="Times New Roman" w:cs="Times New Roman"/>
            <w:lang w:val="it-IT"/>
          </w:rPr>
          <w:fldChar w:fldCharType="begin"/>
        </w:r>
        <w:r w:rsidRPr="002F52A9">
          <w:rPr>
            <w:rFonts w:ascii="Times New Roman" w:hAnsi="Times New Roman" w:cs="Times New Roman"/>
            <w:lang w:val="it-IT"/>
          </w:rPr>
          <w:instrText xml:space="preserve"> ADDIN EN.CITE &lt;EndNote&gt;&lt;Cite&gt;&lt;Author&gt;Lacey&lt;/Author&gt;&lt;Year&gt;2013 in press&lt;/Year&gt;&lt;RecNum&gt;898&lt;/RecNum&gt;&lt;DisplayText&gt;Lacey 2013&lt;/DisplayText&gt;&lt;record&gt;&lt;rec-number&gt;898&lt;/rec-number&gt;&lt;foreign-keys&gt;&lt;key app="EN" db-id="wvvszzd93a0z5wesdfpvdv9z5wrra5p05axp"&gt;898&lt;/key&gt;&lt;/foreign-keys&gt;&lt;ref-type name="Journal Article"&gt;17&lt;/ref-type&gt;&lt;contributors&gt;&lt;authors&gt;&lt;author&gt;Lacey, Joseph&lt;/author&gt;&lt;/authors&gt;&lt;/contributors&gt;&lt;titles&gt;&lt;title&gt;Considerations on English as a Global Lingua Franca&lt;/title&gt;&lt;secondary-title&gt;Political Studies Review&lt;/secondary-title&gt;&lt;/titles&gt;&lt;periodical&gt;&lt;full-title&gt;Political Studies Review&lt;/full-title&gt;&lt;/periodical&gt;&lt;dates&gt;&lt;year&gt;2013&lt;/year&gt;&lt;/dates&gt;&lt;urls&gt;&lt;related-urls&gt;&lt;url&gt;doi: 10.1111/1478-9302.12004&lt;/url&gt;&lt;/related-urls&gt;&lt;/urls&gt;&lt;/record&gt;&lt;/Cite&gt;&lt;/EndNote&gt;</w:instrText>
        </w:r>
        <w:r w:rsidRPr="002F52A9">
          <w:rPr>
            <w:rFonts w:ascii="Times New Roman" w:hAnsi="Times New Roman" w:cs="Times New Roman"/>
            <w:lang w:val="it-IT"/>
          </w:rPr>
          <w:fldChar w:fldCharType="separate"/>
        </w:r>
        <w:r w:rsidRPr="002F52A9">
          <w:rPr>
            <w:rFonts w:ascii="Times New Roman" w:hAnsi="Times New Roman" w:cs="Times New Roman"/>
            <w:lang w:val="it-IT"/>
          </w:rPr>
          <w:t>Lacey 2013</w:t>
        </w:r>
        <w:r w:rsidRPr="002F52A9">
          <w:rPr>
            <w:rFonts w:ascii="Times New Roman" w:hAnsi="Times New Roman" w:cs="Times New Roman"/>
            <w:lang w:val="it-IT"/>
          </w:rPr>
          <w:fldChar w:fldCharType="end"/>
        </w:r>
      </w:hyperlink>
      <w:r w:rsidRPr="002F52A9">
        <w:rPr>
          <w:rFonts w:ascii="Times New Roman" w:hAnsi="Times New Roman" w:cs="Times New Roman"/>
          <w:lang w:val="it-IT"/>
        </w:rPr>
        <w:t xml:space="preserve">), restano da dirimere ancora molte questioni in merito alla fattibilità e all’opportunità di una siffatta politica linguistica (Grin </w:t>
      </w:r>
      <w:hyperlink w:anchor="_ENREF_38" w:tooltip="Grin, 2004 #159" w:history="1">
        <w:r w:rsidRPr="002F52A9">
          <w:rPr>
            <w:rFonts w:ascii="Times New Roman" w:hAnsi="Times New Roman" w:cs="Times New Roman"/>
            <w:lang w:val="it-IT"/>
          </w:rPr>
          <w:fldChar w:fldCharType="begin"/>
        </w:r>
        <w:r w:rsidRPr="002F52A9">
          <w:rPr>
            <w:rFonts w:ascii="Times New Roman" w:hAnsi="Times New Roman" w:cs="Times New Roman"/>
            <w:lang w:val="it-IT"/>
          </w:rPr>
          <w:instrText xml:space="preserve"> ADDIN EN.CITE &lt;EndNote&gt;&lt;Cite ExcludeAuth="1"&gt;&lt;Author&gt;Grin&lt;/Author&gt;&lt;Year&gt;2004&lt;/Year&gt;&lt;RecNum&gt;159&lt;/RecNum&gt;&lt;DisplayText&gt;2004a&lt;/DisplayText&gt;&lt;record&gt;&lt;rec-number&gt;159&lt;/rec-number&gt;&lt;foreign-keys&gt;&lt;key app="EN" db-id="wvvszzd93a0z5wesdfpvdv9z5wrra5p05axp"&gt;159&lt;/key&gt;&lt;/foreign-keys&gt;&lt;ref-type name="Journal Article"&gt;17&lt;/ref-type&gt;&lt;contributors&gt;&lt;authors&gt;&lt;author&gt;Grin, François&lt;/author&gt;&lt;/authors&gt;&lt;/contributors&gt;&lt;titles&gt;&lt;title&gt;&lt;style face="normal" font="default" size="100%"&gt;L&amp;apos;anglais comme &lt;/style&gt;&lt;style face="italic" font="default" size="100%"&gt;lingua franca: &lt;/style&gt;&lt;style face="normal" font="default" size="100%"&gt;questions de coût et d&amp;apos;équité. Commentaire sur l&amp;apos;article de Philippe Van Parijs&lt;/style&gt;&lt;/title&gt;&lt;secondary-title&gt;Économie publique&lt;/secondary-title&gt;&lt;/titles&gt;&lt;pages&gt;33-41&lt;/pages&gt;&lt;volume&gt;15&lt;/volume&gt;&lt;number&gt;2&lt;/number&gt;&lt;dates&gt;&lt;year&gt;2004&lt;/year&gt;&lt;/dates&gt;&lt;urls&gt;&lt;/urls&gt;&lt;/record&gt;&lt;/Cite&gt;&lt;/EndNote&gt;</w:instrText>
        </w:r>
        <w:r w:rsidRPr="002F52A9">
          <w:rPr>
            <w:rFonts w:ascii="Times New Roman" w:hAnsi="Times New Roman" w:cs="Times New Roman"/>
            <w:lang w:val="it-IT"/>
          </w:rPr>
          <w:fldChar w:fldCharType="separate"/>
        </w:r>
        <w:r w:rsidRPr="002F52A9">
          <w:rPr>
            <w:rFonts w:ascii="Times New Roman" w:hAnsi="Times New Roman" w:cs="Times New Roman"/>
            <w:lang w:val="it-IT"/>
          </w:rPr>
          <w:t>2004a</w:t>
        </w:r>
        <w:r w:rsidRPr="002F52A9">
          <w:rPr>
            <w:rFonts w:ascii="Times New Roman" w:hAnsi="Times New Roman" w:cs="Times New Roman"/>
            <w:lang w:val="it-IT"/>
          </w:rPr>
          <w:fldChar w:fldCharType="end"/>
        </w:r>
      </w:hyperlink>
      <w:r w:rsidRPr="002F52A9">
        <w:rPr>
          <w:rFonts w:ascii="Times New Roman" w:hAnsi="Times New Roman" w:cs="Times New Roman"/>
          <w:lang w:val="it-IT"/>
        </w:rPr>
        <w:t xml:space="preserve">, Barbier </w:t>
      </w:r>
      <w:hyperlink w:anchor="_ENREF_6" w:tooltip="Barbier, 2012 #808" w:history="1">
        <w:r w:rsidRPr="002F52A9">
          <w:rPr>
            <w:rFonts w:ascii="Times New Roman" w:hAnsi="Times New Roman" w:cs="Times New Roman"/>
            <w:lang w:val="it-IT"/>
          </w:rPr>
          <w:fldChar w:fldCharType="begin"/>
        </w:r>
        <w:r w:rsidRPr="002F52A9">
          <w:rPr>
            <w:rFonts w:ascii="Times New Roman" w:hAnsi="Times New Roman" w:cs="Times New Roman"/>
            <w:lang w:val="it-IT"/>
          </w:rPr>
          <w:instrText xml:space="preserve"> ADDIN EN.CITE &lt;EndNote&gt;&lt;Cite ExcludeAuth="1"&gt;&lt;Author&gt;Barbier&lt;/Author&gt;&lt;Year&gt;2012&lt;/Year&gt;&lt;RecNum&gt;808&lt;/RecNum&gt;&lt;DisplayText&gt;2012b&lt;/DisplayText&gt;&lt;record&gt;&lt;rec-number&gt;808&lt;/rec-number&gt;&lt;foreign-keys&gt;&lt;key app="EN" db-id="wvvszzd93a0z5wesdfpvdv9z5wrra5p05axp"&gt;808&lt;/key&gt;&lt;/foreign-keys&gt;&lt;ref-type name="Journal Article"&gt;17&lt;/ref-type&gt;&lt;contributors&gt;&lt;authors&gt;&lt;author&gt;Barbier, Jean-Claude&lt;/author&gt;&lt;/authors&gt;&lt;/contributors&gt;&lt;titles&gt;&lt;title&gt;&amp;apos;Une seule bannière linguistique pour une justice globale&amp;apos;, recension de Linguistic Justice for Europe and for the World, Philippe Van Parijs&lt;/title&gt;&lt;secondary-title&gt;Revue française de science politique&lt;/secondary-title&gt;&lt;/titles&gt;&lt;periodical&gt;&lt;full-title&gt;Revue française de science politique&lt;/full-title&gt;&lt;/periodical&gt;&lt;pages&gt;469-471&lt;/pages&gt;&lt;volume&gt;62&lt;/volume&gt;&lt;number&gt;3&lt;/number&gt;&lt;dates&gt;&lt;year&gt;2012&lt;/year&gt;&lt;/dates&gt;&lt;urls&gt;&lt;/urls&gt;&lt;/record&gt;&lt;/Cite&gt;&lt;/EndNote&gt;</w:instrText>
        </w:r>
        <w:r w:rsidRPr="002F52A9">
          <w:rPr>
            <w:rFonts w:ascii="Times New Roman" w:hAnsi="Times New Roman" w:cs="Times New Roman"/>
            <w:lang w:val="it-IT"/>
          </w:rPr>
          <w:fldChar w:fldCharType="separate"/>
        </w:r>
        <w:r w:rsidRPr="002F52A9">
          <w:rPr>
            <w:rFonts w:ascii="Times New Roman" w:hAnsi="Times New Roman" w:cs="Times New Roman"/>
            <w:noProof/>
            <w:lang w:val="it-IT"/>
          </w:rPr>
          <w:t>2012b</w:t>
        </w:r>
        <w:r w:rsidRPr="002F52A9">
          <w:rPr>
            <w:rFonts w:ascii="Times New Roman" w:hAnsi="Times New Roman" w:cs="Times New Roman"/>
            <w:lang w:val="it-IT"/>
          </w:rPr>
          <w:fldChar w:fldCharType="end"/>
        </w:r>
      </w:hyperlink>
      <w:r w:rsidRPr="002F52A9">
        <w:rPr>
          <w:rFonts w:ascii="Times New Roman" w:hAnsi="Times New Roman" w:cs="Times New Roman"/>
          <w:lang w:val="it-IT"/>
        </w:rPr>
        <w:t xml:space="preserve"> e Phillipson </w:t>
      </w:r>
      <w:hyperlink w:anchor="_ENREF_63" w:tooltip="Phillipson, 2012 #809" w:history="1">
        <w:r w:rsidRPr="002F52A9">
          <w:rPr>
            <w:rFonts w:ascii="Times New Roman" w:hAnsi="Times New Roman" w:cs="Times New Roman"/>
            <w:lang w:val="it-IT"/>
          </w:rPr>
          <w:fldChar w:fldCharType="begin"/>
        </w:r>
        <w:r w:rsidRPr="002F52A9">
          <w:rPr>
            <w:rFonts w:ascii="Times New Roman" w:hAnsi="Times New Roman" w:cs="Times New Roman"/>
            <w:lang w:val="it-IT"/>
          </w:rPr>
          <w:instrText xml:space="preserve"> ADDIN EN.CITE &lt;EndNote&gt;&lt;Cite ExcludeAuth="1"&gt;&lt;Author&gt;Phillipson&lt;/Author&gt;&lt;Year&gt;2012, forthcoming&lt;/Year&gt;&lt;RecNum&gt;809&lt;/RecNum&gt;&lt;DisplayText&gt;2012&lt;/DisplayText&gt;&lt;record&gt;&lt;rec-number&gt;809&lt;/rec-number&gt;&lt;foreign-keys&gt;&lt;key app="EN" db-id="wvvszzd93a0z5wesdfpvdv9z5wrra5p05axp"&gt;809&lt;/key&gt;&lt;/foreign-keys&gt;&lt;ref-type name="Journal Article"&gt;17&lt;/ref-type&gt;&lt;contributors&gt;&lt;authors&gt;&lt;author&gt;Phillipson, Robert&lt;/author&gt;&lt;/authors&gt;&lt;/contributors&gt;&lt;titles&gt;&lt;title&gt;Review Essay: Languages, Genocide and Justice in the European Integration Process&lt;/title&gt;&lt;secondary-title&gt;Journal of Contemporary European Studies&lt;/secondary-title&gt;&lt;/titles&gt;&lt;periodical&gt;&lt;full-title&gt;Journal of Contemporary European Studies&lt;/full-title&gt;&lt;/periodical&gt;&lt;pages&gt;377-414&lt;/pages&gt;&lt;volume&gt;20&lt;/volume&gt;&lt;number&gt;3&lt;/number&gt;&lt;dates&gt;&lt;year&gt;2012&lt;/year&gt;&lt;/dates&gt;&lt;urls&gt;&lt;/urls&gt;&lt;/record&gt;&lt;/Cite&gt;&lt;/EndNote&gt;</w:instrText>
        </w:r>
        <w:r w:rsidRPr="002F52A9">
          <w:rPr>
            <w:rFonts w:ascii="Times New Roman" w:hAnsi="Times New Roman" w:cs="Times New Roman"/>
            <w:lang w:val="it-IT"/>
          </w:rPr>
          <w:fldChar w:fldCharType="separate"/>
        </w:r>
        <w:r w:rsidRPr="002F52A9">
          <w:rPr>
            <w:rFonts w:ascii="Times New Roman" w:hAnsi="Times New Roman" w:cs="Times New Roman"/>
            <w:lang w:val="it-IT"/>
          </w:rPr>
          <w:t>2012</w:t>
        </w:r>
        <w:r w:rsidRPr="002F52A9">
          <w:rPr>
            <w:rFonts w:ascii="Times New Roman" w:hAnsi="Times New Roman" w:cs="Times New Roman"/>
            <w:lang w:val="it-IT"/>
          </w:rPr>
          <w:fldChar w:fldCharType="end"/>
        </w:r>
      </w:hyperlink>
      <w:r w:rsidRPr="002F52A9">
        <w:rPr>
          <w:rFonts w:ascii="Times New Roman" w:hAnsi="Times New Roman" w:cs="Times New Roman"/>
          <w:lang w:val="it-IT"/>
        </w:rPr>
        <w:t>).</w:t>
      </w:r>
    </w:p>
  </w:footnote>
  <w:footnote w:id="35">
    <w:p w:rsidR="005A17D4" w:rsidRPr="002F52A9" w:rsidRDefault="005A17D4" w:rsidP="002F52A9">
      <w:pPr>
        <w:pStyle w:val="FootnoteText"/>
        <w:jc w:val="both"/>
        <w:rPr>
          <w:rFonts w:ascii="Times New Roman" w:hAnsi="Times New Roman" w:cs="Times New Roman"/>
          <w:lang w:val="it-IT"/>
        </w:rPr>
      </w:pPr>
      <w:r w:rsidRPr="002F52A9">
        <w:rPr>
          <w:rStyle w:val="FootnoteReference"/>
          <w:rFonts w:ascii="Times New Roman" w:hAnsi="Times New Roman" w:cs="Times New Roman"/>
        </w:rPr>
        <w:footnoteRef/>
      </w:r>
      <w:r w:rsidRPr="002F52A9">
        <w:rPr>
          <w:rFonts w:ascii="Times New Roman" w:hAnsi="Times New Roman" w:cs="Times New Roman"/>
          <w:lang w:val="it-IT"/>
        </w:rPr>
        <w:t xml:space="preserve"> Si veda anche, fra gli altri </w:t>
      </w:r>
      <w:r w:rsidRPr="002F52A9">
        <w:rPr>
          <w:rFonts w:ascii="Times New Roman" w:hAnsi="Times New Roman" w:cs="Times New Roman"/>
          <w:noProof/>
          <w:lang w:val="it-IT"/>
        </w:rPr>
        <w:t>Romaine (</w:t>
      </w:r>
      <w:hyperlink w:anchor="_ENREF_67" w:tooltip="Romaine, 2013 #884" w:history="1">
        <w:r w:rsidRPr="002F52A9">
          <w:rPr>
            <w:rFonts w:ascii="Times New Roman" w:hAnsi="Times New Roman" w:cs="Times New Roman"/>
            <w:noProof/>
            <w:lang w:val="en-GB"/>
          </w:rPr>
          <w:fldChar w:fldCharType="begin"/>
        </w:r>
        <w:r w:rsidRPr="002F52A9">
          <w:rPr>
            <w:rFonts w:ascii="Times New Roman" w:hAnsi="Times New Roman" w:cs="Times New Roman"/>
            <w:noProof/>
            <w:lang w:val="it-IT"/>
          </w:rPr>
          <w:instrText xml:space="preserve"> ADDIN EN.CITE &lt;EndNote&gt;&lt;Cite ExcludeAuth="1"&gt;&lt;Author&gt;Romaine&lt;/Author&gt;&lt;Year&gt;2013&lt;/Year&gt;&lt;RecNum&gt;884&lt;/RecNum&gt;&lt;DisplayText&gt;2013&lt;/DisplayText&gt;&lt;record&gt;&lt;rec-number&gt;884&lt;/rec-number&gt;&lt;foreign-keys&gt;&lt;key app="EN" db-id="wvvszzd93a0z5wesdfpvdv9z5wrra5p05axp"&gt;884&lt;/key&gt;&lt;/foreign-keys&gt;&lt;ref-type name="Journal Article"&gt;17&lt;/ref-type&gt;&lt;contributors&gt;&lt;authors&gt;&lt;author&gt;Romaine, Suzanne&lt;/author&gt;&lt;/authors&gt;&lt;/contributors&gt;&lt;titles&gt;&lt;title&gt;Politics and policies of promoting multilingualism in the European Union&lt;/title&gt;&lt;secondary-title&gt;Language Policy&lt;/secondary-title&gt;&lt;/titles&gt;&lt;periodical&gt;&lt;full-title&gt;Language Policy&lt;/full-title&gt;&lt;/periodical&gt;&lt;pages&gt;115-137&lt;/pages&gt;&lt;volume&gt;12&lt;/volume&gt;&lt;dates&gt;&lt;year&gt;2013&lt;/year&gt;&lt;/dates&gt;&lt;urls&gt;&lt;/urls&gt;&lt;/record&gt;&lt;/Cite&gt;&lt;/EndNote&gt;</w:instrText>
        </w:r>
        <w:r w:rsidRPr="002F52A9">
          <w:rPr>
            <w:rFonts w:ascii="Times New Roman" w:hAnsi="Times New Roman" w:cs="Times New Roman"/>
            <w:noProof/>
            <w:lang w:val="en-GB"/>
          </w:rPr>
          <w:fldChar w:fldCharType="separate"/>
        </w:r>
        <w:r w:rsidRPr="002F52A9">
          <w:rPr>
            <w:rFonts w:ascii="Times New Roman" w:hAnsi="Times New Roman" w:cs="Times New Roman"/>
            <w:noProof/>
            <w:lang w:val="it-IT"/>
          </w:rPr>
          <w:t>2013</w:t>
        </w:r>
        <w:r w:rsidRPr="002F52A9">
          <w:rPr>
            <w:rFonts w:ascii="Times New Roman" w:hAnsi="Times New Roman" w:cs="Times New Roman"/>
            <w:noProof/>
            <w:lang w:val="en-GB"/>
          </w:rPr>
          <w:fldChar w:fldCharType="end"/>
        </w:r>
      </w:hyperlink>
      <w:r w:rsidRPr="002F52A9">
        <w:rPr>
          <w:rFonts w:ascii="Times New Roman" w:hAnsi="Times New Roman" w:cs="Times New Roman"/>
          <w:noProof/>
          <w:lang w:val="it-IT"/>
        </w:rPr>
        <w:t>)</w:t>
      </w:r>
      <w:r w:rsidRPr="002F52A9">
        <w:rPr>
          <w:rFonts w:ascii="Times New Roman" w:hAnsi="Times New Roman" w:cs="Times New Roman"/>
          <w:lang w:val="it-IT"/>
        </w:rPr>
        <w:t xml:space="preserve">. Si veda anche </w:t>
      </w:r>
      <w:r w:rsidRPr="002F52A9">
        <w:rPr>
          <w:rFonts w:ascii="Times New Roman" w:hAnsi="Times New Roman" w:cs="Times New Roman"/>
          <w:i/>
          <w:lang w:val="it-IT"/>
        </w:rPr>
        <w:t xml:space="preserve">The Economist </w:t>
      </w:r>
      <w:r w:rsidRPr="002F52A9">
        <w:rPr>
          <w:rFonts w:ascii="Times New Roman" w:hAnsi="Times New Roman" w:cs="Times New Roman"/>
          <w:lang w:val="it-IT"/>
        </w:rPr>
        <w:t>(</w:t>
      </w:r>
      <w:hyperlink w:anchor="_ENREF_74" w:tooltip="The Economist, 2013 #929" w:history="1">
        <w:r w:rsidRPr="002F52A9">
          <w:rPr>
            <w:rFonts w:ascii="Times New Roman" w:hAnsi="Times New Roman" w:cs="Times New Roman"/>
            <w:lang w:val="it-IT"/>
          </w:rPr>
          <w:fldChar w:fldCharType="begin"/>
        </w:r>
        <w:r w:rsidRPr="002F52A9">
          <w:rPr>
            <w:rFonts w:ascii="Times New Roman" w:hAnsi="Times New Roman" w:cs="Times New Roman"/>
            <w:lang w:val="it-IT"/>
          </w:rPr>
          <w:instrText xml:space="preserve"> ADDIN EN.CITE &lt;EndNote&gt;&lt;Cite ExcludeAuth="1"&gt;&lt;Author&gt;The Economist&lt;/Author&gt;&lt;Year&gt;2013&lt;/Year&gt;&lt;RecNum&gt;929&lt;/RecNum&gt;&lt;DisplayText&gt;2013&lt;/DisplayText&gt;&lt;record&gt;&lt;rec-number&gt;929&lt;/rec-number&gt;&lt;foreign-keys&gt;&lt;key app="EN" db-id="wvvszzd93a0z5wesdfpvdv9z5wrra5p05axp"&gt;929&lt;/key&gt;&lt;/foreign-keys&gt;&lt;ref-type name="Newspaper Article"&gt;23&lt;/ref-type&gt;&lt;contributors&gt;&lt;authors&gt;&lt;author&gt;The Economist,&lt;/author&gt;&lt;/authors&gt;&lt;/contributors&gt;&lt;titles&gt;&lt;title&gt;Language diversity: Johnson: Just speak English?&lt;/title&gt;&lt;secondary-title&gt;The Economist&lt;/secondary-title&gt;&lt;/titles&gt;&lt;dates&gt;&lt;year&gt;2013&lt;/year&gt;&lt;pub-dates&gt;&lt;date&gt;17 settembre 2013&lt;/date&gt;&lt;/pub-dates&gt;&lt;/dates&gt;&lt;urls&gt;&lt;/urls&gt;&lt;/record&gt;&lt;/Cite&gt;&lt;/EndNote&gt;</w:instrText>
        </w:r>
        <w:r w:rsidRPr="002F52A9">
          <w:rPr>
            <w:rFonts w:ascii="Times New Roman" w:hAnsi="Times New Roman" w:cs="Times New Roman"/>
            <w:lang w:val="it-IT"/>
          </w:rPr>
          <w:fldChar w:fldCharType="separate"/>
        </w:r>
        <w:r w:rsidRPr="002F52A9">
          <w:rPr>
            <w:rFonts w:ascii="Times New Roman" w:hAnsi="Times New Roman" w:cs="Times New Roman"/>
            <w:noProof/>
            <w:lang w:val="it-IT"/>
          </w:rPr>
          <w:t>2013</w:t>
        </w:r>
        <w:r w:rsidRPr="002F52A9">
          <w:rPr>
            <w:rFonts w:ascii="Times New Roman" w:hAnsi="Times New Roman" w:cs="Times New Roman"/>
            <w:lang w:val="it-IT"/>
          </w:rPr>
          <w:fldChar w:fldCharType="end"/>
        </w:r>
      </w:hyperlink>
      <w:r w:rsidRPr="002F52A9">
        <w:rPr>
          <w:rFonts w:ascii="Times New Roman" w:hAnsi="Times New Roman" w:cs="Times New Roman"/>
          <w:lang w:val="it-IT"/>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A0224"/>
    <w:multiLevelType w:val="hybridMultilevel"/>
    <w:tmpl w:val="B9C89EA8"/>
    <w:lvl w:ilvl="0" w:tplc="20B67170">
      <w:start w:val="1"/>
      <w:numFmt w:val="decimal"/>
      <w:lvlText w:val="%1."/>
      <w:lvlJc w:val="left"/>
      <w:pPr>
        <w:ind w:left="720" w:hanging="360"/>
      </w:pPr>
      <w:rPr>
        <w:rFonts w:ascii="Andalus" w:hAnsi="Andalus" w:hint="default"/>
        <w:sz w:val="18"/>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30CA77E9"/>
    <w:multiLevelType w:val="hybridMultilevel"/>
    <w:tmpl w:val="2A767D40"/>
    <w:lvl w:ilvl="0" w:tplc="100C000F">
      <w:start w:val="1"/>
      <w:numFmt w:val="decimal"/>
      <w:lvlText w:val="%1."/>
      <w:lvlJc w:val="left"/>
      <w:pPr>
        <w:ind w:left="720" w:hanging="360"/>
      </w:pPr>
    </w:lvl>
    <w:lvl w:ilvl="1" w:tplc="100C000F">
      <w:start w:val="1"/>
      <w:numFmt w:val="decimal"/>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3A3E0B51"/>
    <w:multiLevelType w:val="hybridMultilevel"/>
    <w:tmpl w:val="4ACE507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3BFF6FD5"/>
    <w:multiLevelType w:val="hybridMultilevel"/>
    <w:tmpl w:val="415E35BC"/>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411C13C9"/>
    <w:multiLevelType w:val="hybridMultilevel"/>
    <w:tmpl w:val="6F906A32"/>
    <w:lvl w:ilvl="0" w:tplc="100C0001">
      <w:start w:val="1"/>
      <w:numFmt w:val="bullet"/>
      <w:lvlText w:val=""/>
      <w:lvlJc w:val="left"/>
      <w:pPr>
        <w:ind w:left="720" w:hanging="360"/>
      </w:pPr>
      <w:rPr>
        <w:rFonts w:ascii="Symbol" w:hAnsi="Symbol"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41510EFD"/>
    <w:multiLevelType w:val="hybridMultilevel"/>
    <w:tmpl w:val="73CE170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49D06ABE"/>
    <w:multiLevelType w:val="hybridMultilevel"/>
    <w:tmpl w:val="E9C864DE"/>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561243F4"/>
    <w:multiLevelType w:val="hybridMultilevel"/>
    <w:tmpl w:val="321839B0"/>
    <w:lvl w:ilvl="0" w:tplc="100C0001">
      <w:start w:val="1"/>
      <w:numFmt w:val="bullet"/>
      <w:lvlText w:val=""/>
      <w:lvlJc w:val="left"/>
      <w:pPr>
        <w:ind w:left="720" w:hanging="360"/>
      </w:pPr>
      <w:rPr>
        <w:rFonts w:ascii="Symbol" w:hAnsi="Symbol"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6FDC0ABC"/>
    <w:multiLevelType w:val="hybridMultilevel"/>
    <w:tmpl w:val="F17824A4"/>
    <w:lvl w:ilvl="0" w:tplc="100C0001">
      <w:start w:val="1"/>
      <w:numFmt w:val="bullet"/>
      <w:lvlText w:val=""/>
      <w:lvlJc w:val="left"/>
      <w:pPr>
        <w:ind w:left="720" w:hanging="360"/>
      </w:pPr>
      <w:rPr>
        <w:rFonts w:ascii="Symbol" w:hAnsi="Symbol"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73C06B79"/>
    <w:multiLevelType w:val="hybridMultilevel"/>
    <w:tmpl w:val="945CF4D8"/>
    <w:lvl w:ilvl="0" w:tplc="100C0011">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74F9424B"/>
    <w:multiLevelType w:val="hybridMultilevel"/>
    <w:tmpl w:val="E9C864DE"/>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75B4514C"/>
    <w:multiLevelType w:val="hybridMultilevel"/>
    <w:tmpl w:val="1A9C32CE"/>
    <w:lvl w:ilvl="0" w:tplc="100C000F">
      <w:start w:val="1"/>
      <w:numFmt w:val="decimal"/>
      <w:lvlText w:val="%1."/>
      <w:lvlJc w:val="left"/>
      <w:pPr>
        <w:ind w:left="720" w:hanging="360"/>
      </w:pPr>
      <w:rPr>
        <w:rFonts w:hint="default"/>
        <w:sz w:val="18"/>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2"/>
  </w:num>
  <w:num w:numId="5">
    <w:abstractNumId w:val="8"/>
  </w:num>
  <w:num w:numId="6">
    <w:abstractNumId w:val="10"/>
  </w:num>
  <w:num w:numId="7">
    <w:abstractNumId w:val="6"/>
  </w:num>
  <w:num w:numId="8">
    <w:abstractNumId w:val="4"/>
  </w:num>
  <w:num w:numId="9">
    <w:abstractNumId w:val="9"/>
  </w:num>
  <w:num w:numId="10">
    <w:abstractNumId w:val="0"/>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Michele Generico&lt;/Style&gt;&lt;LeftDelim&gt;{&lt;/LeftDelim&gt;&lt;RightDelim&gt;}&lt;/RightDelim&gt;&lt;FontName&gt;Palatino Linotype&lt;/FontName&gt;&lt;FontSize&gt;10&lt;/FontSize&gt;&lt;ReflistTitle&gt;&lt;/ReflistTitle&gt;&lt;StartingRefnum&gt;1&lt;/StartingRefnum&gt;&lt;FirstLineIndent&gt;0&lt;/FirstLineIndent&gt;&lt;HangingIndent&gt;720&lt;/HangingIndent&gt;&lt;LineSpacing&gt;1&lt;/LineSpacing&gt;&lt;SpaceAfter&gt;0&lt;/SpaceAfter&gt;&lt;HyperlinksEnabled&gt;1&lt;/HyperlinksEnabled&gt;&lt;HyperlinksVisible&gt;0&lt;/HyperlinksVisible&gt;&lt;/ENLayout&gt;"/>
    <w:docVar w:name="EN.Libraries" w:val="&lt;Libraries&gt;&lt;item db-id=&quot;wvvszzd93a0z5wesdfpvdv9z5wrra5p05axp&quot;&gt;Libreria Generale EndNote&lt;record-ids&gt;&lt;item&gt;49&lt;/item&gt;&lt;item&gt;64&lt;/item&gt;&lt;item&gt;67&lt;/item&gt;&lt;item&gt;68&lt;/item&gt;&lt;item&gt;73&lt;/item&gt;&lt;item&gt;75&lt;/item&gt;&lt;item&gt;78&lt;/item&gt;&lt;item&gt;86&lt;/item&gt;&lt;item&gt;115&lt;/item&gt;&lt;item&gt;125&lt;/item&gt;&lt;item&gt;159&lt;/item&gt;&lt;item&gt;178&lt;/item&gt;&lt;item&gt;194&lt;/item&gt;&lt;item&gt;199&lt;/item&gt;&lt;item&gt;227&lt;/item&gt;&lt;item&gt;238&lt;/item&gt;&lt;item&gt;240&lt;/item&gt;&lt;item&gt;242&lt;/item&gt;&lt;item&gt;278&lt;/item&gt;&lt;item&gt;296&lt;/item&gt;&lt;item&gt;303&lt;/item&gt;&lt;item&gt;308&lt;/item&gt;&lt;item&gt;309&lt;/item&gt;&lt;item&gt;372&lt;/item&gt;&lt;item&gt;445&lt;/item&gt;&lt;item&gt;457&lt;/item&gt;&lt;item&gt;471&lt;/item&gt;&lt;item&gt;473&lt;/item&gt;&lt;item&gt;484&lt;/item&gt;&lt;item&gt;516&lt;/item&gt;&lt;item&gt;551&lt;/item&gt;&lt;item&gt;562&lt;/item&gt;&lt;item&gt;574&lt;/item&gt;&lt;item&gt;618&lt;/item&gt;&lt;item&gt;619&lt;/item&gt;&lt;item&gt;770&lt;/item&gt;&lt;item&gt;782&lt;/item&gt;&lt;item&gt;793&lt;/item&gt;&lt;item&gt;794&lt;/item&gt;&lt;item&gt;797&lt;/item&gt;&lt;item&gt;801&lt;/item&gt;&lt;item&gt;802&lt;/item&gt;&lt;item&gt;803&lt;/item&gt;&lt;item&gt;804&lt;/item&gt;&lt;item&gt;808&lt;/item&gt;&lt;item&gt;809&lt;/item&gt;&lt;item&gt;810&lt;/item&gt;&lt;item&gt;812&lt;/item&gt;&lt;item&gt;823&lt;/item&gt;&lt;item&gt;824&lt;/item&gt;&lt;item&gt;827&lt;/item&gt;&lt;item&gt;860&lt;/item&gt;&lt;item&gt;864&lt;/item&gt;&lt;item&gt;880&lt;/item&gt;&lt;item&gt;882&lt;/item&gt;&lt;item&gt;884&lt;/item&gt;&lt;item&gt;886&lt;/item&gt;&lt;item&gt;887&lt;/item&gt;&lt;item&gt;889&lt;/item&gt;&lt;item&gt;898&lt;/item&gt;&lt;item&gt;918&lt;/item&gt;&lt;item&gt;919&lt;/item&gt;&lt;item&gt;920&lt;/item&gt;&lt;item&gt;921&lt;/item&gt;&lt;item&gt;922&lt;/item&gt;&lt;item&gt;923&lt;/item&gt;&lt;item&gt;924&lt;/item&gt;&lt;item&gt;925&lt;/item&gt;&lt;item&gt;926&lt;/item&gt;&lt;item&gt;927&lt;/item&gt;&lt;item&gt;928&lt;/item&gt;&lt;item&gt;929&lt;/item&gt;&lt;item&gt;930&lt;/item&gt;&lt;item&gt;938&lt;/item&gt;&lt;item&gt;942&lt;/item&gt;&lt;item&gt;943&lt;/item&gt;&lt;item&gt;945&lt;/item&gt;&lt;item&gt;946&lt;/item&gt;&lt;/record-ids&gt;&lt;/item&gt;&lt;/Libraries&gt;"/>
  </w:docVars>
  <w:rsids>
    <w:rsidRoot w:val="00FA55A7"/>
    <w:rsid w:val="00000342"/>
    <w:rsid w:val="00000541"/>
    <w:rsid w:val="000023BB"/>
    <w:rsid w:val="00004833"/>
    <w:rsid w:val="0001444E"/>
    <w:rsid w:val="00015622"/>
    <w:rsid w:val="00016AA6"/>
    <w:rsid w:val="00024E7E"/>
    <w:rsid w:val="0002724C"/>
    <w:rsid w:val="000277DC"/>
    <w:rsid w:val="000306BD"/>
    <w:rsid w:val="000329C3"/>
    <w:rsid w:val="00033A78"/>
    <w:rsid w:val="0003798B"/>
    <w:rsid w:val="000449C7"/>
    <w:rsid w:val="00044E96"/>
    <w:rsid w:val="00045315"/>
    <w:rsid w:val="000462BF"/>
    <w:rsid w:val="00047196"/>
    <w:rsid w:val="00047274"/>
    <w:rsid w:val="0005178A"/>
    <w:rsid w:val="00053422"/>
    <w:rsid w:val="00053EE0"/>
    <w:rsid w:val="00054FD7"/>
    <w:rsid w:val="000552A7"/>
    <w:rsid w:val="000575E1"/>
    <w:rsid w:val="00062662"/>
    <w:rsid w:val="000660BE"/>
    <w:rsid w:val="000665B0"/>
    <w:rsid w:val="00066C39"/>
    <w:rsid w:val="00066FD3"/>
    <w:rsid w:val="000706D3"/>
    <w:rsid w:val="00071524"/>
    <w:rsid w:val="0007172F"/>
    <w:rsid w:val="00071755"/>
    <w:rsid w:val="00071A0D"/>
    <w:rsid w:val="000722B4"/>
    <w:rsid w:val="000725CB"/>
    <w:rsid w:val="0007344F"/>
    <w:rsid w:val="000765C3"/>
    <w:rsid w:val="00080643"/>
    <w:rsid w:val="00082499"/>
    <w:rsid w:val="00085BA6"/>
    <w:rsid w:val="00087B27"/>
    <w:rsid w:val="00090F24"/>
    <w:rsid w:val="00092A3B"/>
    <w:rsid w:val="00096018"/>
    <w:rsid w:val="00097D6B"/>
    <w:rsid w:val="000A4AFC"/>
    <w:rsid w:val="000A6C46"/>
    <w:rsid w:val="000B1775"/>
    <w:rsid w:val="000B1BE2"/>
    <w:rsid w:val="000B25E0"/>
    <w:rsid w:val="000B7FBB"/>
    <w:rsid w:val="000C0969"/>
    <w:rsid w:val="000C0979"/>
    <w:rsid w:val="000C1DFB"/>
    <w:rsid w:val="000C4DC5"/>
    <w:rsid w:val="000D074E"/>
    <w:rsid w:val="000D1E0C"/>
    <w:rsid w:val="000D3811"/>
    <w:rsid w:val="000D6478"/>
    <w:rsid w:val="000E0CC0"/>
    <w:rsid w:val="000E2CF2"/>
    <w:rsid w:val="000E2F81"/>
    <w:rsid w:val="000E3495"/>
    <w:rsid w:val="000E3628"/>
    <w:rsid w:val="000E682B"/>
    <w:rsid w:val="000F3F88"/>
    <w:rsid w:val="000F4745"/>
    <w:rsid w:val="00101624"/>
    <w:rsid w:val="00103833"/>
    <w:rsid w:val="00104FE8"/>
    <w:rsid w:val="0011066F"/>
    <w:rsid w:val="00112B5E"/>
    <w:rsid w:val="001144C0"/>
    <w:rsid w:val="00122E8D"/>
    <w:rsid w:val="0012490D"/>
    <w:rsid w:val="00130ABB"/>
    <w:rsid w:val="00131F2A"/>
    <w:rsid w:val="00133042"/>
    <w:rsid w:val="00133715"/>
    <w:rsid w:val="00135337"/>
    <w:rsid w:val="00135B5F"/>
    <w:rsid w:val="00136937"/>
    <w:rsid w:val="00143DED"/>
    <w:rsid w:val="001450CC"/>
    <w:rsid w:val="00146E19"/>
    <w:rsid w:val="001475B0"/>
    <w:rsid w:val="00147D5E"/>
    <w:rsid w:val="0015022D"/>
    <w:rsid w:val="00154392"/>
    <w:rsid w:val="00160CA0"/>
    <w:rsid w:val="00164630"/>
    <w:rsid w:val="00164EBB"/>
    <w:rsid w:val="001667F4"/>
    <w:rsid w:val="00176813"/>
    <w:rsid w:val="00177BF1"/>
    <w:rsid w:val="001806E0"/>
    <w:rsid w:val="00182F1D"/>
    <w:rsid w:val="001859A3"/>
    <w:rsid w:val="00187173"/>
    <w:rsid w:val="00187EBC"/>
    <w:rsid w:val="001904E7"/>
    <w:rsid w:val="001973F8"/>
    <w:rsid w:val="00197BC9"/>
    <w:rsid w:val="001A2803"/>
    <w:rsid w:val="001A4260"/>
    <w:rsid w:val="001A66C8"/>
    <w:rsid w:val="001A6A5C"/>
    <w:rsid w:val="001A75E1"/>
    <w:rsid w:val="001B0A9D"/>
    <w:rsid w:val="001C2D2F"/>
    <w:rsid w:val="001D1CB6"/>
    <w:rsid w:val="001D2C4F"/>
    <w:rsid w:val="001D4E1B"/>
    <w:rsid w:val="001E1201"/>
    <w:rsid w:val="001E28B0"/>
    <w:rsid w:val="001E3C40"/>
    <w:rsid w:val="001F27D2"/>
    <w:rsid w:val="001F4057"/>
    <w:rsid w:val="001F42EC"/>
    <w:rsid w:val="001F4C12"/>
    <w:rsid w:val="001F5AD5"/>
    <w:rsid w:val="001F5D09"/>
    <w:rsid w:val="00202BF4"/>
    <w:rsid w:val="00202FDA"/>
    <w:rsid w:val="0020378C"/>
    <w:rsid w:val="00215B30"/>
    <w:rsid w:val="00215E2B"/>
    <w:rsid w:val="00216B16"/>
    <w:rsid w:val="002235D0"/>
    <w:rsid w:val="00224386"/>
    <w:rsid w:val="00225E56"/>
    <w:rsid w:val="00226B1F"/>
    <w:rsid w:val="002274A3"/>
    <w:rsid w:val="00230840"/>
    <w:rsid w:val="00230DB8"/>
    <w:rsid w:val="00230FD8"/>
    <w:rsid w:val="002347F7"/>
    <w:rsid w:val="002365D0"/>
    <w:rsid w:val="00243EF4"/>
    <w:rsid w:val="0024763B"/>
    <w:rsid w:val="00247984"/>
    <w:rsid w:val="002555B5"/>
    <w:rsid w:val="0025739E"/>
    <w:rsid w:val="00261205"/>
    <w:rsid w:val="00263E8E"/>
    <w:rsid w:val="00267292"/>
    <w:rsid w:val="00271B90"/>
    <w:rsid w:val="00273177"/>
    <w:rsid w:val="00273CE3"/>
    <w:rsid w:val="00280967"/>
    <w:rsid w:val="00281125"/>
    <w:rsid w:val="002829F8"/>
    <w:rsid w:val="00284C98"/>
    <w:rsid w:val="0029172E"/>
    <w:rsid w:val="00295D92"/>
    <w:rsid w:val="002A046E"/>
    <w:rsid w:val="002B13C0"/>
    <w:rsid w:val="002B150C"/>
    <w:rsid w:val="002B4030"/>
    <w:rsid w:val="002B455B"/>
    <w:rsid w:val="002B7298"/>
    <w:rsid w:val="002C22EA"/>
    <w:rsid w:val="002C377A"/>
    <w:rsid w:val="002C58DF"/>
    <w:rsid w:val="002C6A74"/>
    <w:rsid w:val="002D33DF"/>
    <w:rsid w:val="002D4156"/>
    <w:rsid w:val="002D47F6"/>
    <w:rsid w:val="002D70A5"/>
    <w:rsid w:val="002E03F2"/>
    <w:rsid w:val="002E1420"/>
    <w:rsid w:val="002F52A9"/>
    <w:rsid w:val="002F5BE9"/>
    <w:rsid w:val="002F614C"/>
    <w:rsid w:val="002F6939"/>
    <w:rsid w:val="00300944"/>
    <w:rsid w:val="00301F4B"/>
    <w:rsid w:val="0030719A"/>
    <w:rsid w:val="003111A5"/>
    <w:rsid w:val="003124C6"/>
    <w:rsid w:val="00312B97"/>
    <w:rsid w:val="00312D1C"/>
    <w:rsid w:val="00316987"/>
    <w:rsid w:val="00316BDC"/>
    <w:rsid w:val="00317DA7"/>
    <w:rsid w:val="00330360"/>
    <w:rsid w:val="00331CF8"/>
    <w:rsid w:val="00334FE1"/>
    <w:rsid w:val="003375F6"/>
    <w:rsid w:val="00340690"/>
    <w:rsid w:val="003425F5"/>
    <w:rsid w:val="003432D3"/>
    <w:rsid w:val="00343963"/>
    <w:rsid w:val="00343EFC"/>
    <w:rsid w:val="003477A2"/>
    <w:rsid w:val="003521E9"/>
    <w:rsid w:val="00355250"/>
    <w:rsid w:val="0036000A"/>
    <w:rsid w:val="00364A94"/>
    <w:rsid w:val="003660C5"/>
    <w:rsid w:val="00367925"/>
    <w:rsid w:val="0037100B"/>
    <w:rsid w:val="00372802"/>
    <w:rsid w:val="00372993"/>
    <w:rsid w:val="00373B0D"/>
    <w:rsid w:val="00382570"/>
    <w:rsid w:val="00384C5F"/>
    <w:rsid w:val="00385BDD"/>
    <w:rsid w:val="003865ED"/>
    <w:rsid w:val="0039566F"/>
    <w:rsid w:val="00396A75"/>
    <w:rsid w:val="003A1003"/>
    <w:rsid w:val="003A1587"/>
    <w:rsid w:val="003A3B29"/>
    <w:rsid w:val="003A4A69"/>
    <w:rsid w:val="003A53DD"/>
    <w:rsid w:val="003A7DBF"/>
    <w:rsid w:val="003B01EE"/>
    <w:rsid w:val="003B075A"/>
    <w:rsid w:val="003B2C1A"/>
    <w:rsid w:val="003B787F"/>
    <w:rsid w:val="003C168D"/>
    <w:rsid w:val="003C3D1C"/>
    <w:rsid w:val="003C3F05"/>
    <w:rsid w:val="003D1BEA"/>
    <w:rsid w:val="003D4151"/>
    <w:rsid w:val="003E58D5"/>
    <w:rsid w:val="003E6BA6"/>
    <w:rsid w:val="003F411A"/>
    <w:rsid w:val="003F4CD7"/>
    <w:rsid w:val="00401DC8"/>
    <w:rsid w:val="00403AFD"/>
    <w:rsid w:val="00403D0C"/>
    <w:rsid w:val="00404DA1"/>
    <w:rsid w:val="00406589"/>
    <w:rsid w:val="0041086E"/>
    <w:rsid w:val="0041158B"/>
    <w:rsid w:val="00412A7A"/>
    <w:rsid w:val="0041659E"/>
    <w:rsid w:val="0041703A"/>
    <w:rsid w:val="004170CE"/>
    <w:rsid w:val="00424992"/>
    <w:rsid w:val="00425EAC"/>
    <w:rsid w:val="004273C1"/>
    <w:rsid w:val="0043572F"/>
    <w:rsid w:val="00435989"/>
    <w:rsid w:val="00441918"/>
    <w:rsid w:val="00441C44"/>
    <w:rsid w:val="00446816"/>
    <w:rsid w:val="00452562"/>
    <w:rsid w:val="00454EA9"/>
    <w:rsid w:val="00463385"/>
    <w:rsid w:val="00464A96"/>
    <w:rsid w:val="00465A88"/>
    <w:rsid w:val="00466021"/>
    <w:rsid w:val="004736C0"/>
    <w:rsid w:val="004823AD"/>
    <w:rsid w:val="004825ED"/>
    <w:rsid w:val="00482796"/>
    <w:rsid w:val="00486AD8"/>
    <w:rsid w:val="004879F7"/>
    <w:rsid w:val="00491B1A"/>
    <w:rsid w:val="004930BB"/>
    <w:rsid w:val="004934E3"/>
    <w:rsid w:val="00493604"/>
    <w:rsid w:val="00493F2A"/>
    <w:rsid w:val="004941FD"/>
    <w:rsid w:val="004948CC"/>
    <w:rsid w:val="0049544F"/>
    <w:rsid w:val="004A0059"/>
    <w:rsid w:val="004A10FC"/>
    <w:rsid w:val="004A189B"/>
    <w:rsid w:val="004A2740"/>
    <w:rsid w:val="004A2E6A"/>
    <w:rsid w:val="004A35D9"/>
    <w:rsid w:val="004A6D92"/>
    <w:rsid w:val="004A7039"/>
    <w:rsid w:val="004B3F72"/>
    <w:rsid w:val="004C367C"/>
    <w:rsid w:val="004C3AA4"/>
    <w:rsid w:val="004C4667"/>
    <w:rsid w:val="004D15DD"/>
    <w:rsid w:val="004D20B1"/>
    <w:rsid w:val="004E2D71"/>
    <w:rsid w:val="004E5CE9"/>
    <w:rsid w:val="004E5F73"/>
    <w:rsid w:val="004F018F"/>
    <w:rsid w:val="004F49B9"/>
    <w:rsid w:val="004F5595"/>
    <w:rsid w:val="004F649F"/>
    <w:rsid w:val="005037F6"/>
    <w:rsid w:val="00511343"/>
    <w:rsid w:val="00511F1C"/>
    <w:rsid w:val="00517D00"/>
    <w:rsid w:val="0052360C"/>
    <w:rsid w:val="005246A0"/>
    <w:rsid w:val="00532590"/>
    <w:rsid w:val="00535FB2"/>
    <w:rsid w:val="00536024"/>
    <w:rsid w:val="00541112"/>
    <w:rsid w:val="00541757"/>
    <w:rsid w:val="00543757"/>
    <w:rsid w:val="0055005A"/>
    <w:rsid w:val="00553837"/>
    <w:rsid w:val="005616BE"/>
    <w:rsid w:val="005617AC"/>
    <w:rsid w:val="00562F50"/>
    <w:rsid w:val="00565062"/>
    <w:rsid w:val="00565C60"/>
    <w:rsid w:val="00571324"/>
    <w:rsid w:val="00571B89"/>
    <w:rsid w:val="00576063"/>
    <w:rsid w:val="005831F2"/>
    <w:rsid w:val="00584597"/>
    <w:rsid w:val="00585DA7"/>
    <w:rsid w:val="005861C1"/>
    <w:rsid w:val="00592EE7"/>
    <w:rsid w:val="00594B1D"/>
    <w:rsid w:val="005952B2"/>
    <w:rsid w:val="005A17D4"/>
    <w:rsid w:val="005A1E18"/>
    <w:rsid w:val="005A3797"/>
    <w:rsid w:val="005C4B12"/>
    <w:rsid w:val="005C6912"/>
    <w:rsid w:val="005D1ED8"/>
    <w:rsid w:val="005D7379"/>
    <w:rsid w:val="005E17AE"/>
    <w:rsid w:val="005E1C3A"/>
    <w:rsid w:val="005E3BBB"/>
    <w:rsid w:val="005E4960"/>
    <w:rsid w:val="005F1449"/>
    <w:rsid w:val="005F6638"/>
    <w:rsid w:val="006007E8"/>
    <w:rsid w:val="00602181"/>
    <w:rsid w:val="00604250"/>
    <w:rsid w:val="00607177"/>
    <w:rsid w:val="00611DBA"/>
    <w:rsid w:val="0061486F"/>
    <w:rsid w:val="00616A50"/>
    <w:rsid w:val="00624CFB"/>
    <w:rsid w:val="006258DD"/>
    <w:rsid w:val="00625ECE"/>
    <w:rsid w:val="00626A40"/>
    <w:rsid w:val="006324D1"/>
    <w:rsid w:val="00633970"/>
    <w:rsid w:val="00654A6F"/>
    <w:rsid w:val="006558A4"/>
    <w:rsid w:val="006617F4"/>
    <w:rsid w:val="0066418D"/>
    <w:rsid w:val="006642CD"/>
    <w:rsid w:val="00665015"/>
    <w:rsid w:val="00666678"/>
    <w:rsid w:val="0067066A"/>
    <w:rsid w:val="00670932"/>
    <w:rsid w:val="0067095F"/>
    <w:rsid w:val="006721CC"/>
    <w:rsid w:val="00677E27"/>
    <w:rsid w:val="0068447F"/>
    <w:rsid w:val="00686BAE"/>
    <w:rsid w:val="006876B9"/>
    <w:rsid w:val="00690BE8"/>
    <w:rsid w:val="00695490"/>
    <w:rsid w:val="006A2443"/>
    <w:rsid w:val="006A49B3"/>
    <w:rsid w:val="006A65E0"/>
    <w:rsid w:val="006A7B82"/>
    <w:rsid w:val="006B4D6C"/>
    <w:rsid w:val="006B51A2"/>
    <w:rsid w:val="006B5679"/>
    <w:rsid w:val="006C095F"/>
    <w:rsid w:val="006C2813"/>
    <w:rsid w:val="006C7504"/>
    <w:rsid w:val="006D0CB8"/>
    <w:rsid w:val="006D60C3"/>
    <w:rsid w:val="006E112B"/>
    <w:rsid w:val="006E2A79"/>
    <w:rsid w:val="006E6E65"/>
    <w:rsid w:val="006F07C8"/>
    <w:rsid w:val="006F325D"/>
    <w:rsid w:val="006F66A0"/>
    <w:rsid w:val="006F7EC7"/>
    <w:rsid w:val="0070143F"/>
    <w:rsid w:val="00701587"/>
    <w:rsid w:val="00704C2E"/>
    <w:rsid w:val="00711E6B"/>
    <w:rsid w:val="0071386D"/>
    <w:rsid w:val="00714CAA"/>
    <w:rsid w:val="007157EA"/>
    <w:rsid w:val="00722453"/>
    <w:rsid w:val="007224D9"/>
    <w:rsid w:val="00735663"/>
    <w:rsid w:val="0073787C"/>
    <w:rsid w:val="00742BA4"/>
    <w:rsid w:val="00743120"/>
    <w:rsid w:val="00744364"/>
    <w:rsid w:val="00745858"/>
    <w:rsid w:val="00745EE9"/>
    <w:rsid w:val="00746520"/>
    <w:rsid w:val="00751636"/>
    <w:rsid w:val="00751C98"/>
    <w:rsid w:val="00753F3E"/>
    <w:rsid w:val="00754B70"/>
    <w:rsid w:val="00755B9F"/>
    <w:rsid w:val="0075665E"/>
    <w:rsid w:val="00757065"/>
    <w:rsid w:val="00760173"/>
    <w:rsid w:val="00763AA1"/>
    <w:rsid w:val="00764C56"/>
    <w:rsid w:val="0076527E"/>
    <w:rsid w:val="0077189F"/>
    <w:rsid w:val="007726BD"/>
    <w:rsid w:val="00774D58"/>
    <w:rsid w:val="00776A57"/>
    <w:rsid w:val="00783425"/>
    <w:rsid w:val="00786CAA"/>
    <w:rsid w:val="00790A55"/>
    <w:rsid w:val="00793C7A"/>
    <w:rsid w:val="007956BF"/>
    <w:rsid w:val="00796478"/>
    <w:rsid w:val="007A1E69"/>
    <w:rsid w:val="007A2340"/>
    <w:rsid w:val="007A6C14"/>
    <w:rsid w:val="007A6D90"/>
    <w:rsid w:val="007B575B"/>
    <w:rsid w:val="007B5D7C"/>
    <w:rsid w:val="007B6A80"/>
    <w:rsid w:val="007C4AC9"/>
    <w:rsid w:val="007D2437"/>
    <w:rsid w:val="007D298A"/>
    <w:rsid w:val="007E05C5"/>
    <w:rsid w:val="007E2139"/>
    <w:rsid w:val="007E2A19"/>
    <w:rsid w:val="007E2FA8"/>
    <w:rsid w:val="007E53EF"/>
    <w:rsid w:val="007E5519"/>
    <w:rsid w:val="007E68A5"/>
    <w:rsid w:val="007F05B3"/>
    <w:rsid w:val="007F0879"/>
    <w:rsid w:val="007F106E"/>
    <w:rsid w:val="007F7515"/>
    <w:rsid w:val="0080221F"/>
    <w:rsid w:val="00807445"/>
    <w:rsid w:val="008101AD"/>
    <w:rsid w:val="00811453"/>
    <w:rsid w:val="00814BB2"/>
    <w:rsid w:val="00820AB1"/>
    <w:rsid w:val="008224A3"/>
    <w:rsid w:val="00824072"/>
    <w:rsid w:val="00825270"/>
    <w:rsid w:val="00831037"/>
    <w:rsid w:val="00835ABB"/>
    <w:rsid w:val="008360A3"/>
    <w:rsid w:val="00836964"/>
    <w:rsid w:val="00842F25"/>
    <w:rsid w:val="008445C6"/>
    <w:rsid w:val="00844A10"/>
    <w:rsid w:val="00845C31"/>
    <w:rsid w:val="008508E9"/>
    <w:rsid w:val="00852534"/>
    <w:rsid w:val="00852AC5"/>
    <w:rsid w:val="00854DA2"/>
    <w:rsid w:val="00855D2D"/>
    <w:rsid w:val="00855F1C"/>
    <w:rsid w:val="008564D0"/>
    <w:rsid w:val="008578AD"/>
    <w:rsid w:val="00857F54"/>
    <w:rsid w:val="00861CD6"/>
    <w:rsid w:val="00864059"/>
    <w:rsid w:val="008652D1"/>
    <w:rsid w:val="00865801"/>
    <w:rsid w:val="00870247"/>
    <w:rsid w:val="00871972"/>
    <w:rsid w:val="00873BCE"/>
    <w:rsid w:val="0087491F"/>
    <w:rsid w:val="0087656D"/>
    <w:rsid w:val="00876EA5"/>
    <w:rsid w:val="008774D5"/>
    <w:rsid w:val="008813CA"/>
    <w:rsid w:val="00881BAD"/>
    <w:rsid w:val="00882BC2"/>
    <w:rsid w:val="00884149"/>
    <w:rsid w:val="00884566"/>
    <w:rsid w:val="008859FC"/>
    <w:rsid w:val="008A2A8B"/>
    <w:rsid w:val="008B2B2D"/>
    <w:rsid w:val="008B458B"/>
    <w:rsid w:val="008B77B9"/>
    <w:rsid w:val="008C0952"/>
    <w:rsid w:val="008C27FC"/>
    <w:rsid w:val="008C2EED"/>
    <w:rsid w:val="008C3A16"/>
    <w:rsid w:val="008C4774"/>
    <w:rsid w:val="008C4C0D"/>
    <w:rsid w:val="008C547E"/>
    <w:rsid w:val="008C589C"/>
    <w:rsid w:val="008C7581"/>
    <w:rsid w:val="008D247E"/>
    <w:rsid w:val="008D3D45"/>
    <w:rsid w:val="008D4E2E"/>
    <w:rsid w:val="008E1280"/>
    <w:rsid w:val="008E3DA6"/>
    <w:rsid w:val="008E7EC7"/>
    <w:rsid w:val="008F45EE"/>
    <w:rsid w:val="008F51D4"/>
    <w:rsid w:val="008F755A"/>
    <w:rsid w:val="00914E4E"/>
    <w:rsid w:val="0092052C"/>
    <w:rsid w:val="009206AD"/>
    <w:rsid w:val="00921395"/>
    <w:rsid w:val="00922EA8"/>
    <w:rsid w:val="009257E8"/>
    <w:rsid w:val="0093246A"/>
    <w:rsid w:val="00932627"/>
    <w:rsid w:val="00932C6B"/>
    <w:rsid w:val="00933401"/>
    <w:rsid w:val="00935D0A"/>
    <w:rsid w:val="0093617E"/>
    <w:rsid w:val="00936182"/>
    <w:rsid w:val="009366DF"/>
    <w:rsid w:val="009376A9"/>
    <w:rsid w:val="00940D98"/>
    <w:rsid w:val="00941280"/>
    <w:rsid w:val="00941AE0"/>
    <w:rsid w:val="00943696"/>
    <w:rsid w:val="00943C90"/>
    <w:rsid w:val="00946219"/>
    <w:rsid w:val="00951EEF"/>
    <w:rsid w:val="009571D2"/>
    <w:rsid w:val="0095788A"/>
    <w:rsid w:val="009578D3"/>
    <w:rsid w:val="00960644"/>
    <w:rsid w:val="00964631"/>
    <w:rsid w:val="0096587D"/>
    <w:rsid w:val="00966036"/>
    <w:rsid w:val="009716BA"/>
    <w:rsid w:val="00973E8E"/>
    <w:rsid w:val="0097573D"/>
    <w:rsid w:val="00981780"/>
    <w:rsid w:val="0098358C"/>
    <w:rsid w:val="00992B3D"/>
    <w:rsid w:val="00994D83"/>
    <w:rsid w:val="00997B6E"/>
    <w:rsid w:val="009A328C"/>
    <w:rsid w:val="009A4B11"/>
    <w:rsid w:val="009B0D8D"/>
    <w:rsid w:val="009B54EA"/>
    <w:rsid w:val="009B57F8"/>
    <w:rsid w:val="009B742B"/>
    <w:rsid w:val="009B7F35"/>
    <w:rsid w:val="009C0084"/>
    <w:rsid w:val="009C33DA"/>
    <w:rsid w:val="009C37E2"/>
    <w:rsid w:val="009C3E37"/>
    <w:rsid w:val="009D04B3"/>
    <w:rsid w:val="009D04DB"/>
    <w:rsid w:val="009D2EFC"/>
    <w:rsid w:val="009D485D"/>
    <w:rsid w:val="009D7A35"/>
    <w:rsid w:val="009E0CAE"/>
    <w:rsid w:val="009E2715"/>
    <w:rsid w:val="009E3753"/>
    <w:rsid w:val="009E56E5"/>
    <w:rsid w:val="009F0A73"/>
    <w:rsid w:val="009F1A5E"/>
    <w:rsid w:val="009F6CB7"/>
    <w:rsid w:val="009F6E93"/>
    <w:rsid w:val="009F7064"/>
    <w:rsid w:val="00A00ABB"/>
    <w:rsid w:val="00A00F55"/>
    <w:rsid w:val="00A01D4F"/>
    <w:rsid w:val="00A11751"/>
    <w:rsid w:val="00A14C0B"/>
    <w:rsid w:val="00A1509A"/>
    <w:rsid w:val="00A163BE"/>
    <w:rsid w:val="00A25115"/>
    <w:rsid w:val="00A2558B"/>
    <w:rsid w:val="00A25E7F"/>
    <w:rsid w:val="00A35454"/>
    <w:rsid w:val="00A36A42"/>
    <w:rsid w:val="00A40CEF"/>
    <w:rsid w:val="00A43BA3"/>
    <w:rsid w:val="00A440FA"/>
    <w:rsid w:val="00A46DC5"/>
    <w:rsid w:val="00A502AE"/>
    <w:rsid w:val="00A519C5"/>
    <w:rsid w:val="00A70AFF"/>
    <w:rsid w:val="00A710E7"/>
    <w:rsid w:val="00A75959"/>
    <w:rsid w:val="00A82A3E"/>
    <w:rsid w:val="00A82CCD"/>
    <w:rsid w:val="00A838DB"/>
    <w:rsid w:val="00A952F1"/>
    <w:rsid w:val="00A95D49"/>
    <w:rsid w:val="00A968F5"/>
    <w:rsid w:val="00AA043D"/>
    <w:rsid w:val="00AA296C"/>
    <w:rsid w:val="00AA39A7"/>
    <w:rsid w:val="00AA4642"/>
    <w:rsid w:val="00AA4DBE"/>
    <w:rsid w:val="00AA5110"/>
    <w:rsid w:val="00AB058C"/>
    <w:rsid w:val="00AB2206"/>
    <w:rsid w:val="00AC316C"/>
    <w:rsid w:val="00AC4B04"/>
    <w:rsid w:val="00AD2369"/>
    <w:rsid w:val="00AE2042"/>
    <w:rsid w:val="00AE49D6"/>
    <w:rsid w:val="00AF0372"/>
    <w:rsid w:val="00AF4108"/>
    <w:rsid w:val="00AF5261"/>
    <w:rsid w:val="00AF668B"/>
    <w:rsid w:val="00B00587"/>
    <w:rsid w:val="00B008BA"/>
    <w:rsid w:val="00B02959"/>
    <w:rsid w:val="00B0303C"/>
    <w:rsid w:val="00B03225"/>
    <w:rsid w:val="00B04B2C"/>
    <w:rsid w:val="00B056B2"/>
    <w:rsid w:val="00B07199"/>
    <w:rsid w:val="00B102E8"/>
    <w:rsid w:val="00B130A6"/>
    <w:rsid w:val="00B13DB7"/>
    <w:rsid w:val="00B141D4"/>
    <w:rsid w:val="00B14B1B"/>
    <w:rsid w:val="00B226A5"/>
    <w:rsid w:val="00B23769"/>
    <w:rsid w:val="00B23D08"/>
    <w:rsid w:val="00B23FA9"/>
    <w:rsid w:val="00B32D00"/>
    <w:rsid w:val="00B34DDE"/>
    <w:rsid w:val="00B355CB"/>
    <w:rsid w:val="00B3755B"/>
    <w:rsid w:val="00B42015"/>
    <w:rsid w:val="00B43CFE"/>
    <w:rsid w:val="00B45213"/>
    <w:rsid w:val="00B55608"/>
    <w:rsid w:val="00B55699"/>
    <w:rsid w:val="00B57261"/>
    <w:rsid w:val="00B6360C"/>
    <w:rsid w:val="00B642A9"/>
    <w:rsid w:val="00B6690C"/>
    <w:rsid w:val="00B7260A"/>
    <w:rsid w:val="00B75D67"/>
    <w:rsid w:val="00B83AC3"/>
    <w:rsid w:val="00B84ABD"/>
    <w:rsid w:val="00B864AC"/>
    <w:rsid w:val="00B87640"/>
    <w:rsid w:val="00B87733"/>
    <w:rsid w:val="00B9138A"/>
    <w:rsid w:val="00B9179C"/>
    <w:rsid w:val="00BB60F2"/>
    <w:rsid w:val="00BC2338"/>
    <w:rsid w:val="00BC2342"/>
    <w:rsid w:val="00BC25AB"/>
    <w:rsid w:val="00BC399A"/>
    <w:rsid w:val="00BD5D8A"/>
    <w:rsid w:val="00BD6928"/>
    <w:rsid w:val="00BD7C0C"/>
    <w:rsid w:val="00BE16BF"/>
    <w:rsid w:val="00BE2C2A"/>
    <w:rsid w:val="00BE31EC"/>
    <w:rsid w:val="00BE32FB"/>
    <w:rsid w:val="00BE6D9A"/>
    <w:rsid w:val="00BF1F73"/>
    <w:rsid w:val="00BF3821"/>
    <w:rsid w:val="00C05A2A"/>
    <w:rsid w:val="00C11A90"/>
    <w:rsid w:val="00C11AE7"/>
    <w:rsid w:val="00C11EE0"/>
    <w:rsid w:val="00C16691"/>
    <w:rsid w:val="00C230EE"/>
    <w:rsid w:val="00C23746"/>
    <w:rsid w:val="00C24F0D"/>
    <w:rsid w:val="00C2518B"/>
    <w:rsid w:val="00C254F5"/>
    <w:rsid w:val="00C30945"/>
    <w:rsid w:val="00C33905"/>
    <w:rsid w:val="00C37333"/>
    <w:rsid w:val="00C40D61"/>
    <w:rsid w:val="00C41370"/>
    <w:rsid w:val="00C433C2"/>
    <w:rsid w:val="00C44EAF"/>
    <w:rsid w:val="00C45DFB"/>
    <w:rsid w:val="00C462F4"/>
    <w:rsid w:val="00C46520"/>
    <w:rsid w:val="00C551CC"/>
    <w:rsid w:val="00C5679F"/>
    <w:rsid w:val="00C6071F"/>
    <w:rsid w:val="00C621B6"/>
    <w:rsid w:val="00C6336A"/>
    <w:rsid w:val="00C65BFC"/>
    <w:rsid w:val="00C66E26"/>
    <w:rsid w:val="00C75E63"/>
    <w:rsid w:val="00C771A2"/>
    <w:rsid w:val="00C77844"/>
    <w:rsid w:val="00C77EAE"/>
    <w:rsid w:val="00C8277B"/>
    <w:rsid w:val="00C847DE"/>
    <w:rsid w:val="00C91A70"/>
    <w:rsid w:val="00C93946"/>
    <w:rsid w:val="00C94D97"/>
    <w:rsid w:val="00C9591D"/>
    <w:rsid w:val="00C970E0"/>
    <w:rsid w:val="00CA27F8"/>
    <w:rsid w:val="00CA2FCE"/>
    <w:rsid w:val="00CA4B3C"/>
    <w:rsid w:val="00CA6205"/>
    <w:rsid w:val="00CA7D1A"/>
    <w:rsid w:val="00CB1563"/>
    <w:rsid w:val="00CB3259"/>
    <w:rsid w:val="00CB4340"/>
    <w:rsid w:val="00CB49F9"/>
    <w:rsid w:val="00CC0326"/>
    <w:rsid w:val="00CC4A78"/>
    <w:rsid w:val="00CC50BA"/>
    <w:rsid w:val="00CC56B0"/>
    <w:rsid w:val="00CC607F"/>
    <w:rsid w:val="00CD3413"/>
    <w:rsid w:val="00CD43CF"/>
    <w:rsid w:val="00CD46E3"/>
    <w:rsid w:val="00CD5A4E"/>
    <w:rsid w:val="00CE067E"/>
    <w:rsid w:val="00CE2539"/>
    <w:rsid w:val="00CE3018"/>
    <w:rsid w:val="00CF0278"/>
    <w:rsid w:val="00CF2D78"/>
    <w:rsid w:val="00CF3648"/>
    <w:rsid w:val="00CF369D"/>
    <w:rsid w:val="00CF7192"/>
    <w:rsid w:val="00D032FE"/>
    <w:rsid w:val="00D05396"/>
    <w:rsid w:val="00D1071D"/>
    <w:rsid w:val="00D10F00"/>
    <w:rsid w:val="00D1235E"/>
    <w:rsid w:val="00D127A6"/>
    <w:rsid w:val="00D13A7F"/>
    <w:rsid w:val="00D141FB"/>
    <w:rsid w:val="00D16556"/>
    <w:rsid w:val="00D17D12"/>
    <w:rsid w:val="00D20D3A"/>
    <w:rsid w:val="00D20FC8"/>
    <w:rsid w:val="00D216BE"/>
    <w:rsid w:val="00D23E2B"/>
    <w:rsid w:val="00D252D5"/>
    <w:rsid w:val="00D33D6B"/>
    <w:rsid w:val="00D35DC1"/>
    <w:rsid w:val="00D43D2B"/>
    <w:rsid w:val="00D45575"/>
    <w:rsid w:val="00D47C06"/>
    <w:rsid w:val="00D541AC"/>
    <w:rsid w:val="00D57AA0"/>
    <w:rsid w:val="00D666F1"/>
    <w:rsid w:val="00D669C5"/>
    <w:rsid w:val="00D76E28"/>
    <w:rsid w:val="00D827D8"/>
    <w:rsid w:val="00D82A33"/>
    <w:rsid w:val="00D8434D"/>
    <w:rsid w:val="00D846DA"/>
    <w:rsid w:val="00D85B7A"/>
    <w:rsid w:val="00D8791E"/>
    <w:rsid w:val="00D90A7A"/>
    <w:rsid w:val="00D9320A"/>
    <w:rsid w:val="00D9583D"/>
    <w:rsid w:val="00D97877"/>
    <w:rsid w:val="00DA0EB6"/>
    <w:rsid w:val="00DA22C1"/>
    <w:rsid w:val="00DA34EC"/>
    <w:rsid w:val="00DA40FB"/>
    <w:rsid w:val="00DA7201"/>
    <w:rsid w:val="00DA7FF4"/>
    <w:rsid w:val="00DB1A72"/>
    <w:rsid w:val="00DB402F"/>
    <w:rsid w:val="00DB5A37"/>
    <w:rsid w:val="00DB660F"/>
    <w:rsid w:val="00DB732A"/>
    <w:rsid w:val="00DB7BA2"/>
    <w:rsid w:val="00DC3CFF"/>
    <w:rsid w:val="00DC4FF3"/>
    <w:rsid w:val="00DC5113"/>
    <w:rsid w:val="00DC52E9"/>
    <w:rsid w:val="00DC5FF3"/>
    <w:rsid w:val="00DC7610"/>
    <w:rsid w:val="00DD0B88"/>
    <w:rsid w:val="00DD62F5"/>
    <w:rsid w:val="00DD7414"/>
    <w:rsid w:val="00DD76EA"/>
    <w:rsid w:val="00DE3873"/>
    <w:rsid w:val="00DE564B"/>
    <w:rsid w:val="00DE5AA4"/>
    <w:rsid w:val="00DF0F2C"/>
    <w:rsid w:val="00DF13E3"/>
    <w:rsid w:val="00DF142A"/>
    <w:rsid w:val="00DF53F6"/>
    <w:rsid w:val="00DF5D97"/>
    <w:rsid w:val="00E0014E"/>
    <w:rsid w:val="00E00708"/>
    <w:rsid w:val="00E03209"/>
    <w:rsid w:val="00E04C84"/>
    <w:rsid w:val="00E06A00"/>
    <w:rsid w:val="00E07842"/>
    <w:rsid w:val="00E07854"/>
    <w:rsid w:val="00E10CFD"/>
    <w:rsid w:val="00E15EA6"/>
    <w:rsid w:val="00E21744"/>
    <w:rsid w:val="00E22721"/>
    <w:rsid w:val="00E31418"/>
    <w:rsid w:val="00E3616D"/>
    <w:rsid w:val="00E41874"/>
    <w:rsid w:val="00E41CD1"/>
    <w:rsid w:val="00E431B8"/>
    <w:rsid w:val="00E44EFE"/>
    <w:rsid w:val="00E46401"/>
    <w:rsid w:val="00E47065"/>
    <w:rsid w:val="00E47CAA"/>
    <w:rsid w:val="00E51234"/>
    <w:rsid w:val="00E5223B"/>
    <w:rsid w:val="00E52B19"/>
    <w:rsid w:val="00E75100"/>
    <w:rsid w:val="00E76973"/>
    <w:rsid w:val="00E771D1"/>
    <w:rsid w:val="00E77456"/>
    <w:rsid w:val="00E77C8C"/>
    <w:rsid w:val="00E8087E"/>
    <w:rsid w:val="00E8194A"/>
    <w:rsid w:val="00E81CAC"/>
    <w:rsid w:val="00E83156"/>
    <w:rsid w:val="00E85945"/>
    <w:rsid w:val="00E872BA"/>
    <w:rsid w:val="00E93E7D"/>
    <w:rsid w:val="00E93F7C"/>
    <w:rsid w:val="00E94225"/>
    <w:rsid w:val="00E95E57"/>
    <w:rsid w:val="00E960F4"/>
    <w:rsid w:val="00EA49B4"/>
    <w:rsid w:val="00EA51D6"/>
    <w:rsid w:val="00EA5F41"/>
    <w:rsid w:val="00EA67A7"/>
    <w:rsid w:val="00EA70EA"/>
    <w:rsid w:val="00EB1D14"/>
    <w:rsid w:val="00EB223E"/>
    <w:rsid w:val="00EB4C79"/>
    <w:rsid w:val="00EC2390"/>
    <w:rsid w:val="00EC4952"/>
    <w:rsid w:val="00EC60BB"/>
    <w:rsid w:val="00ED347F"/>
    <w:rsid w:val="00EE0A58"/>
    <w:rsid w:val="00EE0B69"/>
    <w:rsid w:val="00EE3DDA"/>
    <w:rsid w:val="00EF0606"/>
    <w:rsid w:val="00EF0662"/>
    <w:rsid w:val="00EF1C5C"/>
    <w:rsid w:val="00EF3266"/>
    <w:rsid w:val="00EF48B1"/>
    <w:rsid w:val="00EF6926"/>
    <w:rsid w:val="00F02623"/>
    <w:rsid w:val="00F03082"/>
    <w:rsid w:val="00F04C61"/>
    <w:rsid w:val="00F05132"/>
    <w:rsid w:val="00F052C5"/>
    <w:rsid w:val="00F07320"/>
    <w:rsid w:val="00F14569"/>
    <w:rsid w:val="00F170AA"/>
    <w:rsid w:val="00F216AE"/>
    <w:rsid w:val="00F22C55"/>
    <w:rsid w:val="00F23186"/>
    <w:rsid w:val="00F261F4"/>
    <w:rsid w:val="00F26B50"/>
    <w:rsid w:val="00F271CB"/>
    <w:rsid w:val="00F300C9"/>
    <w:rsid w:val="00F309CD"/>
    <w:rsid w:val="00F31564"/>
    <w:rsid w:val="00F35B97"/>
    <w:rsid w:val="00F36659"/>
    <w:rsid w:val="00F40198"/>
    <w:rsid w:val="00F40B71"/>
    <w:rsid w:val="00F41492"/>
    <w:rsid w:val="00F4580B"/>
    <w:rsid w:val="00F511C6"/>
    <w:rsid w:val="00F537AF"/>
    <w:rsid w:val="00F53E59"/>
    <w:rsid w:val="00F54750"/>
    <w:rsid w:val="00F5529F"/>
    <w:rsid w:val="00F63B5E"/>
    <w:rsid w:val="00F643EA"/>
    <w:rsid w:val="00F65322"/>
    <w:rsid w:val="00F66FF0"/>
    <w:rsid w:val="00F70A74"/>
    <w:rsid w:val="00F76A89"/>
    <w:rsid w:val="00F80C74"/>
    <w:rsid w:val="00F8558C"/>
    <w:rsid w:val="00F85D40"/>
    <w:rsid w:val="00F86C4D"/>
    <w:rsid w:val="00F914BC"/>
    <w:rsid w:val="00F920E5"/>
    <w:rsid w:val="00F97329"/>
    <w:rsid w:val="00F97913"/>
    <w:rsid w:val="00F97C81"/>
    <w:rsid w:val="00FA088C"/>
    <w:rsid w:val="00FA1B9F"/>
    <w:rsid w:val="00FA1E72"/>
    <w:rsid w:val="00FA3AA2"/>
    <w:rsid w:val="00FA49A8"/>
    <w:rsid w:val="00FA55A7"/>
    <w:rsid w:val="00FA6819"/>
    <w:rsid w:val="00FB1D65"/>
    <w:rsid w:val="00FB387E"/>
    <w:rsid w:val="00FB510A"/>
    <w:rsid w:val="00FB626C"/>
    <w:rsid w:val="00FC21BB"/>
    <w:rsid w:val="00FC2C05"/>
    <w:rsid w:val="00FC2FCB"/>
    <w:rsid w:val="00FD38C8"/>
    <w:rsid w:val="00FD4103"/>
    <w:rsid w:val="00FD47E4"/>
    <w:rsid w:val="00FD7990"/>
    <w:rsid w:val="00FE7B33"/>
    <w:rsid w:val="00FF0FC7"/>
    <w:rsid w:val="00FF3FD2"/>
    <w:rsid w:val="00FF6ECF"/>
    <w:rsid w:val="00FF6F0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6532CC-6471-4FB8-A1DF-AF22C280A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0B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90B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106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0BE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90BE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25115"/>
    <w:rPr>
      <w:color w:val="0000FF" w:themeColor="hyperlink"/>
      <w:u w:val="single"/>
    </w:rPr>
  </w:style>
  <w:style w:type="paragraph" w:styleId="FootnoteText">
    <w:name w:val="footnote text"/>
    <w:basedOn w:val="Normal"/>
    <w:link w:val="FootnoteTextChar"/>
    <w:uiPriority w:val="99"/>
    <w:semiHidden/>
    <w:unhideWhenUsed/>
    <w:rsid w:val="009324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246A"/>
    <w:rPr>
      <w:sz w:val="20"/>
      <w:szCs w:val="20"/>
    </w:rPr>
  </w:style>
  <w:style w:type="character" w:styleId="FootnoteReference">
    <w:name w:val="footnote reference"/>
    <w:basedOn w:val="DefaultParagraphFont"/>
    <w:uiPriority w:val="99"/>
    <w:semiHidden/>
    <w:unhideWhenUsed/>
    <w:rsid w:val="0093246A"/>
    <w:rPr>
      <w:vertAlign w:val="superscript"/>
    </w:rPr>
  </w:style>
  <w:style w:type="paragraph" w:styleId="Header">
    <w:name w:val="header"/>
    <w:basedOn w:val="Normal"/>
    <w:link w:val="HeaderChar"/>
    <w:uiPriority w:val="99"/>
    <w:unhideWhenUsed/>
    <w:rsid w:val="00B0303C"/>
    <w:pPr>
      <w:tabs>
        <w:tab w:val="center" w:pos="4536"/>
        <w:tab w:val="right" w:pos="9072"/>
      </w:tabs>
      <w:spacing w:after="0" w:line="240" w:lineRule="auto"/>
    </w:pPr>
  </w:style>
  <w:style w:type="character" w:customStyle="1" w:styleId="HeaderChar">
    <w:name w:val="Header Char"/>
    <w:basedOn w:val="DefaultParagraphFont"/>
    <w:link w:val="Header"/>
    <w:uiPriority w:val="99"/>
    <w:rsid w:val="00B0303C"/>
  </w:style>
  <w:style w:type="paragraph" w:styleId="Footer">
    <w:name w:val="footer"/>
    <w:basedOn w:val="Normal"/>
    <w:link w:val="FooterChar"/>
    <w:uiPriority w:val="99"/>
    <w:unhideWhenUsed/>
    <w:rsid w:val="00B030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B0303C"/>
  </w:style>
  <w:style w:type="character" w:styleId="Emphasis">
    <w:name w:val="Emphasis"/>
    <w:basedOn w:val="DefaultParagraphFont"/>
    <w:uiPriority w:val="20"/>
    <w:qFormat/>
    <w:rsid w:val="00491B1A"/>
    <w:rPr>
      <w:i/>
      <w:iCs/>
    </w:rPr>
  </w:style>
  <w:style w:type="paragraph" w:styleId="ListParagraph">
    <w:name w:val="List Paragraph"/>
    <w:basedOn w:val="Normal"/>
    <w:uiPriority w:val="34"/>
    <w:qFormat/>
    <w:rsid w:val="007E5519"/>
    <w:pPr>
      <w:ind w:left="720"/>
      <w:contextualSpacing/>
    </w:pPr>
  </w:style>
  <w:style w:type="character" w:styleId="PlaceholderText">
    <w:name w:val="Placeholder Text"/>
    <w:basedOn w:val="DefaultParagraphFont"/>
    <w:uiPriority w:val="99"/>
    <w:semiHidden/>
    <w:rsid w:val="00403AFD"/>
    <w:rPr>
      <w:color w:val="808080"/>
    </w:rPr>
  </w:style>
  <w:style w:type="paragraph" w:styleId="BalloonText">
    <w:name w:val="Balloon Text"/>
    <w:basedOn w:val="Normal"/>
    <w:link w:val="BalloonTextChar"/>
    <w:uiPriority w:val="99"/>
    <w:semiHidden/>
    <w:unhideWhenUsed/>
    <w:rsid w:val="00403A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AFD"/>
    <w:rPr>
      <w:rFonts w:ascii="Tahoma" w:hAnsi="Tahoma" w:cs="Tahoma"/>
      <w:sz w:val="16"/>
      <w:szCs w:val="16"/>
    </w:rPr>
  </w:style>
  <w:style w:type="paragraph" w:styleId="Caption">
    <w:name w:val="caption"/>
    <w:basedOn w:val="Normal"/>
    <w:next w:val="Normal"/>
    <w:uiPriority w:val="35"/>
    <w:unhideWhenUsed/>
    <w:qFormat/>
    <w:rsid w:val="0087656D"/>
    <w:pPr>
      <w:spacing w:line="240" w:lineRule="auto"/>
    </w:pPr>
    <w:rPr>
      <w:b/>
      <w:bCs/>
      <w:color w:val="4F81BD" w:themeColor="accent1"/>
      <w:sz w:val="18"/>
      <w:szCs w:val="18"/>
    </w:rPr>
  </w:style>
  <w:style w:type="table" w:styleId="LightShading">
    <w:name w:val="Light Shading"/>
    <w:basedOn w:val="TableNormal"/>
    <w:uiPriority w:val="60"/>
    <w:rsid w:val="00D8791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unhideWhenUsed/>
    <w:rsid w:val="00F4580B"/>
    <w:pPr>
      <w:spacing w:before="100" w:beforeAutospacing="1" w:after="100" w:afterAutospacing="1" w:line="240" w:lineRule="auto"/>
    </w:pPr>
    <w:rPr>
      <w:rFonts w:ascii="Times New Roman" w:eastAsia="Times New Roman" w:hAnsi="Times New Roman" w:cs="Times New Roman"/>
      <w:sz w:val="24"/>
      <w:szCs w:val="24"/>
      <w:lang w:eastAsia="fr-CH"/>
    </w:rPr>
  </w:style>
  <w:style w:type="table" w:styleId="TableGrid">
    <w:name w:val="Table Grid"/>
    <w:basedOn w:val="TableNormal"/>
    <w:uiPriority w:val="59"/>
    <w:rsid w:val="00FA6819"/>
    <w:pPr>
      <w:spacing w:after="0" w:line="240" w:lineRule="auto"/>
    </w:pPr>
    <w:tblPr>
      <w:tblBorders>
        <w:top w:val="single" w:sz="12" w:space="0" w:color="auto"/>
        <w:bottom w:val="single" w:sz="12" w:space="0" w:color="auto"/>
      </w:tblBorders>
    </w:tblPr>
  </w:style>
  <w:style w:type="character" w:customStyle="1" w:styleId="Heading3Char">
    <w:name w:val="Heading 3 Char"/>
    <w:basedOn w:val="DefaultParagraphFont"/>
    <w:link w:val="Heading3"/>
    <w:uiPriority w:val="9"/>
    <w:rsid w:val="0011066F"/>
    <w:rPr>
      <w:rFonts w:asciiTheme="majorHAnsi" w:eastAsiaTheme="majorEastAsia" w:hAnsiTheme="majorHAnsi" w:cstheme="majorBidi"/>
      <w:b/>
      <w:bCs/>
      <w:color w:val="4F81BD" w:themeColor="accent1"/>
    </w:rPr>
  </w:style>
  <w:style w:type="table" w:styleId="LightShading-Accent1">
    <w:name w:val="Light Shading Accent 1"/>
    <w:basedOn w:val="TableNormal"/>
    <w:uiPriority w:val="60"/>
    <w:rsid w:val="00FA681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nolink">
    <w:name w:val="nolink"/>
    <w:basedOn w:val="DefaultParagraphFont"/>
    <w:rsid w:val="00824072"/>
  </w:style>
  <w:style w:type="table" w:styleId="LightGrid">
    <w:name w:val="Light Grid"/>
    <w:basedOn w:val="TableNormal"/>
    <w:uiPriority w:val="62"/>
    <w:rsid w:val="00343EF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CommentReference">
    <w:name w:val="annotation reference"/>
    <w:basedOn w:val="DefaultParagraphFont"/>
    <w:uiPriority w:val="99"/>
    <w:semiHidden/>
    <w:unhideWhenUsed/>
    <w:rsid w:val="00E8087E"/>
    <w:rPr>
      <w:sz w:val="16"/>
      <w:szCs w:val="16"/>
    </w:rPr>
  </w:style>
  <w:style w:type="paragraph" w:styleId="CommentText">
    <w:name w:val="annotation text"/>
    <w:basedOn w:val="Normal"/>
    <w:link w:val="CommentTextChar"/>
    <w:uiPriority w:val="99"/>
    <w:semiHidden/>
    <w:unhideWhenUsed/>
    <w:rsid w:val="00E8087E"/>
    <w:pPr>
      <w:spacing w:line="240" w:lineRule="auto"/>
    </w:pPr>
    <w:rPr>
      <w:sz w:val="20"/>
      <w:szCs w:val="20"/>
    </w:rPr>
  </w:style>
  <w:style w:type="character" w:customStyle="1" w:styleId="CommentTextChar">
    <w:name w:val="Comment Text Char"/>
    <w:basedOn w:val="DefaultParagraphFont"/>
    <w:link w:val="CommentText"/>
    <w:uiPriority w:val="99"/>
    <w:semiHidden/>
    <w:rsid w:val="00E8087E"/>
    <w:rPr>
      <w:sz w:val="20"/>
      <w:szCs w:val="20"/>
    </w:rPr>
  </w:style>
  <w:style w:type="paragraph" w:styleId="CommentSubject">
    <w:name w:val="annotation subject"/>
    <w:basedOn w:val="CommentText"/>
    <w:next w:val="CommentText"/>
    <w:link w:val="CommentSubjectChar"/>
    <w:uiPriority w:val="99"/>
    <w:semiHidden/>
    <w:unhideWhenUsed/>
    <w:rsid w:val="00E8087E"/>
    <w:rPr>
      <w:b/>
      <w:bCs/>
    </w:rPr>
  </w:style>
  <w:style w:type="character" w:customStyle="1" w:styleId="CommentSubjectChar">
    <w:name w:val="Comment Subject Char"/>
    <w:basedOn w:val="CommentTextChar"/>
    <w:link w:val="CommentSubject"/>
    <w:uiPriority w:val="99"/>
    <w:semiHidden/>
    <w:rsid w:val="00E8087E"/>
    <w:rPr>
      <w:b/>
      <w:bCs/>
      <w:sz w:val="20"/>
      <w:szCs w:val="20"/>
    </w:rPr>
  </w:style>
  <w:style w:type="character" w:styleId="FollowedHyperlink">
    <w:name w:val="FollowedHyperlink"/>
    <w:basedOn w:val="DefaultParagraphFont"/>
    <w:uiPriority w:val="99"/>
    <w:semiHidden/>
    <w:unhideWhenUsed/>
    <w:rsid w:val="00F97913"/>
    <w:rPr>
      <w:color w:val="800080" w:themeColor="followedHyperlink"/>
      <w:u w:val="single"/>
    </w:rPr>
  </w:style>
  <w:style w:type="paragraph" w:styleId="TOC3">
    <w:name w:val="toc 3"/>
    <w:basedOn w:val="Normal"/>
    <w:next w:val="Normal"/>
    <w:autoRedefine/>
    <w:uiPriority w:val="39"/>
    <w:rsid w:val="003C3D1C"/>
    <w:pPr>
      <w:spacing w:after="0"/>
      <w:ind w:left="440"/>
    </w:pPr>
    <w:rPr>
      <w:rFonts w:ascii="Calibri" w:eastAsia="Times New Roman" w:hAnsi="Calibri" w:cs="Calibri"/>
      <w:i/>
      <w:iCs/>
      <w:sz w:val="20"/>
      <w:szCs w:val="20"/>
      <w:lang w:val="en-US" w:eastAsia="zh-CN"/>
    </w:rPr>
  </w:style>
  <w:style w:type="paragraph" w:styleId="TOC2">
    <w:name w:val="toc 2"/>
    <w:basedOn w:val="Normal"/>
    <w:next w:val="Normal"/>
    <w:autoRedefine/>
    <w:uiPriority w:val="39"/>
    <w:unhideWhenUsed/>
    <w:rsid w:val="003C3D1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53010">
      <w:bodyDiv w:val="1"/>
      <w:marLeft w:val="0"/>
      <w:marRight w:val="0"/>
      <w:marTop w:val="0"/>
      <w:marBottom w:val="0"/>
      <w:divBdr>
        <w:top w:val="none" w:sz="0" w:space="0" w:color="auto"/>
        <w:left w:val="none" w:sz="0" w:space="0" w:color="auto"/>
        <w:bottom w:val="none" w:sz="0" w:space="0" w:color="auto"/>
        <w:right w:val="none" w:sz="0" w:space="0" w:color="auto"/>
      </w:divBdr>
      <w:divsChild>
        <w:div w:id="822744104">
          <w:marLeft w:val="0"/>
          <w:marRight w:val="0"/>
          <w:marTop w:val="0"/>
          <w:marBottom w:val="0"/>
          <w:divBdr>
            <w:top w:val="none" w:sz="0" w:space="0" w:color="auto"/>
            <w:left w:val="none" w:sz="0" w:space="0" w:color="auto"/>
            <w:bottom w:val="none" w:sz="0" w:space="0" w:color="auto"/>
            <w:right w:val="none" w:sz="0" w:space="0" w:color="auto"/>
          </w:divBdr>
        </w:div>
        <w:div w:id="1031567798">
          <w:marLeft w:val="0"/>
          <w:marRight w:val="0"/>
          <w:marTop w:val="0"/>
          <w:marBottom w:val="0"/>
          <w:divBdr>
            <w:top w:val="none" w:sz="0" w:space="0" w:color="auto"/>
            <w:left w:val="none" w:sz="0" w:space="0" w:color="auto"/>
            <w:bottom w:val="none" w:sz="0" w:space="0" w:color="auto"/>
            <w:right w:val="none" w:sz="0" w:space="0" w:color="auto"/>
          </w:divBdr>
        </w:div>
        <w:div w:id="1782841971">
          <w:marLeft w:val="0"/>
          <w:marRight w:val="0"/>
          <w:marTop w:val="0"/>
          <w:marBottom w:val="0"/>
          <w:divBdr>
            <w:top w:val="none" w:sz="0" w:space="0" w:color="auto"/>
            <w:left w:val="none" w:sz="0" w:space="0" w:color="auto"/>
            <w:bottom w:val="none" w:sz="0" w:space="0" w:color="auto"/>
            <w:right w:val="none" w:sz="0" w:space="0" w:color="auto"/>
          </w:divBdr>
        </w:div>
        <w:div w:id="1892577509">
          <w:marLeft w:val="0"/>
          <w:marRight w:val="0"/>
          <w:marTop w:val="0"/>
          <w:marBottom w:val="0"/>
          <w:divBdr>
            <w:top w:val="none" w:sz="0" w:space="0" w:color="auto"/>
            <w:left w:val="none" w:sz="0" w:space="0" w:color="auto"/>
            <w:bottom w:val="none" w:sz="0" w:space="0" w:color="auto"/>
            <w:right w:val="none" w:sz="0" w:space="0" w:color="auto"/>
          </w:divBdr>
        </w:div>
      </w:divsChild>
    </w:div>
    <w:div w:id="94836303">
      <w:bodyDiv w:val="1"/>
      <w:marLeft w:val="0"/>
      <w:marRight w:val="0"/>
      <w:marTop w:val="0"/>
      <w:marBottom w:val="0"/>
      <w:divBdr>
        <w:top w:val="none" w:sz="0" w:space="0" w:color="auto"/>
        <w:left w:val="none" w:sz="0" w:space="0" w:color="auto"/>
        <w:bottom w:val="none" w:sz="0" w:space="0" w:color="auto"/>
        <w:right w:val="none" w:sz="0" w:space="0" w:color="auto"/>
      </w:divBdr>
      <w:divsChild>
        <w:div w:id="895091912">
          <w:marLeft w:val="0"/>
          <w:marRight w:val="0"/>
          <w:marTop w:val="0"/>
          <w:marBottom w:val="0"/>
          <w:divBdr>
            <w:top w:val="none" w:sz="0" w:space="0" w:color="auto"/>
            <w:left w:val="none" w:sz="0" w:space="0" w:color="auto"/>
            <w:bottom w:val="none" w:sz="0" w:space="0" w:color="auto"/>
            <w:right w:val="none" w:sz="0" w:space="0" w:color="auto"/>
          </w:divBdr>
        </w:div>
        <w:div w:id="1742286194">
          <w:marLeft w:val="0"/>
          <w:marRight w:val="0"/>
          <w:marTop w:val="0"/>
          <w:marBottom w:val="0"/>
          <w:divBdr>
            <w:top w:val="none" w:sz="0" w:space="0" w:color="auto"/>
            <w:left w:val="none" w:sz="0" w:space="0" w:color="auto"/>
            <w:bottom w:val="none" w:sz="0" w:space="0" w:color="auto"/>
            <w:right w:val="none" w:sz="0" w:space="0" w:color="auto"/>
          </w:divBdr>
        </w:div>
      </w:divsChild>
    </w:div>
    <w:div w:id="182405959">
      <w:bodyDiv w:val="1"/>
      <w:marLeft w:val="0"/>
      <w:marRight w:val="0"/>
      <w:marTop w:val="0"/>
      <w:marBottom w:val="0"/>
      <w:divBdr>
        <w:top w:val="none" w:sz="0" w:space="0" w:color="auto"/>
        <w:left w:val="none" w:sz="0" w:space="0" w:color="auto"/>
        <w:bottom w:val="none" w:sz="0" w:space="0" w:color="auto"/>
        <w:right w:val="none" w:sz="0" w:space="0" w:color="auto"/>
      </w:divBdr>
      <w:divsChild>
        <w:div w:id="253368413">
          <w:marLeft w:val="0"/>
          <w:marRight w:val="0"/>
          <w:marTop w:val="0"/>
          <w:marBottom w:val="0"/>
          <w:divBdr>
            <w:top w:val="none" w:sz="0" w:space="0" w:color="auto"/>
            <w:left w:val="none" w:sz="0" w:space="0" w:color="auto"/>
            <w:bottom w:val="none" w:sz="0" w:space="0" w:color="auto"/>
            <w:right w:val="none" w:sz="0" w:space="0" w:color="auto"/>
          </w:divBdr>
        </w:div>
        <w:div w:id="1034890897">
          <w:marLeft w:val="0"/>
          <w:marRight w:val="0"/>
          <w:marTop w:val="0"/>
          <w:marBottom w:val="0"/>
          <w:divBdr>
            <w:top w:val="none" w:sz="0" w:space="0" w:color="auto"/>
            <w:left w:val="none" w:sz="0" w:space="0" w:color="auto"/>
            <w:bottom w:val="none" w:sz="0" w:space="0" w:color="auto"/>
            <w:right w:val="none" w:sz="0" w:space="0" w:color="auto"/>
          </w:divBdr>
        </w:div>
        <w:div w:id="2021619931">
          <w:marLeft w:val="0"/>
          <w:marRight w:val="0"/>
          <w:marTop w:val="0"/>
          <w:marBottom w:val="0"/>
          <w:divBdr>
            <w:top w:val="none" w:sz="0" w:space="0" w:color="auto"/>
            <w:left w:val="none" w:sz="0" w:space="0" w:color="auto"/>
            <w:bottom w:val="none" w:sz="0" w:space="0" w:color="auto"/>
            <w:right w:val="none" w:sz="0" w:space="0" w:color="auto"/>
          </w:divBdr>
        </w:div>
      </w:divsChild>
    </w:div>
    <w:div w:id="337201311">
      <w:bodyDiv w:val="1"/>
      <w:marLeft w:val="0"/>
      <w:marRight w:val="0"/>
      <w:marTop w:val="0"/>
      <w:marBottom w:val="0"/>
      <w:divBdr>
        <w:top w:val="none" w:sz="0" w:space="0" w:color="auto"/>
        <w:left w:val="none" w:sz="0" w:space="0" w:color="auto"/>
        <w:bottom w:val="none" w:sz="0" w:space="0" w:color="auto"/>
        <w:right w:val="none" w:sz="0" w:space="0" w:color="auto"/>
      </w:divBdr>
    </w:div>
    <w:div w:id="447160122">
      <w:bodyDiv w:val="1"/>
      <w:marLeft w:val="0"/>
      <w:marRight w:val="0"/>
      <w:marTop w:val="0"/>
      <w:marBottom w:val="0"/>
      <w:divBdr>
        <w:top w:val="none" w:sz="0" w:space="0" w:color="auto"/>
        <w:left w:val="none" w:sz="0" w:space="0" w:color="auto"/>
        <w:bottom w:val="none" w:sz="0" w:space="0" w:color="auto"/>
        <w:right w:val="none" w:sz="0" w:space="0" w:color="auto"/>
      </w:divBdr>
      <w:divsChild>
        <w:div w:id="185367977">
          <w:marLeft w:val="1166"/>
          <w:marRight w:val="0"/>
          <w:marTop w:val="115"/>
          <w:marBottom w:val="0"/>
          <w:divBdr>
            <w:top w:val="none" w:sz="0" w:space="0" w:color="auto"/>
            <w:left w:val="none" w:sz="0" w:space="0" w:color="auto"/>
            <w:bottom w:val="none" w:sz="0" w:space="0" w:color="auto"/>
            <w:right w:val="none" w:sz="0" w:space="0" w:color="auto"/>
          </w:divBdr>
        </w:div>
        <w:div w:id="597720087">
          <w:marLeft w:val="547"/>
          <w:marRight w:val="0"/>
          <w:marTop w:val="115"/>
          <w:marBottom w:val="0"/>
          <w:divBdr>
            <w:top w:val="none" w:sz="0" w:space="0" w:color="auto"/>
            <w:left w:val="none" w:sz="0" w:space="0" w:color="auto"/>
            <w:bottom w:val="none" w:sz="0" w:space="0" w:color="auto"/>
            <w:right w:val="none" w:sz="0" w:space="0" w:color="auto"/>
          </w:divBdr>
        </w:div>
        <w:div w:id="702826898">
          <w:marLeft w:val="1166"/>
          <w:marRight w:val="0"/>
          <w:marTop w:val="115"/>
          <w:marBottom w:val="0"/>
          <w:divBdr>
            <w:top w:val="none" w:sz="0" w:space="0" w:color="auto"/>
            <w:left w:val="none" w:sz="0" w:space="0" w:color="auto"/>
            <w:bottom w:val="none" w:sz="0" w:space="0" w:color="auto"/>
            <w:right w:val="none" w:sz="0" w:space="0" w:color="auto"/>
          </w:divBdr>
        </w:div>
        <w:div w:id="1371998613">
          <w:marLeft w:val="547"/>
          <w:marRight w:val="0"/>
          <w:marTop w:val="115"/>
          <w:marBottom w:val="0"/>
          <w:divBdr>
            <w:top w:val="none" w:sz="0" w:space="0" w:color="auto"/>
            <w:left w:val="none" w:sz="0" w:space="0" w:color="auto"/>
            <w:bottom w:val="none" w:sz="0" w:space="0" w:color="auto"/>
            <w:right w:val="none" w:sz="0" w:space="0" w:color="auto"/>
          </w:divBdr>
        </w:div>
        <w:div w:id="1676767707">
          <w:marLeft w:val="547"/>
          <w:marRight w:val="0"/>
          <w:marTop w:val="115"/>
          <w:marBottom w:val="0"/>
          <w:divBdr>
            <w:top w:val="none" w:sz="0" w:space="0" w:color="auto"/>
            <w:left w:val="none" w:sz="0" w:space="0" w:color="auto"/>
            <w:bottom w:val="none" w:sz="0" w:space="0" w:color="auto"/>
            <w:right w:val="none" w:sz="0" w:space="0" w:color="auto"/>
          </w:divBdr>
        </w:div>
      </w:divsChild>
    </w:div>
    <w:div w:id="504975464">
      <w:bodyDiv w:val="1"/>
      <w:marLeft w:val="0"/>
      <w:marRight w:val="0"/>
      <w:marTop w:val="0"/>
      <w:marBottom w:val="0"/>
      <w:divBdr>
        <w:top w:val="none" w:sz="0" w:space="0" w:color="auto"/>
        <w:left w:val="none" w:sz="0" w:space="0" w:color="auto"/>
        <w:bottom w:val="none" w:sz="0" w:space="0" w:color="auto"/>
        <w:right w:val="none" w:sz="0" w:space="0" w:color="auto"/>
      </w:divBdr>
      <w:divsChild>
        <w:div w:id="982582890">
          <w:marLeft w:val="0"/>
          <w:marRight w:val="0"/>
          <w:marTop w:val="0"/>
          <w:marBottom w:val="0"/>
          <w:divBdr>
            <w:top w:val="none" w:sz="0" w:space="0" w:color="auto"/>
            <w:left w:val="none" w:sz="0" w:space="0" w:color="auto"/>
            <w:bottom w:val="none" w:sz="0" w:space="0" w:color="auto"/>
            <w:right w:val="none" w:sz="0" w:space="0" w:color="auto"/>
          </w:divBdr>
        </w:div>
        <w:div w:id="1055786122">
          <w:marLeft w:val="0"/>
          <w:marRight w:val="0"/>
          <w:marTop w:val="0"/>
          <w:marBottom w:val="0"/>
          <w:divBdr>
            <w:top w:val="none" w:sz="0" w:space="0" w:color="auto"/>
            <w:left w:val="none" w:sz="0" w:space="0" w:color="auto"/>
            <w:bottom w:val="none" w:sz="0" w:space="0" w:color="auto"/>
            <w:right w:val="none" w:sz="0" w:space="0" w:color="auto"/>
          </w:divBdr>
        </w:div>
      </w:divsChild>
    </w:div>
    <w:div w:id="536551875">
      <w:bodyDiv w:val="1"/>
      <w:marLeft w:val="0"/>
      <w:marRight w:val="0"/>
      <w:marTop w:val="0"/>
      <w:marBottom w:val="0"/>
      <w:divBdr>
        <w:top w:val="none" w:sz="0" w:space="0" w:color="auto"/>
        <w:left w:val="none" w:sz="0" w:space="0" w:color="auto"/>
        <w:bottom w:val="none" w:sz="0" w:space="0" w:color="auto"/>
        <w:right w:val="none" w:sz="0" w:space="0" w:color="auto"/>
      </w:divBdr>
    </w:div>
    <w:div w:id="769818144">
      <w:bodyDiv w:val="1"/>
      <w:marLeft w:val="0"/>
      <w:marRight w:val="0"/>
      <w:marTop w:val="0"/>
      <w:marBottom w:val="0"/>
      <w:divBdr>
        <w:top w:val="none" w:sz="0" w:space="0" w:color="auto"/>
        <w:left w:val="none" w:sz="0" w:space="0" w:color="auto"/>
        <w:bottom w:val="none" w:sz="0" w:space="0" w:color="auto"/>
        <w:right w:val="none" w:sz="0" w:space="0" w:color="auto"/>
      </w:divBdr>
      <w:divsChild>
        <w:div w:id="55050859">
          <w:marLeft w:val="547"/>
          <w:marRight w:val="0"/>
          <w:marTop w:val="115"/>
          <w:marBottom w:val="0"/>
          <w:divBdr>
            <w:top w:val="none" w:sz="0" w:space="0" w:color="auto"/>
            <w:left w:val="none" w:sz="0" w:space="0" w:color="auto"/>
            <w:bottom w:val="none" w:sz="0" w:space="0" w:color="auto"/>
            <w:right w:val="none" w:sz="0" w:space="0" w:color="auto"/>
          </w:divBdr>
        </w:div>
        <w:div w:id="276643105">
          <w:marLeft w:val="1166"/>
          <w:marRight w:val="0"/>
          <w:marTop w:val="115"/>
          <w:marBottom w:val="0"/>
          <w:divBdr>
            <w:top w:val="none" w:sz="0" w:space="0" w:color="auto"/>
            <w:left w:val="none" w:sz="0" w:space="0" w:color="auto"/>
            <w:bottom w:val="none" w:sz="0" w:space="0" w:color="auto"/>
            <w:right w:val="none" w:sz="0" w:space="0" w:color="auto"/>
          </w:divBdr>
        </w:div>
        <w:div w:id="321472703">
          <w:marLeft w:val="547"/>
          <w:marRight w:val="0"/>
          <w:marTop w:val="115"/>
          <w:marBottom w:val="0"/>
          <w:divBdr>
            <w:top w:val="none" w:sz="0" w:space="0" w:color="auto"/>
            <w:left w:val="none" w:sz="0" w:space="0" w:color="auto"/>
            <w:bottom w:val="none" w:sz="0" w:space="0" w:color="auto"/>
            <w:right w:val="none" w:sz="0" w:space="0" w:color="auto"/>
          </w:divBdr>
        </w:div>
        <w:div w:id="513958891">
          <w:marLeft w:val="1166"/>
          <w:marRight w:val="0"/>
          <w:marTop w:val="115"/>
          <w:marBottom w:val="0"/>
          <w:divBdr>
            <w:top w:val="none" w:sz="0" w:space="0" w:color="auto"/>
            <w:left w:val="none" w:sz="0" w:space="0" w:color="auto"/>
            <w:bottom w:val="none" w:sz="0" w:space="0" w:color="auto"/>
            <w:right w:val="none" w:sz="0" w:space="0" w:color="auto"/>
          </w:divBdr>
        </w:div>
        <w:div w:id="1661813806">
          <w:marLeft w:val="547"/>
          <w:marRight w:val="0"/>
          <w:marTop w:val="115"/>
          <w:marBottom w:val="0"/>
          <w:divBdr>
            <w:top w:val="none" w:sz="0" w:space="0" w:color="auto"/>
            <w:left w:val="none" w:sz="0" w:space="0" w:color="auto"/>
            <w:bottom w:val="none" w:sz="0" w:space="0" w:color="auto"/>
            <w:right w:val="none" w:sz="0" w:space="0" w:color="auto"/>
          </w:divBdr>
        </w:div>
      </w:divsChild>
    </w:div>
    <w:div w:id="942808684">
      <w:bodyDiv w:val="1"/>
      <w:marLeft w:val="0"/>
      <w:marRight w:val="0"/>
      <w:marTop w:val="0"/>
      <w:marBottom w:val="0"/>
      <w:divBdr>
        <w:top w:val="none" w:sz="0" w:space="0" w:color="auto"/>
        <w:left w:val="none" w:sz="0" w:space="0" w:color="auto"/>
        <w:bottom w:val="none" w:sz="0" w:space="0" w:color="auto"/>
        <w:right w:val="none" w:sz="0" w:space="0" w:color="auto"/>
      </w:divBdr>
      <w:divsChild>
        <w:div w:id="98372697">
          <w:marLeft w:val="0"/>
          <w:marRight w:val="0"/>
          <w:marTop w:val="0"/>
          <w:marBottom w:val="0"/>
          <w:divBdr>
            <w:top w:val="none" w:sz="0" w:space="0" w:color="auto"/>
            <w:left w:val="none" w:sz="0" w:space="0" w:color="auto"/>
            <w:bottom w:val="none" w:sz="0" w:space="0" w:color="auto"/>
            <w:right w:val="none" w:sz="0" w:space="0" w:color="auto"/>
          </w:divBdr>
        </w:div>
        <w:div w:id="885946864">
          <w:marLeft w:val="0"/>
          <w:marRight w:val="0"/>
          <w:marTop w:val="0"/>
          <w:marBottom w:val="0"/>
          <w:divBdr>
            <w:top w:val="none" w:sz="0" w:space="0" w:color="auto"/>
            <w:left w:val="none" w:sz="0" w:space="0" w:color="auto"/>
            <w:bottom w:val="none" w:sz="0" w:space="0" w:color="auto"/>
            <w:right w:val="none" w:sz="0" w:space="0" w:color="auto"/>
          </w:divBdr>
        </w:div>
      </w:divsChild>
    </w:div>
    <w:div w:id="1120301048">
      <w:bodyDiv w:val="1"/>
      <w:marLeft w:val="0"/>
      <w:marRight w:val="0"/>
      <w:marTop w:val="0"/>
      <w:marBottom w:val="0"/>
      <w:divBdr>
        <w:top w:val="none" w:sz="0" w:space="0" w:color="auto"/>
        <w:left w:val="none" w:sz="0" w:space="0" w:color="auto"/>
        <w:bottom w:val="none" w:sz="0" w:space="0" w:color="auto"/>
        <w:right w:val="none" w:sz="0" w:space="0" w:color="auto"/>
      </w:divBdr>
    </w:div>
    <w:div w:id="1135180717">
      <w:bodyDiv w:val="1"/>
      <w:marLeft w:val="0"/>
      <w:marRight w:val="0"/>
      <w:marTop w:val="0"/>
      <w:marBottom w:val="0"/>
      <w:divBdr>
        <w:top w:val="none" w:sz="0" w:space="0" w:color="auto"/>
        <w:left w:val="none" w:sz="0" w:space="0" w:color="auto"/>
        <w:bottom w:val="none" w:sz="0" w:space="0" w:color="auto"/>
        <w:right w:val="none" w:sz="0" w:space="0" w:color="auto"/>
      </w:divBdr>
      <w:divsChild>
        <w:div w:id="791482084">
          <w:marLeft w:val="979"/>
          <w:marRight w:val="0"/>
          <w:marTop w:val="115"/>
          <w:marBottom w:val="0"/>
          <w:divBdr>
            <w:top w:val="none" w:sz="0" w:space="0" w:color="auto"/>
            <w:left w:val="none" w:sz="0" w:space="0" w:color="auto"/>
            <w:bottom w:val="none" w:sz="0" w:space="0" w:color="auto"/>
            <w:right w:val="none" w:sz="0" w:space="0" w:color="auto"/>
          </w:divBdr>
        </w:div>
        <w:div w:id="1078016577">
          <w:marLeft w:val="979"/>
          <w:marRight w:val="0"/>
          <w:marTop w:val="115"/>
          <w:marBottom w:val="0"/>
          <w:divBdr>
            <w:top w:val="none" w:sz="0" w:space="0" w:color="auto"/>
            <w:left w:val="none" w:sz="0" w:space="0" w:color="auto"/>
            <w:bottom w:val="none" w:sz="0" w:space="0" w:color="auto"/>
            <w:right w:val="none" w:sz="0" w:space="0" w:color="auto"/>
          </w:divBdr>
        </w:div>
        <w:div w:id="1648321224">
          <w:marLeft w:val="979"/>
          <w:marRight w:val="0"/>
          <w:marTop w:val="115"/>
          <w:marBottom w:val="0"/>
          <w:divBdr>
            <w:top w:val="none" w:sz="0" w:space="0" w:color="auto"/>
            <w:left w:val="none" w:sz="0" w:space="0" w:color="auto"/>
            <w:bottom w:val="none" w:sz="0" w:space="0" w:color="auto"/>
            <w:right w:val="none" w:sz="0" w:space="0" w:color="auto"/>
          </w:divBdr>
        </w:div>
        <w:div w:id="2141415321">
          <w:marLeft w:val="979"/>
          <w:marRight w:val="0"/>
          <w:marTop w:val="115"/>
          <w:marBottom w:val="0"/>
          <w:divBdr>
            <w:top w:val="none" w:sz="0" w:space="0" w:color="auto"/>
            <w:left w:val="none" w:sz="0" w:space="0" w:color="auto"/>
            <w:bottom w:val="none" w:sz="0" w:space="0" w:color="auto"/>
            <w:right w:val="none" w:sz="0" w:space="0" w:color="auto"/>
          </w:divBdr>
        </w:div>
      </w:divsChild>
    </w:div>
    <w:div w:id="1225336288">
      <w:bodyDiv w:val="1"/>
      <w:marLeft w:val="0"/>
      <w:marRight w:val="0"/>
      <w:marTop w:val="0"/>
      <w:marBottom w:val="0"/>
      <w:divBdr>
        <w:top w:val="none" w:sz="0" w:space="0" w:color="auto"/>
        <w:left w:val="none" w:sz="0" w:space="0" w:color="auto"/>
        <w:bottom w:val="none" w:sz="0" w:space="0" w:color="auto"/>
        <w:right w:val="none" w:sz="0" w:space="0" w:color="auto"/>
      </w:divBdr>
    </w:div>
    <w:div w:id="1328240824">
      <w:bodyDiv w:val="1"/>
      <w:marLeft w:val="0"/>
      <w:marRight w:val="0"/>
      <w:marTop w:val="0"/>
      <w:marBottom w:val="0"/>
      <w:divBdr>
        <w:top w:val="none" w:sz="0" w:space="0" w:color="auto"/>
        <w:left w:val="none" w:sz="0" w:space="0" w:color="auto"/>
        <w:bottom w:val="none" w:sz="0" w:space="0" w:color="auto"/>
        <w:right w:val="none" w:sz="0" w:space="0" w:color="auto"/>
      </w:divBdr>
    </w:div>
    <w:div w:id="1450708631">
      <w:bodyDiv w:val="1"/>
      <w:marLeft w:val="0"/>
      <w:marRight w:val="0"/>
      <w:marTop w:val="0"/>
      <w:marBottom w:val="0"/>
      <w:divBdr>
        <w:top w:val="none" w:sz="0" w:space="0" w:color="auto"/>
        <w:left w:val="none" w:sz="0" w:space="0" w:color="auto"/>
        <w:bottom w:val="none" w:sz="0" w:space="0" w:color="auto"/>
        <w:right w:val="none" w:sz="0" w:space="0" w:color="auto"/>
      </w:divBdr>
    </w:div>
    <w:div w:id="1500845822">
      <w:bodyDiv w:val="1"/>
      <w:marLeft w:val="0"/>
      <w:marRight w:val="0"/>
      <w:marTop w:val="0"/>
      <w:marBottom w:val="0"/>
      <w:divBdr>
        <w:top w:val="none" w:sz="0" w:space="0" w:color="auto"/>
        <w:left w:val="none" w:sz="0" w:space="0" w:color="auto"/>
        <w:bottom w:val="none" w:sz="0" w:space="0" w:color="auto"/>
        <w:right w:val="none" w:sz="0" w:space="0" w:color="auto"/>
      </w:divBdr>
      <w:divsChild>
        <w:div w:id="312805165">
          <w:marLeft w:val="0"/>
          <w:marRight w:val="0"/>
          <w:marTop w:val="0"/>
          <w:marBottom w:val="0"/>
          <w:divBdr>
            <w:top w:val="none" w:sz="0" w:space="0" w:color="auto"/>
            <w:left w:val="none" w:sz="0" w:space="0" w:color="auto"/>
            <w:bottom w:val="none" w:sz="0" w:space="0" w:color="auto"/>
            <w:right w:val="none" w:sz="0" w:space="0" w:color="auto"/>
          </w:divBdr>
        </w:div>
        <w:div w:id="1668897037">
          <w:marLeft w:val="0"/>
          <w:marRight w:val="0"/>
          <w:marTop w:val="0"/>
          <w:marBottom w:val="0"/>
          <w:divBdr>
            <w:top w:val="none" w:sz="0" w:space="0" w:color="auto"/>
            <w:left w:val="none" w:sz="0" w:space="0" w:color="auto"/>
            <w:bottom w:val="none" w:sz="0" w:space="0" w:color="auto"/>
            <w:right w:val="none" w:sz="0" w:space="0" w:color="auto"/>
          </w:divBdr>
        </w:div>
      </w:divsChild>
    </w:div>
    <w:div w:id="1508640440">
      <w:bodyDiv w:val="1"/>
      <w:marLeft w:val="0"/>
      <w:marRight w:val="0"/>
      <w:marTop w:val="0"/>
      <w:marBottom w:val="0"/>
      <w:divBdr>
        <w:top w:val="none" w:sz="0" w:space="0" w:color="auto"/>
        <w:left w:val="none" w:sz="0" w:space="0" w:color="auto"/>
        <w:bottom w:val="none" w:sz="0" w:space="0" w:color="auto"/>
        <w:right w:val="none" w:sz="0" w:space="0" w:color="auto"/>
      </w:divBdr>
      <w:divsChild>
        <w:div w:id="677460761">
          <w:marLeft w:val="0"/>
          <w:marRight w:val="0"/>
          <w:marTop w:val="0"/>
          <w:marBottom w:val="0"/>
          <w:divBdr>
            <w:top w:val="none" w:sz="0" w:space="0" w:color="auto"/>
            <w:left w:val="none" w:sz="0" w:space="0" w:color="auto"/>
            <w:bottom w:val="none" w:sz="0" w:space="0" w:color="auto"/>
            <w:right w:val="none" w:sz="0" w:space="0" w:color="auto"/>
          </w:divBdr>
        </w:div>
        <w:div w:id="997613088">
          <w:marLeft w:val="0"/>
          <w:marRight w:val="0"/>
          <w:marTop w:val="0"/>
          <w:marBottom w:val="0"/>
          <w:divBdr>
            <w:top w:val="none" w:sz="0" w:space="0" w:color="auto"/>
            <w:left w:val="none" w:sz="0" w:space="0" w:color="auto"/>
            <w:bottom w:val="none" w:sz="0" w:space="0" w:color="auto"/>
            <w:right w:val="none" w:sz="0" w:space="0" w:color="auto"/>
          </w:divBdr>
        </w:div>
      </w:divsChild>
    </w:div>
    <w:div w:id="1671592148">
      <w:bodyDiv w:val="1"/>
      <w:marLeft w:val="0"/>
      <w:marRight w:val="0"/>
      <w:marTop w:val="0"/>
      <w:marBottom w:val="0"/>
      <w:divBdr>
        <w:top w:val="none" w:sz="0" w:space="0" w:color="auto"/>
        <w:left w:val="none" w:sz="0" w:space="0" w:color="auto"/>
        <w:bottom w:val="none" w:sz="0" w:space="0" w:color="auto"/>
        <w:right w:val="none" w:sz="0" w:space="0" w:color="auto"/>
      </w:divBdr>
    </w:div>
    <w:div w:id="1740975733">
      <w:bodyDiv w:val="1"/>
      <w:marLeft w:val="0"/>
      <w:marRight w:val="0"/>
      <w:marTop w:val="0"/>
      <w:marBottom w:val="0"/>
      <w:divBdr>
        <w:top w:val="none" w:sz="0" w:space="0" w:color="auto"/>
        <w:left w:val="none" w:sz="0" w:space="0" w:color="auto"/>
        <w:bottom w:val="none" w:sz="0" w:space="0" w:color="auto"/>
        <w:right w:val="none" w:sz="0" w:space="0" w:color="auto"/>
      </w:divBdr>
      <w:divsChild>
        <w:div w:id="429278646">
          <w:marLeft w:val="0"/>
          <w:marRight w:val="0"/>
          <w:marTop w:val="0"/>
          <w:marBottom w:val="0"/>
          <w:divBdr>
            <w:top w:val="none" w:sz="0" w:space="0" w:color="auto"/>
            <w:left w:val="none" w:sz="0" w:space="0" w:color="auto"/>
            <w:bottom w:val="none" w:sz="0" w:space="0" w:color="auto"/>
            <w:right w:val="none" w:sz="0" w:space="0" w:color="auto"/>
          </w:divBdr>
        </w:div>
        <w:div w:id="525801167">
          <w:marLeft w:val="0"/>
          <w:marRight w:val="0"/>
          <w:marTop w:val="0"/>
          <w:marBottom w:val="0"/>
          <w:divBdr>
            <w:top w:val="none" w:sz="0" w:space="0" w:color="auto"/>
            <w:left w:val="none" w:sz="0" w:space="0" w:color="auto"/>
            <w:bottom w:val="none" w:sz="0" w:space="0" w:color="auto"/>
            <w:right w:val="none" w:sz="0" w:space="0" w:color="auto"/>
          </w:divBdr>
        </w:div>
      </w:divsChild>
    </w:div>
    <w:div w:id="1891456074">
      <w:bodyDiv w:val="1"/>
      <w:marLeft w:val="0"/>
      <w:marRight w:val="0"/>
      <w:marTop w:val="0"/>
      <w:marBottom w:val="0"/>
      <w:divBdr>
        <w:top w:val="none" w:sz="0" w:space="0" w:color="auto"/>
        <w:left w:val="none" w:sz="0" w:space="0" w:color="auto"/>
        <w:bottom w:val="none" w:sz="0" w:space="0" w:color="auto"/>
        <w:right w:val="none" w:sz="0" w:space="0" w:color="auto"/>
      </w:divBdr>
    </w:div>
    <w:div w:id="1999839687">
      <w:bodyDiv w:val="1"/>
      <w:marLeft w:val="0"/>
      <w:marRight w:val="0"/>
      <w:marTop w:val="0"/>
      <w:marBottom w:val="0"/>
      <w:divBdr>
        <w:top w:val="none" w:sz="0" w:space="0" w:color="auto"/>
        <w:left w:val="none" w:sz="0" w:space="0" w:color="auto"/>
        <w:bottom w:val="none" w:sz="0" w:space="0" w:color="auto"/>
        <w:right w:val="none" w:sz="0" w:space="0" w:color="auto"/>
      </w:divBdr>
      <w:divsChild>
        <w:div w:id="359162949">
          <w:marLeft w:val="0"/>
          <w:marRight w:val="0"/>
          <w:marTop w:val="0"/>
          <w:marBottom w:val="0"/>
          <w:divBdr>
            <w:top w:val="none" w:sz="0" w:space="0" w:color="auto"/>
            <w:left w:val="none" w:sz="0" w:space="0" w:color="auto"/>
            <w:bottom w:val="none" w:sz="0" w:space="0" w:color="auto"/>
            <w:right w:val="none" w:sz="0" w:space="0" w:color="auto"/>
          </w:divBdr>
        </w:div>
        <w:div w:id="901452865">
          <w:marLeft w:val="0"/>
          <w:marRight w:val="0"/>
          <w:marTop w:val="0"/>
          <w:marBottom w:val="0"/>
          <w:divBdr>
            <w:top w:val="none" w:sz="0" w:space="0" w:color="auto"/>
            <w:left w:val="none" w:sz="0" w:space="0" w:color="auto"/>
            <w:bottom w:val="none" w:sz="0" w:space="0" w:color="auto"/>
            <w:right w:val="none" w:sz="0" w:space="0" w:color="auto"/>
          </w:divBdr>
        </w:div>
        <w:div w:id="1293899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about/ds_it.htm" TargetMode="External"/><Relationship Id="rId3" Type="http://schemas.openxmlformats.org/officeDocument/2006/relationships/settings" Target="settings.xml"/><Relationship Id="rId7" Type="http://schemas.openxmlformats.org/officeDocument/2006/relationships/hyperlink" Target="http://www.michelegazzol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it.ly/1be33YC"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dylan-project.org" TargetMode="External"/><Relationship Id="rId2" Type="http://schemas.openxmlformats.org/officeDocument/2006/relationships/hyperlink" Target="http://ec.europa.eu/contracts_grants/contracts_it.htm" TargetMode="External"/><Relationship Id="rId1" Type="http://schemas.openxmlformats.org/officeDocument/2006/relationships/hyperlink" Target="http://ec.europa.eu/policies/index_it.htm" TargetMode="External"/><Relationship Id="rId4" Type="http://schemas.openxmlformats.org/officeDocument/2006/relationships/hyperlink" Target="http://www.elf.unige.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31</Pages>
  <Words>23077</Words>
  <Characters>131539</Characters>
  <Application>Microsoft Office Word</Application>
  <DocSecurity>0</DocSecurity>
  <Lines>1096</Lines>
  <Paragraphs>308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154308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GAZZOLA</dc:creator>
  <cp:lastModifiedBy>Gazzola, Michele</cp:lastModifiedBy>
  <cp:revision>8</cp:revision>
  <cp:lastPrinted>2014-04-30T15:24:00Z</cp:lastPrinted>
  <dcterms:created xsi:type="dcterms:W3CDTF">2014-05-06T17:50:00Z</dcterms:created>
  <dcterms:modified xsi:type="dcterms:W3CDTF">2019-02-27T10:34:00Z</dcterms:modified>
</cp:coreProperties>
</file>