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5E714C" w14:textId="77777777" w:rsidR="004809F7" w:rsidRPr="004C0771" w:rsidRDefault="004809F7" w:rsidP="004809F7">
      <w:pPr>
        <w:jc w:val="center"/>
        <w:rPr>
          <w:rFonts w:ascii="Times New Roman" w:hAnsi="Times New Roman"/>
          <w:color w:val="000000"/>
          <w:sz w:val="28"/>
        </w:rPr>
      </w:pPr>
      <w:r w:rsidRPr="004C0771">
        <w:rPr>
          <w:rFonts w:ascii="Times New Roman" w:hAnsi="Times New Roman"/>
          <w:sz w:val="28"/>
        </w:rPr>
        <w:t>Multilingual Communication for Whom?  Language Policy and Fairness in the European Union</w:t>
      </w:r>
    </w:p>
    <w:p w14:paraId="1F2D2416" w14:textId="77777777" w:rsidR="004809F7" w:rsidRPr="004C0771" w:rsidRDefault="004809F7" w:rsidP="004809F7">
      <w:pPr>
        <w:spacing w:before="100" w:beforeAutospacing="1" w:after="100" w:afterAutospacing="1" w:line="240" w:lineRule="auto"/>
        <w:rPr>
          <w:rFonts w:ascii="Times New Roman" w:hAnsi="Times New Roman"/>
          <w:b/>
          <w:sz w:val="28"/>
        </w:rPr>
      </w:pPr>
    </w:p>
    <w:p w14:paraId="21CE31AB" w14:textId="77777777" w:rsidR="004809F7" w:rsidRPr="00A031D8" w:rsidRDefault="004809F7" w:rsidP="004809F7">
      <w:pPr>
        <w:spacing w:before="100" w:beforeAutospacing="1" w:after="100" w:afterAutospacing="1" w:line="240" w:lineRule="auto"/>
        <w:rPr>
          <w:rFonts w:ascii="Times New Roman" w:hAnsi="Times New Roman"/>
          <w:b/>
          <w:sz w:val="28"/>
          <w:lang w:val="de-DE"/>
        </w:rPr>
      </w:pPr>
      <w:r w:rsidRPr="00A031D8">
        <w:rPr>
          <w:rFonts w:ascii="Times New Roman" w:hAnsi="Times New Roman"/>
          <w:b/>
          <w:sz w:val="28"/>
          <w:lang w:val="de-DE"/>
        </w:rPr>
        <w:t>Michele Gazzola</w:t>
      </w:r>
    </w:p>
    <w:p w14:paraId="7E542BA5" w14:textId="77777777" w:rsidR="004809F7" w:rsidRPr="00A031D8" w:rsidRDefault="004809F7" w:rsidP="004809F7">
      <w:pPr>
        <w:spacing w:before="100" w:beforeAutospacing="1" w:after="100" w:afterAutospacing="1" w:line="240" w:lineRule="auto"/>
        <w:rPr>
          <w:rFonts w:ascii="Times New Roman" w:hAnsi="Times New Roman"/>
          <w:b/>
          <w:sz w:val="24"/>
          <w:lang w:val="de-DE"/>
        </w:rPr>
      </w:pPr>
      <w:r w:rsidRPr="00A031D8">
        <w:rPr>
          <w:rFonts w:ascii="Times New Roman" w:hAnsi="Times New Roman"/>
          <w:iCs/>
          <w:sz w:val="24"/>
          <w:szCs w:val="20"/>
          <w:lang w:val="de-DE"/>
        </w:rPr>
        <w:t>Humboldt-Universität zu Berlin, Berlin, Germany</w:t>
      </w:r>
    </w:p>
    <w:p w14:paraId="7E1B5C2D" w14:textId="77777777" w:rsidR="004809F7" w:rsidRPr="00A031D8" w:rsidRDefault="004809F7" w:rsidP="004809F7">
      <w:pPr>
        <w:spacing w:before="100" w:beforeAutospacing="1" w:after="100" w:afterAutospacing="1" w:line="240" w:lineRule="auto"/>
        <w:jc w:val="center"/>
        <w:rPr>
          <w:rFonts w:ascii="Times New Roman" w:hAnsi="Times New Roman"/>
          <w:b/>
          <w:sz w:val="24"/>
          <w:lang w:val="de-DE"/>
        </w:rPr>
      </w:pPr>
    </w:p>
    <w:p w14:paraId="7AAC1CE9" w14:textId="77777777" w:rsidR="004809F7" w:rsidRPr="004C0771" w:rsidRDefault="004809F7" w:rsidP="004809F7">
      <w:pPr>
        <w:spacing w:before="100" w:beforeAutospacing="1" w:after="100" w:afterAutospacing="1" w:line="240" w:lineRule="auto"/>
        <w:rPr>
          <w:rFonts w:ascii="Times New Roman" w:hAnsi="Times New Roman"/>
          <w:b/>
          <w:sz w:val="24"/>
        </w:rPr>
      </w:pPr>
      <w:r w:rsidRPr="004C0771">
        <w:rPr>
          <w:rFonts w:ascii="Times New Roman" w:hAnsi="Times New Roman"/>
          <w:b/>
          <w:sz w:val="24"/>
        </w:rPr>
        <w:t>Abstract</w:t>
      </w:r>
    </w:p>
    <w:p w14:paraId="69A5D2C8" w14:textId="08F43FE6" w:rsidR="00975562" w:rsidRPr="004C0771" w:rsidRDefault="00975562" w:rsidP="00831391">
      <w:pPr>
        <w:jc w:val="both"/>
        <w:rPr>
          <w:rFonts w:ascii="Times New Roman" w:hAnsi="Times New Roman"/>
          <w:sz w:val="24"/>
        </w:rPr>
      </w:pPr>
      <w:r w:rsidRPr="004C0771">
        <w:rPr>
          <w:rFonts w:ascii="Times New Roman" w:hAnsi="Times New Roman"/>
          <w:sz w:val="24"/>
        </w:rPr>
        <w:t xml:space="preserve">This article </w:t>
      </w:r>
      <w:r w:rsidR="009656E0">
        <w:rPr>
          <w:rFonts w:ascii="Times New Roman" w:hAnsi="Times New Roman"/>
          <w:sz w:val="24"/>
        </w:rPr>
        <w:t>compares</w:t>
      </w:r>
      <w:r w:rsidR="009656E0" w:rsidRPr="004C0771">
        <w:rPr>
          <w:rFonts w:ascii="Times New Roman" w:hAnsi="Times New Roman"/>
          <w:sz w:val="24"/>
        </w:rPr>
        <w:t xml:space="preserve"> </w:t>
      </w:r>
      <w:r w:rsidRPr="004C0771">
        <w:rPr>
          <w:rFonts w:ascii="Times New Roman" w:hAnsi="Times New Roman"/>
          <w:sz w:val="24"/>
        </w:rPr>
        <w:t xml:space="preserve">the effectiveness and the fairness of </w:t>
      </w:r>
      <w:r w:rsidR="009656E0">
        <w:rPr>
          <w:rFonts w:ascii="Times New Roman" w:hAnsi="Times New Roman"/>
          <w:sz w:val="24"/>
        </w:rPr>
        <w:t xml:space="preserve">four alternative </w:t>
      </w:r>
      <w:r w:rsidRPr="004C0771">
        <w:rPr>
          <w:rFonts w:ascii="Times New Roman" w:hAnsi="Times New Roman"/>
          <w:sz w:val="24"/>
        </w:rPr>
        <w:t>polic</w:t>
      </w:r>
      <w:r w:rsidR="009656E0">
        <w:rPr>
          <w:rFonts w:ascii="Times New Roman" w:hAnsi="Times New Roman"/>
          <w:sz w:val="24"/>
        </w:rPr>
        <w:t>ies</w:t>
      </w:r>
      <w:r w:rsidRPr="004C0771">
        <w:rPr>
          <w:rFonts w:ascii="Times New Roman" w:hAnsi="Times New Roman"/>
          <w:sz w:val="24"/>
        </w:rPr>
        <w:t xml:space="preserve"> </w:t>
      </w:r>
      <w:r w:rsidR="009656E0">
        <w:rPr>
          <w:rFonts w:ascii="Times New Roman" w:hAnsi="Times New Roman"/>
          <w:sz w:val="24"/>
        </w:rPr>
        <w:t xml:space="preserve">aimed at managing multilingual communication </w:t>
      </w:r>
      <w:r w:rsidR="00517E8F">
        <w:rPr>
          <w:rFonts w:ascii="Times New Roman" w:hAnsi="Times New Roman"/>
          <w:sz w:val="24"/>
        </w:rPr>
        <w:t xml:space="preserve">of the </w:t>
      </w:r>
      <w:r w:rsidRPr="004C0771">
        <w:rPr>
          <w:rFonts w:ascii="Times New Roman" w:hAnsi="Times New Roman"/>
          <w:sz w:val="24"/>
        </w:rPr>
        <w:t xml:space="preserve">EU. </w:t>
      </w:r>
      <w:r w:rsidR="00D3284F">
        <w:rPr>
          <w:rFonts w:ascii="Times New Roman" w:hAnsi="Times New Roman"/>
          <w:sz w:val="24"/>
        </w:rPr>
        <w:t xml:space="preserve">The current </w:t>
      </w:r>
      <w:r w:rsidR="00D3284F" w:rsidRPr="00831391">
        <w:rPr>
          <w:rFonts w:ascii="Times New Roman" w:hAnsi="Times New Roman"/>
          <w:sz w:val="24"/>
        </w:rPr>
        <w:t>multilingual regime</w:t>
      </w:r>
      <w:r w:rsidR="00D3284F">
        <w:rPr>
          <w:rFonts w:ascii="Times New Roman" w:hAnsi="Times New Roman"/>
          <w:sz w:val="24"/>
        </w:rPr>
        <w:t xml:space="preserve">, based on the formal equality among the official languages of the EU Member States </w:t>
      </w:r>
      <w:r w:rsidR="00D3284F" w:rsidRPr="00831391">
        <w:rPr>
          <w:rFonts w:ascii="Times New Roman" w:hAnsi="Times New Roman"/>
          <w:sz w:val="24"/>
        </w:rPr>
        <w:t>disenfranchises only a small percentage of residents</w:t>
      </w:r>
      <w:r w:rsidR="00D3284F">
        <w:rPr>
          <w:rFonts w:ascii="Times New Roman" w:hAnsi="Times New Roman"/>
          <w:sz w:val="24"/>
        </w:rPr>
        <w:t xml:space="preserve">. On the contrary, </w:t>
      </w:r>
      <w:r w:rsidRPr="004C0771">
        <w:rPr>
          <w:rFonts w:ascii="Times New Roman" w:hAnsi="Times New Roman"/>
          <w:sz w:val="24"/>
        </w:rPr>
        <w:t xml:space="preserve">an English-only language policy would exclude 45% to 79% of adult residents in </w:t>
      </w:r>
      <w:r w:rsidR="00517E8F">
        <w:rPr>
          <w:rFonts w:ascii="Times New Roman" w:hAnsi="Times New Roman"/>
          <w:sz w:val="24"/>
        </w:rPr>
        <w:t xml:space="preserve">the 25 </w:t>
      </w:r>
      <w:r w:rsidR="009656E0">
        <w:rPr>
          <w:rFonts w:ascii="Times New Roman" w:hAnsi="Times New Roman"/>
          <w:sz w:val="24"/>
        </w:rPr>
        <w:t xml:space="preserve">countries </w:t>
      </w:r>
      <w:r w:rsidR="00517E8F">
        <w:rPr>
          <w:rFonts w:ascii="Times New Roman" w:hAnsi="Times New Roman"/>
          <w:sz w:val="24"/>
        </w:rPr>
        <w:t>for which data are available</w:t>
      </w:r>
      <w:r w:rsidR="00D3284F">
        <w:rPr>
          <w:rFonts w:ascii="Times New Roman" w:hAnsi="Times New Roman"/>
          <w:sz w:val="24"/>
        </w:rPr>
        <w:t>, d</w:t>
      </w:r>
      <w:r w:rsidR="00D3284F" w:rsidRPr="004C0771">
        <w:rPr>
          <w:rFonts w:ascii="Times New Roman" w:hAnsi="Times New Roman"/>
          <w:sz w:val="24"/>
        </w:rPr>
        <w:t>epending on the indicator used</w:t>
      </w:r>
      <w:r w:rsidR="00D3284F">
        <w:rPr>
          <w:rFonts w:ascii="Times New Roman" w:hAnsi="Times New Roman"/>
          <w:sz w:val="24"/>
        </w:rPr>
        <w:t>. A</w:t>
      </w:r>
      <w:r w:rsidR="00A031D8">
        <w:rPr>
          <w:rFonts w:ascii="Times New Roman" w:hAnsi="Times New Roman"/>
          <w:sz w:val="24"/>
        </w:rPr>
        <w:t xml:space="preserve"> </w:t>
      </w:r>
      <w:r w:rsidRPr="004C0771">
        <w:rPr>
          <w:rFonts w:ascii="Times New Roman" w:hAnsi="Times New Roman"/>
          <w:sz w:val="24"/>
        </w:rPr>
        <w:t xml:space="preserve">language regime based on English, French and German would </w:t>
      </w:r>
      <w:r w:rsidR="009656E0">
        <w:rPr>
          <w:rFonts w:ascii="Times New Roman" w:hAnsi="Times New Roman"/>
          <w:sz w:val="24"/>
        </w:rPr>
        <w:t xml:space="preserve">disenfranchise </w:t>
      </w:r>
      <w:r w:rsidRPr="004C0771">
        <w:rPr>
          <w:rFonts w:ascii="Times New Roman" w:hAnsi="Times New Roman"/>
          <w:sz w:val="24"/>
        </w:rPr>
        <w:t>26% to 49% of residents</w:t>
      </w:r>
      <w:r w:rsidR="00D3284F">
        <w:rPr>
          <w:rFonts w:ascii="Times New Roman" w:hAnsi="Times New Roman"/>
          <w:sz w:val="24"/>
        </w:rPr>
        <w:t>, whereas</w:t>
      </w:r>
      <w:r w:rsidR="00831391" w:rsidRPr="00831391">
        <w:rPr>
          <w:rFonts w:ascii="Times New Roman" w:hAnsi="Times New Roman"/>
          <w:sz w:val="24"/>
        </w:rPr>
        <w:t xml:space="preserve"> a regime based on six languages would bring the shares of excluded population down to 9-18 %. </w:t>
      </w:r>
      <w:r w:rsidR="00D3284F">
        <w:rPr>
          <w:rFonts w:ascii="Times New Roman" w:hAnsi="Times New Roman"/>
          <w:sz w:val="24"/>
        </w:rPr>
        <w:t>In addition, result</w:t>
      </w:r>
      <w:r w:rsidR="00517E8F">
        <w:rPr>
          <w:rFonts w:ascii="Times New Roman" w:hAnsi="Times New Roman"/>
          <w:sz w:val="24"/>
        </w:rPr>
        <w:t>s</w:t>
      </w:r>
      <w:r w:rsidR="00D3284F" w:rsidRPr="004C0771">
        <w:rPr>
          <w:rFonts w:ascii="Times New Roman" w:hAnsi="Times New Roman"/>
          <w:sz w:val="24"/>
          <w:szCs w:val="24"/>
        </w:rPr>
        <w:t xml:space="preserve"> show that economically and socially disadvantaged individuals </w:t>
      </w:r>
      <w:r w:rsidR="00915140">
        <w:rPr>
          <w:rFonts w:ascii="Times New Roman" w:hAnsi="Times New Roman"/>
          <w:sz w:val="24"/>
          <w:szCs w:val="24"/>
        </w:rPr>
        <w:t>are</w:t>
      </w:r>
      <w:r w:rsidR="00D3284F" w:rsidRPr="004C0771">
        <w:rPr>
          <w:rFonts w:ascii="Times New Roman" w:hAnsi="Times New Roman"/>
          <w:sz w:val="24"/>
          <w:szCs w:val="24"/>
        </w:rPr>
        <w:t xml:space="preserve"> less likely to speak languages other than their own native tongue, and therefore they are </w:t>
      </w:r>
      <w:r w:rsidR="00915140">
        <w:rPr>
          <w:rFonts w:ascii="Times New Roman" w:hAnsi="Times New Roman"/>
          <w:sz w:val="24"/>
          <w:szCs w:val="24"/>
        </w:rPr>
        <w:t xml:space="preserve">much </w:t>
      </w:r>
      <w:r w:rsidR="00D3284F" w:rsidRPr="004C0771">
        <w:rPr>
          <w:rFonts w:ascii="Times New Roman" w:hAnsi="Times New Roman"/>
          <w:sz w:val="24"/>
          <w:szCs w:val="24"/>
        </w:rPr>
        <w:t>more likely to be adversely affected if the EU stops using their language. The current full multilingual policy of the EU based on translation and interpreting not only is (and will be for the foreseeable future) the most effective language policy among the alternative</w:t>
      </w:r>
      <w:r w:rsidR="00915140">
        <w:rPr>
          <w:rFonts w:ascii="Times New Roman" w:hAnsi="Times New Roman"/>
          <w:sz w:val="24"/>
          <w:szCs w:val="24"/>
        </w:rPr>
        <w:t>s examined</w:t>
      </w:r>
      <w:r w:rsidR="00D3284F" w:rsidRPr="004C0771">
        <w:rPr>
          <w:rFonts w:ascii="Times New Roman" w:hAnsi="Times New Roman"/>
          <w:sz w:val="24"/>
          <w:szCs w:val="24"/>
        </w:rPr>
        <w:t>; it is also the only one that is truly inclusive at a relatively reasonable cost</w:t>
      </w:r>
      <w:r w:rsidR="00915140">
        <w:rPr>
          <w:rFonts w:ascii="Times New Roman" w:hAnsi="Times New Roman"/>
          <w:sz w:val="24"/>
          <w:szCs w:val="24"/>
        </w:rPr>
        <w:t>.</w:t>
      </w:r>
    </w:p>
    <w:p w14:paraId="19942317" w14:textId="77777777" w:rsidR="00975562" w:rsidRPr="004C0771" w:rsidRDefault="00975562" w:rsidP="00975562">
      <w:pPr>
        <w:rPr>
          <w:rFonts w:ascii="Times New Roman" w:hAnsi="Times New Roman"/>
          <w:sz w:val="24"/>
        </w:rPr>
      </w:pPr>
    </w:p>
    <w:p w14:paraId="6312FA6D" w14:textId="1D441D9E" w:rsidR="00975562" w:rsidRPr="004C0771" w:rsidRDefault="00975562" w:rsidP="00975562">
      <w:pPr>
        <w:rPr>
          <w:rFonts w:ascii="Times New Roman" w:hAnsi="Times New Roman"/>
          <w:color w:val="000000"/>
          <w:sz w:val="24"/>
          <w:szCs w:val="24"/>
        </w:rPr>
      </w:pPr>
      <w:r w:rsidRPr="004C0771">
        <w:rPr>
          <w:rFonts w:ascii="Times New Roman" w:hAnsi="Times New Roman"/>
          <w:b/>
          <w:color w:val="000000"/>
          <w:sz w:val="24"/>
          <w:szCs w:val="24"/>
        </w:rPr>
        <w:t>Keywords:</w:t>
      </w:r>
      <w:r w:rsidRPr="004C0771">
        <w:rPr>
          <w:rFonts w:ascii="Times New Roman" w:hAnsi="Times New Roman"/>
          <w:color w:val="000000"/>
          <w:sz w:val="24"/>
          <w:szCs w:val="24"/>
        </w:rPr>
        <w:t xml:space="preserve"> European Union, Language policy, Linguistic justice, Multilingualism, Translation costs</w:t>
      </w:r>
      <w:r w:rsidR="00D1142E">
        <w:rPr>
          <w:rFonts w:ascii="Times New Roman" w:hAnsi="Times New Roman"/>
          <w:color w:val="000000"/>
          <w:sz w:val="24"/>
          <w:szCs w:val="24"/>
        </w:rPr>
        <w:t>.</w:t>
      </w:r>
    </w:p>
    <w:p w14:paraId="6A1E15F7" w14:textId="77777777" w:rsidR="00975562" w:rsidRPr="004C0771" w:rsidRDefault="00975562" w:rsidP="00975562">
      <w:pPr>
        <w:rPr>
          <w:rFonts w:ascii="Times New Roman" w:hAnsi="Times New Roman"/>
        </w:rPr>
      </w:pPr>
    </w:p>
    <w:p w14:paraId="1860B3DB" w14:textId="77777777" w:rsidR="00975562" w:rsidRPr="004C0771" w:rsidRDefault="00975562" w:rsidP="00975562">
      <w:pPr>
        <w:rPr>
          <w:rFonts w:ascii="Times New Roman" w:hAnsi="Times New Roman"/>
          <w:b/>
        </w:rPr>
      </w:pPr>
    </w:p>
    <w:p w14:paraId="50E09A58" w14:textId="77777777" w:rsidR="00975562" w:rsidRPr="004C0771" w:rsidRDefault="00975562" w:rsidP="00975562">
      <w:pPr>
        <w:rPr>
          <w:rFonts w:ascii="Times New Roman" w:hAnsi="Times New Roman"/>
          <w:b/>
          <w:sz w:val="24"/>
        </w:rPr>
      </w:pPr>
      <w:r w:rsidRPr="004C0771">
        <w:rPr>
          <w:rFonts w:ascii="Times New Roman" w:hAnsi="Times New Roman"/>
          <w:b/>
          <w:sz w:val="24"/>
        </w:rPr>
        <w:t>Corresponding author:</w:t>
      </w:r>
    </w:p>
    <w:p w14:paraId="36A569D4" w14:textId="77777777" w:rsidR="007350CF" w:rsidRDefault="00975562" w:rsidP="00975562">
      <w:pPr>
        <w:spacing w:after="0" w:line="240" w:lineRule="auto"/>
        <w:rPr>
          <w:rFonts w:ascii="Times New Roman" w:hAnsi="Times New Roman"/>
          <w:sz w:val="24"/>
          <w:szCs w:val="24"/>
        </w:rPr>
      </w:pPr>
      <w:r w:rsidRPr="004C0771">
        <w:rPr>
          <w:rFonts w:ascii="Times New Roman" w:hAnsi="Times New Roman"/>
          <w:b/>
          <w:sz w:val="24"/>
        </w:rPr>
        <w:t xml:space="preserve">Michele Gazzola, </w:t>
      </w:r>
      <w:r w:rsidRPr="004C0771">
        <w:rPr>
          <w:rFonts w:ascii="Times New Roman" w:hAnsi="Times New Roman"/>
          <w:sz w:val="24"/>
          <w:szCs w:val="24"/>
        </w:rPr>
        <w:t xml:space="preserve">Research Group Economics and Language (REAL), Department of Education Studies, Humboldt-Universität </w:t>
      </w:r>
      <w:proofErr w:type="spellStart"/>
      <w:r w:rsidRPr="004C0771">
        <w:rPr>
          <w:rFonts w:ascii="Times New Roman" w:hAnsi="Times New Roman"/>
          <w:sz w:val="24"/>
          <w:szCs w:val="24"/>
        </w:rPr>
        <w:t>zu</w:t>
      </w:r>
      <w:proofErr w:type="spellEnd"/>
      <w:r w:rsidRPr="004C0771">
        <w:rPr>
          <w:rFonts w:ascii="Times New Roman" w:hAnsi="Times New Roman"/>
          <w:sz w:val="24"/>
          <w:szCs w:val="24"/>
        </w:rPr>
        <w:t xml:space="preserve"> Berlin, Germany, </w:t>
      </w:r>
      <w:proofErr w:type="spellStart"/>
      <w:r w:rsidRPr="004C0771">
        <w:rPr>
          <w:rFonts w:ascii="Times New Roman" w:hAnsi="Times New Roman"/>
          <w:sz w:val="24"/>
          <w:szCs w:val="24"/>
        </w:rPr>
        <w:t>Unter</w:t>
      </w:r>
      <w:proofErr w:type="spellEnd"/>
      <w:r w:rsidRPr="004C0771">
        <w:rPr>
          <w:rFonts w:ascii="Times New Roman" w:hAnsi="Times New Roman"/>
          <w:sz w:val="24"/>
          <w:szCs w:val="24"/>
        </w:rPr>
        <w:t xml:space="preserve"> den L</w:t>
      </w:r>
      <w:r w:rsidR="00C2298C">
        <w:rPr>
          <w:rFonts w:ascii="Times New Roman" w:hAnsi="Times New Roman"/>
          <w:sz w:val="24"/>
          <w:szCs w:val="24"/>
        </w:rPr>
        <w:t>inden 6, 10099 Berlin, Germany.</w:t>
      </w:r>
      <w:r w:rsidRPr="004C0771">
        <w:rPr>
          <w:rFonts w:ascii="Times New Roman" w:hAnsi="Times New Roman"/>
          <w:sz w:val="24"/>
          <w:szCs w:val="24"/>
        </w:rPr>
        <w:t xml:space="preserve"> </w:t>
      </w:r>
    </w:p>
    <w:p w14:paraId="538E0E3D" w14:textId="02D9C9D1" w:rsidR="00975562" w:rsidRPr="004C0771" w:rsidRDefault="00975562" w:rsidP="00975562">
      <w:pPr>
        <w:spacing w:after="0" w:line="240" w:lineRule="auto"/>
        <w:rPr>
          <w:rFonts w:ascii="Times New Roman" w:hAnsi="Times New Roman"/>
          <w:sz w:val="24"/>
          <w:szCs w:val="24"/>
        </w:rPr>
      </w:pPr>
      <w:r w:rsidRPr="004C0771">
        <w:rPr>
          <w:rFonts w:ascii="Times New Roman" w:hAnsi="Times New Roman"/>
          <w:sz w:val="24"/>
          <w:szCs w:val="24"/>
        </w:rPr>
        <w:t>Email</w:t>
      </w:r>
      <w:r w:rsidR="007350CF">
        <w:rPr>
          <w:rFonts w:ascii="Times New Roman" w:hAnsi="Times New Roman"/>
          <w:sz w:val="24"/>
          <w:szCs w:val="24"/>
        </w:rPr>
        <w:t>:</w:t>
      </w:r>
      <w:r w:rsidRPr="004C0771">
        <w:rPr>
          <w:rFonts w:ascii="Times New Roman" w:hAnsi="Times New Roman"/>
          <w:sz w:val="24"/>
          <w:szCs w:val="24"/>
        </w:rPr>
        <w:t xml:space="preserve"> </w:t>
      </w:r>
      <w:hyperlink r:id="rId8" w:history="1">
        <w:r w:rsidRPr="004C0771">
          <w:rPr>
            <w:rStyle w:val="Hyperlink"/>
            <w:rFonts w:ascii="Times New Roman" w:hAnsi="Times New Roman"/>
            <w:sz w:val="24"/>
            <w:szCs w:val="24"/>
          </w:rPr>
          <w:t>gazzola@hu-berlin.de</w:t>
        </w:r>
      </w:hyperlink>
      <w:r w:rsidRPr="004C0771">
        <w:rPr>
          <w:rFonts w:ascii="Times New Roman" w:hAnsi="Times New Roman"/>
          <w:sz w:val="24"/>
          <w:szCs w:val="24"/>
        </w:rPr>
        <w:t xml:space="preserve"> / michele@michelegazzola.com</w:t>
      </w:r>
    </w:p>
    <w:p w14:paraId="507F06A2" w14:textId="0DA4ABC6" w:rsidR="002C79E9" w:rsidRPr="004C0771" w:rsidRDefault="002C79E9" w:rsidP="002C79E9">
      <w:pPr>
        <w:rPr>
          <w:rFonts w:ascii="Times New Roman" w:hAnsi="Times New Roman"/>
          <w:b/>
          <w:sz w:val="24"/>
        </w:rPr>
      </w:pPr>
    </w:p>
    <w:p w14:paraId="0083A4FF" w14:textId="77777777" w:rsidR="000172B5" w:rsidRPr="004C0771" w:rsidRDefault="000172B5" w:rsidP="006233DD">
      <w:pPr>
        <w:spacing w:line="480" w:lineRule="auto"/>
        <w:rPr>
          <w:rFonts w:ascii="Times New Roman" w:hAnsi="Times New Roman"/>
          <w:sz w:val="24"/>
        </w:rPr>
      </w:pPr>
    </w:p>
    <w:p w14:paraId="555D7A84" w14:textId="22E5BA84" w:rsidR="0054578A" w:rsidRPr="004C0771" w:rsidRDefault="0054578A" w:rsidP="006233DD">
      <w:pPr>
        <w:pStyle w:val="Heading2"/>
        <w:spacing w:line="480" w:lineRule="auto"/>
        <w:rPr>
          <w:rFonts w:ascii="Times New Roman" w:hAnsi="Times New Roman"/>
          <w:color w:val="auto"/>
          <w:sz w:val="24"/>
          <w:szCs w:val="24"/>
        </w:rPr>
      </w:pPr>
      <w:r w:rsidRPr="004C0771">
        <w:rPr>
          <w:rFonts w:ascii="Times New Roman" w:hAnsi="Times New Roman"/>
          <w:color w:val="auto"/>
          <w:sz w:val="24"/>
          <w:szCs w:val="24"/>
        </w:rPr>
        <w:lastRenderedPageBreak/>
        <w:t xml:space="preserve"> Introduction</w:t>
      </w:r>
    </w:p>
    <w:p w14:paraId="7E31F66A" w14:textId="07ACC273" w:rsidR="007F446F" w:rsidRPr="004C0771" w:rsidRDefault="0054578A" w:rsidP="006233DD">
      <w:pPr>
        <w:spacing w:line="480" w:lineRule="auto"/>
        <w:jc w:val="both"/>
        <w:rPr>
          <w:rFonts w:ascii="Times New Roman" w:hAnsi="Times New Roman"/>
          <w:sz w:val="24"/>
          <w:szCs w:val="24"/>
        </w:rPr>
      </w:pPr>
      <w:r w:rsidRPr="004C0771">
        <w:rPr>
          <w:rFonts w:ascii="Times New Roman" w:hAnsi="Times New Roman"/>
          <w:sz w:val="24"/>
          <w:szCs w:val="24"/>
        </w:rPr>
        <w:t>The decision made by the European Union (EU) at its inception to give official status to all official languages of its Member States</w:t>
      </w:r>
      <w:r w:rsidR="007F446F" w:rsidRPr="004C0771">
        <w:rPr>
          <w:rStyle w:val="FootnoteReference"/>
          <w:rFonts w:ascii="Times New Roman" w:hAnsi="Times New Roman"/>
          <w:sz w:val="24"/>
          <w:szCs w:val="24"/>
        </w:rPr>
        <w:footnoteReference w:id="1"/>
      </w:r>
      <w:r w:rsidR="007F446F" w:rsidRPr="004C0771">
        <w:rPr>
          <w:rFonts w:ascii="Times New Roman" w:hAnsi="Times New Roman"/>
          <w:sz w:val="24"/>
          <w:szCs w:val="24"/>
        </w:rPr>
        <w:t xml:space="preserve"> has led to an intensive debate on its costs, advantages and disadvantages. In recent years, the language regime of the EU has been overtly criticised for being too costly and cumbersome. According to some authors, using only one language would contribute to the effectiveness of the communication of the EU, and it could eventually encourage the cohesion of the </w:t>
      </w:r>
      <w:proofErr w:type="gramStart"/>
      <w:r w:rsidR="007F446F" w:rsidRPr="004C0771">
        <w:rPr>
          <w:rFonts w:ascii="Times New Roman" w:hAnsi="Times New Roman"/>
          <w:sz w:val="24"/>
          <w:szCs w:val="24"/>
        </w:rPr>
        <w:t>EU as a whole</w:t>
      </w:r>
      <w:proofErr w:type="gramEnd"/>
      <w:r w:rsidR="007F446F" w:rsidRPr="004C0771">
        <w:rPr>
          <w:rFonts w:ascii="Times New Roman" w:hAnsi="Times New Roman"/>
          <w:sz w:val="24"/>
          <w:szCs w:val="24"/>
        </w:rPr>
        <w:t xml:space="preserve">. Usually the candidate language is English (e.g. </w:t>
      </w:r>
      <w:r w:rsidR="007F446F" w:rsidRPr="004C0771">
        <w:rPr>
          <w:rFonts w:ascii="Times New Roman" w:hAnsi="Times New Roman"/>
          <w:sz w:val="24"/>
          <w:szCs w:val="24"/>
        </w:rPr>
        <w:fldChar w:fldCharType="begin"/>
      </w:r>
      <w:r w:rsidR="007F446F" w:rsidRPr="004C0771">
        <w:rPr>
          <w:rFonts w:ascii="Times New Roman" w:hAnsi="Times New Roman"/>
          <w:sz w:val="24"/>
          <w:szCs w:val="24"/>
        </w:rPr>
        <w:instrText xml:space="preserve"> ADDIN EN.CITE &lt;EndNote&gt;&lt;Cite&gt;&lt;Author&gt;Archibugi&lt;/Author&gt;&lt;Year&gt;2005&lt;/Year&gt;&lt;RecNum&gt;1046&lt;/RecNum&gt;&lt;DisplayText&gt;Archibugi 2005&lt;/DisplayText&gt;&lt;record&gt;&lt;rec-number&gt;1046&lt;/rec-number&gt;&lt;foreign-keys&gt;&lt;key app="EN" db-id="wvvszzd93a0z5wesdfpvdv9z5wrra5p05axp"&gt;1046&lt;/key&gt;&lt;/foreign-keys&gt;&lt;ref-type name="Journal Article"&gt;17&lt;/ref-type&gt;&lt;contributors&gt;&lt;authors&gt;&lt;author&gt;Archibugi, Daniele&lt;/author&gt;&lt;/authors&gt;&lt;/contributors&gt;&lt;titles&gt;&lt;title&gt;The language of democracy: Vernacular or Esperanto? A comparison between the multiculturalist and cosmopolitan perspectives&lt;/title&gt;&lt;secondary-title&gt;Political Studies&lt;/secondary-title&gt;&lt;/titles&gt;&lt;periodical&gt;&lt;full-title&gt;Political Studies&lt;/full-title&gt;&lt;/periodical&gt;&lt;pages&gt;537-555&lt;/pages&gt;&lt;volume&gt;53&lt;/volume&gt;&lt;number&gt;3&lt;/number&gt;&lt;dates&gt;&lt;year&gt;2005&lt;/year&gt;&lt;/dates&gt;&lt;urls&gt;&lt;/urls&gt;&lt;/record&gt;&lt;/Cite&gt;&lt;/EndNote&gt;</w:instrText>
      </w:r>
      <w:r w:rsidR="007F446F" w:rsidRPr="004C0771">
        <w:rPr>
          <w:rFonts w:ascii="Times New Roman" w:hAnsi="Times New Roman"/>
          <w:sz w:val="24"/>
          <w:szCs w:val="24"/>
        </w:rPr>
        <w:fldChar w:fldCharType="separate"/>
      </w:r>
      <w:proofErr w:type="spellStart"/>
      <w:r w:rsidR="007F446F" w:rsidRPr="004C0771">
        <w:rPr>
          <w:rFonts w:ascii="Times New Roman" w:hAnsi="Times New Roman"/>
          <w:sz w:val="24"/>
          <w:szCs w:val="24"/>
        </w:rPr>
        <w:t>Archibugi</w:t>
      </w:r>
      <w:proofErr w:type="spellEnd"/>
      <w:r w:rsidR="007F446F" w:rsidRPr="004C0771">
        <w:rPr>
          <w:rFonts w:ascii="Times New Roman" w:hAnsi="Times New Roman"/>
          <w:sz w:val="24"/>
          <w:szCs w:val="24"/>
        </w:rPr>
        <w:t>, 2005</w:t>
      </w:r>
      <w:r w:rsidR="007F446F" w:rsidRPr="004C0771">
        <w:rPr>
          <w:rFonts w:ascii="Times New Roman" w:hAnsi="Times New Roman"/>
          <w:sz w:val="24"/>
          <w:szCs w:val="24"/>
        </w:rPr>
        <w:fldChar w:fldCharType="end"/>
      </w:r>
      <w:r w:rsidR="007F446F" w:rsidRPr="004C0771">
        <w:rPr>
          <w:rFonts w:ascii="Times New Roman" w:hAnsi="Times New Roman"/>
          <w:sz w:val="24"/>
          <w:szCs w:val="24"/>
        </w:rPr>
        <w:t xml:space="preserve">; </w:t>
      </w:r>
      <w:r w:rsidR="007F446F" w:rsidRPr="004C0771">
        <w:rPr>
          <w:rFonts w:ascii="Times New Roman" w:hAnsi="Times New Roman"/>
          <w:sz w:val="24"/>
          <w:szCs w:val="24"/>
        </w:rPr>
        <w:fldChar w:fldCharType="begin"/>
      </w:r>
      <w:r w:rsidR="007F446F" w:rsidRPr="004C0771">
        <w:rPr>
          <w:rFonts w:ascii="Times New Roman" w:hAnsi="Times New Roman"/>
          <w:sz w:val="24"/>
          <w:szCs w:val="24"/>
        </w:rPr>
        <w:instrText xml:space="preserve"> ADDIN EN.CITE &lt;EndNote&gt;&lt;Cite&gt;&lt;Author&gt;Cogo&lt;/Author&gt;&lt;Year&gt;2010&lt;/Year&gt;&lt;RecNum&gt;804&lt;/RecNum&gt;&lt;DisplayText&gt;Cogo and Jenkins 2010&lt;/DisplayText&gt;&lt;record&gt;&lt;rec-number&gt;804&lt;/rec-number&gt;&lt;foreign-keys&gt;&lt;key app="EN" db-id="wvvszzd93a0z5wesdfpvdv9z5wrra5p05axp"&gt;804&lt;/key&gt;&lt;/foreign-keys&gt;&lt;ref-type name="Journal Article"&gt;17&lt;/ref-type&gt;&lt;contributors&gt;&lt;authors&gt;&lt;author&gt;Cogo, Alessia&lt;/author&gt;&lt;author&gt;Jenkins, Jennifer&lt;/author&gt;&lt;/authors&gt;&lt;/contributors&gt;&lt;titles&gt;&lt;title&gt;English as a lingua franca in Europe. A mismatch between policy and practice&lt;/title&gt;&lt;secondary-title&gt;European Journal of Language Policy&lt;/secondary-title&gt;&lt;/titles&gt;&lt;periodical&gt;&lt;full-title&gt;European Journal of Language Policy&lt;/full-title&gt;&lt;/periodical&gt;&lt;pages&gt;271–294&lt;/pages&gt;&lt;volume&gt;2&lt;/volume&gt;&lt;number&gt;2&lt;/number&gt;&lt;dates&gt;&lt;year&gt;2010&lt;/year&gt;&lt;/dates&gt;&lt;urls&gt;&lt;/urls&gt;&lt;/record&gt;&lt;/Cite&gt;&lt;/EndNote&gt;</w:instrText>
      </w:r>
      <w:r w:rsidR="007F446F" w:rsidRPr="004C0771">
        <w:rPr>
          <w:rFonts w:ascii="Times New Roman" w:hAnsi="Times New Roman"/>
          <w:sz w:val="24"/>
          <w:szCs w:val="24"/>
        </w:rPr>
        <w:fldChar w:fldCharType="separate"/>
      </w:r>
      <w:proofErr w:type="spellStart"/>
      <w:r w:rsidR="007F446F" w:rsidRPr="004C0771">
        <w:rPr>
          <w:rFonts w:ascii="Times New Roman" w:hAnsi="Times New Roman"/>
          <w:sz w:val="24"/>
          <w:szCs w:val="24"/>
        </w:rPr>
        <w:t>Cogo</w:t>
      </w:r>
      <w:proofErr w:type="spellEnd"/>
      <w:r w:rsidR="007F446F" w:rsidRPr="004C0771">
        <w:rPr>
          <w:rFonts w:ascii="Times New Roman" w:hAnsi="Times New Roman"/>
          <w:sz w:val="24"/>
          <w:szCs w:val="24"/>
        </w:rPr>
        <w:t xml:space="preserve"> and Jenkins, 2010</w:t>
      </w:r>
      <w:r w:rsidR="007F446F" w:rsidRPr="004C0771">
        <w:rPr>
          <w:rFonts w:ascii="Times New Roman" w:hAnsi="Times New Roman"/>
          <w:sz w:val="24"/>
          <w:szCs w:val="24"/>
        </w:rPr>
        <w:fldChar w:fldCharType="end"/>
      </w:r>
      <w:r w:rsidR="007F446F" w:rsidRPr="004C0771">
        <w:rPr>
          <w:rFonts w:ascii="Times New Roman" w:hAnsi="Times New Roman"/>
          <w:sz w:val="24"/>
          <w:szCs w:val="24"/>
        </w:rPr>
        <w:t xml:space="preserve">; De </w:t>
      </w:r>
      <w:proofErr w:type="spellStart"/>
      <w:r w:rsidR="007F446F" w:rsidRPr="004C0771">
        <w:rPr>
          <w:rFonts w:ascii="Times New Roman" w:hAnsi="Times New Roman"/>
          <w:sz w:val="24"/>
          <w:szCs w:val="24"/>
        </w:rPr>
        <w:t>Swaan</w:t>
      </w:r>
      <w:proofErr w:type="spellEnd"/>
      <w:r w:rsidR="007F446F" w:rsidRPr="004C0771">
        <w:rPr>
          <w:rFonts w:ascii="Times New Roman" w:hAnsi="Times New Roman"/>
          <w:sz w:val="24"/>
          <w:szCs w:val="24"/>
        </w:rPr>
        <w:t xml:space="preserve">, </w:t>
      </w:r>
      <w:r w:rsidR="007F446F" w:rsidRPr="004C0771">
        <w:rPr>
          <w:rFonts w:ascii="Times New Roman" w:hAnsi="Times New Roman"/>
          <w:sz w:val="24"/>
          <w:szCs w:val="24"/>
        </w:rPr>
        <w:fldChar w:fldCharType="begin"/>
      </w:r>
      <w:r w:rsidR="007F446F" w:rsidRPr="004C0771">
        <w:rPr>
          <w:rFonts w:ascii="Times New Roman" w:hAnsi="Times New Roman"/>
          <w:sz w:val="24"/>
          <w:szCs w:val="24"/>
        </w:rPr>
        <w:instrText xml:space="preserve"> ADDIN EN.CITE &lt;EndNote&gt;&lt;Cite ExcludeAuth="1"&gt;&lt;Author&gt;De Swaan&lt;/Author&gt;&lt;Year&gt;2001&lt;/Year&gt;&lt;RecNum&gt;73&lt;/RecNum&gt;&lt;DisplayText&gt;2001&lt;/DisplayText&gt;&lt;record&gt;&lt;rec-number&gt;73&lt;/rec-number&gt;&lt;foreign-keys&gt;&lt;key app="EN" db-id="wvvszzd93a0z5wesdfpvdv9z5wrra5p05axp"&gt;73&lt;/key&gt;&lt;/foreign-keys&gt;&lt;ref-type name="Book"&gt;6&lt;/ref-type&gt;&lt;contributors&gt;&lt;authors&gt;&lt;author&gt;De Swaan, Abram&lt;/author&gt;&lt;/authors&gt;&lt;/contributors&gt;&lt;titles&gt;&lt;title&gt;Words of the world. The global language system&lt;/title&gt;&lt;/titles&gt;&lt;pages&gt;vii+253&lt;/pages&gt;&lt;dates&gt;&lt;year&gt;2001&lt;/year&gt;&lt;/dates&gt;&lt;pub-location&gt;Cambridge (UK)&lt;/pub-location&gt;&lt;publisher&gt;Polity Press&lt;/publisher&gt;&lt;urls&gt;&lt;/urls&gt;&lt;/record&gt;&lt;/Cite&gt;&lt;/EndNote&gt;</w:instrText>
      </w:r>
      <w:r w:rsidR="007F446F" w:rsidRPr="004C0771">
        <w:rPr>
          <w:rFonts w:ascii="Times New Roman" w:hAnsi="Times New Roman"/>
          <w:sz w:val="24"/>
          <w:szCs w:val="24"/>
        </w:rPr>
        <w:fldChar w:fldCharType="separate"/>
      </w:r>
      <w:r w:rsidR="007F446F" w:rsidRPr="004C0771">
        <w:rPr>
          <w:rFonts w:ascii="Times New Roman" w:hAnsi="Times New Roman"/>
          <w:sz w:val="24"/>
          <w:szCs w:val="24"/>
        </w:rPr>
        <w:t>2001</w:t>
      </w:r>
      <w:r w:rsidR="007F446F" w:rsidRPr="004C0771">
        <w:rPr>
          <w:rFonts w:ascii="Times New Roman" w:hAnsi="Times New Roman"/>
          <w:sz w:val="24"/>
          <w:szCs w:val="24"/>
        </w:rPr>
        <w:fldChar w:fldCharType="end"/>
      </w:r>
      <w:r w:rsidR="007F446F" w:rsidRPr="004C0771">
        <w:rPr>
          <w:rFonts w:ascii="Times New Roman" w:hAnsi="Times New Roman"/>
          <w:sz w:val="24"/>
          <w:szCs w:val="24"/>
        </w:rPr>
        <w:t xml:space="preserve">; </w:t>
      </w:r>
      <w:hyperlink w:anchor="_ENREF_46" w:tooltip="Rose, 2008 #885" w:history="1">
        <w:r w:rsidR="007F446F" w:rsidRPr="004C0771">
          <w:rPr>
            <w:rFonts w:ascii="Times New Roman" w:hAnsi="Times New Roman"/>
            <w:sz w:val="24"/>
            <w:szCs w:val="24"/>
          </w:rPr>
          <w:fldChar w:fldCharType="begin"/>
        </w:r>
        <w:r w:rsidR="007F446F" w:rsidRPr="004C0771">
          <w:rPr>
            <w:rFonts w:ascii="Times New Roman" w:hAnsi="Times New Roman"/>
            <w:sz w:val="24"/>
            <w:szCs w:val="24"/>
          </w:rPr>
          <w:instrText xml:space="preserve"> ADDIN EN.CITE &lt;EndNote&gt;&lt;Cite&gt;&lt;Author&gt;Rose&lt;/Author&gt;&lt;Year&gt;2008&lt;/Year&gt;&lt;RecNum&gt;885&lt;/RecNum&gt;&lt;DisplayText&gt;Rose 2008&lt;/DisplayText&gt;&lt;record&gt;&lt;rec-number&gt;885&lt;/rec-number&gt;&lt;foreign-keys&gt;&lt;key app="EN" db-id="wvvszzd93a0z5wesdfpvdv9z5wrra5p05axp"&gt;885&lt;/key&gt;&lt;/foreign-keys&gt;&lt;ref-type name="Journal Article"&gt;17&lt;/ref-type&gt;&lt;contributors&gt;&lt;authors&gt;&lt;author&gt;Rose, Richard&lt;/author&gt;&lt;/authors&gt;&lt;/contributors&gt;&lt;titles&gt;&lt;title&gt;Political Communication in a European Public Space: Language, the Internet and Understanding as Soft Power&lt;/title&gt;&lt;secondary-title&gt;Journal of Common Market Studies&lt;/secondary-title&gt;&lt;/titles&gt;&lt;periodical&gt;&lt;full-title&gt;Journal of Common Market Studies&lt;/full-title&gt;&lt;/periodical&gt;&lt;pages&gt;451-475&lt;/pages&gt;&lt;volume&gt;46&lt;/volume&gt;&lt;number&gt;2&lt;/number&gt;&lt;dates&gt;&lt;year&gt;2008&lt;/year&gt;&lt;/dates&gt;&lt;urls&gt;&lt;/urls&gt;&lt;/record&gt;&lt;/Cite&gt;&lt;/EndNote&gt;</w:instrText>
        </w:r>
        <w:r w:rsidR="007F446F" w:rsidRPr="004C0771">
          <w:rPr>
            <w:rFonts w:ascii="Times New Roman" w:hAnsi="Times New Roman"/>
            <w:sz w:val="24"/>
            <w:szCs w:val="24"/>
          </w:rPr>
          <w:fldChar w:fldCharType="separate"/>
        </w:r>
        <w:r w:rsidR="007F446F" w:rsidRPr="004C0771">
          <w:rPr>
            <w:rFonts w:ascii="Times New Roman" w:hAnsi="Times New Roman"/>
            <w:sz w:val="24"/>
            <w:szCs w:val="24"/>
          </w:rPr>
          <w:t>Rose, 2008</w:t>
        </w:r>
        <w:r w:rsidR="007F446F" w:rsidRPr="004C0771">
          <w:rPr>
            <w:rFonts w:ascii="Times New Roman" w:hAnsi="Times New Roman"/>
            <w:sz w:val="24"/>
            <w:szCs w:val="24"/>
          </w:rPr>
          <w:fldChar w:fldCharType="end"/>
        </w:r>
      </w:hyperlink>
      <w:r w:rsidR="007F446F" w:rsidRPr="004C0771">
        <w:rPr>
          <w:rFonts w:ascii="Times New Roman" w:hAnsi="Times New Roman"/>
          <w:sz w:val="24"/>
          <w:szCs w:val="24"/>
        </w:rPr>
        <w:t xml:space="preserve">; </w:t>
      </w:r>
      <w:hyperlink w:anchor="_ENREF_53" w:tooltip="Van Parijs, 2011 #794" w:history="1">
        <w:r w:rsidR="007F446F" w:rsidRPr="004C0771">
          <w:rPr>
            <w:rFonts w:ascii="Times New Roman" w:hAnsi="Times New Roman"/>
            <w:sz w:val="24"/>
            <w:szCs w:val="24"/>
          </w:rPr>
          <w:fldChar w:fldCharType="begin"/>
        </w:r>
        <w:r w:rsidR="007F446F" w:rsidRPr="004C0771">
          <w:rPr>
            <w:rFonts w:ascii="Times New Roman" w:hAnsi="Times New Roman"/>
            <w:sz w:val="24"/>
            <w:szCs w:val="24"/>
          </w:rPr>
          <w:instrText xml:space="preserve"> ADDIN EN.CITE &lt;EndNote&gt;&lt;Cite&gt;&lt;Author&gt;Van Parijs&lt;/Author&gt;&lt;Year&gt;2011&lt;/Year&gt;&lt;RecNum&gt;794&lt;/RecNum&gt;&lt;DisplayText&gt;Van Parijs 2011&lt;/DisplayText&gt;&lt;record&gt;&lt;rec-number&gt;794&lt;/rec-number&gt;&lt;foreign-keys&gt;&lt;key app="EN" db-id="wvvszzd93a0z5wesdfpvdv9z5wrra5p05axp"&gt;794&lt;/key&gt;&lt;/foreign-keys&gt;&lt;ref-type name="Book"&gt;6&lt;/ref-type&gt;&lt;contributors&gt;&lt;authors&gt;&lt;author&gt;Van Parijs, Philippe&lt;/author&gt;&lt;/authors&gt;&lt;/contributors&gt;&lt;titles&gt;&lt;title&gt;Linguistic justice for Europe and for the World&lt;/title&gt;&lt;/titles&gt;&lt;dates&gt;&lt;year&gt;2011&lt;/year&gt;&lt;/dates&gt;&lt;pub-location&gt;Oxford&lt;/pub-location&gt;&lt;publisher&gt;Oxford University Press&lt;/publisher&gt;&lt;urls&gt;&lt;/urls&gt;&lt;/record&gt;&lt;/Cite&gt;&lt;/EndNote&gt;</w:instrText>
        </w:r>
        <w:r w:rsidR="007F446F" w:rsidRPr="004C0771">
          <w:rPr>
            <w:rFonts w:ascii="Times New Roman" w:hAnsi="Times New Roman"/>
            <w:sz w:val="24"/>
            <w:szCs w:val="24"/>
          </w:rPr>
          <w:fldChar w:fldCharType="separate"/>
        </w:r>
        <w:r w:rsidR="007F446F" w:rsidRPr="004C0771">
          <w:rPr>
            <w:rFonts w:ascii="Times New Roman" w:hAnsi="Times New Roman"/>
            <w:sz w:val="24"/>
            <w:szCs w:val="24"/>
          </w:rPr>
          <w:t>Van Parijs, 2011</w:t>
        </w:r>
        <w:r w:rsidR="007F446F" w:rsidRPr="004C0771">
          <w:rPr>
            <w:rFonts w:ascii="Times New Roman" w:hAnsi="Times New Roman"/>
            <w:sz w:val="24"/>
            <w:szCs w:val="24"/>
          </w:rPr>
          <w:fldChar w:fldCharType="end"/>
        </w:r>
      </w:hyperlink>
      <w:r w:rsidR="007F446F" w:rsidRPr="004C0771">
        <w:rPr>
          <w:rFonts w:ascii="Times New Roman" w:hAnsi="Times New Roman"/>
          <w:sz w:val="24"/>
          <w:szCs w:val="24"/>
        </w:rPr>
        <w:t xml:space="preserve">), and occasionally Esperanto (e.g. </w:t>
      </w:r>
      <w:hyperlink w:anchor="_ENREF_7" w:tooltip="Christiansen, 2006 #1070" w:history="1">
        <w:r w:rsidR="007F446F" w:rsidRPr="004C0771">
          <w:rPr>
            <w:rFonts w:ascii="Times New Roman" w:hAnsi="Times New Roman"/>
            <w:sz w:val="24"/>
            <w:szCs w:val="24"/>
          </w:rPr>
          <w:fldChar w:fldCharType="begin"/>
        </w:r>
        <w:r w:rsidR="007F446F" w:rsidRPr="004C0771">
          <w:rPr>
            <w:rFonts w:ascii="Times New Roman" w:hAnsi="Times New Roman"/>
            <w:sz w:val="24"/>
            <w:szCs w:val="24"/>
          </w:rPr>
          <w:instrText xml:space="preserve"> ADDIN EN.CITE &lt;EndNote&gt;&lt;Cite&gt;&lt;Author&gt;Christiansen&lt;/Author&gt;&lt;Year&gt;2006&lt;/Year&gt;&lt;RecNum&gt;1070&lt;/RecNum&gt;&lt;DisplayText&gt;Christiansen 2006&lt;/DisplayText&gt;&lt;record&gt;&lt;rec-number&gt;1070&lt;/rec-number&gt;&lt;foreign-keys&gt;&lt;key app="EN" db-id="wvvszzd93a0z5wesdfpvdv9z5wrra5p05axp"&gt;1070&lt;/key&gt;&lt;/foreign-keys&gt;&lt;ref-type name="Journal Article"&gt;17&lt;/ref-type&gt;&lt;contributors&gt;&lt;authors&gt;&lt;author&gt;Christiansen, Pia Vanting&lt;/author&gt;&lt;/authors&gt;&lt;/contributors&gt;&lt;titles&gt;&lt;title&gt;Language policy in the European Union. European/ English/ Elite/ Equal/ Esperanto Union?&lt;/title&gt;&lt;secondary-title&gt;Language Problems &amp;amp; Language Planning&lt;/secondary-title&gt;&lt;/titles&gt;&lt;periodical&gt;&lt;full-title&gt;Language Problems &amp;amp; Language Planning&lt;/full-title&gt;&lt;/periodical&gt;&lt;pages&gt;2-44&lt;/pages&gt;&lt;volume&gt;30&lt;/volume&gt;&lt;number&gt;1&lt;/number&gt;&lt;dates&gt;&lt;year&gt;2006&lt;/year&gt;&lt;/dates&gt;&lt;urls&gt;&lt;/urls&gt;&lt;/record&gt;&lt;/Cite&gt;&lt;/EndNote&gt;</w:instrText>
        </w:r>
        <w:r w:rsidR="007F446F" w:rsidRPr="004C0771">
          <w:rPr>
            <w:rFonts w:ascii="Times New Roman" w:hAnsi="Times New Roman"/>
            <w:sz w:val="24"/>
            <w:szCs w:val="24"/>
          </w:rPr>
          <w:fldChar w:fldCharType="separate"/>
        </w:r>
        <w:r w:rsidR="007F446F" w:rsidRPr="004C0771">
          <w:rPr>
            <w:rFonts w:ascii="Times New Roman" w:hAnsi="Times New Roman"/>
            <w:sz w:val="24"/>
            <w:szCs w:val="24"/>
          </w:rPr>
          <w:t>Christiansen, 2006</w:t>
        </w:r>
        <w:r w:rsidR="007F446F" w:rsidRPr="004C0771">
          <w:rPr>
            <w:rFonts w:ascii="Times New Roman" w:hAnsi="Times New Roman"/>
            <w:sz w:val="24"/>
            <w:szCs w:val="24"/>
          </w:rPr>
          <w:fldChar w:fldCharType="end"/>
        </w:r>
      </w:hyperlink>
      <w:r w:rsidR="007F446F" w:rsidRPr="004C0771">
        <w:rPr>
          <w:rFonts w:ascii="Times New Roman" w:hAnsi="Times New Roman"/>
          <w:sz w:val="24"/>
          <w:szCs w:val="24"/>
        </w:rPr>
        <w:t xml:space="preserve">; </w:t>
      </w:r>
      <w:hyperlink w:anchor="_ENREF_27" w:tooltip="Gobbo, 2005 #1069" w:history="1">
        <w:r w:rsidR="007F446F" w:rsidRPr="004C0771">
          <w:rPr>
            <w:rFonts w:ascii="Times New Roman" w:hAnsi="Times New Roman"/>
            <w:sz w:val="24"/>
            <w:szCs w:val="24"/>
          </w:rPr>
          <w:fldChar w:fldCharType="begin"/>
        </w:r>
        <w:r w:rsidR="007F446F" w:rsidRPr="004C0771">
          <w:rPr>
            <w:rFonts w:ascii="Times New Roman" w:hAnsi="Times New Roman"/>
            <w:sz w:val="24"/>
            <w:szCs w:val="24"/>
          </w:rPr>
          <w:instrText xml:space="preserve"> ADDIN EN.CITE &lt;EndNote&gt;&lt;Cite&gt;&lt;Author&gt;Gobbo&lt;/Author&gt;&lt;Year&gt;2005&lt;/Year&gt;&lt;RecNum&gt;1069&lt;/RecNum&gt;&lt;DisplayText&gt;Gobbo 2005&lt;/DisplayText&gt;&lt;record&gt;&lt;rec-number&gt;1069&lt;/rec-number&gt;&lt;foreign-keys&gt;&lt;key app="EN" db-id="wvvszzd93a0z5wesdfpvdv9z5wrra5p05axp"&gt;1069&lt;/key&gt;&lt;/foreign-keys&gt;&lt;ref-type name="Journal Article"&gt;17&lt;/ref-type&gt;&lt;contributors&gt;&lt;authors&gt;&lt;author&gt;Gobbo, Federico&lt;/author&gt;&lt;/authors&gt;&lt;/contributors&gt;&lt;titles&gt;&lt;title&gt;The European Union’s need for an international auxiliary language&lt;/title&gt;&lt;secondary-title&gt;Journal of Universal Language&lt;/secondary-title&gt;&lt;/titles&gt;&lt;periodical&gt;&lt;full-title&gt;Journal of Universal Language&lt;/full-title&gt;&lt;/periodical&gt;&lt;pages&gt;1-28&lt;/pages&gt;&lt;volume&gt;6&lt;/volume&gt;&lt;dates&gt;&lt;year&gt;2005&lt;/year&gt;&lt;/dates&gt;&lt;urls&gt;&lt;/urls&gt;&lt;/record&gt;&lt;/Cite&gt;&lt;/EndNote&gt;</w:instrText>
        </w:r>
        <w:r w:rsidR="007F446F" w:rsidRPr="004C0771">
          <w:rPr>
            <w:rFonts w:ascii="Times New Roman" w:hAnsi="Times New Roman"/>
            <w:sz w:val="24"/>
            <w:szCs w:val="24"/>
          </w:rPr>
          <w:fldChar w:fldCharType="separate"/>
        </w:r>
        <w:r w:rsidR="007F446F" w:rsidRPr="004C0771">
          <w:rPr>
            <w:rFonts w:ascii="Times New Roman" w:hAnsi="Times New Roman"/>
            <w:sz w:val="24"/>
            <w:szCs w:val="24"/>
          </w:rPr>
          <w:t>Gobbo, 2005</w:t>
        </w:r>
        <w:r w:rsidR="007F446F" w:rsidRPr="004C0771">
          <w:rPr>
            <w:rFonts w:ascii="Times New Roman" w:hAnsi="Times New Roman"/>
            <w:sz w:val="24"/>
            <w:szCs w:val="24"/>
          </w:rPr>
          <w:fldChar w:fldCharType="end"/>
        </w:r>
      </w:hyperlink>
      <w:r w:rsidR="007F446F" w:rsidRPr="004C0771">
        <w:rPr>
          <w:rFonts w:ascii="Times New Roman" w:hAnsi="Times New Roman"/>
          <w:sz w:val="24"/>
          <w:szCs w:val="24"/>
        </w:rPr>
        <w:t xml:space="preserve">; </w:t>
      </w:r>
      <w:hyperlink w:anchor="_ENREF_49" w:tooltip="Selten, 2005 #940" w:history="1">
        <w:r w:rsidR="007F446F" w:rsidRPr="004C0771">
          <w:rPr>
            <w:rFonts w:ascii="Times New Roman" w:hAnsi="Times New Roman"/>
            <w:sz w:val="24"/>
            <w:szCs w:val="24"/>
          </w:rPr>
          <w:fldChar w:fldCharType="begin"/>
        </w:r>
        <w:r w:rsidR="007F446F" w:rsidRPr="004C0771">
          <w:rPr>
            <w:rFonts w:ascii="Times New Roman" w:hAnsi="Times New Roman"/>
            <w:sz w:val="24"/>
            <w:szCs w:val="24"/>
          </w:rPr>
          <w:instrText xml:space="preserve"> ADDIN EN.CITE &lt;EndNote&gt;&lt;Cite&gt;&lt;Author&gt;Selten&lt;/Author&gt;&lt;Year&gt;2005&lt;/Year&gt;&lt;RecNum&gt;940&lt;/RecNum&gt;&lt;DisplayText&gt;Selten and Frank 2005&lt;/DisplayText&gt;&lt;record&gt;&lt;rec-number&gt;940&lt;/rec-number&gt;&lt;foreign-keys&gt;&lt;key app="EN" db-id="wvvszzd93a0z5wesdfpvdv9z5wrra5p05axp"&gt;940&lt;/key&gt;&lt;/foreign-keys&gt;&lt;ref-type name="Book"&gt;6&lt;/ref-type&gt;&lt;contributors&gt;&lt;authors&gt;&lt;author&gt;Selten, Reinhard&lt;/author&gt;&lt;author&gt;Frank, Helmar G.&lt;/author&gt;&lt;/authors&gt;&lt;/contributors&gt;&lt;titles&gt;&lt;title&gt;Für Zweisprachigkeit in Europa/ Por dulingveco en Eŭropo. Argumente und Dokumente&lt;/title&gt;&lt;/titles&gt;&lt;dates&gt;&lt;year&gt;2005&lt;/year&gt;&lt;/dates&gt;&lt;pub-location&gt;Paderborn&lt;/pub-location&gt;&lt;publisher&gt;Ifb Verlag&lt;/publisher&gt;&lt;urls&gt;&lt;/urls&gt;&lt;/record&gt;&lt;/Cite&gt;&lt;/EndNote&gt;</w:instrText>
        </w:r>
        <w:r w:rsidR="007F446F" w:rsidRPr="004C0771">
          <w:rPr>
            <w:rFonts w:ascii="Times New Roman" w:hAnsi="Times New Roman"/>
            <w:sz w:val="24"/>
            <w:szCs w:val="24"/>
          </w:rPr>
          <w:fldChar w:fldCharType="separate"/>
        </w:r>
        <w:r w:rsidR="007F446F" w:rsidRPr="004C0771">
          <w:rPr>
            <w:rFonts w:ascii="Times New Roman" w:hAnsi="Times New Roman"/>
            <w:sz w:val="24"/>
            <w:szCs w:val="24"/>
          </w:rPr>
          <w:t>Selten and Frank, 2005</w:t>
        </w:r>
        <w:r w:rsidR="007F446F" w:rsidRPr="004C0771">
          <w:rPr>
            <w:rFonts w:ascii="Times New Roman" w:hAnsi="Times New Roman"/>
            <w:sz w:val="24"/>
            <w:szCs w:val="24"/>
          </w:rPr>
          <w:fldChar w:fldCharType="end"/>
        </w:r>
      </w:hyperlink>
      <w:r w:rsidR="007F446F" w:rsidRPr="004C0771">
        <w:rPr>
          <w:rFonts w:ascii="Times New Roman" w:hAnsi="Times New Roman"/>
          <w:sz w:val="24"/>
          <w:szCs w:val="24"/>
        </w:rPr>
        <w:t>). Other authors propose intermediate solutions based on a restricted number of official languages, for example, six ― i.e., English, French, German, Italian, Polish and Spanish (</w:t>
      </w:r>
      <w:proofErr w:type="spellStart"/>
      <w:r w:rsidR="007F446F" w:rsidRPr="004C0771">
        <w:rPr>
          <w:rFonts w:ascii="Times New Roman" w:hAnsi="Times New Roman"/>
          <w:sz w:val="24"/>
          <w:szCs w:val="24"/>
        </w:rPr>
        <w:t>Fidrmuc</w:t>
      </w:r>
      <w:proofErr w:type="spellEnd"/>
      <w:r w:rsidR="007F446F" w:rsidRPr="004C0771">
        <w:rPr>
          <w:rFonts w:ascii="Times New Roman" w:hAnsi="Times New Roman"/>
          <w:sz w:val="24"/>
          <w:szCs w:val="24"/>
        </w:rPr>
        <w:t xml:space="preserve"> et al., </w:t>
      </w:r>
      <w:r w:rsidR="007F446F" w:rsidRPr="004C0771">
        <w:rPr>
          <w:rFonts w:ascii="Times New Roman" w:hAnsi="Times New Roman"/>
          <w:sz w:val="24"/>
          <w:szCs w:val="24"/>
        </w:rPr>
        <w:fldChar w:fldCharType="begin"/>
      </w:r>
      <w:r w:rsidR="007F446F" w:rsidRPr="004C0771">
        <w:rPr>
          <w:rFonts w:ascii="Times New Roman" w:hAnsi="Times New Roman"/>
          <w:sz w:val="24"/>
          <w:szCs w:val="24"/>
        </w:rPr>
        <w:instrText xml:space="preserve"> ADDIN EN.CITE &lt;EndNote&gt;&lt;Cite ExcludeAuth="1"&gt;&lt;Author&gt;Fidrmuc&lt;/Author&gt;&lt;Year&gt;2010&lt;/Year&gt;&lt;RecNum&gt;933&lt;/RecNum&gt;&lt;DisplayText&gt;2010&lt;/DisplayText&gt;&lt;record&gt;&lt;rec-number&gt;933&lt;/rec-number&gt;&lt;foreign-keys&gt;&lt;key app="EN" db-id="wvvszzd93a0z5wesdfpvdv9z5wrra5p05axp"&gt;933&lt;/key&gt;&lt;/foreign-keys&gt;&lt;ref-type name="Book Section"&gt;5&lt;/ref-type&gt;&lt;contributors&gt;&lt;authors&gt;&lt;author&gt;Fidrmuc, Jan&lt;/author&gt;&lt;author&gt;Ginsburgh, Victor&lt;/author&gt;&lt;author&gt;Weber, Shlomo&lt;/author&gt;&lt;/authors&gt;&lt;secondary-authors&gt;&lt;author&gt;Hanf, Dominik&lt;/author&gt;&lt;author&gt;Malacek, Klaus&lt;/author&gt;&lt;author&gt;Muir, Elise&lt;/author&gt;&lt;/secondary-authors&gt;&lt;/contributors&gt;&lt;titles&gt;&lt;title&gt;Scenarios beyond unanimity: Could a qualified majority of Member States alleviate the burden of multilingualism in Europe?&lt;/title&gt;&lt;secondary-title&gt;Langues et construction européenne&lt;/secondary-title&gt;&lt;/titles&gt;&lt;pages&gt;259-279&lt;/pages&gt;&lt;dates&gt;&lt;year&gt;2010&lt;/year&gt;&lt;/dates&gt;&lt;pub-location&gt;Brussels&lt;/pub-location&gt;&lt;publisher&gt;Peter Lang&lt;/publisher&gt;&lt;urls&gt;&lt;/urls&gt;&lt;/record&gt;&lt;/Cite&gt;&lt;/EndNote&gt;</w:instrText>
      </w:r>
      <w:r w:rsidR="007F446F" w:rsidRPr="004C0771">
        <w:rPr>
          <w:rFonts w:ascii="Times New Roman" w:hAnsi="Times New Roman"/>
          <w:sz w:val="24"/>
          <w:szCs w:val="24"/>
        </w:rPr>
        <w:fldChar w:fldCharType="separate"/>
      </w:r>
      <w:r w:rsidR="007F446F" w:rsidRPr="004C0771">
        <w:rPr>
          <w:rFonts w:ascii="Times New Roman" w:hAnsi="Times New Roman"/>
          <w:sz w:val="24"/>
          <w:szCs w:val="24"/>
        </w:rPr>
        <w:t>2010</w:t>
      </w:r>
      <w:r w:rsidR="007F446F" w:rsidRPr="004C0771">
        <w:rPr>
          <w:rFonts w:ascii="Times New Roman" w:hAnsi="Times New Roman"/>
          <w:sz w:val="24"/>
          <w:szCs w:val="24"/>
        </w:rPr>
        <w:fldChar w:fldCharType="end"/>
      </w:r>
      <w:r w:rsidR="007F446F" w:rsidRPr="004C0771">
        <w:rPr>
          <w:rFonts w:ascii="Times New Roman" w:hAnsi="Times New Roman"/>
          <w:sz w:val="24"/>
          <w:szCs w:val="24"/>
        </w:rPr>
        <w:t>) ―, or three ― that is, English, French and German (</w:t>
      </w:r>
      <w:proofErr w:type="spellStart"/>
      <w:r w:rsidR="007F446F" w:rsidRPr="004C0771">
        <w:rPr>
          <w:rFonts w:ascii="Times New Roman" w:hAnsi="Times New Roman"/>
          <w:sz w:val="24"/>
          <w:szCs w:val="24"/>
        </w:rPr>
        <w:t>Ginsburgh</w:t>
      </w:r>
      <w:proofErr w:type="spellEnd"/>
      <w:r w:rsidR="007F446F" w:rsidRPr="004C0771">
        <w:rPr>
          <w:rFonts w:ascii="Times New Roman" w:hAnsi="Times New Roman"/>
          <w:sz w:val="24"/>
          <w:szCs w:val="24"/>
        </w:rPr>
        <w:t xml:space="preserve"> and Weber, </w:t>
      </w:r>
      <w:hyperlink w:anchor="_ENREF_26" w:tooltip="Ginsburgh, 2005 #75" w:history="1">
        <w:r w:rsidR="007F446F" w:rsidRPr="004C0771">
          <w:rPr>
            <w:rFonts w:ascii="Times New Roman" w:hAnsi="Times New Roman"/>
            <w:sz w:val="24"/>
            <w:szCs w:val="24"/>
          </w:rPr>
          <w:fldChar w:fldCharType="begin"/>
        </w:r>
        <w:r w:rsidR="007F446F" w:rsidRPr="004C0771">
          <w:rPr>
            <w:rFonts w:ascii="Times New Roman" w:hAnsi="Times New Roman"/>
            <w:sz w:val="24"/>
            <w:szCs w:val="24"/>
          </w:rPr>
          <w:instrText xml:space="preserve"> ADDIN EN.CITE &lt;EndNote&gt;&lt;Cite ExcludeAuth="1"&gt;&lt;Author&gt;Ginsburgh&lt;/Author&gt;&lt;Year&gt;2005&lt;/Year&gt;&lt;RecNum&gt;75&lt;/RecNum&gt;&lt;DisplayText&gt;2005&lt;/DisplayText&gt;&lt;record&gt;&lt;rec-number&gt;75&lt;/rec-number&gt;&lt;foreign-keys&gt;&lt;key app="EN" db-id="wvvszzd93a0z5wesdfpvdv9z5wrra5p05axp"&gt;75&lt;/key&gt;&lt;/foreign-keys&gt;&lt;ref-type name="Journal Article"&gt;17&lt;/ref-type&gt;&lt;contributors&gt;&lt;authors&gt;&lt;author&gt;Ginsburgh, Victor&lt;/author&gt;&lt;author&gt;Weber, Shlomo&lt;/author&gt;&lt;/authors&gt;&lt;/contributors&gt;&lt;titles&gt;&lt;title&gt;Language disenfranchisement in the European Union&lt;/title&gt;&lt;secondary-title&gt;Journal of Common Market Studies&lt;/secondary-title&gt;&lt;/titles&gt;&lt;periodical&gt;&lt;full-title&gt;Journal of Common Market Studies&lt;/full-title&gt;&lt;/periodical&gt;&lt;pages&gt;273-286&lt;/pages&gt;&lt;volume&gt;43&lt;/volume&gt;&lt;number&gt;2&lt;/number&gt;&lt;dates&gt;&lt;year&gt;2005&lt;/year&gt;&lt;/dates&gt;&lt;urls&gt;&lt;/urls&gt;&lt;/record&gt;&lt;/Cite&gt;&lt;/EndNote&gt;</w:instrText>
        </w:r>
        <w:r w:rsidR="007F446F" w:rsidRPr="004C0771">
          <w:rPr>
            <w:rFonts w:ascii="Times New Roman" w:hAnsi="Times New Roman"/>
            <w:sz w:val="24"/>
            <w:szCs w:val="24"/>
          </w:rPr>
          <w:fldChar w:fldCharType="separate"/>
        </w:r>
        <w:r w:rsidR="007F446F" w:rsidRPr="004C0771">
          <w:rPr>
            <w:rFonts w:ascii="Times New Roman" w:hAnsi="Times New Roman"/>
            <w:sz w:val="24"/>
            <w:szCs w:val="24"/>
          </w:rPr>
          <w:t>2005</w:t>
        </w:r>
        <w:r w:rsidR="007F446F" w:rsidRPr="004C0771">
          <w:rPr>
            <w:rFonts w:ascii="Times New Roman" w:hAnsi="Times New Roman"/>
            <w:sz w:val="24"/>
            <w:szCs w:val="24"/>
          </w:rPr>
          <w:fldChar w:fldCharType="end"/>
        </w:r>
      </w:hyperlink>
      <w:r w:rsidR="007F446F" w:rsidRPr="004C0771">
        <w:rPr>
          <w:rFonts w:ascii="Times New Roman" w:hAnsi="Times New Roman"/>
          <w:sz w:val="24"/>
          <w:szCs w:val="24"/>
        </w:rPr>
        <w:t xml:space="preserve">). </w:t>
      </w:r>
    </w:p>
    <w:p w14:paraId="5DC72B5B" w14:textId="7A127B90" w:rsidR="007F446F" w:rsidRPr="004C0771" w:rsidRDefault="007F446F" w:rsidP="006233DD">
      <w:pPr>
        <w:spacing w:line="480" w:lineRule="auto"/>
        <w:jc w:val="both"/>
        <w:rPr>
          <w:rFonts w:ascii="Times New Roman" w:hAnsi="Times New Roman"/>
          <w:color w:val="000000"/>
          <w:sz w:val="24"/>
          <w:szCs w:val="24"/>
        </w:rPr>
      </w:pPr>
      <w:r w:rsidRPr="004C0771">
        <w:rPr>
          <w:rFonts w:ascii="Times New Roman" w:hAnsi="Times New Roman"/>
          <w:sz w:val="24"/>
          <w:szCs w:val="24"/>
        </w:rPr>
        <w:t xml:space="preserve">In practice, EU institutions adopt a variety of </w:t>
      </w:r>
      <w:r w:rsidRPr="004C0771">
        <w:rPr>
          <w:rFonts w:ascii="Times New Roman" w:hAnsi="Times New Roman"/>
          <w:i/>
          <w:sz w:val="24"/>
          <w:szCs w:val="24"/>
        </w:rPr>
        <w:t>de facto</w:t>
      </w:r>
      <w:r w:rsidRPr="004C0771">
        <w:rPr>
          <w:rFonts w:ascii="Times New Roman" w:hAnsi="Times New Roman"/>
          <w:sz w:val="24"/>
          <w:szCs w:val="24"/>
        </w:rPr>
        <w:t xml:space="preserve"> language regimes. The European Commission, for example, </w:t>
      </w:r>
      <w:r>
        <w:rPr>
          <w:rFonts w:ascii="Times New Roman" w:hAnsi="Times New Roman"/>
          <w:sz w:val="24"/>
          <w:szCs w:val="24"/>
        </w:rPr>
        <w:t>enforces</w:t>
      </w:r>
      <w:r w:rsidRPr="004C0771">
        <w:rPr>
          <w:rFonts w:ascii="Times New Roman" w:hAnsi="Times New Roman"/>
          <w:sz w:val="24"/>
          <w:szCs w:val="24"/>
        </w:rPr>
        <w:t xml:space="preserve"> a trilingual language regime in some circumstances and for certain purposes. It</w:t>
      </w:r>
      <w:r w:rsidRPr="004C0771">
        <w:rPr>
          <w:rFonts w:ascii="Times New Roman" w:hAnsi="Times New Roman"/>
          <w:color w:val="000000"/>
          <w:sz w:val="24"/>
          <w:szCs w:val="24"/>
        </w:rPr>
        <w:t xml:space="preserve"> has argued in favour of a trilingual regime based on English, French and German for an </w:t>
      </w:r>
      <w:r w:rsidRPr="004C0771">
        <w:rPr>
          <w:rFonts w:ascii="Times New Roman" w:hAnsi="Times New Roman"/>
          <w:sz w:val="24"/>
          <w:szCs w:val="24"/>
        </w:rPr>
        <w:t>open competition for the recruitment of administrators and assistants</w:t>
      </w:r>
      <w:r w:rsidRPr="004C0771">
        <w:rPr>
          <w:rFonts w:ascii="Times New Roman" w:hAnsi="Times New Roman"/>
          <w:color w:val="000000"/>
          <w:sz w:val="24"/>
          <w:szCs w:val="24"/>
        </w:rPr>
        <w:t xml:space="preserve"> (see Case C-566/10 P - Italy vs Commission, </w:t>
      </w:r>
      <w:r w:rsidRPr="004C0771">
        <w:rPr>
          <w:rFonts w:ascii="Times New Roman" w:hAnsi="Times New Roman"/>
          <w:sz w:val="24"/>
          <w:szCs w:val="24"/>
        </w:rPr>
        <w:t xml:space="preserve">21 June 2012, lost by the Commission; Case T-124/13, Italy vs Commission and Case T-191/13 Spain vs Commission 24 September 2015, lost by the Commission). The Commission has also defended a </w:t>
      </w:r>
      <w:r w:rsidRPr="004C0771">
        <w:rPr>
          <w:rFonts w:ascii="Times New Roman" w:hAnsi="Times New Roman"/>
          <w:color w:val="000000"/>
          <w:sz w:val="24"/>
          <w:szCs w:val="24"/>
        </w:rPr>
        <w:t xml:space="preserve">trilingual </w:t>
      </w:r>
      <w:r w:rsidRPr="004C0771">
        <w:rPr>
          <w:rFonts w:ascii="Times New Roman" w:hAnsi="Times New Roman"/>
          <w:sz w:val="24"/>
          <w:szCs w:val="24"/>
        </w:rPr>
        <w:t>language regime based on English, French and Spanish for a call for proposals (see Decision of the European Ombudsman on complaint 259/2005(PB)GG against the European Commission, 30 April 2008, lost by the Commission)</w:t>
      </w:r>
      <w:r w:rsidRPr="004C0771">
        <w:rPr>
          <w:rFonts w:ascii="Times New Roman" w:hAnsi="Times New Roman"/>
          <w:color w:val="000000"/>
          <w:sz w:val="24"/>
          <w:szCs w:val="24"/>
        </w:rPr>
        <w:t>.</w:t>
      </w:r>
    </w:p>
    <w:p w14:paraId="237896AD" w14:textId="708EACB6" w:rsidR="007F446F" w:rsidRPr="004C0771" w:rsidRDefault="007F446F" w:rsidP="006233DD">
      <w:pPr>
        <w:spacing w:line="480" w:lineRule="auto"/>
        <w:jc w:val="both"/>
        <w:rPr>
          <w:rFonts w:ascii="Times New Roman" w:hAnsi="Times New Roman"/>
          <w:color w:val="000000"/>
          <w:sz w:val="24"/>
          <w:szCs w:val="24"/>
        </w:rPr>
      </w:pPr>
      <w:r w:rsidRPr="004C0771">
        <w:rPr>
          <w:rFonts w:ascii="Times New Roman" w:hAnsi="Times New Roman"/>
          <w:color w:val="000000"/>
          <w:sz w:val="24"/>
          <w:szCs w:val="24"/>
        </w:rPr>
        <w:lastRenderedPageBreak/>
        <w:t xml:space="preserve">There are different practical arrangements </w:t>
      </w:r>
      <w:proofErr w:type="gramStart"/>
      <w:r w:rsidRPr="004C0771">
        <w:rPr>
          <w:rFonts w:ascii="Times New Roman" w:hAnsi="Times New Roman"/>
          <w:color w:val="000000"/>
          <w:sz w:val="24"/>
          <w:szCs w:val="24"/>
        </w:rPr>
        <w:t>as regards</w:t>
      </w:r>
      <w:proofErr w:type="gramEnd"/>
      <w:r w:rsidRPr="004C0771">
        <w:rPr>
          <w:rFonts w:ascii="Times New Roman" w:hAnsi="Times New Roman"/>
          <w:color w:val="000000"/>
          <w:sz w:val="24"/>
          <w:szCs w:val="24"/>
        </w:rPr>
        <w:t xml:space="preserve"> the languages used to publish non-legally binding documents such as the Internet webpages of the Commission’s Directorates-General (DGs), calls for tender, and the guidelines of various EU funding programmes. In 2014, for example, 14 DGs out of 33 published their home pages in English only, </w:t>
      </w:r>
      <w:r>
        <w:rPr>
          <w:rFonts w:ascii="Times New Roman" w:hAnsi="Times New Roman"/>
          <w:color w:val="000000"/>
          <w:sz w:val="24"/>
          <w:szCs w:val="24"/>
        </w:rPr>
        <w:t xml:space="preserve">eight </w:t>
      </w:r>
      <w:r w:rsidRPr="004C0771">
        <w:rPr>
          <w:rFonts w:ascii="Times New Roman" w:hAnsi="Times New Roman"/>
          <w:color w:val="000000"/>
          <w:sz w:val="24"/>
          <w:szCs w:val="24"/>
        </w:rPr>
        <w:t>DGs in English, French and German, one DG in eleven languages, and 10 DGs in 24 or 23 official languages (</w:t>
      </w:r>
      <w:hyperlink w:anchor="_ENREF_22" w:tooltip="Gazzola, 2014 #948" w:history="1">
        <w:r w:rsidRPr="004C0771">
          <w:rPr>
            <w:rFonts w:ascii="Times New Roman" w:hAnsi="Times New Roman"/>
            <w:color w:val="000000"/>
            <w:sz w:val="24"/>
            <w:szCs w:val="24"/>
          </w:rPr>
          <w:fldChar w:fldCharType="begin"/>
        </w:r>
        <w:r w:rsidRPr="004C0771">
          <w:rPr>
            <w:rFonts w:ascii="Times New Roman" w:hAnsi="Times New Roman"/>
            <w:color w:val="000000"/>
            <w:sz w:val="24"/>
            <w:szCs w:val="24"/>
          </w:rPr>
          <w:instrText xml:space="preserve"> ADDIN EN.CITE &lt;EndNote&gt;&lt;Cite&gt;&lt;Author&gt;Gazzola&lt;/Author&gt;&lt;Year&gt;2014&lt;/Year&gt;&lt;RecNum&gt;948&lt;/RecNum&gt;&lt;Pages&gt;249-250&lt;/Pages&gt;&lt;DisplayText&gt;Gazzola 2014: 249-250&lt;/DisplayText&gt;&lt;record&gt;&lt;rec-number&gt;948&lt;/rec-number&gt;&lt;foreign-keys&gt;&lt;key app="EN" db-id="wvvszzd93a0z5wesdfpvdv9z5wrra5p05axp"&gt;948&lt;/key&gt;&lt;/foreign-keys&gt;&lt;ref-type name="Journal Article"&gt;17&lt;/ref-type&gt;&lt;contributors&gt;&lt;authors&gt;&lt;author&gt;Gazzola, Michele&lt;/author&gt;&lt;/authors&gt;&lt;/contributors&gt;&lt;titles&gt;&lt;title&gt;Partecipazione, esclusione linguistica e traduzione: Una valutazione del regime linguistico dell’Unione europea&lt;/title&gt;&lt;secondary-title&gt;Studi Italiani di Linguistica Teorica e Applicata&lt;/secondary-title&gt;&lt;/titles&gt;&lt;periodical&gt;&lt;full-title&gt;Studi italiani di linguistica teorica e applicata&lt;/full-title&gt;&lt;/periodical&gt;&lt;pages&gt;227-264&lt;/pages&gt;&lt;volume&gt;43&lt;/volume&gt;&lt;number&gt;2&lt;/number&gt;&lt;dates&gt;&lt;year&gt;2014&lt;/year&gt;&lt;/dates&gt;&lt;urls&gt;&lt;/urls&gt;&lt;/record&gt;&lt;/Cite&gt;&lt;/EndNote&gt;</w:instrText>
        </w:r>
        <w:r w:rsidRPr="004C0771">
          <w:rPr>
            <w:rFonts w:ascii="Times New Roman" w:hAnsi="Times New Roman"/>
            <w:color w:val="000000"/>
            <w:sz w:val="24"/>
            <w:szCs w:val="24"/>
          </w:rPr>
          <w:fldChar w:fldCharType="separate"/>
        </w:r>
        <w:r w:rsidRPr="004C0771">
          <w:rPr>
            <w:rFonts w:ascii="Times New Roman" w:hAnsi="Times New Roman"/>
            <w:color w:val="000000"/>
            <w:sz w:val="24"/>
            <w:szCs w:val="24"/>
          </w:rPr>
          <w:t>Gazzola, 2014: 249-250</w:t>
        </w:r>
        <w:r w:rsidRPr="004C0771">
          <w:rPr>
            <w:rFonts w:ascii="Times New Roman" w:hAnsi="Times New Roman"/>
            <w:color w:val="000000"/>
            <w:sz w:val="24"/>
            <w:szCs w:val="24"/>
          </w:rPr>
          <w:fldChar w:fldCharType="end"/>
        </w:r>
      </w:hyperlink>
      <w:r w:rsidRPr="004C0771">
        <w:rPr>
          <w:rFonts w:ascii="Times New Roman" w:hAnsi="Times New Roman"/>
          <w:color w:val="000000"/>
          <w:sz w:val="24"/>
          <w:szCs w:val="24"/>
        </w:rPr>
        <w:t>). Disparities in the access to information resulting from an unequal treatment of the official languages in the Commission’s website have been occasionally the object of written questions lodged by the Members of the European Parliament</w:t>
      </w:r>
      <w:r>
        <w:rPr>
          <w:rFonts w:ascii="Times New Roman" w:hAnsi="Times New Roman"/>
          <w:color w:val="000000"/>
          <w:sz w:val="24"/>
          <w:szCs w:val="24"/>
        </w:rPr>
        <w:t xml:space="preserve"> (</w:t>
      </w:r>
      <w:r w:rsidRPr="004C0771">
        <w:rPr>
          <w:rFonts w:ascii="Times New Roman" w:hAnsi="Times New Roman"/>
          <w:color w:val="000000"/>
          <w:sz w:val="24"/>
          <w:szCs w:val="24"/>
        </w:rPr>
        <w:t>MEPs</w:t>
      </w:r>
      <w:r>
        <w:rPr>
          <w:rFonts w:ascii="Times New Roman" w:hAnsi="Times New Roman"/>
          <w:color w:val="000000"/>
          <w:sz w:val="24"/>
          <w:szCs w:val="24"/>
        </w:rPr>
        <w:t>)</w:t>
      </w:r>
      <w:r w:rsidRPr="004C0771">
        <w:rPr>
          <w:rFonts w:ascii="Times New Roman" w:hAnsi="Times New Roman"/>
          <w:color w:val="000000"/>
          <w:sz w:val="24"/>
          <w:szCs w:val="24"/>
        </w:rPr>
        <w:t xml:space="preserve"> (see for example the Written question E-011475/11 by Ms Nathalie </w:t>
      </w:r>
      <w:proofErr w:type="spellStart"/>
      <w:r w:rsidRPr="004C0771">
        <w:rPr>
          <w:rFonts w:ascii="Times New Roman" w:hAnsi="Times New Roman"/>
          <w:color w:val="000000"/>
          <w:sz w:val="24"/>
          <w:szCs w:val="24"/>
        </w:rPr>
        <w:t>Griesbeck</w:t>
      </w:r>
      <w:proofErr w:type="spellEnd"/>
      <w:r w:rsidRPr="004C0771">
        <w:rPr>
          <w:rFonts w:ascii="Times New Roman" w:hAnsi="Times New Roman"/>
          <w:color w:val="000000"/>
          <w:sz w:val="24"/>
          <w:szCs w:val="24"/>
        </w:rPr>
        <w:t xml:space="preserve">: ‘Multilingualism and the Commission’s Internet sites’). MEPs’ concerns about an unequal treatment of the official languages go beyond parochial nationalism. Besides being a repository of news or general information about the Commission’s activities, the DGs’ webpages also contain material that can have a strategic importance for economic </w:t>
      </w:r>
      <w:proofErr w:type="spellStart"/>
      <w:r w:rsidRPr="004C0771">
        <w:rPr>
          <w:rFonts w:ascii="Times New Roman" w:hAnsi="Times New Roman"/>
          <w:color w:val="000000"/>
          <w:sz w:val="24"/>
          <w:szCs w:val="24"/>
        </w:rPr>
        <w:t>actors</w:t>
      </w:r>
      <w:proofErr w:type="spellEnd"/>
      <w:r w:rsidRPr="004C0771">
        <w:rPr>
          <w:rFonts w:ascii="Times New Roman" w:hAnsi="Times New Roman"/>
          <w:color w:val="000000"/>
          <w:sz w:val="24"/>
          <w:szCs w:val="24"/>
        </w:rPr>
        <w:t xml:space="preserve"> such as small and medium enterprises, associations and NGOs that compete for call for tenders, funding programmes or procurement procedures. In January 2014, for example, the Commission published in English only the guidelines of the EU funding programme </w:t>
      </w:r>
      <w:r w:rsidRPr="004C0771">
        <w:rPr>
          <w:rFonts w:ascii="Times New Roman" w:hAnsi="Times New Roman"/>
          <w:i/>
          <w:color w:val="000000"/>
          <w:sz w:val="24"/>
          <w:szCs w:val="24"/>
        </w:rPr>
        <w:t xml:space="preserve">Erasmus+ </w:t>
      </w:r>
      <w:r w:rsidRPr="004C0771">
        <w:rPr>
          <w:rFonts w:ascii="Times New Roman" w:hAnsi="Times New Roman"/>
          <w:color w:val="000000"/>
          <w:sz w:val="24"/>
          <w:szCs w:val="24"/>
        </w:rPr>
        <w:t xml:space="preserve">(2014-2020), a programme with a budget of almost €15 billion that provides grants for a wide range of actions and activities in the fields of education, training, youth and sport. Translations into the other official languages were provided after April, whereas the first deadline to submit project proposals was in March. According to some MEPs, belated translations of the guidelines entailed an unfair competitive advantage in favour of English-speaking citizens, associations and NGOs (see Written question E-000507/14 lodged by Mr Giancarlo </w:t>
      </w:r>
      <w:proofErr w:type="spellStart"/>
      <w:r w:rsidRPr="004C0771">
        <w:rPr>
          <w:rFonts w:ascii="Times New Roman" w:hAnsi="Times New Roman"/>
          <w:color w:val="000000"/>
          <w:sz w:val="24"/>
          <w:szCs w:val="24"/>
        </w:rPr>
        <w:t>Scottà</w:t>
      </w:r>
      <w:proofErr w:type="spellEnd"/>
      <w:r w:rsidRPr="004C0771">
        <w:rPr>
          <w:rFonts w:ascii="Times New Roman" w:hAnsi="Times New Roman"/>
          <w:color w:val="000000"/>
          <w:sz w:val="24"/>
          <w:szCs w:val="24"/>
        </w:rPr>
        <w:t xml:space="preserve"> and Mr Lorenzo Fontana to the Commission: ‘Failure to translate the </w:t>
      </w:r>
      <w:r w:rsidRPr="004C0771">
        <w:rPr>
          <w:rFonts w:ascii="Times New Roman" w:hAnsi="Times New Roman"/>
          <w:i/>
          <w:color w:val="000000"/>
          <w:sz w:val="24"/>
          <w:szCs w:val="24"/>
        </w:rPr>
        <w:t>Erasmus+</w:t>
      </w:r>
      <w:r w:rsidRPr="004C0771">
        <w:rPr>
          <w:rFonts w:ascii="Times New Roman" w:hAnsi="Times New Roman"/>
          <w:color w:val="000000"/>
          <w:sz w:val="24"/>
          <w:szCs w:val="24"/>
        </w:rPr>
        <w:t xml:space="preserve"> programme’).</w:t>
      </w:r>
    </w:p>
    <w:p w14:paraId="64393925" w14:textId="41A8B566" w:rsidR="007F446F" w:rsidRPr="004C0771" w:rsidRDefault="007F446F" w:rsidP="006233DD">
      <w:pPr>
        <w:spacing w:line="480" w:lineRule="auto"/>
        <w:jc w:val="both"/>
        <w:rPr>
          <w:rFonts w:ascii="Times New Roman" w:hAnsi="Times New Roman"/>
          <w:sz w:val="24"/>
          <w:szCs w:val="24"/>
        </w:rPr>
      </w:pPr>
      <w:r w:rsidRPr="004C0771">
        <w:rPr>
          <w:rFonts w:ascii="Times New Roman" w:hAnsi="Times New Roman"/>
          <w:sz w:val="24"/>
          <w:szCs w:val="24"/>
        </w:rPr>
        <w:t>It is necessary, therefore, to evaluate what are the distributive effects of the use of a limited number of official languages today</w:t>
      </w:r>
      <w:r>
        <w:rPr>
          <w:rFonts w:ascii="Times New Roman" w:hAnsi="Times New Roman"/>
          <w:sz w:val="24"/>
          <w:szCs w:val="24"/>
        </w:rPr>
        <w:t>,</w:t>
      </w:r>
      <w:r w:rsidRPr="004C0771">
        <w:rPr>
          <w:rFonts w:ascii="Times New Roman" w:hAnsi="Times New Roman"/>
          <w:sz w:val="24"/>
          <w:szCs w:val="24"/>
        </w:rPr>
        <w:t xml:space="preserve"> and what could be the outcome of a drastic reduction in the number of EU official languages in the foreseeable future. Interdisciplinary research in language policy and planning (LPP) has shown that language policies can be viewed and analysed as a form of public </w:t>
      </w:r>
      <w:r w:rsidRPr="004C0771">
        <w:rPr>
          <w:rFonts w:ascii="Times New Roman" w:hAnsi="Times New Roman"/>
          <w:sz w:val="24"/>
          <w:szCs w:val="24"/>
        </w:rPr>
        <w:lastRenderedPageBreak/>
        <w:t>policy</w:t>
      </w:r>
      <w:r w:rsidRPr="004C0771">
        <w:rPr>
          <w:rFonts w:ascii="Times New Roman" w:hAnsi="Times New Roman"/>
          <w:i/>
          <w:sz w:val="24"/>
          <w:szCs w:val="24"/>
        </w:rPr>
        <w:t xml:space="preserve"> </w:t>
      </w:r>
      <w:r w:rsidRPr="004C0771">
        <w:rPr>
          <w:rFonts w:ascii="Times New Roman" w:hAnsi="Times New Roman"/>
          <w:sz w:val="24"/>
          <w:szCs w:val="24"/>
        </w:rPr>
        <w:t>(</w:t>
      </w:r>
      <w:hyperlink w:anchor="_ENREF_28" w:tooltip="Grin, 2003 #68" w:history="1">
        <w:r w:rsidRPr="004C0771">
          <w:rPr>
            <w:rFonts w:ascii="Times New Roman" w:hAnsi="Times New Roman"/>
            <w:sz w:val="24"/>
            <w:szCs w:val="24"/>
          </w:rPr>
          <w:fldChar w:fldCharType="begin"/>
        </w:r>
        <w:r w:rsidRPr="004C0771">
          <w:rPr>
            <w:rFonts w:ascii="Times New Roman" w:hAnsi="Times New Roman"/>
            <w:sz w:val="24"/>
            <w:szCs w:val="24"/>
          </w:rPr>
          <w:instrText xml:space="preserve"> ADDIN EN.CITE &lt;EndNote&gt;&lt;Cite&gt;&lt;Author&gt;Grin&lt;/Author&gt;&lt;Year&gt;2003&lt;/Year&gt;&lt;RecNum&gt;68&lt;/RecNum&gt;&lt;DisplayText&gt;Grin 2003&lt;/DisplayText&gt;&lt;record&gt;&lt;rec-number&gt;68&lt;/rec-number&gt;&lt;foreign-keys&gt;&lt;key app="EN" db-id="wvvszzd93a0z5wesdfpvdv9z5wrra5p05axp"&gt;68&lt;/key&gt;&lt;/foreign-keys&gt;&lt;ref-type name="Journal Article"&gt;17&lt;/ref-type&gt;&lt;contributors&gt;&lt;authors&gt;&lt;author&gt;Grin, François&lt;/author&gt;&lt;/authors&gt;&lt;/contributors&gt;&lt;titles&gt;&lt;title&gt;Language planning and economics&lt;/title&gt;&lt;secondary-title&gt;Current Issues in Language Planning&lt;/secondary-title&gt;&lt;/titles&gt;&lt;periodical&gt;&lt;full-title&gt;Current Issues in Language Planning&lt;/full-title&gt;&lt;/periodical&gt;&lt;pages&gt;1-66&lt;/pages&gt;&lt;volume&gt;4&lt;/volume&gt;&lt;number&gt;1&lt;/number&gt;&lt;dates&gt;&lt;year&gt;2003&lt;/year&gt;&lt;/dates&gt;&lt;urls&gt;&lt;/urls&gt;&lt;/record&gt;&lt;/Cite&gt;&lt;/EndNote&gt;</w:instrText>
        </w:r>
        <w:r w:rsidRPr="004C0771">
          <w:rPr>
            <w:rFonts w:ascii="Times New Roman" w:hAnsi="Times New Roman"/>
            <w:sz w:val="24"/>
            <w:szCs w:val="24"/>
          </w:rPr>
          <w:fldChar w:fldCharType="separate"/>
        </w:r>
        <w:r w:rsidRPr="004C0771">
          <w:rPr>
            <w:rFonts w:ascii="Times New Roman" w:hAnsi="Times New Roman"/>
            <w:sz w:val="24"/>
            <w:szCs w:val="24"/>
          </w:rPr>
          <w:t>Grin, 2003</w:t>
        </w:r>
        <w:r w:rsidRPr="004C0771">
          <w:rPr>
            <w:rFonts w:ascii="Times New Roman" w:hAnsi="Times New Roman"/>
            <w:sz w:val="24"/>
            <w:szCs w:val="24"/>
          </w:rPr>
          <w:fldChar w:fldCharType="end"/>
        </w:r>
      </w:hyperlink>
      <w:hyperlink w:anchor="_ENREF_19" w:tooltip="Grin, 2010 #599" w:history="1"/>
      <w:r w:rsidRPr="004C0771">
        <w:rPr>
          <w:rFonts w:ascii="Times New Roman" w:hAnsi="Times New Roman"/>
          <w:sz w:val="24"/>
          <w:szCs w:val="24"/>
        </w:rPr>
        <w:t xml:space="preserve">). Therefore, they can be compared and evaluated </w:t>
      </w:r>
      <w:proofErr w:type="gramStart"/>
      <w:r w:rsidRPr="004C0771">
        <w:rPr>
          <w:rFonts w:ascii="Times New Roman" w:hAnsi="Times New Roman"/>
          <w:sz w:val="24"/>
          <w:szCs w:val="24"/>
        </w:rPr>
        <w:t>on the basis of</w:t>
      </w:r>
      <w:proofErr w:type="gramEnd"/>
      <w:r w:rsidRPr="004C0771">
        <w:rPr>
          <w:rFonts w:ascii="Times New Roman" w:hAnsi="Times New Roman"/>
          <w:sz w:val="24"/>
          <w:szCs w:val="24"/>
        </w:rPr>
        <w:t xml:space="preserve"> standard criteria such as effectiveness and fairness. It is necessary to clarify that, in policy evaluation, assessing the fairness of alternative policies (or scenarios) implies identifying, under each scenario, who loses, who gains, and (if possible) to what extent. Thus, there is no primarily moral or ethical content in the technical concept of fairness in policy analysis (</w:t>
      </w:r>
      <w:hyperlink w:anchor="_ENREF_33" w:tooltip="Just, 2004 #194" w:history="1">
        <w:r w:rsidRPr="004C0771">
          <w:rPr>
            <w:rFonts w:ascii="Times New Roman" w:hAnsi="Times New Roman"/>
            <w:sz w:val="24"/>
            <w:szCs w:val="24"/>
          </w:rPr>
          <w:fldChar w:fldCharType="begin"/>
        </w:r>
        <w:r w:rsidRPr="004C0771">
          <w:rPr>
            <w:rFonts w:ascii="Times New Roman" w:hAnsi="Times New Roman"/>
            <w:sz w:val="24"/>
            <w:szCs w:val="24"/>
          </w:rPr>
          <w:instrText xml:space="preserve"> ADDIN EN.CITE &lt;EndNote&gt;&lt;Cite&gt;&lt;Author&gt;Just&lt;/Author&gt;&lt;Year&gt;2004&lt;/Year&gt;&lt;RecNum&gt;194&lt;/RecNum&gt;&lt;DisplayText&gt;Just et al. 2004&lt;/DisplayText&gt;&lt;record&gt;&lt;rec-number&gt;194&lt;/rec-number&gt;&lt;foreign-keys&gt;&lt;key app="EN" db-id="wvvszzd93a0z5wesdfpvdv9z5wrra5p05axp"&gt;194&lt;/key&gt;&lt;/foreign-keys&gt;&lt;ref-type name="Book"&gt;6&lt;/ref-type&gt;&lt;contributors&gt;&lt;authors&gt;&lt;author&gt;Just, Richard E.&lt;/author&gt;&lt;author&gt;Hueth, Darrell L.&lt;/author&gt;&lt;author&gt;Schmitz, Andrew&lt;/author&gt;&lt;/authors&gt;&lt;/contributors&gt;&lt;titles&gt;&lt;title&gt;The welfare economics of public policy: A practical approach to project and policy evaluation&lt;/title&gt;&lt;/titles&gt;&lt;keywords&gt;&lt;keyword&gt;bien-©®tre politique publique&lt;/keyword&gt;&lt;/keywords&gt;&lt;dates&gt;&lt;year&gt;2004&lt;/year&gt;&lt;/dates&gt;&lt;pub-location&gt;Cheltenham&lt;/pub-location&gt;&lt;publisher&gt;Edward Elgar&lt;/publisher&gt;&lt;isbn&gt;1843766884 (cased)&lt;/isbn&gt;&lt;accession-num&gt;vtls003766395&lt;/accession-num&gt;&lt;urls&gt;&lt;/urls&gt;&lt;/record&gt;&lt;/Cite&gt;&lt;/EndNote&gt;</w:instrText>
        </w:r>
        <w:r w:rsidRPr="004C0771">
          <w:rPr>
            <w:rFonts w:ascii="Times New Roman" w:hAnsi="Times New Roman"/>
            <w:sz w:val="24"/>
            <w:szCs w:val="24"/>
          </w:rPr>
          <w:fldChar w:fldCharType="separate"/>
        </w:r>
        <w:r w:rsidRPr="004C0771">
          <w:rPr>
            <w:rFonts w:ascii="Times New Roman" w:hAnsi="Times New Roman"/>
            <w:sz w:val="24"/>
            <w:szCs w:val="24"/>
          </w:rPr>
          <w:t>Just et al., 2004</w:t>
        </w:r>
        <w:r w:rsidRPr="004C0771">
          <w:rPr>
            <w:rFonts w:ascii="Times New Roman" w:hAnsi="Times New Roman"/>
            <w:sz w:val="24"/>
            <w:szCs w:val="24"/>
          </w:rPr>
          <w:fldChar w:fldCharType="end"/>
        </w:r>
      </w:hyperlink>
      <w:r w:rsidRPr="004C0771">
        <w:rPr>
          <w:rFonts w:ascii="Times New Roman" w:hAnsi="Times New Roman"/>
          <w:sz w:val="24"/>
          <w:szCs w:val="24"/>
        </w:rPr>
        <w:t>)</w:t>
      </w:r>
      <w:r w:rsidRPr="004C0771">
        <w:rPr>
          <w:rFonts w:ascii="Times New Roman" w:eastAsia="Times New Roman" w:hAnsi="Times New Roman"/>
          <w:sz w:val="24"/>
          <w:szCs w:val="24"/>
          <w:lang w:eastAsia="it-IT"/>
        </w:rPr>
        <w:t xml:space="preserve">. </w:t>
      </w:r>
      <w:r w:rsidRPr="004C0771">
        <w:rPr>
          <w:rFonts w:ascii="Times New Roman" w:hAnsi="Times New Roman"/>
          <w:sz w:val="24"/>
          <w:szCs w:val="24"/>
        </w:rPr>
        <w:t>Obviously, the empirical assessment of such distributive effects provides a basis for normative statements on alternative policies, but such ethical statements will not be addressed here (for a discussion of fairness in LPP</w:t>
      </w:r>
      <w:r>
        <w:rPr>
          <w:rFonts w:ascii="Times New Roman" w:hAnsi="Times New Roman"/>
          <w:sz w:val="24"/>
          <w:szCs w:val="24"/>
        </w:rPr>
        <w:t>,</w:t>
      </w:r>
      <w:r w:rsidRPr="004C0771">
        <w:rPr>
          <w:rFonts w:ascii="Times New Roman" w:hAnsi="Times New Roman"/>
          <w:sz w:val="24"/>
          <w:szCs w:val="24"/>
        </w:rPr>
        <w:t xml:space="preserve"> or ‘linguistic justice’</w:t>
      </w:r>
      <w:r>
        <w:rPr>
          <w:rFonts w:ascii="Times New Roman" w:hAnsi="Times New Roman"/>
          <w:sz w:val="24"/>
          <w:szCs w:val="24"/>
        </w:rPr>
        <w:t>,</w:t>
      </w:r>
      <w:r w:rsidRPr="004C0771">
        <w:rPr>
          <w:rFonts w:ascii="Times New Roman" w:hAnsi="Times New Roman"/>
          <w:sz w:val="24"/>
          <w:szCs w:val="24"/>
        </w:rPr>
        <w:t xml:space="preserve"> from the point of view of political p</w:t>
      </w:r>
      <w:r w:rsidRPr="00D1142E">
        <w:rPr>
          <w:rFonts w:ascii="Times New Roman" w:hAnsi="Times New Roman"/>
          <w:sz w:val="24"/>
          <w:szCs w:val="24"/>
        </w:rPr>
        <w:t xml:space="preserve">hilosophy, see De </w:t>
      </w:r>
      <w:proofErr w:type="spellStart"/>
      <w:r w:rsidRPr="00D1142E">
        <w:rPr>
          <w:rFonts w:ascii="Times New Roman" w:hAnsi="Times New Roman"/>
          <w:sz w:val="24"/>
          <w:szCs w:val="24"/>
        </w:rPr>
        <w:t>Schutter</w:t>
      </w:r>
      <w:proofErr w:type="spellEnd"/>
      <w:r w:rsidRPr="00D1142E">
        <w:rPr>
          <w:rFonts w:ascii="Times New Roman" w:hAnsi="Times New Roman"/>
          <w:sz w:val="24"/>
          <w:szCs w:val="24"/>
        </w:rPr>
        <w:t xml:space="preserve">, </w:t>
      </w:r>
      <w:hyperlink w:anchor="_ENREF_9" w:tooltip="De Schutter, 2007 #238" w:history="1">
        <w:r w:rsidRPr="00D1142E">
          <w:rPr>
            <w:rStyle w:val="Hyperlink"/>
            <w:rFonts w:ascii="Times New Roman" w:hAnsi="Times New Roman"/>
            <w:color w:val="auto"/>
            <w:sz w:val="24"/>
            <w:szCs w:val="24"/>
            <w:u w:val="none"/>
          </w:rPr>
          <w:fldChar w:fldCharType="begin"/>
        </w:r>
        <w:r w:rsidRPr="00D1142E">
          <w:rPr>
            <w:rStyle w:val="Hyperlink"/>
            <w:rFonts w:ascii="Times New Roman" w:hAnsi="Times New Roman"/>
            <w:color w:val="auto"/>
            <w:sz w:val="24"/>
            <w:szCs w:val="24"/>
            <w:u w:val="none"/>
          </w:rPr>
          <w:instrText xml:space="preserve"> ADDIN EN.CITE &lt;EndNote&gt;&lt;Cite ExcludeAuth="1"&gt;&lt;Author&gt;De Schutter&lt;/Author&gt;&lt;Year&gt;2007&lt;/Year&gt;&lt;RecNum&gt;238&lt;/RecNum&gt;&lt;DisplayText&gt;2007&lt;/DisplayText&gt;&lt;record&gt;&lt;rec-number&gt;238&lt;/rec-number&gt;&lt;foreign-keys&gt;&lt;key app="EN" db-id="wvvszzd93a0z5wesdfpvdv9z5wrra5p05axp"&gt;238&lt;/key&gt;&lt;/foreign-keys&gt;&lt;ref-type name="Journal Article"&gt;17&lt;/ref-type&gt;&lt;contributors&gt;&lt;authors&gt;&lt;author&gt;De Schutter, Helder&lt;/author&gt;&lt;/authors&gt;&lt;/contributors&gt;&lt;titles&gt;&lt;title&gt;Language policy and political philosophy: On the emerging linguistic justice debate&lt;/title&gt;&lt;secondary-title&gt;Language Problems &amp;amp; Language Planning&lt;/secondary-title&gt;&lt;/titles&gt;&lt;periodical&gt;&lt;full-title&gt;Language Problems &amp;amp; Language Planning&lt;/full-title&gt;&lt;/periodical&gt;&lt;pages&gt;1-23&lt;/pages&gt;&lt;volume&gt;31&lt;/volume&gt;&lt;number&gt;1&lt;/number&gt;&lt;dates&gt;&lt;year&gt;2007&lt;/year&gt;&lt;/dates&gt;&lt;urls&gt;&lt;/urls&gt;&lt;/record&gt;&lt;/Cite&gt;&lt;/EndNote&gt;</w:instrText>
        </w:r>
        <w:r w:rsidRPr="00D1142E">
          <w:rPr>
            <w:rStyle w:val="Hyperlink"/>
            <w:rFonts w:ascii="Times New Roman" w:hAnsi="Times New Roman"/>
            <w:color w:val="auto"/>
            <w:sz w:val="24"/>
            <w:szCs w:val="24"/>
            <w:u w:val="none"/>
          </w:rPr>
          <w:fldChar w:fldCharType="separate"/>
        </w:r>
        <w:r w:rsidRPr="00D1142E">
          <w:rPr>
            <w:rStyle w:val="Hyperlink"/>
            <w:rFonts w:ascii="Times New Roman" w:hAnsi="Times New Roman"/>
            <w:color w:val="auto"/>
            <w:sz w:val="24"/>
            <w:szCs w:val="24"/>
            <w:u w:val="none"/>
          </w:rPr>
          <w:t>2007</w:t>
        </w:r>
        <w:r w:rsidRPr="00D1142E">
          <w:rPr>
            <w:rStyle w:val="Hyperlink"/>
            <w:rFonts w:ascii="Times New Roman" w:hAnsi="Times New Roman"/>
            <w:color w:val="auto"/>
            <w:sz w:val="24"/>
            <w:szCs w:val="24"/>
            <w:u w:val="none"/>
          </w:rPr>
          <w:fldChar w:fldCharType="end"/>
        </w:r>
      </w:hyperlink>
      <w:r w:rsidRPr="00D1142E">
        <w:rPr>
          <w:rFonts w:ascii="Times New Roman" w:hAnsi="Times New Roman"/>
          <w:sz w:val="24"/>
          <w:szCs w:val="24"/>
        </w:rPr>
        <w:t xml:space="preserve">; </w:t>
      </w:r>
      <w:hyperlink w:anchor="_ENREF_10" w:tooltip="De Schutter, 2015 #1162" w:history="1">
        <w:r w:rsidRPr="00D1142E">
          <w:rPr>
            <w:rStyle w:val="Hyperlink"/>
            <w:rFonts w:ascii="Times New Roman" w:hAnsi="Times New Roman"/>
            <w:color w:val="auto"/>
            <w:sz w:val="24"/>
            <w:szCs w:val="24"/>
            <w:u w:val="none"/>
          </w:rPr>
          <w:fldChar w:fldCharType="begin"/>
        </w:r>
        <w:r w:rsidRPr="00D1142E">
          <w:rPr>
            <w:rStyle w:val="Hyperlink"/>
            <w:rFonts w:ascii="Times New Roman" w:hAnsi="Times New Roman"/>
            <w:color w:val="auto"/>
            <w:sz w:val="24"/>
            <w:szCs w:val="24"/>
            <w:u w:val="none"/>
          </w:rPr>
          <w:instrText xml:space="preserve"> ADDIN EN.CITE &lt;EndNote&gt;&lt;Cite&gt;&lt;Author&gt;De Schutter&lt;/Author&gt;&lt;Year&gt;2015&lt;/Year&gt;&lt;RecNum&gt;1162&lt;/RecNum&gt;&lt;DisplayText&gt;De Schutter and Robichaud 2015&lt;/DisplayText&gt;&lt;record&gt;&lt;rec-number&gt;1162&lt;/rec-number&gt;&lt;foreign-keys&gt;&lt;key app="EN" db-id="wvvszzd93a0z5wesdfpvdv9z5wrra5p05axp"&gt;1162&lt;/key&gt;&lt;/foreign-keys&gt;&lt;ref-type name="Edited Book"&gt;28&lt;/ref-type&gt;&lt;contributors&gt;&lt;authors&gt;&lt;author&gt;De Schutter, Helder&lt;/author&gt;&lt;author&gt;Robichaud, David&lt;/author&gt;&lt;/authors&gt;&lt;/contributors&gt;&lt;titles&gt;&lt;title&gt;Linguistic justice. Van Parijs and his critics&lt;/title&gt;&lt;/titles&gt;&lt;dates&gt;&lt;year&gt;2015&lt;/year&gt;&lt;/dates&gt;&lt;pub-location&gt;Critical Review of International Social and Political Philosophy (Volume 18, Issue 2)&lt;/pub-location&gt;&lt;publisher&gt;Special issue of &lt;/publisher&gt;&lt;urls&gt;&lt;/urls&gt;&lt;/record&gt;&lt;/Cite&gt;&lt;/EndNote&gt;</w:instrText>
        </w:r>
        <w:r w:rsidRPr="00D1142E">
          <w:rPr>
            <w:rStyle w:val="Hyperlink"/>
            <w:rFonts w:ascii="Times New Roman" w:hAnsi="Times New Roman"/>
            <w:color w:val="auto"/>
            <w:sz w:val="24"/>
            <w:szCs w:val="24"/>
            <w:u w:val="none"/>
          </w:rPr>
          <w:fldChar w:fldCharType="separate"/>
        </w:r>
        <w:r w:rsidRPr="00D1142E">
          <w:rPr>
            <w:rStyle w:val="Hyperlink"/>
            <w:rFonts w:ascii="Times New Roman" w:hAnsi="Times New Roman"/>
            <w:color w:val="auto"/>
            <w:sz w:val="24"/>
            <w:szCs w:val="24"/>
            <w:u w:val="none"/>
          </w:rPr>
          <w:t>De Schutter and Robichaud, 2015</w:t>
        </w:r>
        <w:r w:rsidRPr="00D1142E">
          <w:rPr>
            <w:rStyle w:val="Hyperlink"/>
            <w:rFonts w:ascii="Times New Roman" w:hAnsi="Times New Roman"/>
            <w:color w:val="auto"/>
            <w:sz w:val="24"/>
            <w:szCs w:val="24"/>
            <w:u w:val="none"/>
          </w:rPr>
          <w:fldChar w:fldCharType="end"/>
        </w:r>
      </w:hyperlink>
      <w:r w:rsidRPr="00D1142E">
        <w:rPr>
          <w:rFonts w:ascii="Times New Roman" w:hAnsi="Times New Roman"/>
          <w:sz w:val="24"/>
          <w:szCs w:val="24"/>
        </w:rPr>
        <w:t xml:space="preserve">; </w:t>
      </w:r>
      <w:proofErr w:type="spellStart"/>
      <w:r w:rsidRPr="00D1142E">
        <w:rPr>
          <w:rFonts w:ascii="Times New Roman" w:hAnsi="Times New Roman"/>
          <w:sz w:val="24"/>
          <w:szCs w:val="24"/>
        </w:rPr>
        <w:t>Peled</w:t>
      </w:r>
      <w:proofErr w:type="spellEnd"/>
      <w:r w:rsidRPr="00D1142E">
        <w:rPr>
          <w:rFonts w:ascii="Times New Roman" w:hAnsi="Times New Roman"/>
          <w:sz w:val="24"/>
          <w:szCs w:val="24"/>
        </w:rPr>
        <w:t xml:space="preserve"> et al</w:t>
      </w:r>
      <w:r w:rsidRPr="00D1142E">
        <w:rPr>
          <w:rFonts w:ascii="Times New Roman" w:hAnsi="Times New Roman"/>
          <w:i/>
          <w:sz w:val="24"/>
          <w:szCs w:val="24"/>
        </w:rPr>
        <w:t>.,</w:t>
      </w:r>
      <w:r w:rsidRPr="00D1142E">
        <w:rPr>
          <w:rFonts w:ascii="Times New Roman" w:hAnsi="Times New Roman"/>
          <w:sz w:val="24"/>
          <w:szCs w:val="24"/>
        </w:rPr>
        <w:t xml:space="preserve"> </w:t>
      </w:r>
      <w:hyperlink w:anchor="_ENREF_41" w:tooltip="Peled, 2014 #1055" w:history="1">
        <w:r w:rsidRPr="00D1142E">
          <w:rPr>
            <w:rStyle w:val="Hyperlink"/>
            <w:rFonts w:ascii="Times New Roman" w:hAnsi="Times New Roman"/>
            <w:color w:val="auto"/>
            <w:sz w:val="24"/>
            <w:szCs w:val="24"/>
            <w:u w:val="none"/>
          </w:rPr>
          <w:fldChar w:fldCharType="begin"/>
        </w:r>
        <w:r w:rsidRPr="00D1142E">
          <w:rPr>
            <w:rStyle w:val="Hyperlink"/>
            <w:rFonts w:ascii="Times New Roman" w:hAnsi="Times New Roman"/>
            <w:color w:val="auto"/>
            <w:sz w:val="24"/>
            <w:szCs w:val="24"/>
            <w:u w:val="none"/>
          </w:rPr>
          <w:instrText xml:space="preserve"> ADDIN EN.CITE &lt;EndNote&gt;&lt;Cite ExcludeAuth="1"&gt;&lt;Author&gt;Peled&lt;/Author&gt;&lt;Year&gt;2014&lt;/Year&gt;&lt;RecNum&gt;1055&lt;/RecNum&gt;&lt;DisplayText&gt;2014&lt;/DisplayText&gt;&lt;record&gt;&lt;rec-number&gt;1055&lt;/rec-number&gt;&lt;foreign-keys&gt;&lt;key app="EN" db-id="wvvszzd93a0z5wesdfpvdv9z5wrra5p05axp"&gt;1055&lt;/key&gt;&lt;/foreign-keys&gt;&lt;ref-type name="Journal Article"&gt;17&lt;/ref-type&gt;&lt;contributors&gt;&lt;authors&gt;&lt;author&gt;Peled, Yael&lt;/author&gt;&lt;author&gt;Ives, Peter&lt;/author&gt;&lt;author&gt;Ricento, Thomas&lt;/author&gt;&lt;/authors&gt;&lt;/contributors&gt;&lt;titles&gt;&lt;title&gt;Introduction to the thematic issue: language policy and political theory&lt;/title&gt;&lt;secondary-title&gt;Language Policy&lt;/secondary-title&gt;&lt;/titles&gt;&lt;periodical&gt;&lt;full-title&gt;Language Policy&lt;/full-title&gt;&lt;/periodical&gt;&lt;pages&gt;295-300&lt;/pages&gt;&lt;volume&gt;13&lt;/volume&gt;&lt;number&gt;4&lt;/number&gt;&lt;dates&gt;&lt;year&gt;2014&lt;/year&gt;&lt;/dates&gt;&lt;urls&gt;&lt;/urls&gt;&lt;/record&gt;&lt;/Cite&gt;&lt;/EndNote&gt;</w:instrText>
        </w:r>
        <w:r w:rsidRPr="00D1142E">
          <w:rPr>
            <w:rStyle w:val="Hyperlink"/>
            <w:rFonts w:ascii="Times New Roman" w:hAnsi="Times New Roman"/>
            <w:color w:val="auto"/>
            <w:sz w:val="24"/>
            <w:szCs w:val="24"/>
            <w:u w:val="none"/>
          </w:rPr>
          <w:fldChar w:fldCharType="separate"/>
        </w:r>
        <w:r w:rsidRPr="00D1142E">
          <w:rPr>
            <w:rStyle w:val="Hyperlink"/>
            <w:rFonts w:ascii="Times New Roman" w:hAnsi="Times New Roman"/>
            <w:color w:val="auto"/>
            <w:sz w:val="24"/>
            <w:szCs w:val="24"/>
            <w:u w:val="none"/>
          </w:rPr>
          <w:t>2014</w:t>
        </w:r>
        <w:r w:rsidRPr="00D1142E">
          <w:rPr>
            <w:rStyle w:val="Hyperlink"/>
            <w:rFonts w:ascii="Times New Roman" w:hAnsi="Times New Roman"/>
            <w:color w:val="auto"/>
            <w:sz w:val="24"/>
            <w:szCs w:val="24"/>
            <w:u w:val="none"/>
          </w:rPr>
          <w:fldChar w:fldCharType="end"/>
        </w:r>
      </w:hyperlink>
      <w:r w:rsidRPr="00D1142E">
        <w:rPr>
          <w:rFonts w:ascii="Times New Roman" w:hAnsi="Times New Roman"/>
          <w:sz w:val="24"/>
          <w:szCs w:val="24"/>
        </w:rPr>
        <w:t>).</w:t>
      </w:r>
    </w:p>
    <w:p w14:paraId="02523988" w14:textId="01D4F30F" w:rsidR="007F446F" w:rsidRPr="004C0771" w:rsidRDefault="007F446F" w:rsidP="006233DD">
      <w:pPr>
        <w:spacing w:line="480" w:lineRule="auto"/>
        <w:jc w:val="both"/>
        <w:rPr>
          <w:rFonts w:ascii="Times New Roman" w:eastAsia="SimSun" w:hAnsi="Times New Roman"/>
          <w:bCs/>
          <w:sz w:val="24"/>
          <w:szCs w:val="24"/>
          <w:lang w:eastAsia="zh-CN"/>
        </w:rPr>
      </w:pPr>
      <w:r w:rsidRPr="004C0771">
        <w:rPr>
          <w:rFonts w:ascii="Times New Roman" w:hAnsi="Times New Roman"/>
          <w:sz w:val="24"/>
          <w:szCs w:val="24"/>
        </w:rPr>
        <w:t>Although the academic debate on the EU language regime is characterised by a relatively high diversity of approaches,</w:t>
      </w:r>
      <w:r w:rsidRPr="004C0771">
        <w:rPr>
          <w:rStyle w:val="FootnoteReference"/>
          <w:rFonts w:ascii="Times New Roman" w:hAnsi="Times New Roman"/>
          <w:sz w:val="24"/>
          <w:szCs w:val="24"/>
        </w:rPr>
        <w:footnoteReference w:id="2"/>
      </w:r>
      <w:r w:rsidRPr="004C0771">
        <w:rPr>
          <w:rFonts w:ascii="Times New Roman" w:hAnsi="Times New Roman"/>
          <w:sz w:val="24"/>
          <w:szCs w:val="24"/>
        </w:rPr>
        <w:t xml:space="preserve"> little empirical research has been carried out so far on the comparative evaluation of the distributive effects of a change</w:t>
      </w:r>
      <w:r w:rsidRPr="004C0771">
        <w:rPr>
          <w:rFonts w:ascii="Times New Roman" w:hAnsi="Times New Roman"/>
          <w:i/>
          <w:sz w:val="24"/>
          <w:szCs w:val="24"/>
        </w:rPr>
        <w:t xml:space="preserve"> </w:t>
      </w:r>
      <w:r w:rsidRPr="004C0771">
        <w:rPr>
          <w:rFonts w:ascii="Times New Roman" w:hAnsi="Times New Roman"/>
          <w:sz w:val="24"/>
          <w:szCs w:val="24"/>
        </w:rPr>
        <w:t>of the EU language regime or of a reduction of the domains of use of the current official languages. Existing quantitative studies in this area tend to focus on the analysis of effectiveness and efficiency (</w:t>
      </w:r>
      <w:proofErr w:type="spellStart"/>
      <w:r w:rsidRPr="004C0771">
        <w:rPr>
          <w:rFonts w:ascii="Times New Roman" w:hAnsi="Times New Roman"/>
          <w:sz w:val="24"/>
          <w:szCs w:val="24"/>
        </w:rPr>
        <w:t>Fidrmuc</w:t>
      </w:r>
      <w:proofErr w:type="spellEnd"/>
      <w:r w:rsidRPr="004C0771">
        <w:rPr>
          <w:rFonts w:ascii="Times New Roman" w:hAnsi="Times New Roman"/>
          <w:sz w:val="24"/>
          <w:szCs w:val="24"/>
        </w:rPr>
        <w:t xml:space="preserve"> and </w:t>
      </w:r>
      <w:proofErr w:type="spellStart"/>
      <w:r w:rsidRPr="004C0771">
        <w:rPr>
          <w:rFonts w:ascii="Times New Roman" w:hAnsi="Times New Roman"/>
          <w:sz w:val="24"/>
          <w:szCs w:val="24"/>
        </w:rPr>
        <w:t>Ginsburgh</w:t>
      </w:r>
      <w:proofErr w:type="spellEnd"/>
      <w:r w:rsidRPr="004C0771">
        <w:rPr>
          <w:rFonts w:ascii="Times New Roman" w:hAnsi="Times New Roman"/>
          <w:sz w:val="24"/>
          <w:szCs w:val="24"/>
        </w:rPr>
        <w:t xml:space="preserve">, </w:t>
      </w:r>
      <w:hyperlink w:anchor="_ENREF_18" w:tooltip="Fidrmuc, 2007 #239" w:history="1">
        <w:r w:rsidRPr="004C0771">
          <w:rPr>
            <w:rFonts w:ascii="Times New Roman" w:hAnsi="Times New Roman"/>
            <w:sz w:val="24"/>
            <w:szCs w:val="24"/>
          </w:rPr>
          <w:fldChar w:fldCharType="begin"/>
        </w:r>
        <w:r w:rsidRPr="004C0771">
          <w:rPr>
            <w:rFonts w:ascii="Times New Roman" w:hAnsi="Times New Roman"/>
            <w:sz w:val="24"/>
            <w:szCs w:val="24"/>
          </w:rPr>
          <w:instrText xml:space="preserve"> ADDIN EN.CITE &lt;EndNote&gt;&lt;Cite ExcludeAuth="1"&gt;&lt;Author&gt;Fidrmuc&lt;/Author&gt;&lt;Year&gt;2007&lt;/Year&gt;&lt;RecNum&gt;239&lt;/RecNum&gt;&lt;DisplayText&gt;2007&lt;/DisplayText&gt;&lt;record&gt;&lt;rec-number&gt;239&lt;/rec-number&gt;&lt;foreign-keys&gt;&lt;key app="EN" db-id="wvvszzd93a0z5wesdfpvdv9z5wrra5p05axp"&gt;239&lt;/key&gt;&lt;/foreign-keys&gt;&lt;ref-type name="Journal Article"&gt;17&lt;/ref-type&gt;&lt;contributors&gt;&lt;authors&gt;&lt;author&gt;Fidrmuc, Jan&lt;/author&gt;&lt;author&gt;Ginsburgh, Victor&lt;/author&gt;&lt;/authors&gt;&lt;/contributors&gt;&lt;titles&gt;&lt;title&gt;Languages in the European Union: The quest for equality and its cost&lt;/title&gt;&lt;secondary-title&gt;European Economic Review&lt;/secondary-title&gt;&lt;/titles&gt;&lt;periodical&gt;&lt;full-title&gt;European Economic Review&lt;/full-title&gt;&lt;/periodical&gt;&lt;pages&gt;1351-1369&lt;/pages&gt;&lt;volume&gt;51&lt;/volume&gt;&lt;dates&gt;&lt;year&gt;2007&lt;/year&gt;&lt;/dates&gt;&lt;urls&gt;&lt;/urls&gt;&lt;/record&gt;&lt;/Cite&gt;&lt;/EndNote&gt;</w:instrText>
        </w:r>
        <w:r w:rsidRPr="004C0771">
          <w:rPr>
            <w:rFonts w:ascii="Times New Roman" w:hAnsi="Times New Roman"/>
            <w:sz w:val="24"/>
            <w:szCs w:val="24"/>
          </w:rPr>
          <w:fldChar w:fldCharType="separate"/>
        </w:r>
        <w:r w:rsidRPr="004C0771">
          <w:rPr>
            <w:rFonts w:ascii="Times New Roman" w:hAnsi="Times New Roman"/>
            <w:sz w:val="24"/>
            <w:szCs w:val="24"/>
          </w:rPr>
          <w:t>2007</w:t>
        </w:r>
        <w:r w:rsidRPr="004C0771">
          <w:rPr>
            <w:rFonts w:ascii="Times New Roman" w:hAnsi="Times New Roman"/>
            <w:sz w:val="24"/>
            <w:szCs w:val="24"/>
          </w:rPr>
          <w:fldChar w:fldCharType="end"/>
        </w:r>
      </w:hyperlink>
      <w:r w:rsidRPr="004C0771">
        <w:rPr>
          <w:rFonts w:ascii="Times New Roman" w:hAnsi="Times New Roman"/>
          <w:sz w:val="24"/>
          <w:szCs w:val="24"/>
        </w:rPr>
        <w:t xml:space="preserve">; Gazzola, </w:t>
      </w:r>
      <w:hyperlink w:anchor="_ENREF_21" w:tooltip="Gazzola, 2006 #243" w:history="1">
        <w:r w:rsidRPr="004C0771">
          <w:rPr>
            <w:rFonts w:ascii="Times New Roman" w:hAnsi="Times New Roman"/>
            <w:sz w:val="24"/>
            <w:szCs w:val="24"/>
          </w:rPr>
          <w:fldChar w:fldCharType="begin"/>
        </w:r>
        <w:r w:rsidRPr="004C0771">
          <w:rPr>
            <w:rFonts w:ascii="Times New Roman" w:hAnsi="Times New Roman"/>
            <w:sz w:val="24"/>
            <w:szCs w:val="24"/>
          </w:rPr>
          <w:instrText xml:space="preserve"> ADDIN EN.CITE &lt;EndNote&gt;&lt;Cite ExcludeAuth="1"&gt;&lt;Author&gt;Gazzola&lt;/Author&gt;&lt;Year&gt;2006&lt;/Year&gt;&lt;RecNum&gt;243&lt;/RecNum&gt;&lt;DisplayText&gt;2006&lt;/DisplayText&gt;&lt;record&gt;&lt;rec-number&gt;243&lt;/rec-number&gt;&lt;foreign-keys&gt;&lt;key app="EN" db-id="wvvszzd93a0z5wesdfpvdv9z5wrra5p05axp"&gt;243&lt;/key&gt;&lt;/foreign-keys&gt;&lt;ref-type name="Journal Article"&gt;17&lt;/ref-type&gt;&lt;contributors&gt;&lt;authors&gt;&lt;author&gt;Gazzola, Michele&lt;/author&gt;&lt;/authors&gt;&lt;/contributors&gt;&lt;titles&gt;&lt;title&gt;Managing multilingualism in the European Union: Language policy evaluation for the European Parliament&lt;/title&gt;&lt;secondary-title&gt;Language Policy&lt;/secondary-title&gt;&lt;/titles&gt;&lt;periodical&gt;&lt;full-title&gt;Language Policy&lt;/full-title&gt;&lt;/periodical&gt;&lt;pages&gt;393-417&lt;/pages&gt;&lt;volume&gt;5&lt;/volume&gt;&lt;number&gt;4&lt;/number&gt;&lt;dates&gt;&lt;year&gt;2006&lt;/year&gt;&lt;/dates&gt;&lt;urls&gt;&lt;/urls&gt;&lt;/record&gt;&lt;/Cite&gt;&lt;/EndNote&gt;</w:instrText>
        </w:r>
        <w:r w:rsidRPr="004C0771">
          <w:rPr>
            <w:rFonts w:ascii="Times New Roman" w:hAnsi="Times New Roman"/>
            <w:sz w:val="24"/>
            <w:szCs w:val="24"/>
          </w:rPr>
          <w:fldChar w:fldCharType="separate"/>
        </w:r>
        <w:r w:rsidRPr="004C0771">
          <w:rPr>
            <w:rFonts w:ascii="Times New Roman" w:hAnsi="Times New Roman"/>
            <w:sz w:val="24"/>
            <w:szCs w:val="24"/>
          </w:rPr>
          <w:t>2006</w:t>
        </w:r>
        <w:r w:rsidRPr="004C0771">
          <w:rPr>
            <w:rFonts w:ascii="Times New Roman" w:hAnsi="Times New Roman"/>
            <w:sz w:val="24"/>
            <w:szCs w:val="24"/>
          </w:rPr>
          <w:fldChar w:fldCharType="end"/>
        </w:r>
      </w:hyperlink>
      <w:r w:rsidRPr="004C0771">
        <w:rPr>
          <w:rFonts w:ascii="Times New Roman" w:hAnsi="Times New Roman"/>
          <w:sz w:val="24"/>
          <w:szCs w:val="24"/>
        </w:rPr>
        <w:t xml:space="preserve">; </w:t>
      </w:r>
      <w:proofErr w:type="spellStart"/>
      <w:r w:rsidRPr="004C0771">
        <w:rPr>
          <w:rFonts w:ascii="Times New Roman" w:hAnsi="Times New Roman"/>
          <w:sz w:val="24"/>
          <w:szCs w:val="24"/>
        </w:rPr>
        <w:t>Ginsburgh</w:t>
      </w:r>
      <w:proofErr w:type="spellEnd"/>
      <w:r w:rsidRPr="004C0771">
        <w:rPr>
          <w:rFonts w:ascii="Times New Roman" w:hAnsi="Times New Roman"/>
          <w:sz w:val="24"/>
          <w:szCs w:val="24"/>
        </w:rPr>
        <w:t xml:space="preserve"> and Weber, </w:t>
      </w:r>
      <w:hyperlink w:anchor="_ENREF_26" w:tooltip="Ginsburgh, 2005 #75" w:history="1">
        <w:r w:rsidRPr="004C0771">
          <w:rPr>
            <w:rFonts w:ascii="Times New Roman" w:hAnsi="Times New Roman"/>
            <w:sz w:val="24"/>
            <w:szCs w:val="24"/>
          </w:rPr>
          <w:fldChar w:fldCharType="begin"/>
        </w:r>
        <w:r w:rsidRPr="004C0771">
          <w:rPr>
            <w:rFonts w:ascii="Times New Roman" w:hAnsi="Times New Roman"/>
            <w:sz w:val="24"/>
            <w:szCs w:val="24"/>
          </w:rPr>
          <w:instrText xml:space="preserve"> ADDIN EN.CITE &lt;EndNote&gt;&lt;Cite ExcludeAuth="1"&gt;&lt;Author&gt;Ginsburgh&lt;/Author&gt;&lt;Year&gt;2005&lt;/Year&gt;&lt;RecNum&gt;75&lt;/RecNum&gt;&lt;DisplayText&gt;2005&lt;/DisplayText&gt;&lt;record&gt;&lt;rec-number&gt;75&lt;/rec-number&gt;&lt;foreign-keys&gt;&lt;key app="EN" db-id="wvvszzd93a0z5wesdfpvdv9z5wrra5p05axp"&gt;75&lt;/key&gt;&lt;/foreign-keys&gt;&lt;ref-type name="Journal Article"&gt;17&lt;/ref-type&gt;&lt;contributors&gt;&lt;authors&gt;&lt;author&gt;Ginsburgh, Victor&lt;/author&gt;&lt;author&gt;Weber, Shlomo&lt;/author&gt;&lt;/authors&gt;&lt;/contributors&gt;&lt;titles&gt;&lt;title&gt;Language disenfranchisement in the European Union&lt;/title&gt;&lt;secondary-title&gt;Journal of Common Market Studies&lt;/secondary-title&gt;&lt;/titles&gt;&lt;periodical&gt;&lt;full-title&gt;Journal of Common Market Studies&lt;/full-title&gt;&lt;/periodical&gt;&lt;pages&gt;273-286&lt;/pages&gt;&lt;volume&gt;43&lt;/volume&gt;&lt;number&gt;2&lt;/number&gt;&lt;dates&gt;&lt;year&gt;2005&lt;/year&gt;&lt;/dates&gt;&lt;urls&gt;&lt;/urls&gt;&lt;/record&gt;&lt;/Cite&gt;&lt;/EndNote&gt;</w:instrText>
        </w:r>
        <w:r w:rsidRPr="004C0771">
          <w:rPr>
            <w:rFonts w:ascii="Times New Roman" w:hAnsi="Times New Roman"/>
            <w:sz w:val="24"/>
            <w:szCs w:val="24"/>
          </w:rPr>
          <w:fldChar w:fldCharType="separate"/>
        </w:r>
        <w:r w:rsidRPr="004C0771">
          <w:rPr>
            <w:rFonts w:ascii="Times New Roman" w:hAnsi="Times New Roman"/>
            <w:sz w:val="24"/>
            <w:szCs w:val="24"/>
          </w:rPr>
          <w:t>2005</w:t>
        </w:r>
        <w:r w:rsidRPr="004C0771">
          <w:rPr>
            <w:rFonts w:ascii="Times New Roman" w:hAnsi="Times New Roman"/>
            <w:sz w:val="24"/>
            <w:szCs w:val="24"/>
          </w:rPr>
          <w:fldChar w:fldCharType="end"/>
        </w:r>
      </w:hyperlink>
      <w:r w:rsidRPr="004C0771">
        <w:rPr>
          <w:rFonts w:ascii="Times New Roman" w:hAnsi="Times New Roman"/>
          <w:sz w:val="24"/>
          <w:szCs w:val="24"/>
        </w:rPr>
        <w:t>), and usually they do not explicitly address the question of fairness. This is somewhat surprising, as equity (together with efficiency) is a central criterion in the evaluation of language policies. In the f</w:t>
      </w:r>
      <w:r w:rsidRPr="004C0771">
        <w:rPr>
          <w:rFonts w:ascii="Times New Roman" w:eastAsia="SimSun" w:hAnsi="Times New Roman"/>
          <w:bCs/>
          <w:sz w:val="24"/>
          <w:szCs w:val="24"/>
          <w:lang w:eastAsia="zh-CN"/>
        </w:rPr>
        <w:t>ew</w:t>
      </w:r>
      <w:r w:rsidRPr="004C0771">
        <w:rPr>
          <w:rFonts w:ascii="Times New Roman" w:eastAsia="SimSun" w:hAnsi="Times New Roman"/>
          <w:b/>
          <w:bCs/>
          <w:sz w:val="24"/>
          <w:szCs w:val="24"/>
          <w:lang w:eastAsia="zh-CN"/>
        </w:rPr>
        <w:t xml:space="preserve"> </w:t>
      </w:r>
      <w:r w:rsidRPr="004C0771">
        <w:rPr>
          <w:rFonts w:ascii="Times New Roman" w:eastAsia="SimSun" w:hAnsi="Times New Roman"/>
          <w:bCs/>
          <w:sz w:val="24"/>
          <w:szCs w:val="24"/>
          <w:lang w:eastAsia="zh-CN"/>
        </w:rPr>
        <w:t xml:space="preserve">empirical studies discussing the distributive effects of a </w:t>
      </w:r>
      <w:proofErr w:type="gramStart"/>
      <w:r w:rsidRPr="004C0771">
        <w:rPr>
          <w:rFonts w:ascii="Times New Roman" w:eastAsia="SimSun" w:hAnsi="Times New Roman"/>
          <w:bCs/>
          <w:sz w:val="24"/>
          <w:szCs w:val="24"/>
          <w:lang w:eastAsia="zh-CN"/>
        </w:rPr>
        <w:t>more or less multilingual</w:t>
      </w:r>
      <w:proofErr w:type="gramEnd"/>
      <w:r w:rsidRPr="004C0771">
        <w:rPr>
          <w:rFonts w:ascii="Times New Roman" w:eastAsia="SimSun" w:hAnsi="Times New Roman"/>
          <w:bCs/>
          <w:sz w:val="24"/>
          <w:szCs w:val="24"/>
          <w:lang w:eastAsia="zh-CN"/>
        </w:rPr>
        <w:t xml:space="preserve"> EU language regime the number of the alternative scenarios compared is limited to two or three. For example, Gazzola and Grin (</w:t>
      </w:r>
      <w:hyperlink w:anchor="_ENREF_23" w:tooltip="Gazzola, 2013 #880" w:history="1">
        <w:r w:rsidRPr="004C0771">
          <w:rPr>
            <w:rFonts w:ascii="Times New Roman" w:eastAsia="SimSun" w:hAnsi="Times New Roman"/>
            <w:bCs/>
            <w:sz w:val="24"/>
            <w:szCs w:val="24"/>
            <w:lang w:eastAsia="zh-CN"/>
          </w:rPr>
          <w:fldChar w:fldCharType="begin"/>
        </w:r>
        <w:r w:rsidRPr="004C0771">
          <w:rPr>
            <w:rFonts w:ascii="Times New Roman" w:eastAsia="SimSun" w:hAnsi="Times New Roman"/>
            <w:bCs/>
            <w:sz w:val="24"/>
            <w:szCs w:val="24"/>
            <w:lang w:eastAsia="zh-CN"/>
          </w:rPr>
          <w:instrText xml:space="preserve"> ADDIN EN.CITE &lt;EndNote&gt;&lt;Cite ExcludeAuth="1"&gt;&lt;Author&gt;Gazzola&lt;/Author&gt;&lt;Year&gt;2013&lt;/Year&gt;&lt;RecNum&gt;880&lt;/RecNum&gt;&lt;DisplayText&gt;2013&lt;/DisplayText&gt;&lt;record&gt;&lt;rec-number&gt;880&lt;/rec-number&gt;&lt;foreign-keys&gt;&lt;key app="EN" db-id="wvvszzd93a0z5wesdfpvdv9z5wrra5p05axp"&gt;880&lt;/key&gt;&lt;/foreign-keys&gt;&lt;ref-type name="Journal Article"&gt;17&lt;/ref-type&gt;&lt;contributors&gt;&lt;authors&gt;&lt;author&gt;Gazzola, Michele&lt;/author&gt;&lt;author&gt;Grin, François&lt;/author&gt;&lt;/authors&gt;&lt;/contributors&gt;&lt;titles&gt;&lt;title&gt;Is ELF more effective and fair than translation? An evaluation of the EU’s multilingual regime&lt;/title&gt;&lt;secondary-title&gt;International Journal of Applied Linguistics&lt;/secondary-title&gt;&lt;/titles&gt;&lt;periodical&gt;&lt;full-title&gt;International Journal of Applied Linguistics&lt;/full-title&gt;&lt;/periodical&gt;&lt;pages&gt;93-107&lt;/pages&gt;&lt;volume&gt;23&lt;/volume&gt;&lt;number&gt;1&lt;/number&gt;&lt;dates&gt;&lt;year&gt;2013&lt;/year&gt;&lt;/dates&gt;&lt;urls&gt;&lt;/urls&gt;&lt;/record&gt;&lt;/Cite&gt;&lt;/EndNote&gt;</w:instrText>
        </w:r>
        <w:r w:rsidRPr="004C0771">
          <w:rPr>
            <w:rFonts w:ascii="Times New Roman" w:eastAsia="SimSun" w:hAnsi="Times New Roman"/>
            <w:bCs/>
            <w:sz w:val="24"/>
            <w:szCs w:val="24"/>
            <w:lang w:eastAsia="zh-CN"/>
          </w:rPr>
          <w:fldChar w:fldCharType="separate"/>
        </w:r>
        <w:r w:rsidRPr="004C0771">
          <w:rPr>
            <w:rFonts w:ascii="Times New Roman" w:eastAsia="SimSun" w:hAnsi="Times New Roman"/>
            <w:bCs/>
            <w:sz w:val="24"/>
            <w:szCs w:val="24"/>
            <w:lang w:eastAsia="zh-CN"/>
          </w:rPr>
          <w:t>2013</w:t>
        </w:r>
        <w:r w:rsidRPr="004C0771">
          <w:rPr>
            <w:rFonts w:ascii="Times New Roman" w:eastAsia="SimSun" w:hAnsi="Times New Roman"/>
            <w:bCs/>
            <w:sz w:val="24"/>
            <w:szCs w:val="24"/>
            <w:lang w:eastAsia="zh-CN"/>
          </w:rPr>
          <w:fldChar w:fldCharType="end"/>
        </w:r>
      </w:hyperlink>
      <w:r w:rsidRPr="004C0771">
        <w:rPr>
          <w:rFonts w:ascii="Times New Roman" w:eastAsia="SimSun" w:hAnsi="Times New Roman"/>
          <w:bCs/>
          <w:sz w:val="24"/>
          <w:szCs w:val="24"/>
          <w:lang w:eastAsia="zh-CN"/>
        </w:rPr>
        <w:t>), using data from the Eurobarometer survey published in 2012, compute the percentage of EU residents who do not speak English by country. Using a similar empirical strategy and data from the first wave of the Adult Education Survey</w:t>
      </w:r>
      <w:r w:rsidRPr="004C0771">
        <w:rPr>
          <w:rFonts w:ascii="Times New Roman" w:eastAsia="SimSun" w:hAnsi="Times New Roman"/>
          <w:bCs/>
          <w:i/>
          <w:sz w:val="24"/>
          <w:szCs w:val="24"/>
          <w:lang w:eastAsia="zh-CN"/>
        </w:rPr>
        <w:t xml:space="preserve"> </w:t>
      </w:r>
      <w:r w:rsidRPr="004C0771">
        <w:rPr>
          <w:rFonts w:ascii="Times New Roman" w:eastAsia="SimSun" w:hAnsi="Times New Roman"/>
          <w:bCs/>
          <w:sz w:val="24"/>
          <w:szCs w:val="24"/>
          <w:lang w:eastAsia="zh-CN"/>
        </w:rPr>
        <w:t>(AES-2007) in 24 EU Member States, Gazzola (</w:t>
      </w:r>
      <w:hyperlink w:anchor="_ENREF_22" w:tooltip="Gazzola, 2014 #948" w:history="1">
        <w:r w:rsidRPr="004C0771">
          <w:rPr>
            <w:rFonts w:ascii="Times New Roman" w:eastAsia="SimSun" w:hAnsi="Times New Roman"/>
            <w:bCs/>
            <w:sz w:val="24"/>
            <w:szCs w:val="24"/>
            <w:lang w:eastAsia="zh-CN"/>
          </w:rPr>
          <w:fldChar w:fldCharType="begin"/>
        </w:r>
        <w:r w:rsidRPr="004C0771">
          <w:rPr>
            <w:rFonts w:ascii="Times New Roman" w:eastAsia="SimSun" w:hAnsi="Times New Roman"/>
            <w:bCs/>
            <w:sz w:val="24"/>
            <w:szCs w:val="24"/>
            <w:lang w:eastAsia="zh-CN"/>
          </w:rPr>
          <w:instrText xml:space="preserve"> ADDIN EN.CITE &lt;EndNote&gt;&lt;Cite ExcludeAuth="1"&gt;&lt;Author&gt;Gazzola&lt;/Author&gt;&lt;Year&gt;2014&lt;/Year&gt;&lt;RecNum&gt;948&lt;/RecNum&gt;&lt;DisplayText&gt;2014&lt;/DisplayText&gt;&lt;record&gt;&lt;rec-number&gt;948&lt;/rec-number&gt;&lt;foreign-keys&gt;&lt;key app="EN" db-id="wvvszzd93a0z5wesdfpvdv9z5wrra5p05axp"&gt;948&lt;/key&gt;&lt;/foreign-keys&gt;&lt;ref-type name="Journal Article"&gt;17&lt;/ref-type&gt;&lt;contributors&gt;&lt;authors&gt;&lt;author&gt;Gazzola, Michele&lt;/author&gt;&lt;/authors&gt;&lt;/contributors&gt;&lt;titles&gt;&lt;title&gt;Partecipazione, esclusione linguistica e traduzione: Una valutazione del regime linguistico dell’Unione europea&lt;/title&gt;&lt;secondary-title&gt;Studi Italiani di Linguistica Teorica e Applicata&lt;/secondary-title&gt;&lt;/titles&gt;&lt;periodical&gt;&lt;full-title&gt;Studi italiani di linguistica teorica e applicata&lt;/full-title&gt;&lt;/periodical&gt;&lt;pages&gt;227-264&lt;/pages&gt;&lt;volume&gt;43&lt;/volume&gt;&lt;number&gt;2&lt;/number&gt;&lt;dates&gt;&lt;year&gt;2014&lt;/year&gt;&lt;/dates&gt;&lt;urls&gt;&lt;/urls&gt;&lt;/record&gt;&lt;/Cite&gt;&lt;/EndNote&gt;</w:instrText>
        </w:r>
        <w:r w:rsidRPr="004C0771">
          <w:rPr>
            <w:rFonts w:ascii="Times New Roman" w:eastAsia="SimSun" w:hAnsi="Times New Roman"/>
            <w:bCs/>
            <w:sz w:val="24"/>
            <w:szCs w:val="24"/>
            <w:lang w:eastAsia="zh-CN"/>
          </w:rPr>
          <w:fldChar w:fldCharType="separate"/>
        </w:r>
        <w:r w:rsidRPr="004C0771">
          <w:rPr>
            <w:rFonts w:ascii="Times New Roman" w:eastAsia="SimSun" w:hAnsi="Times New Roman"/>
            <w:bCs/>
            <w:sz w:val="24"/>
            <w:szCs w:val="24"/>
            <w:lang w:eastAsia="zh-CN"/>
          </w:rPr>
          <w:t>2014</w:t>
        </w:r>
        <w:r w:rsidRPr="004C0771">
          <w:rPr>
            <w:rFonts w:ascii="Times New Roman" w:eastAsia="SimSun" w:hAnsi="Times New Roman"/>
            <w:bCs/>
            <w:sz w:val="24"/>
            <w:szCs w:val="24"/>
            <w:lang w:eastAsia="zh-CN"/>
          </w:rPr>
          <w:fldChar w:fldCharType="end"/>
        </w:r>
      </w:hyperlink>
      <w:r w:rsidRPr="004C0771">
        <w:rPr>
          <w:rFonts w:ascii="Times New Roman" w:eastAsia="SimSun" w:hAnsi="Times New Roman"/>
          <w:bCs/>
          <w:sz w:val="24"/>
          <w:szCs w:val="24"/>
          <w:lang w:eastAsia="zh-CN"/>
        </w:rPr>
        <w:t xml:space="preserve">) compares a multilingual language </w:t>
      </w:r>
      <w:r w:rsidRPr="004C0771">
        <w:rPr>
          <w:rFonts w:ascii="Times New Roman" w:eastAsia="SimSun" w:hAnsi="Times New Roman"/>
          <w:bCs/>
          <w:sz w:val="24"/>
          <w:szCs w:val="24"/>
          <w:lang w:eastAsia="zh-CN"/>
        </w:rPr>
        <w:lastRenderedPageBreak/>
        <w:t>regime with two alternative policies, i.e. a trilingual language policy based on English, French and German, and an English-only language regime. Both studies point out large and significant differences among European countries are regards the percentage of citizens that would be excluded from communication with the EU if the number of official languages were reduced. Section 3 below reports some results of studied mentioned, and it compares them with the results of this article.</w:t>
      </w:r>
    </w:p>
    <w:p w14:paraId="2775B7E7" w14:textId="617D4889" w:rsidR="007F446F" w:rsidRPr="004C0771" w:rsidRDefault="007F446F" w:rsidP="006233DD">
      <w:pPr>
        <w:spacing w:line="480" w:lineRule="auto"/>
        <w:jc w:val="both"/>
        <w:rPr>
          <w:rFonts w:ascii="Times New Roman" w:hAnsi="Times New Roman"/>
          <w:sz w:val="24"/>
          <w:szCs w:val="24"/>
        </w:rPr>
      </w:pPr>
      <w:r w:rsidRPr="004C0771">
        <w:rPr>
          <w:rFonts w:ascii="Times New Roman" w:hAnsi="Times New Roman"/>
          <w:sz w:val="24"/>
          <w:szCs w:val="24"/>
        </w:rPr>
        <w:t>This article expands research on the quantitative evaluation of the fairness of the language policy of the EU. It shows that economically and socially disadvantaged individuals tend to be less likely to speak languages other than their own native tongue, and therefore they are more likely to be adversely affected if the EU stops using their language. The current full multilingual policy of the EU based on translation and interpreting not only is (and will be for the foreseeable future) the most effective language policy among the alternative options usually put forward in the literature; it is also the only one that is truly inclusive at a relatively reasonable cost.</w:t>
      </w:r>
    </w:p>
    <w:p w14:paraId="3DFA8268" w14:textId="7B17ED7D" w:rsidR="007F446F" w:rsidRDefault="007F446F" w:rsidP="006233DD">
      <w:pPr>
        <w:pStyle w:val="Heading2"/>
        <w:keepNext w:val="0"/>
        <w:keepLines w:val="0"/>
        <w:spacing w:line="480" w:lineRule="auto"/>
        <w:rPr>
          <w:rFonts w:ascii="Times New Roman" w:hAnsi="Times New Roman"/>
          <w:color w:val="auto"/>
          <w:sz w:val="24"/>
          <w:szCs w:val="24"/>
        </w:rPr>
      </w:pPr>
      <w:r w:rsidRPr="004C0771">
        <w:rPr>
          <w:rFonts w:ascii="Times New Roman" w:hAnsi="Times New Roman"/>
          <w:color w:val="auto"/>
          <w:sz w:val="24"/>
          <w:szCs w:val="24"/>
        </w:rPr>
        <w:t xml:space="preserve"> </w:t>
      </w:r>
    </w:p>
    <w:p w14:paraId="6EF6BA8F" w14:textId="4E69B4C9" w:rsidR="007F446F" w:rsidRPr="004C0771" w:rsidRDefault="007F446F" w:rsidP="006233DD">
      <w:pPr>
        <w:pStyle w:val="Heading2"/>
        <w:keepNext w:val="0"/>
        <w:keepLines w:val="0"/>
        <w:spacing w:line="480" w:lineRule="auto"/>
        <w:rPr>
          <w:rFonts w:ascii="Times New Roman" w:hAnsi="Times New Roman"/>
          <w:color w:val="auto"/>
          <w:sz w:val="24"/>
          <w:szCs w:val="24"/>
        </w:rPr>
      </w:pPr>
      <w:r w:rsidRPr="004C0771">
        <w:rPr>
          <w:rFonts w:ascii="Times New Roman" w:hAnsi="Times New Roman"/>
          <w:color w:val="auto"/>
          <w:sz w:val="24"/>
          <w:szCs w:val="24"/>
        </w:rPr>
        <w:t>Indicators and Dataset</w:t>
      </w:r>
    </w:p>
    <w:p w14:paraId="0A6004A7" w14:textId="77777777" w:rsidR="007F446F" w:rsidRPr="004C0771" w:rsidRDefault="007F446F" w:rsidP="006233DD">
      <w:pPr>
        <w:spacing w:line="480" w:lineRule="auto"/>
        <w:jc w:val="both"/>
        <w:rPr>
          <w:rFonts w:ascii="Times New Roman" w:hAnsi="Times New Roman"/>
          <w:sz w:val="24"/>
          <w:szCs w:val="24"/>
        </w:rPr>
      </w:pPr>
      <w:r w:rsidRPr="004C0771">
        <w:rPr>
          <w:rFonts w:ascii="Times New Roman" w:hAnsi="Times New Roman"/>
          <w:sz w:val="24"/>
          <w:szCs w:val="24"/>
        </w:rPr>
        <w:t>A language regime is the language policy of an organisation. It is defined as a set of official and working languages along with rules concerning their use for the communication within and outside the organisation, and the extent of translation and interpreting to be provided in such languages. This article focuses on the part of the EU language regime that concerns external communication, although the borders between internal and external communication are often blurred.</w:t>
      </w:r>
    </w:p>
    <w:p w14:paraId="209F2228" w14:textId="77777777" w:rsidR="007F446F" w:rsidRPr="004C0771" w:rsidRDefault="007F446F" w:rsidP="006233DD">
      <w:pPr>
        <w:spacing w:line="480" w:lineRule="auto"/>
        <w:jc w:val="both"/>
        <w:rPr>
          <w:rFonts w:ascii="Times New Roman" w:hAnsi="Times New Roman"/>
          <w:sz w:val="24"/>
          <w:szCs w:val="24"/>
        </w:rPr>
      </w:pPr>
      <w:r w:rsidRPr="004C0771">
        <w:rPr>
          <w:rFonts w:ascii="Times New Roman" w:hAnsi="Times New Roman"/>
          <w:sz w:val="24"/>
          <w:szCs w:val="24"/>
        </w:rPr>
        <w:t>A distinction must be made between the inputs, the outputs</w:t>
      </w:r>
      <w:r w:rsidRPr="004C0771">
        <w:rPr>
          <w:rFonts w:ascii="Times New Roman" w:hAnsi="Times New Roman"/>
          <w:i/>
          <w:sz w:val="24"/>
          <w:szCs w:val="24"/>
        </w:rPr>
        <w:t xml:space="preserve"> </w:t>
      </w:r>
      <w:r w:rsidRPr="004C0771">
        <w:rPr>
          <w:rFonts w:ascii="Times New Roman" w:hAnsi="Times New Roman"/>
          <w:sz w:val="24"/>
          <w:szCs w:val="24"/>
        </w:rPr>
        <w:t xml:space="preserve">and the outcomes of a language regime. Inputs are defined as the human, regulatory and material means used to implement a policy (e.g. the costs of language services such as translation and interpreting). The outputs of a language regime are what have been directly produced through the resources employed, typically the number of pages of translated documents or the </w:t>
      </w:r>
      <w:proofErr w:type="gramStart"/>
      <w:r w:rsidRPr="004C0771">
        <w:rPr>
          <w:rFonts w:ascii="Times New Roman" w:hAnsi="Times New Roman"/>
          <w:sz w:val="24"/>
          <w:szCs w:val="24"/>
        </w:rPr>
        <w:t>amount</w:t>
      </w:r>
      <w:proofErr w:type="gramEnd"/>
      <w:r w:rsidRPr="004C0771">
        <w:rPr>
          <w:rFonts w:ascii="Times New Roman" w:hAnsi="Times New Roman"/>
          <w:sz w:val="24"/>
          <w:szCs w:val="24"/>
        </w:rPr>
        <w:t xml:space="preserve"> of hours of interpreting per year. The outcome</w:t>
      </w:r>
      <w:r w:rsidRPr="004C0771">
        <w:rPr>
          <w:rFonts w:ascii="Times New Roman" w:hAnsi="Times New Roman"/>
          <w:i/>
          <w:sz w:val="24"/>
          <w:szCs w:val="24"/>
        </w:rPr>
        <w:t xml:space="preserve"> </w:t>
      </w:r>
      <w:r w:rsidRPr="004C0771">
        <w:rPr>
          <w:rFonts w:ascii="Times New Roman" w:hAnsi="Times New Roman"/>
          <w:sz w:val="24"/>
          <w:szCs w:val="24"/>
        </w:rPr>
        <w:t xml:space="preserve">is the </w:t>
      </w:r>
      <w:r w:rsidRPr="004C0771">
        <w:rPr>
          <w:rFonts w:ascii="Times New Roman" w:hAnsi="Times New Roman"/>
          <w:sz w:val="24"/>
          <w:szCs w:val="24"/>
        </w:rPr>
        <w:lastRenderedPageBreak/>
        <w:t>effect of the policy on the target population. In this study, the target population consists of people resident in the EU.</w:t>
      </w:r>
    </w:p>
    <w:p w14:paraId="13EE27CF" w14:textId="77777777" w:rsidR="007F446F" w:rsidRPr="004C0771" w:rsidRDefault="007F446F" w:rsidP="006233DD">
      <w:pPr>
        <w:spacing w:line="480" w:lineRule="auto"/>
        <w:jc w:val="both"/>
        <w:rPr>
          <w:rFonts w:ascii="Times New Roman" w:hAnsi="Times New Roman"/>
          <w:sz w:val="24"/>
          <w:szCs w:val="24"/>
        </w:rPr>
      </w:pPr>
      <w:r w:rsidRPr="004C0771">
        <w:rPr>
          <w:rFonts w:ascii="Times New Roman" w:hAnsi="Times New Roman"/>
          <w:sz w:val="24"/>
          <w:szCs w:val="24"/>
        </w:rPr>
        <w:t xml:space="preserve">The evaluation of the effectiveness and the fairness of a language regime must be carried out </w:t>
      </w:r>
      <w:proofErr w:type="gramStart"/>
      <w:r w:rsidRPr="004C0771">
        <w:rPr>
          <w:rFonts w:ascii="Times New Roman" w:hAnsi="Times New Roman"/>
          <w:sz w:val="24"/>
          <w:szCs w:val="24"/>
        </w:rPr>
        <w:t>on the basis of</w:t>
      </w:r>
      <w:proofErr w:type="gramEnd"/>
      <w:r w:rsidRPr="004C0771">
        <w:rPr>
          <w:rFonts w:ascii="Times New Roman" w:hAnsi="Times New Roman"/>
          <w:sz w:val="24"/>
          <w:szCs w:val="24"/>
        </w:rPr>
        <w:t xml:space="preserve"> outcomes. The outcome indicator used in this study is the ‘linguistic disenfranchisement rate’, an indicator introduced by </w:t>
      </w:r>
      <w:proofErr w:type="spellStart"/>
      <w:r w:rsidRPr="004C0771">
        <w:rPr>
          <w:rFonts w:ascii="Times New Roman" w:hAnsi="Times New Roman"/>
          <w:sz w:val="24"/>
          <w:szCs w:val="24"/>
        </w:rPr>
        <w:t>Ginsburgh</w:t>
      </w:r>
      <w:proofErr w:type="spellEnd"/>
      <w:r w:rsidRPr="004C0771">
        <w:rPr>
          <w:rFonts w:ascii="Times New Roman" w:hAnsi="Times New Roman"/>
          <w:sz w:val="24"/>
          <w:szCs w:val="24"/>
        </w:rPr>
        <w:t xml:space="preserve"> and Weber (</w:t>
      </w:r>
      <w:hyperlink w:anchor="_ENREF_26" w:tooltip="Ginsburgh, 2005 #75" w:history="1">
        <w:r w:rsidRPr="004C0771">
          <w:rPr>
            <w:rFonts w:ascii="Times New Roman" w:hAnsi="Times New Roman"/>
            <w:sz w:val="24"/>
            <w:szCs w:val="24"/>
          </w:rPr>
          <w:fldChar w:fldCharType="begin"/>
        </w:r>
        <w:r w:rsidRPr="004C0771">
          <w:rPr>
            <w:rFonts w:ascii="Times New Roman" w:hAnsi="Times New Roman"/>
            <w:sz w:val="24"/>
            <w:szCs w:val="24"/>
          </w:rPr>
          <w:instrText xml:space="preserve"> ADDIN EN.CITE &lt;EndNote&gt;&lt;Cite ExcludeAuth="1"&gt;&lt;Author&gt;Ginsburgh&lt;/Author&gt;&lt;Year&gt;2005&lt;/Year&gt;&lt;RecNum&gt;75&lt;/RecNum&gt;&lt;DisplayText&gt;2005&lt;/DisplayText&gt;&lt;record&gt;&lt;rec-number&gt;75&lt;/rec-number&gt;&lt;foreign-keys&gt;&lt;key app="EN" db-id="wvvszzd93a0z5wesdfpvdv9z5wrra5p05axp"&gt;75&lt;/key&gt;&lt;/foreign-keys&gt;&lt;ref-type name="Journal Article"&gt;17&lt;/ref-type&gt;&lt;contributors&gt;&lt;authors&gt;&lt;author&gt;Ginsburgh, Victor&lt;/author&gt;&lt;author&gt;Weber, Shlomo&lt;/author&gt;&lt;/authors&gt;&lt;/contributors&gt;&lt;titles&gt;&lt;title&gt;Language disenfranchisement in the European Union&lt;/title&gt;&lt;secondary-title&gt;Journal of Common Market Studies&lt;/secondary-title&gt;&lt;/titles&gt;&lt;periodical&gt;&lt;full-title&gt;Journal of Common Market Studies&lt;/full-title&gt;&lt;/periodical&gt;&lt;pages&gt;273-286&lt;/pages&gt;&lt;volume&gt;43&lt;/volume&gt;&lt;number&gt;2&lt;/number&gt;&lt;dates&gt;&lt;year&gt;2005&lt;/year&gt;&lt;/dates&gt;&lt;urls&gt;&lt;/urls&gt;&lt;/record&gt;&lt;/Cite&gt;&lt;/EndNote&gt;</w:instrText>
        </w:r>
        <w:r w:rsidRPr="004C0771">
          <w:rPr>
            <w:rFonts w:ascii="Times New Roman" w:hAnsi="Times New Roman"/>
            <w:sz w:val="24"/>
            <w:szCs w:val="24"/>
          </w:rPr>
          <w:fldChar w:fldCharType="separate"/>
        </w:r>
        <w:r w:rsidRPr="004C0771">
          <w:rPr>
            <w:rFonts w:ascii="Times New Roman" w:hAnsi="Times New Roman"/>
            <w:sz w:val="24"/>
            <w:szCs w:val="24"/>
          </w:rPr>
          <w:t>2005</w:t>
        </w:r>
        <w:r w:rsidRPr="004C0771">
          <w:rPr>
            <w:rFonts w:ascii="Times New Roman" w:hAnsi="Times New Roman"/>
            <w:sz w:val="24"/>
            <w:szCs w:val="24"/>
          </w:rPr>
          <w:fldChar w:fldCharType="end"/>
        </w:r>
      </w:hyperlink>
      <w:r w:rsidRPr="004C0771">
        <w:rPr>
          <w:rFonts w:ascii="Times New Roman" w:hAnsi="Times New Roman"/>
          <w:sz w:val="24"/>
          <w:szCs w:val="24"/>
        </w:rPr>
        <w:t>). It is defined as the percentage of citizens who potentially cannot understand EU documents such as regulations and call for tenders, or oral public discussions such as the plenary meetings of the European Parliament transmitted through the Internet, because they do not master any official language. The lower the disenfranchisement rate, the higher the effectiveness of a language regime. The relationship between output and outcome is straightforward, as the value of the disenfranchisement rate depends on the extent of translation and interpreting.</w:t>
      </w:r>
    </w:p>
    <w:p w14:paraId="3279EA6B" w14:textId="510F4A1C" w:rsidR="007F446F" w:rsidRPr="004C0771" w:rsidRDefault="007F446F" w:rsidP="006233DD">
      <w:pPr>
        <w:spacing w:line="480" w:lineRule="auto"/>
        <w:jc w:val="both"/>
        <w:rPr>
          <w:rFonts w:ascii="Times New Roman" w:hAnsi="Times New Roman"/>
          <w:sz w:val="24"/>
          <w:szCs w:val="24"/>
        </w:rPr>
      </w:pPr>
      <w:r w:rsidRPr="004C0771">
        <w:rPr>
          <w:rFonts w:ascii="Times New Roman" w:hAnsi="Times New Roman"/>
          <w:sz w:val="24"/>
          <w:szCs w:val="24"/>
        </w:rPr>
        <w:t xml:space="preserve">The linguistic disenfranchisement rate is a relevant indicator in evaluating the EU language regime because it can be directly linked to some of the main objectives of the EU, that is, facilitating the democratic participation of European citizens in EU affairs and informing residents and taxpayers about EU business. The policy-relevance of this indicator can be deduced from the results of the </w:t>
      </w:r>
      <w:r w:rsidRPr="0069038C">
        <w:rPr>
          <w:rFonts w:ascii="Times New Roman" w:hAnsi="Times New Roman"/>
          <w:sz w:val="24"/>
          <w:szCs w:val="24"/>
        </w:rPr>
        <w:t>Eurobarometer</w:t>
      </w:r>
      <w:r w:rsidRPr="004C0771">
        <w:rPr>
          <w:rFonts w:ascii="Times New Roman" w:hAnsi="Times New Roman"/>
          <w:i/>
          <w:sz w:val="24"/>
          <w:szCs w:val="24"/>
        </w:rPr>
        <w:t xml:space="preserve"> </w:t>
      </w:r>
      <w:r w:rsidRPr="004C0771">
        <w:rPr>
          <w:rFonts w:ascii="Times New Roman" w:hAnsi="Times New Roman"/>
          <w:sz w:val="24"/>
          <w:szCs w:val="24"/>
        </w:rPr>
        <w:t>survey on languages in Europe, according to which 60% of Europeans believe that the translation from, and into, foreign languages plays a very, or fairly important, role in enabling participation in EU activities or getting information about them (</w:t>
      </w:r>
      <w:hyperlink w:anchor="_ENREF_15" w:tooltip="European Commission, 2012 #861" w:history="1">
        <w:r w:rsidRPr="004C0771">
          <w:rPr>
            <w:rFonts w:ascii="Times New Roman" w:hAnsi="Times New Roman"/>
            <w:sz w:val="24"/>
            <w:szCs w:val="24"/>
          </w:rPr>
          <w:fldChar w:fldCharType="begin"/>
        </w:r>
        <w:r w:rsidRPr="004C0771">
          <w:rPr>
            <w:rFonts w:ascii="Times New Roman" w:hAnsi="Times New Roman"/>
            <w:sz w:val="24"/>
            <w:szCs w:val="24"/>
          </w:rPr>
          <w:instrText xml:space="preserve"> ADDIN EN.CITE &lt;EndNote&gt;&lt;Cite&gt;&lt;Author&gt;European Commission&lt;/Author&gt;&lt;Year&gt;2012&lt;/Year&gt;&lt;RecNum&gt;861&lt;/RecNum&gt;&lt;Pages&gt;140&lt;/Pages&gt;&lt;DisplayText&gt;European Commission 2012a: 140&lt;/DisplayText&gt;&lt;record&gt;&lt;rec-number&gt;861&lt;/rec-number&gt;&lt;foreign-keys&gt;&lt;key app="EN" db-id="wvvszzd93a0z5wesdfpvdv9z5wrra5p05axp"&gt;861&lt;/key&gt;&lt;/foreign-keys&gt;&lt;ref-type name="Report"&gt;27&lt;/ref-type&gt;&lt;contributors&gt;&lt;authors&gt;&lt;author&gt;European Commission,&lt;/author&gt;&lt;/authors&gt;&lt;/contributors&gt;&lt;titles&gt;&lt;title&gt;Europeans and their languages&lt;/title&gt;&lt;secondary-title&gt;Special Eurobarometer 386&lt;/secondary-title&gt;&lt;/titles&gt;&lt;keywords&gt;&lt;keyword&gt;changement structurel politique ©*conomique Union europ©*enne&lt;/keyword&gt;&lt;/keywords&gt;&lt;dates&gt;&lt;year&gt;2012&lt;/year&gt;&lt;/dates&gt;&lt;pub-location&gt;Brussels&lt;/pub-location&gt;&lt;publisher&gt;European Commission&lt;/publisher&gt;&lt;accession-num&gt;vtls002563308&lt;/accession-num&gt;&lt;urls&gt;&lt;/urls&gt;&lt;/record&gt;&lt;/Cite&gt;&lt;/EndNote&gt;</w:instrText>
        </w:r>
        <w:r w:rsidRPr="004C0771">
          <w:rPr>
            <w:rFonts w:ascii="Times New Roman" w:hAnsi="Times New Roman"/>
            <w:sz w:val="24"/>
            <w:szCs w:val="24"/>
          </w:rPr>
          <w:fldChar w:fldCharType="separate"/>
        </w:r>
        <w:r w:rsidRPr="004C0771">
          <w:rPr>
            <w:rFonts w:ascii="Times New Roman" w:hAnsi="Times New Roman"/>
            <w:sz w:val="24"/>
            <w:szCs w:val="24"/>
          </w:rPr>
          <w:t>European Commission, 2012a: 140</w:t>
        </w:r>
        <w:r w:rsidRPr="004C0771">
          <w:rPr>
            <w:rFonts w:ascii="Times New Roman" w:hAnsi="Times New Roman"/>
            <w:sz w:val="24"/>
            <w:szCs w:val="24"/>
          </w:rPr>
          <w:fldChar w:fldCharType="end"/>
        </w:r>
      </w:hyperlink>
      <w:r w:rsidRPr="004C0771">
        <w:rPr>
          <w:rFonts w:ascii="Times New Roman" w:hAnsi="Times New Roman"/>
          <w:sz w:val="24"/>
          <w:szCs w:val="24"/>
        </w:rPr>
        <w:t>).</w:t>
      </w:r>
    </w:p>
    <w:p w14:paraId="27D31903" w14:textId="22574928" w:rsidR="007F446F" w:rsidRPr="004C0771" w:rsidRDefault="007F446F" w:rsidP="006233DD">
      <w:pPr>
        <w:spacing w:line="480" w:lineRule="auto"/>
        <w:jc w:val="both"/>
        <w:rPr>
          <w:rFonts w:ascii="Times New Roman" w:hAnsi="Times New Roman"/>
          <w:sz w:val="24"/>
          <w:szCs w:val="24"/>
        </w:rPr>
      </w:pPr>
      <w:r w:rsidRPr="004C0771">
        <w:rPr>
          <w:rFonts w:ascii="Times New Roman" w:hAnsi="Times New Roman"/>
          <w:sz w:val="24"/>
          <w:szCs w:val="24"/>
        </w:rPr>
        <w:t xml:space="preserve">This article employs data from the second wave of the </w:t>
      </w:r>
      <w:r w:rsidRPr="0069038C">
        <w:rPr>
          <w:rFonts w:ascii="Times New Roman" w:hAnsi="Times New Roman"/>
          <w:sz w:val="24"/>
          <w:szCs w:val="24"/>
        </w:rPr>
        <w:t>Adult Education Survey</w:t>
      </w:r>
      <w:r w:rsidRPr="004C0771">
        <w:rPr>
          <w:rFonts w:ascii="Times New Roman" w:hAnsi="Times New Roman"/>
          <w:i/>
          <w:sz w:val="24"/>
          <w:szCs w:val="24"/>
        </w:rPr>
        <w:t xml:space="preserve"> </w:t>
      </w:r>
      <w:r w:rsidRPr="004C0771">
        <w:rPr>
          <w:rFonts w:ascii="Times New Roman" w:hAnsi="Times New Roman"/>
          <w:sz w:val="24"/>
          <w:szCs w:val="24"/>
        </w:rPr>
        <w:t>(AES-2011). Data were collected by Eurostat in 2011 and published at the end of 2013</w:t>
      </w:r>
      <w:r w:rsidRPr="004C0771">
        <w:rPr>
          <w:rFonts w:ascii="Times New Roman" w:hAnsi="Times New Roman"/>
          <w:bCs/>
          <w:sz w:val="24"/>
          <w:szCs w:val="24"/>
        </w:rPr>
        <w:t xml:space="preserve">. </w:t>
      </w:r>
      <w:r w:rsidRPr="004C0771">
        <w:rPr>
          <w:rFonts w:ascii="Times New Roman" w:hAnsi="Times New Roman"/>
          <w:sz w:val="24"/>
          <w:szCs w:val="24"/>
        </w:rPr>
        <w:t xml:space="preserve">25 European countries are considered. Croatia did not participate in the survey. Romania and the Netherlands have been </w:t>
      </w:r>
      <w:r w:rsidRPr="004C0771">
        <w:rPr>
          <w:rFonts w:ascii="Times New Roman" w:hAnsi="Times New Roman"/>
          <w:sz w:val="24"/>
          <w:szCs w:val="24"/>
        </w:rPr>
        <w:lastRenderedPageBreak/>
        <w:t>excluded because of excessive missing information in the dataset.</w:t>
      </w:r>
      <w:r w:rsidRPr="004C0771">
        <w:rPr>
          <w:rStyle w:val="FootnoteReference"/>
          <w:rFonts w:ascii="Times New Roman" w:hAnsi="Times New Roman"/>
          <w:sz w:val="24"/>
          <w:szCs w:val="24"/>
        </w:rPr>
        <w:footnoteReference w:id="3"/>
      </w:r>
      <w:r w:rsidRPr="004C0771">
        <w:rPr>
          <w:rFonts w:ascii="Times New Roman" w:hAnsi="Times New Roman"/>
          <w:sz w:val="24"/>
          <w:szCs w:val="24"/>
        </w:rPr>
        <w:t xml:space="preserve"> The sample used consists of 169,481 statistical observations. 93% of respondents are citizens of the EU living in their home country― or ‘national’ using the terminology of the AES ―, 2.6% are EU citizens living in another EU Member State, 4.3% are not-EU citizens. The percentages of nationals, EU residents abroad and non-EU citizens in the UK had to be extrapolated from the AES-2007 because information on citizenship in this country is missing in the AES-2011.</w:t>
      </w:r>
    </w:p>
    <w:p w14:paraId="0A22E9E2" w14:textId="29ACE9BE" w:rsidR="007F446F" w:rsidRPr="004C0771" w:rsidRDefault="007F446F" w:rsidP="006233DD">
      <w:pPr>
        <w:spacing w:line="480" w:lineRule="auto"/>
        <w:jc w:val="both"/>
        <w:rPr>
          <w:rFonts w:ascii="Times New Roman" w:hAnsi="Times New Roman"/>
          <w:bCs/>
          <w:sz w:val="24"/>
          <w:szCs w:val="24"/>
        </w:rPr>
      </w:pPr>
      <w:r w:rsidRPr="004C0771">
        <w:rPr>
          <w:rFonts w:ascii="Times New Roman" w:hAnsi="Times New Roman"/>
          <w:sz w:val="24"/>
          <w:szCs w:val="24"/>
        </w:rPr>
        <w:t xml:space="preserve">In this article, I focus on EU residents rather than EU citizens because European legal provisions and the decisions taken by the European Parliament apply to every person residing in the Union. Nevertheless, results do not change substantially if only EU citizens are considered. </w:t>
      </w:r>
      <w:r w:rsidRPr="004C0771">
        <w:rPr>
          <w:rFonts w:ascii="Times New Roman" w:hAnsi="Times New Roman"/>
          <w:bCs/>
          <w:sz w:val="24"/>
          <w:szCs w:val="24"/>
        </w:rPr>
        <w:t>All definitions apply to European residents aged 25-64 living in private households.</w:t>
      </w:r>
    </w:p>
    <w:p w14:paraId="787342DD" w14:textId="77777777" w:rsidR="007F446F" w:rsidRPr="004C0771" w:rsidRDefault="007F446F" w:rsidP="006233DD">
      <w:pPr>
        <w:spacing w:line="480" w:lineRule="auto"/>
        <w:jc w:val="both"/>
        <w:rPr>
          <w:rFonts w:ascii="Times New Roman" w:hAnsi="Times New Roman"/>
          <w:bCs/>
          <w:sz w:val="24"/>
          <w:szCs w:val="24"/>
        </w:rPr>
      </w:pPr>
      <w:r w:rsidRPr="004C0771">
        <w:rPr>
          <w:rFonts w:ascii="Times New Roman" w:hAnsi="Times New Roman"/>
          <w:bCs/>
          <w:sz w:val="24"/>
          <w:szCs w:val="24"/>
        </w:rPr>
        <w:t>Besides demographic and socio-economic information on the respondents, the AES contains information on EU residents’ native language(s) and on their knowledge of up to seven foreign languages. Data on languages were collected with respect to 49 languages, and skills in foreign languages were self-assessed by interviewees on a formally defined three-level scale of competence, that is:</w:t>
      </w:r>
    </w:p>
    <w:p w14:paraId="78D9083A" w14:textId="77777777" w:rsidR="007F446F" w:rsidRPr="004C0771" w:rsidRDefault="007F446F" w:rsidP="006233DD">
      <w:pPr>
        <w:pStyle w:val="ListParagraph"/>
        <w:numPr>
          <w:ilvl w:val="0"/>
          <w:numId w:val="1"/>
        </w:numPr>
        <w:spacing w:line="480" w:lineRule="auto"/>
        <w:jc w:val="both"/>
        <w:rPr>
          <w:rFonts w:ascii="Times New Roman" w:hAnsi="Times New Roman"/>
          <w:bCs/>
          <w:sz w:val="24"/>
          <w:szCs w:val="24"/>
        </w:rPr>
      </w:pPr>
      <w:r w:rsidRPr="004C0771">
        <w:rPr>
          <w:rFonts w:ascii="Times New Roman" w:hAnsi="Times New Roman"/>
          <w:bCs/>
          <w:i/>
          <w:sz w:val="24"/>
          <w:szCs w:val="24"/>
        </w:rPr>
        <w:t>fair</w:t>
      </w:r>
      <w:r w:rsidRPr="004C0771">
        <w:rPr>
          <w:rFonts w:ascii="Times New Roman" w:hAnsi="Times New Roman"/>
          <w:bCs/>
          <w:sz w:val="24"/>
          <w:szCs w:val="24"/>
        </w:rPr>
        <w:t xml:space="preserve"> (‘I can understand and use the most common everyday expressions. I use the language in relation to familiar things and situations’); </w:t>
      </w:r>
    </w:p>
    <w:p w14:paraId="391D814C" w14:textId="77777777" w:rsidR="007F446F" w:rsidRPr="004C0771" w:rsidRDefault="007F446F" w:rsidP="006233DD">
      <w:pPr>
        <w:pStyle w:val="ListParagraph"/>
        <w:numPr>
          <w:ilvl w:val="0"/>
          <w:numId w:val="1"/>
        </w:numPr>
        <w:spacing w:line="480" w:lineRule="auto"/>
        <w:jc w:val="both"/>
        <w:rPr>
          <w:rFonts w:ascii="Times New Roman" w:hAnsi="Times New Roman"/>
          <w:bCs/>
          <w:sz w:val="24"/>
          <w:szCs w:val="24"/>
        </w:rPr>
      </w:pPr>
      <w:r w:rsidRPr="004C0771">
        <w:rPr>
          <w:rFonts w:ascii="Times New Roman" w:hAnsi="Times New Roman"/>
          <w:bCs/>
          <w:i/>
          <w:sz w:val="24"/>
          <w:szCs w:val="24"/>
        </w:rPr>
        <w:t>good</w:t>
      </w:r>
      <w:r w:rsidRPr="004C0771">
        <w:rPr>
          <w:rFonts w:ascii="Times New Roman" w:hAnsi="Times New Roman"/>
          <w:bCs/>
          <w:sz w:val="24"/>
          <w:szCs w:val="24"/>
        </w:rPr>
        <w:t xml:space="preserve"> (‘I can understand the essentials of clear language and produce simple texts. I can describe experiences and events and communicate fairly fluently’); </w:t>
      </w:r>
    </w:p>
    <w:p w14:paraId="3BF60D90" w14:textId="77777777" w:rsidR="007F446F" w:rsidRPr="004C0771" w:rsidRDefault="007F446F" w:rsidP="006233DD">
      <w:pPr>
        <w:pStyle w:val="ListParagraph"/>
        <w:numPr>
          <w:ilvl w:val="0"/>
          <w:numId w:val="1"/>
        </w:numPr>
        <w:spacing w:line="480" w:lineRule="auto"/>
        <w:jc w:val="both"/>
        <w:rPr>
          <w:rFonts w:ascii="Times New Roman" w:hAnsi="Times New Roman"/>
          <w:bCs/>
          <w:sz w:val="24"/>
          <w:szCs w:val="24"/>
        </w:rPr>
      </w:pPr>
      <w:r w:rsidRPr="004C0771">
        <w:rPr>
          <w:rFonts w:ascii="Times New Roman" w:hAnsi="Times New Roman"/>
          <w:bCs/>
          <w:i/>
          <w:sz w:val="24"/>
          <w:szCs w:val="24"/>
        </w:rPr>
        <w:t>proficient</w:t>
      </w:r>
      <w:r w:rsidRPr="004C0771">
        <w:rPr>
          <w:rFonts w:ascii="Times New Roman" w:hAnsi="Times New Roman"/>
          <w:bCs/>
          <w:sz w:val="24"/>
          <w:szCs w:val="24"/>
        </w:rPr>
        <w:t xml:space="preserve"> (‘I can understand a wide range of demanding texts and use the language flexibly. I master the language almost completely’).</w:t>
      </w:r>
    </w:p>
    <w:p w14:paraId="697315B1" w14:textId="48778D3E" w:rsidR="007F446F" w:rsidRPr="004C0771" w:rsidRDefault="007F446F" w:rsidP="006233DD">
      <w:pPr>
        <w:spacing w:line="480" w:lineRule="auto"/>
        <w:jc w:val="both"/>
        <w:rPr>
          <w:rFonts w:ascii="Times New Roman" w:hAnsi="Times New Roman"/>
          <w:bCs/>
          <w:sz w:val="24"/>
          <w:szCs w:val="24"/>
        </w:rPr>
      </w:pPr>
      <w:r w:rsidRPr="004C0771">
        <w:rPr>
          <w:rFonts w:ascii="Times New Roman" w:hAnsi="Times New Roman"/>
          <w:bCs/>
          <w:sz w:val="24"/>
          <w:szCs w:val="24"/>
        </w:rPr>
        <w:lastRenderedPageBreak/>
        <w:t xml:space="preserve">The AES, at least </w:t>
      </w:r>
      <w:proofErr w:type="gramStart"/>
      <w:r w:rsidRPr="004C0771">
        <w:rPr>
          <w:rFonts w:ascii="Times New Roman" w:hAnsi="Times New Roman"/>
          <w:bCs/>
          <w:sz w:val="24"/>
          <w:szCs w:val="24"/>
        </w:rPr>
        <w:t>as regards</w:t>
      </w:r>
      <w:proofErr w:type="gramEnd"/>
      <w:r w:rsidRPr="004C0771">
        <w:rPr>
          <w:rFonts w:ascii="Times New Roman" w:hAnsi="Times New Roman"/>
          <w:bCs/>
          <w:sz w:val="24"/>
          <w:szCs w:val="24"/>
        </w:rPr>
        <w:t xml:space="preserve"> EU residents aged 25-64, is richer than the three </w:t>
      </w:r>
      <w:r w:rsidRPr="007F446F">
        <w:rPr>
          <w:rFonts w:ascii="Times New Roman" w:hAnsi="Times New Roman"/>
          <w:bCs/>
          <w:sz w:val="24"/>
          <w:szCs w:val="24"/>
        </w:rPr>
        <w:t>Eurobarometer</w:t>
      </w:r>
      <w:r w:rsidRPr="004C0771">
        <w:rPr>
          <w:rFonts w:ascii="Times New Roman" w:hAnsi="Times New Roman"/>
          <w:bCs/>
          <w:sz w:val="24"/>
          <w:szCs w:val="24"/>
        </w:rPr>
        <w:t xml:space="preserve"> surveys on the linguistic skills of European citizens published in 2001, 2006 and 2012 that are often mentioned in the literature. The AES includes more variables and more observations. </w:t>
      </w:r>
      <w:r>
        <w:rPr>
          <w:rFonts w:ascii="Times New Roman" w:hAnsi="Times New Roman"/>
          <w:bCs/>
          <w:sz w:val="24"/>
          <w:szCs w:val="24"/>
        </w:rPr>
        <w:t>In addition</w:t>
      </w:r>
      <w:r w:rsidRPr="004C0771">
        <w:rPr>
          <w:rFonts w:ascii="Times New Roman" w:hAnsi="Times New Roman"/>
          <w:bCs/>
          <w:sz w:val="24"/>
          <w:szCs w:val="24"/>
        </w:rPr>
        <w:t xml:space="preserve">, data on language proficiency are more reliable. Research in language testing </w:t>
      </w:r>
      <w:r>
        <w:rPr>
          <w:rFonts w:ascii="Times New Roman" w:hAnsi="Times New Roman"/>
          <w:bCs/>
          <w:sz w:val="24"/>
          <w:szCs w:val="24"/>
        </w:rPr>
        <w:t xml:space="preserve">has </w:t>
      </w:r>
      <w:r w:rsidRPr="004C0771">
        <w:rPr>
          <w:rFonts w:ascii="Times New Roman" w:hAnsi="Times New Roman"/>
          <w:bCs/>
          <w:sz w:val="24"/>
          <w:szCs w:val="24"/>
        </w:rPr>
        <w:t xml:space="preserve">compared self-assessments results with teachers’ grades or test scores. Results are mixed (for an overview see </w:t>
      </w:r>
      <w:hyperlink w:anchor="_ENREF_37" w:tooltip="Luoma, 2013 #1161" w:history="1">
        <w:r w:rsidRPr="004C0771">
          <w:rPr>
            <w:rFonts w:ascii="Times New Roman" w:hAnsi="Times New Roman"/>
            <w:bCs/>
            <w:sz w:val="24"/>
            <w:szCs w:val="24"/>
          </w:rPr>
          <w:fldChar w:fldCharType="begin"/>
        </w:r>
        <w:r w:rsidRPr="004C0771">
          <w:rPr>
            <w:rFonts w:ascii="Times New Roman" w:hAnsi="Times New Roman"/>
            <w:bCs/>
            <w:sz w:val="24"/>
            <w:szCs w:val="24"/>
          </w:rPr>
          <w:instrText xml:space="preserve"> ADDIN EN.CITE &lt;EndNote&gt;&lt;Cite&gt;&lt;Author&gt;Luoma&lt;/Author&gt;&lt;Year&gt;2013&lt;/Year&gt;&lt;RecNum&gt;1161&lt;/RecNum&gt;&lt;DisplayText&gt;Luoma 2013&lt;/DisplayText&gt;&lt;record&gt;&lt;rec-number&gt;1161&lt;/rec-number&gt;&lt;foreign-keys&gt;&lt;key app="EN" db-id="wvvszzd93a0z5wesdfpvdv9z5wrra5p05axp"&gt;1161&lt;/key&gt;&lt;/foreign-keys&gt;&lt;ref-type name="Book Section"&gt;5&lt;/ref-type&gt;&lt;contributors&gt;&lt;authors&gt;&lt;author&gt;Luoma, Sari&lt;/author&gt;&lt;/authors&gt;&lt;secondary-authors&gt;&lt;author&gt;Chapelle, Carol A.&lt;/author&gt;&lt;/secondary-authors&gt;&lt;/contributors&gt;&lt;titles&gt;&lt;title&gt;Self-assessment&lt;/title&gt;&lt;secondary-title&gt;The Encyclopedia of Applied Linguistics&lt;/secondary-title&gt;&lt;/titles&gt;&lt;dates&gt;&lt;year&gt;2013&lt;/year&gt;&lt;/dates&gt;&lt;pub-location&gt;Oxford&lt;/pub-location&gt;&lt;publisher&gt;Blackwell&lt;/publisher&gt;&lt;urls&gt;&lt;/urls&gt;&lt;/record&gt;&lt;/Cite&gt;&lt;/EndNote&gt;</w:instrText>
        </w:r>
        <w:r w:rsidRPr="004C0771">
          <w:rPr>
            <w:rFonts w:ascii="Times New Roman" w:hAnsi="Times New Roman"/>
            <w:bCs/>
            <w:sz w:val="24"/>
            <w:szCs w:val="24"/>
          </w:rPr>
          <w:fldChar w:fldCharType="separate"/>
        </w:r>
        <w:r w:rsidRPr="004C0771">
          <w:rPr>
            <w:rFonts w:ascii="Times New Roman" w:hAnsi="Times New Roman"/>
            <w:bCs/>
            <w:sz w:val="24"/>
            <w:szCs w:val="24"/>
          </w:rPr>
          <w:t>Luoma, 2013</w:t>
        </w:r>
        <w:r w:rsidRPr="004C0771">
          <w:rPr>
            <w:rFonts w:ascii="Times New Roman" w:hAnsi="Times New Roman"/>
            <w:bCs/>
            <w:sz w:val="24"/>
            <w:szCs w:val="24"/>
          </w:rPr>
          <w:fldChar w:fldCharType="end"/>
        </w:r>
      </w:hyperlink>
      <w:r w:rsidRPr="004C0771">
        <w:rPr>
          <w:rFonts w:ascii="Times New Roman" w:hAnsi="Times New Roman"/>
          <w:bCs/>
          <w:sz w:val="24"/>
          <w:szCs w:val="24"/>
        </w:rPr>
        <w:t>). Nevertheless, research points a generally valid conclusion: self-assessments are more accurate (using teacher’s evaluation as a term of comparison) if learners ‘respond to can do statements that define concrete language use experiences that are familiar to the learners than if they are asked to use a proficiency scale with more abstract definitions of language skills’ (</w:t>
      </w:r>
      <w:hyperlink w:anchor="_ENREF_47" w:tooltip="Ross, 1998 #1163" w:history="1">
        <w:r w:rsidRPr="004C0771">
          <w:rPr>
            <w:rFonts w:ascii="Times New Roman" w:hAnsi="Times New Roman"/>
            <w:bCs/>
            <w:sz w:val="24"/>
            <w:szCs w:val="24"/>
          </w:rPr>
          <w:fldChar w:fldCharType="begin"/>
        </w:r>
        <w:r w:rsidRPr="004C0771">
          <w:rPr>
            <w:rFonts w:ascii="Times New Roman" w:hAnsi="Times New Roman"/>
            <w:bCs/>
            <w:sz w:val="24"/>
            <w:szCs w:val="24"/>
          </w:rPr>
          <w:instrText xml:space="preserve"> ADDIN EN.CITE &lt;EndNote&gt;&lt;Cite&gt;&lt;Author&gt;Ross&lt;/Author&gt;&lt;Year&gt;1998&lt;/Year&gt;&lt;RecNum&gt;1163&lt;/RecNum&gt;&lt;DisplayText&gt;Ross 1998&lt;/DisplayText&gt;&lt;record&gt;&lt;rec-number&gt;1163&lt;/rec-number&gt;&lt;foreign-keys&gt;&lt;key app="EN" db-id="wvvszzd93a0z5wesdfpvdv9z5wrra5p05axp"&gt;1163&lt;/key&gt;&lt;/foreign-keys&gt;&lt;ref-type name="Journal Article"&gt;17&lt;/ref-type&gt;&lt;contributors&gt;&lt;authors&gt;&lt;author&gt;Ross, Steven&lt;/author&gt;&lt;/authors&gt;&lt;/contributors&gt;&lt;titles&gt;&lt;title&gt;Self-assessment in second language testing: A meta analysis of experimental factors&lt;/title&gt;&lt;secondary-title&gt;Language Testing&lt;/secondary-title&gt;&lt;/titles&gt;&lt;periodical&gt;&lt;full-title&gt;Language Testing&lt;/full-title&gt;&lt;/periodical&gt;&lt;pages&gt;1-20&lt;/pages&gt;&lt;volume&gt;15&lt;/volume&gt;&lt;number&gt;1&lt;/number&gt;&lt;dates&gt;&lt;year&gt;1998&lt;/year&gt;&lt;/dates&gt;&lt;urls&gt;&lt;/urls&gt;&lt;/record&gt;&lt;/Cite&gt;&lt;/EndNote&gt;</w:instrText>
        </w:r>
        <w:r w:rsidRPr="004C0771">
          <w:rPr>
            <w:rFonts w:ascii="Times New Roman" w:hAnsi="Times New Roman"/>
            <w:bCs/>
            <w:sz w:val="24"/>
            <w:szCs w:val="24"/>
          </w:rPr>
          <w:fldChar w:fldCharType="separate"/>
        </w:r>
        <w:r w:rsidRPr="004C0771">
          <w:rPr>
            <w:rFonts w:ascii="Times New Roman" w:hAnsi="Times New Roman"/>
            <w:bCs/>
            <w:sz w:val="24"/>
            <w:szCs w:val="24"/>
          </w:rPr>
          <w:t>Ross, 1998</w:t>
        </w:r>
        <w:r w:rsidRPr="004C0771">
          <w:rPr>
            <w:rFonts w:ascii="Times New Roman" w:hAnsi="Times New Roman"/>
            <w:bCs/>
            <w:sz w:val="24"/>
            <w:szCs w:val="24"/>
          </w:rPr>
          <w:fldChar w:fldCharType="end"/>
        </w:r>
      </w:hyperlink>
      <w:r w:rsidRPr="004C0771">
        <w:rPr>
          <w:rFonts w:ascii="Times New Roman" w:hAnsi="Times New Roman"/>
          <w:bCs/>
          <w:sz w:val="24"/>
          <w:szCs w:val="24"/>
        </w:rPr>
        <w:t xml:space="preserve">, quoted in </w:t>
      </w:r>
      <w:hyperlink w:anchor="_ENREF_37" w:tooltip="Luoma, 2013 #1161" w:history="1">
        <w:r w:rsidRPr="004C0771">
          <w:rPr>
            <w:rFonts w:ascii="Times New Roman" w:hAnsi="Times New Roman"/>
            <w:bCs/>
            <w:sz w:val="24"/>
            <w:szCs w:val="24"/>
          </w:rPr>
          <w:fldChar w:fldCharType="begin"/>
        </w:r>
        <w:r w:rsidRPr="004C0771">
          <w:rPr>
            <w:rFonts w:ascii="Times New Roman" w:hAnsi="Times New Roman"/>
            <w:bCs/>
            <w:sz w:val="24"/>
            <w:szCs w:val="24"/>
          </w:rPr>
          <w:instrText xml:space="preserve"> ADDIN EN.CITE &lt;EndNote&gt;&lt;Cite&gt;&lt;Author&gt;Luoma&lt;/Author&gt;&lt;Year&gt;2013&lt;/Year&gt;&lt;RecNum&gt;1161&lt;/RecNum&gt;&lt;Pages&gt;4&lt;/Pages&gt;&lt;DisplayText&gt;Luoma 2013: 4&lt;/DisplayText&gt;&lt;record&gt;&lt;rec-number&gt;1161&lt;/rec-number&gt;&lt;foreign-keys&gt;&lt;key app="EN" db-id="wvvszzd93a0z5wesdfpvdv9z5wrra5p05axp"&gt;1161&lt;/key&gt;&lt;/foreign-keys&gt;&lt;ref-type name="Book Section"&gt;5&lt;/ref-type&gt;&lt;contributors&gt;&lt;authors&gt;&lt;author&gt;Luoma, Sari&lt;/author&gt;&lt;/authors&gt;&lt;secondary-authors&gt;&lt;author&gt;Chapelle, Carol A.&lt;/author&gt;&lt;/secondary-authors&gt;&lt;/contributors&gt;&lt;titles&gt;&lt;title&gt;Self-assessment&lt;/title&gt;&lt;secondary-title&gt;The Encyclopedia of Applied Linguistics&lt;/secondary-title&gt;&lt;/titles&gt;&lt;dates&gt;&lt;year&gt;2013&lt;/year&gt;&lt;/dates&gt;&lt;pub-location&gt;Oxford&lt;/pub-location&gt;&lt;publisher&gt;Blackwell&lt;/publisher&gt;&lt;urls&gt;&lt;/urls&gt;&lt;/record&gt;&lt;/Cite&gt;&lt;/EndNote&gt;</w:instrText>
        </w:r>
        <w:r w:rsidRPr="004C0771">
          <w:rPr>
            <w:rFonts w:ascii="Times New Roman" w:hAnsi="Times New Roman"/>
            <w:bCs/>
            <w:sz w:val="24"/>
            <w:szCs w:val="24"/>
          </w:rPr>
          <w:fldChar w:fldCharType="separate"/>
        </w:r>
        <w:r w:rsidRPr="004C0771">
          <w:rPr>
            <w:rFonts w:ascii="Times New Roman" w:hAnsi="Times New Roman"/>
            <w:bCs/>
            <w:sz w:val="24"/>
            <w:szCs w:val="24"/>
          </w:rPr>
          <w:t>Luoma, 2013: 4</w:t>
        </w:r>
        <w:r w:rsidRPr="004C0771">
          <w:rPr>
            <w:rFonts w:ascii="Times New Roman" w:hAnsi="Times New Roman"/>
            <w:bCs/>
            <w:sz w:val="24"/>
            <w:szCs w:val="24"/>
          </w:rPr>
          <w:fldChar w:fldCharType="end"/>
        </w:r>
      </w:hyperlink>
      <w:r w:rsidRPr="004C0771">
        <w:rPr>
          <w:rFonts w:ascii="Times New Roman" w:hAnsi="Times New Roman"/>
          <w:bCs/>
          <w:sz w:val="24"/>
          <w:szCs w:val="24"/>
        </w:rPr>
        <w:t>). It is not possible to assess the accuracy of data on language skills contained in the AES, because they are not based on objective tests. Nevertheless</w:t>
      </w:r>
      <w:r w:rsidRPr="00D96637">
        <w:rPr>
          <w:rFonts w:ascii="Times New Roman" w:hAnsi="Times New Roman"/>
          <w:bCs/>
          <w:sz w:val="24"/>
          <w:szCs w:val="24"/>
        </w:rPr>
        <w:t xml:space="preserve">, </w:t>
      </w:r>
      <w:r w:rsidRPr="004C0771">
        <w:rPr>
          <w:rFonts w:ascii="Times New Roman" w:hAnsi="Times New Roman"/>
          <w:bCs/>
          <w:sz w:val="24"/>
          <w:szCs w:val="24"/>
        </w:rPr>
        <w:t xml:space="preserve">one can safely assume that they are more accurate than those contained in the </w:t>
      </w:r>
      <w:r w:rsidRPr="00D96637">
        <w:rPr>
          <w:rFonts w:ascii="Times New Roman" w:hAnsi="Times New Roman"/>
          <w:bCs/>
          <w:sz w:val="24"/>
          <w:szCs w:val="24"/>
        </w:rPr>
        <w:t>Eurobarometer</w:t>
      </w:r>
      <w:r w:rsidRPr="004C0771">
        <w:rPr>
          <w:rFonts w:ascii="Times New Roman" w:hAnsi="Times New Roman"/>
          <w:bCs/>
          <w:sz w:val="24"/>
          <w:szCs w:val="24"/>
        </w:rPr>
        <w:t>. The AES uses explicit descriptors of language proficiency based on ‘can do’ scales</w:t>
      </w:r>
      <w:r>
        <w:rPr>
          <w:rFonts w:ascii="Times New Roman" w:hAnsi="Times New Roman"/>
          <w:bCs/>
          <w:sz w:val="24"/>
          <w:szCs w:val="24"/>
        </w:rPr>
        <w:t>, whereas the questionnaire</w:t>
      </w:r>
      <w:r w:rsidRPr="004C0771">
        <w:rPr>
          <w:rFonts w:ascii="Times New Roman" w:hAnsi="Times New Roman"/>
          <w:bCs/>
          <w:sz w:val="24"/>
          <w:szCs w:val="24"/>
        </w:rPr>
        <w:t xml:space="preserve"> of the </w:t>
      </w:r>
      <w:r w:rsidRPr="00D96637">
        <w:rPr>
          <w:rFonts w:ascii="Times New Roman" w:hAnsi="Times New Roman"/>
          <w:bCs/>
          <w:sz w:val="24"/>
          <w:szCs w:val="24"/>
        </w:rPr>
        <w:t>Eurobarometer</w:t>
      </w:r>
      <w:r w:rsidRPr="004C0771">
        <w:rPr>
          <w:rFonts w:ascii="Times New Roman" w:hAnsi="Times New Roman"/>
          <w:bCs/>
          <w:sz w:val="24"/>
          <w:szCs w:val="24"/>
        </w:rPr>
        <w:t xml:space="preserve"> survey contains three levels of competence— that is, ‘basic’, ‘good’ and ‘very good’ — that are </w:t>
      </w:r>
      <w:r w:rsidRPr="004C0771">
        <w:rPr>
          <w:rFonts w:ascii="Times New Roman" w:hAnsi="Times New Roman"/>
          <w:bCs/>
          <w:i/>
          <w:sz w:val="24"/>
          <w:szCs w:val="24"/>
        </w:rPr>
        <w:t>not</w:t>
      </w:r>
      <w:r w:rsidRPr="004C0771">
        <w:rPr>
          <w:rFonts w:ascii="Times New Roman" w:hAnsi="Times New Roman"/>
          <w:bCs/>
          <w:sz w:val="24"/>
          <w:szCs w:val="24"/>
        </w:rPr>
        <w:t xml:space="preserve"> formally defined (except for 2001)</w:t>
      </w:r>
      <w:r>
        <w:rPr>
          <w:rFonts w:ascii="Times New Roman" w:hAnsi="Times New Roman"/>
          <w:bCs/>
          <w:sz w:val="24"/>
          <w:szCs w:val="24"/>
        </w:rPr>
        <w:t>. T</w:t>
      </w:r>
      <w:r w:rsidRPr="004C0771">
        <w:rPr>
          <w:rFonts w:ascii="Times New Roman" w:hAnsi="Times New Roman"/>
          <w:bCs/>
          <w:sz w:val="24"/>
          <w:szCs w:val="24"/>
        </w:rPr>
        <w:t>his leaves to the respondents the subjective responsibility of int</w:t>
      </w:r>
      <w:r>
        <w:rPr>
          <w:rFonts w:ascii="Times New Roman" w:hAnsi="Times New Roman"/>
          <w:bCs/>
          <w:sz w:val="24"/>
          <w:szCs w:val="24"/>
        </w:rPr>
        <w:t>erpreting what such levels mean</w:t>
      </w:r>
      <w:r w:rsidRPr="004C0771">
        <w:rPr>
          <w:rFonts w:ascii="Times New Roman" w:hAnsi="Times New Roman"/>
          <w:bCs/>
          <w:sz w:val="24"/>
          <w:szCs w:val="24"/>
        </w:rPr>
        <w:t xml:space="preserve">. </w:t>
      </w:r>
      <w:r>
        <w:rPr>
          <w:rFonts w:ascii="Times New Roman" w:hAnsi="Times New Roman"/>
          <w:bCs/>
          <w:sz w:val="24"/>
          <w:szCs w:val="24"/>
        </w:rPr>
        <w:t xml:space="preserve">The AES’s scale </w:t>
      </w:r>
      <w:r w:rsidRPr="004C0771">
        <w:rPr>
          <w:rFonts w:ascii="Times New Roman" w:hAnsi="Times New Roman"/>
          <w:bCs/>
          <w:sz w:val="24"/>
          <w:szCs w:val="24"/>
        </w:rPr>
        <w:t xml:space="preserve">facilitates the comparison with the descriptors of the </w:t>
      </w:r>
      <w:r w:rsidRPr="00D96637">
        <w:rPr>
          <w:rFonts w:ascii="Times New Roman" w:hAnsi="Times New Roman"/>
          <w:bCs/>
          <w:sz w:val="24"/>
          <w:szCs w:val="24"/>
        </w:rPr>
        <w:t>Common European Framework of Reference for Languages</w:t>
      </w:r>
      <w:r w:rsidRPr="004C0771">
        <w:rPr>
          <w:rFonts w:ascii="Times New Roman" w:hAnsi="Times New Roman"/>
          <w:bCs/>
          <w:sz w:val="24"/>
          <w:szCs w:val="24"/>
        </w:rPr>
        <w:t xml:space="preserve"> (CEFR), which has become the</w:t>
      </w:r>
      <w:r w:rsidRPr="004C0771">
        <w:rPr>
          <w:rFonts w:ascii="Times New Roman" w:hAnsi="Times New Roman"/>
          <w:bCs/>
          <w:i/>
          <w:sz w:val="24"/>
          <w:szCs w:val="24"/>
        </w:rPr>
        <w:t xml:space="preserve"> </w:t>
      </w:r>
      <w:r w:rsidRPr="004C0771">
        <w:rPr>
          <w:rFonts w:ascii="Times New Roman" w:hAnsi="Times New Roman"/>
          <w:bCs/>
          <w:sz w:val="24"/>
          <w:szCs w:val="24"/>
        </w:rPr>
        <w:t>standard framework for the evaluation of language skills in Europe.</w:t>
      </w:r>
    </w:p>
    <w:p w14:paraId="7F1412F8" w14:textId="77777777" w:rsidR="007F446F" w:rsidRPr="004C0771" w:rsidRDefault="007F446F" w:rsidP="006233DD">
      <w:pPr>
        <w:spacing w:line="480" w:lineRule="auto"/>
        <w:jc w:val="both"/>
        <w:rPr>
          <w:rFonts w:ascii="Times New Roman" w:hAnsi="Times New Roman"/>
          <w:sz w:val="24"/>
          <w:szCs w:val="24"/>
        </w:rPr>
      </w:pPr>
      <w:r w:rsidRPr="004C0771">
        <w:rPr>
          <w:rFonts w:ascii="Times New Roman" w:hAnsi="Times New Roman"/>
          <w:sz w:val="24"/>
          <w:szCs w:val="24"/>
        </w:rPr>
        <w:t xml:space="preserve">A distinction must be made between the </w:t>
      </w:r>
      <w:r w:rsidRPr="004C0771">
        <w:rPr>
          <w:rFonts w:ascii="Times New Roman" w:hAnsi="Times New Roman"/>
          <w:i/>
          <w:sz w:val="24"/>
          <w:szCs w:val="24"/>
        </w:rPr>
        <w:t xml:space="preserve">absolute </w:t>
      </w:r>
      <w:r w:rsidRPr="004C0771">
        <w:rPr>
          <w:rFonts w:ascii="Times New Roman" w:hAnsi="Times New Roman"/>
          <w:sz w:val="24"/>
          <w:szCs w:val="24"/>
        </w:rPr>
        <w:t>disenfranchisement rate (D</w:t>
      </w:r>
      <w:r w:rsidRPr="004C0771">
        <w:rPr>
          <w:rFonts w:ascii="Times New Roman" w:hAnsi="Times New Roman"/>
          <w:sz w:val="24"/>
          <w:szCs w:val="24"/>
          <w:vertAlign w:val="subscript"/>
        </w:rPr>
        <w:t>a</w:t>
      </w:r>
      <w:r w:rsidRPr="004C0771">
        <w:rPr>
          <w:rFonts w:ascii="Times New Roman" w:hAnsi="Times New Roman"/>
          <w:sz w:val="24"/>
          <w:szCs w:val="24"/>
        </w:rPr>
        <w:t xml:space="preserve">) on the one hand, and the </w:t>
      </w:r>
      <w:r w:rsidRPr="004C0771">
        <w:rPr>
          <w:rFonts w:ascii="Times New Roman" w:hAnsi="Times New Roman"/>
          <w:i/>
          <w:sz w:val="24"/>
          <w:szCs w:val="24"/>
        </w:rPr>
        <w:t xml:space="preserve">relative </w:t>
      </w:r>
      <w:r w:rsidRPr="004C0771">
        <w:rPr>
          <w:rFonts w:ascii="Times New Roman" w:hAnsi="Times New Roman"/>
          <w:sz w:val="24"/>
          <w:szCs w:val="24"/>
        </w:rPr>
        <w:t>disenfranchisement rate (D</w:t>
      </w:r>
      <w:r w:rsidRPr="004C0771">
        <w:rPr>
          <w:rFonts w:ascii="Times New Roman" w:hAnsi="Times New Roman"/>
          <w:sz w:val="24"/>
          <w:szCs w:val="24"/>
          <w:vertAlign w:val="subscript"/>
        </w:rPr>
        <w:t>r</w:t>
      </w:r>
      <w:r w:rsidRPr="004C0771">
        <w:rPr>
          <w:rFonts w:ascii="Times New Roman" w:hAnsi="Times New Roman"/>
          <w:sz w:val="24"/>
          <w:szCs w:val="24"/>
        </w:rPr>
        <w:t xml:space="preserve">) on the other hand. The first indicator is defined as the percentage of citizens who are linguistically disenfranchised because they have no knowledge of any of the official languages determined by a given language regime. This is the indicator originally proposed by </w:t>
      </w:r>
      <w:proofErr w:type="spellStart"/>
      <w:r w:rsidRPr="004C0771">
        <w:rPr>
          <w:rFonts w:ascii="Times New Roman" w:hAnsi="Times New Roman"/>
          <w:sz w:val="24"/>
          <w:szCs w:val="24"/>
        </w:rPr>
        <w:t>Ginsburgh</w:t>
      </w:r>
      <w:proofErr w:type="spellEnd"/>
      <w:r w:rsidRPr="004C0771">
        <w:rPr>
          <w:rFonts w:ascii="Times New Roman" w:hAnsi="Times New Roman"/>
          <w:sz w:val="24"/>
          <w:szCs w:val="24"/>
        </w:rPr>
        <w:t xml:space="preserve"> and Weber (</w:t>
      </w:r>
      <w:hyperlink w:anchor="_ENREF_26" w:tooltip="Ginsburgh, 2005 #75" w:history="1">
        <w:r w:rsidRPr="004C0771">
          <w:rPr>
            <w:rFonts w:ascii="Times New Roman" w:hAnsi="Times New Roman"/>
            <w:sz w:val="24"/>
            <w:szCs w:val="24"/>
          </w:rPr>
          <w:fldChar w:fldCharType="begin"/>
        </w:r>
        <w:r w:rsidRPr="004C0771">
          <w:rPr>
            <w:rFonts w:ascii="Times New Roman" w:hAnsi="Times New Roman"/>
            <w:sz w:val="24"/>
            <w:szCs w:val="24"/>
          </w:rPr>
          <w:instrText xml:space="preserve"> ADDIN EN.CITE &lt;EndNote&gt;&lt;Cite ExcludeAuth="1"&gt;&lt;Author&gt;Ginsburgh&lt;/Author&gt;&lt;Year&gt;2005&lt;/Year&gt;&lt;RecNum&gt;75&lt;/RecNum&gt;&lt;DisplayText&gt;2005&lt;/DisplayText&gt;&lt;record&gt;&lt;rec-number&gt;75&lt;/rec-number&gt;&lt;foreign-keys&gt;&lt;key app="EN" db-id="wvvszzd93a0z5wesdfpvdv9z5wrra5p05axp"&gt;75&lt;/key&gt;&lt;/foreign-keys&gt;&lt;ref-type name="Journal Article"&gt;17&lt;/ref-type&gt;&lt;contributors&gt;&lt;authors&gt;&lt;author&gt;Ginsburgh, Victor&lt;/author&gt;&lt;author&gt;Weber, Shlomo&lt;/author&gt;&lt;/authors&gt;&lt;/contributors&gt;&lt;titles&gt;&lt;title&gt;Language disenfranchisement in the European Union&lt;/title&gt;&lt;secondary-title&gt;Journal of Common Market Studies&lt;/secondary-title&gt;&lt;/titles&gt;&lt;periodical&gt;&lt;full-title&gt;Journal of Common Market Studies&lt;/full-title&gt;&lt;/periodical&gt;&lt;pages&gt;273-286&lt;/pages&gt;&lt;volume&gt;43&lt;/volume&gt;&lt;number&gt;2&lt;/number&gt;&lt;dates&gt;&lt;year&gt;2005&lt;/year&gt;&lt;/dates&gt;&lt;urls&gt;&lt;/urls&gt;&lt;/record&gt;&lt;/Cite&gt;&lt;/EndNote&gt;</w:instrText>
        </w:r>
        <w:r w:rsidRPr="004C0771">
          <w:rPr>
            <w:rFonts w:ascii="Times New Roman" w:hAnsi="Times New Roman"/>
            <w:sz w:val="24"/>
            <w:szCs w:val="24"/>
          </w:rPr>
          <w:fldChar w:fldCharType="separate"/>
        </w:r>
        <w:r w:rsidRPr="004C0771">
          <w:rPr>
            <w:rFonts w:ascii="Times New Roman" w:hAnsi="Times New Roman"/>
            <w:sz w:val="24"/>
            <w:szCs w:val="24"/>
          </w:rPr>
          <w:t>2005</w:t>
        </w:r>
        <w:r w:rsidRPr="004C0771">
          <w:rPr>
            <w:rFonts w:ascii="Times New Roman" w:hAnsi="Times New Roman"/>
            <w:sz w:val="24"/>
            <w:szCs w:val="24"/>
          </w:rPr>
          <w:fldChar w:fldCharType="end"/>
        </w:r>
      </w:hyperlink>
      <w:r w:rsidRPr="004C0771">
        <w:rPr>
          <w:rFonts w:ascii="Times New Roman" w:hAnsi="Times New Roman"/>
          <w:sz w:val="24"/>
          <w:szCs w:val="24"/>
        </w:rPr>
        <w:t>), and it is defined as follows</w:t>
      </w:r>
    </w:p>
    <w:p w14:paraId="4028B4F9" w14:textId="77777777" w:rsidR="007F446F" w:rsidRPr="004C0771" w:rsidRDefault="007F446F" w:rsidP="006233DD">
      <w:pPr>
        <w:pStyle w:val="ParagrapheDoctorat"/>
        <w:spacing w:line="480" w:lineRule="auto"/>
        <w:rPr>
          <w:rFonts w:ascii="Times New Roman" w:hAnsi="Times New Roman"/>
          <w:sz w:val="24"/>
        </w:rPr>
      </w:pPr>
    </w:p>
    <w:tbl>
      <w:tblPr>
        <w:tblW w:w="4960" w:type="pct"/>
        <w:tblLook w:val="00A0" w:firstRow="1" w:lastRow="0" w:firstColumn="1" w:lastColumn="0" w:noHBand="0" w:noVBand="0"/>
      </w:tblPr>
      <w:tblGrid>
        <w:gridCol w:w="1466"/>
        <w:gridCol w:w="6843"/>
        <w:gridCol w:w="1466"/>
      </w:tblGrid>
      <w:tr w:rsidR="007F446F" w:rsidRPr="004C0771" w14:paraId="6D4766CE" w14:textId="77777777" w:rsidTr="0024424F">
        <w:tc>
          <w:tcPr>
            <w:tcW w:w="750" w:type="pct"/>
          </w:tcPr>
          <w:p w14:paraId="74B3781D" w14:textId="77777777" w:rsidR="007F446F" w:rsidRPr="004C0771" w:rsidRDefault="007F446F" w:rsidP="006233DD">
            <w:pPr>
              <w:pStyle w:val="ParagrapheDoctorat"/>
              <w:spacing w:line="480" w:lineRule="auto"/>
              <w:ind w:firstLine="0"/>
              <w:rPr>
                <w:rFonts w:ascii="Times New Roman" w:hAnsi="Times New Roman"/>
                <w:sz w:val="24"/>
              </w:rPr>
            </w:pPr>
          </w:p>
        </w:tc>
        <w:tc>
          <w:tcPr>
            <w:tcW w:w="3500" w:type="pct"/>
          </w:tcPr>
          <w:p w14:paraId="2413F190" w14:textId="77777777" w:rsidR="007F446F" w:rsidRPr="004C0771" w:rsidRDefault="007F446F" w:rsidP="006233DD">
            <w:pPr>
              <w:pStyle w:val="ParagrapheDoctorat"/>
              <w:spacing w:line="480" w:lineRule="auto"/>
              <w:jc w:val="left"/>
              <w:rPr>
                <w:rFonts w:ascii="Times New Roman" w:hAnsi="Times New Roman"/>
                <w:sz w:val="24"/>
              </w:rPr>
            </w:pPr>
            <m:oMathPara>
              <m:oMath>
                <m:sSub>
                  <m:sSubPr>
                    <m:ctrlPr>
                      <w:rPr>
                        <w:rFonts w:ascii="Cambria Math" w:hAnsi="Cambria Math"/>
                        <w:i/>
                        <w:sz w:val="24"/>
                      </w:rPr>
                    </m:ctrlPr>
                  </m:sSubPr>
                  <m:e>
                    <m:r>
                      <w:rPr>
                        <w:rFonts w:ascii="Cambria Math" w:hAnsi="Cambria Math"/>
                        <w:sz w:val="24"/>
                      </w:rPr>
                      <m:t>D</m:t>
                    </m:r>
                  </m:e>
                  <m:sub>
                    <m:r>
                      <w:rPr>
                        <w:rFonts w:ascii="Cambria Math" w:hAnsi="Cambria Math"/>
                        <w:sz w:val="24"/>
                      </w:rPr>
                      <m:t>a</m:t>
                    </m:r>
                  </m:sub>
                </m:sSub>
                <m:r>
                  <w:rPr>
                    <w:rFonts w:ascii="Cambria Math" w:hAnsi="Cambria Math"/>
                    <w:sz w:val="24"/>
                  </w:rPr>
                  <m:t>=1-</m:t>
                </m:r>
                <m:sSub>
                  <m:sSubPr>
                    <m:ctrlPr>
                      <w:rPr>
                        <w:rFonts w:ascii="Cambria Math" w:hAnsi="Cambria Math"/>
                        <w:i/>
                        <w:sz w:val="24"/>
                      </w:rPr>
                    </m:ctrlPr>
                  </m:sSubPr>
                  <m:e>
                    <m:r>
                      <w:rPr>
                        <w:rFonts w:ascii="Cambria Math" w:hAnsi="Cambria Math"/>
                        <w:sz w:val="24"/>
                      </w:rPr>
                      <m:t>S</m:t>
                    </m:r>
                  </m:e>
                  <m:sub>
                    <m:r>
                      <w:rPr>
                        <w:rFonts w:ascii="Cambria Math" w:hAnsi="Cambria Math"/>
                        <w:sz w:val="24"/>
                      </w:rPr>
                      <m:t>b</m:t>
                    </m:r>
                  </m:sub>
                </m:sSub>
                <m:r>
                  <w:rPr>
                    <w:rFonts w:ascii="Cambria Math" w:hAnsi="Cambria Math"/>
                    <w:sz w:val="24"/>
                  </w:rPr>
                  <m:t>,</m:t>
                </m:r>
              </m:oMath>
            </m:oMathPara>
          </w:p>
        </w:tc>
        <w:tc>
          <w:tcPr>
            <w:tcW w:w="750" w:type="pct"/>
          </w:tcPr>
          <w:p w14:paraId="2C26F310" w14:textId="77777777" w:rsidR="007F446F" w:rsidRPr="00D96637" w:rsidRDefault="007F446F" w:rsidP="006233DD">
            <w:pPr>
              <w:pStyle w:val="LgendeDoctorat"/>
              <w:spacing w:line="480" w:lineRule="auto"/>
              <w:rPr>
                <w:rFonts w:ascii="Times New Roman" w:hAnsi="Times New Roman"/>
                <w:b w:val="0"/>
                <w:sz w:val="24"/>
                <w:szCs w:val="24"/>
              </w:rPr>
            </w:pPr>
            <w:r w:rsidRPr="00D96637">
              <w:rPr>
                <w:rFonts w:ascii="Times New Roman" w:hAnsi="Times New Roman"/>
                <w:b w:val="0"/>
                <w:sz w:val="24"/>
                <w:szCs w:val="24"/>
              </w:rPr>
              <w:t>(</w:t>
            </w:r>
            <w:r w:rsidRPr="00D96637">
              <w:rPr>
                <w:rFonts w:ascii="Times New Roman" w:hAnsi="Times New Roman"/>
                <w:b w:val="0"/>
                <w:sz w:val="24"/>
                <w:szCs w:val="24"/>
              </w:rPr>
              <w:fldChar w:fldCharType="begin"/>
            </w:r>
            <w:r w:rsidRPr="00D96637">
              <w:rPr>
                <w:rFonts w:ascii="Times New Roman" w:hAnsi="Times New Roman"/>
                <w:b w:val="0"/>
                <w:sz w:val="24"/>
                <w:szCs w:val="24"/>
              </w:rPr>
              <w:instrText xml:space="preserve"> SEQ Équation \* ARABIC \s 2 </w:instrText>
            </w:r>
            <w:r w:rsidRPr="00D96637">
              <w:rPr>
                <w:rFonts w:ascii="Times New Roman" w:hAnsi="Times New Roman"/>
                <w:b w:val="0"/>
                <w:sz w:val="24"/>
                <w:szCs w:val="24"/>
              </w:rPr>
              <w:fldChar w:fldCharType="separate"/>
            </w:r>
            <w:r w:rsidRPr="00D96637">
              <w:rPr>
                <w:rFonts w:ascii="Times New Roman" w:hAnsi="Times New Roman"/>
                <w:b w:val="0"/>
                <w:sz w:val="24"/>
                <w:szCs w:val="24"/>
              </w:rPr>
              <w:t>1</w:t>
            </w:r>
            <w:r w:rsidRPr="00D96637">
              <w:rPr>
                <w:rFonts w:ascii="Times New Roman" w:hAnsi="Times New Roman"/>
                <w:b w:val="0"/>
                <w:sz w:val="24"/>
                <w:szCs w:val="24"/>
              </w:rPr>
              <w:fldChar w:fldCharType="end"/>
            </w:r>
            <w:r w:rsidRPr="00D96637">
              <w:rPr>
                <w:rFonts w:ascii="Times New Roman" w:hAnsi="Times New Roman"/>
                <w:b w:val="0"/>
                <w:sz w:val="24"/>
                <w:szCs w:val="24"/>
              </w:rPr>
              <w:t>)</w:t>
            </w:r>
          </w:p>
        </w:tc>
      </w:tr>
    </w:tbl>
    <w:p w14:paraId="673FDD4D" w14:textId="77777777" w:rsidR="007F446F" w:rsidRPr="004C0771" w:rsidRDefault="007F446F" w:rsidP="006233DD">
      <w:pPr>
        <w:pStyle w:val="ParagrapheDoctorat"/>
        <w:spacing w:line="480" w:lineRule="auto"/>
        <w:jc w:val="left"/>
        <w:rPr>
          <w:rFonts w:ascii="Times New Roman" w:hAnsi="Times New Roman"/>
          <w:sz w:val="24"/>
        </w:rPr>
      </w:pPr>
    </w:p>
    <w:p w14:paraId="1819C58A" w14:textId="21317484" w:rsidR="007F446F" w:rsidRPr="004C0771" w:rsidRDefault="007F446F" w:rsidP="006233DD">
      <w:pPr>
        <w:spacing w:line="480" w:lineRule="auto"/>
        <w:jc w:val="both"/>
        <w:rPr>
          <w:rFonts w:ascii="Times New Roman" w:hAnsi="Times New Roman"/>
          <w:sz w:val="24"/>
          <w:szCs w:val="24"/>
        </w:rPr>
      </w:pPr>
      <w:r w:rsidRPr="004C0771">
        <w:rPr>
          <w:rFonts w:ascii="Times New Roman" w:hAnsi="Times New Roman"/>
          <w:sz w:val="24"/>
          <w:szCs w:val="24"/>
        </w:rPr>
        <w:t>where S</w:t>
      </w:r>
      <w:r w:rsidRPr="004C0771">
        <w:rPr>
          <w:rFonts w:ascii="Times New Roman" w:hAnsi="Times New Roman"/>
          <w:sz w:val="24"/>
          <w:szCs w:val="24"/>
          <w:vertAlign w:val="subscript"/>
        </w:rPr>
        <w:t>b</w:t>
      </w:r>
      <w:r w:rsidRPr="004C0771">
        <w:rPr>
          <w:rFonts w:ascii="Times New Roman" w:hAnsi="Times New Roman"/>
          <w:sz w:val="24"/>
          <w:szCs w:val="24"/>
        </w:rPr>
        <w:t xml:space="preserve"> is the percentage of residents who have at least some knowledge of at least one off</w:t>
      </w:r>
      <w:r>
        <w:rPr>
          <w:rFonts w:ascii="Times New Roman" w:hAnsi="Times New Roman"/>
          <w:sz w:val="24"/>
          <w:szCs w:val="24"/>
        </w:rPr>
        <w:t xml:space="preserve">icial language (native speakers, </w:t>
      </w:r>
      <w:r w:rsidRPr="004C0771">
        <w:rPr>
          <w:rFonts w:ascii="Times New Roman" w:hAnsi="Times New Roman"/>
          <w:sz w:val="24"/>
          <w:szCs w:val="24"/>
        </w:rPr>
        <w:t>therefore</w:t>
      </w:r>
      <w:r>
        <w:rPr>
          <w:rFonts w:ascii="Times New Roman" w:hAnsi="Times New Roman"/>
          <w:sz w:val="24"/>
          <w:szCs w:val="24"/>
        </w:rPr>
        <w:t>, are</w:t>
      </w:r>
      <w:r w:rsidRPr="004C0771">
        <w:rPr>
          <w:rFonts w:ascii="Times New Roman" w:hAnsi="Times New Roman"/>
          <w:sz w:val="24"/>
          <w:szCs w:val="24"/>
        </w:rPr>
        <w:t xml:space="preserve"> included). This indicator provides a first idea of the distribution of language skills among Europeans. Yet, it is risky to put native speakers of a language on the same level as those who declare to have just a basic or intermediate level of competence of the said language. It is reasonable to assume that very good </w:t>
      </w:r>
      <w:r>
        <w:rPr>
          <w:rFonts w:ascii="Times New Roman" w:hAnsi="Times New Roman"/>
          <w:sz w:val="24"/>
          <w:szCs w:val="24"/>
        </w:rPr>
        <w:t xml:space="preserve">language skills are necessary </w:t>
      </w:r>
      <w:r w:rsidRPr="004C0771">
        <w:rPr>
          <w:rFonts w:ascii="Times New Roman" w:hAnsi="Times New Roman"/>
          <w:sz w:val="24"/>
          <w:szCs w:val="24"/>
        </w:rPr>
        <w:t>to understand without too much effort legal texts, calls for tenders, webpages presenting health notices about food, discourses of a political or technical nature such as those produced by various bodies of the EU, or to lodge a complain</w:t>
      </w:r>
      <w:r>
        <w:rPr>
          <w:rFonts w:ascii="Times New Roman" w:hAnsi="Times New Roman"/>
          <w:sz w:val="24"/>
          <w:szCs w:val="24"/>
        </w:rPr>
        <w:t>t</w:t>
      </w:r>
      <w:r w:rsidRPr="004C0771">
        <w:rPr>
          <w:rFonts w:ascii="Times New Roman" w:hAnsi="Times New Roman"/>
          <w:sz w:val="24"/>
          <w:szCs w:val="24"/>
        </w:rPr>
        <w:t xml:space="preserve"> to the European Ombudsman. The relative disenfranchisement rate (D</w:t>
      </w:r>
      <w:r w:rsidRPr="004C0771">
        <w:rPr>
          <w:rFonts w:ascii="Times New Roman" w:hAnsi="Times New Roman"/>
          <w:sz w:val="24"/>
          <w:szCs w:val="24"/>
          <w:vertAlign w:val="subscript"/>
        </w:rPr>
        <w:t>r</w:t>
      </w:r>
      <w:r w:rsidRPr="004C0771">
        <w:rPr>
          <w:rFonts w:ascii="Times New Roman" w:hAnsi="Times New Roman"/>
          <w:sz w:val="24"/>
          <w:szCs w:val="24"/>
        </w:rPr>
        <w:t>) captures precisely this idea. D</w:t>
      </w:r>
      <w:r w:rsidRPr="004C0771">
        <w:rPr>
          <w:rFonts w:ascii="Times New Roman" w:hAnsi="Times New Roman"/>
          <w:sz w:val="24"/>
          <w:szCs w:val="24"/>
          <w:vertAlign w:val="subscript"/>
        </w:rPr>
        <w:t>r</w:t>
      </w:r>
      <w:r w:rsidRPr="004C0771">
        <w:rPr>
          <w:rFonts w:ascii="Times New Roman" w:hAnsi="Times New Roman"/>
          <w:sz w:val="24"/>
          <w:szCs w:val="24"/>
        </w:rPr>
        <w:t xml:space="preserve"> is defined as follows:</w:t>
      </w:r>
    </w:p>
    <w:p w14:paraId="2FBC0E8F" w14:textId="77777777" w:rsidR="007F446F" w:rsidRPr="004C0771" w:rsidRDefault="007F446F" w:rsidP="006233DD">
      <w:pPr>
        <w:pStyle w:val="ParagrapheDoctorat"/>
        <w:spacing w:line="480" w:lineRule="auto"/>
        <w:rPr>
          <w:rFonts w:ascii="Times New Roman" w:hAnsi="Times New Roman"/>
          <w:sz w:val="24"/>
        </w:rPr>
      </w:pPr>
    </w:p>
    <w:tbl>
      <w:tblPr>
        <w:tblW w:w="4960" w:type="pct"/>
        <w:tblLook w:val="00A0" w:firstRow="1" w:lastRow="0" w:firstColumn="1" w:lastColumn="0" w:noHBand="0" w:noVBand="0"/>
      </w:tblPr>
      <w:tblGrid>
        <w:gridCol w:w="1466"/>
        <w:gridCol w:w="6843"/>
        <w:gridCol w:w="1466"/>
      </w:tblGrid>
      <w:tr w:rsidR="007F446F" w:rsidRPr="004C0771" w14:paraId="213BF0B2" w14:textId="77777777" w:rsidTr="0024424F">
        <w:tc>
          <w:tcPr>
            <w:tcW w:w="750" w:type="pct"/>
          </w:tcPr>
          <w:p w14:paraId="5C874C1B" w14:textId="77777777" w:rsidR="007F446F" w:rsidRPr="004C0771" w:rsidRDefault="007F446F" w:rsidP="006233DD">
            <w:pPr>
              <w:pStyle w:val="ParagrapheDoctorat"/>
              <w:spacing w:line="480" w:lineRule="auto"/>
              <w:ind w:firstLine="0"/>
              <w:rPr>
                <w:rFonts w:ascii="Times New Roman" w:hAnsi="Times New Roman"/>
                <w:sz w:val="24"/>
              </w:rPr>
            </w:pPr>
          </w:p>
        </w:tc>
        <w:tc>
          <w:tcPr>
            <w:tcW w:w="3500" w:type="pct"/>
          </w:tcPr>
          <w:p w14:paraId="4D7F7E93" w14:textId="77777777" w:rsidR="007F446F" w:rsidRPr="004C0771" w:rsidRDefault="007F446F" w:rsidP="006233DD">
            <w:pPr>
              <w:pStyle w:val="ParagrapheDoctorat"/>
              <w:spacing w:line="480" w:lineRule="auto"/>
              <w:jc w:val="left"/>
              <w:rPr>
                <w:rFonts w:ascii="Times New Roman" w:hAnsi="Times New Roman"/>
                <w:sz w:val="24"/>
              </w:rPr>
            </w:pPr>
            <m:oMathPara>
              <m:oMath>
                <m:sSub>
                  <m:sSubPr>
                    <m:ctrlPr>
                      <w:rPr>
                        <w:rFonts w:ascii="Cambria Math" w:hAnsi="Cambria Math"/>
                        <w:i/>
                        <w:sz w:val="24"/>
                      </w:rPr>
                    </m:ctrlPr>
                  </m:sSubPr>
                  <m:e>
                    <m:r>
                      <w:rPr>
                        <w:rFonts w:ascii="Cambria Math" w:hAnsi="Cambria Math"/>
                        <w:sz w:val="24"/>
                      </w:rPr>
                      <m:t>D</m:t>
                    </m:r>
                  </m:e>
                  <m:sub>
                    <m:r>
                      <w:rPr>
                        <w:rFonts w:ascii="Cambria Math" w:hAnsi="Cambria Math"/>
                        <w:sz w:val="24"/>
                      </w:rPr>
                      <m:t>r</m:t>
                    </m:r>
                  </m:sub>
                </m:sSub>
                <m:r>
                  <w:rPr>
                    <w:rFonts w:ascii="Cambria Math" w:hAnsi="Cambria Math"/>
                    <w:sz w:val="24"/>
                  </w:rPr>
                  <m:t>=1-</m:t>
                </m:r>
                <m:sSub>
                  <m:sSubPr>
                    <m:ctrlPr>
                      <w:rPr>
                        <w:rFonts w:ascii="Cambria Math" w:hAnsi="Cambria Math"/>
                        <w:i/>
                        <w:sz w:val="24"/>
                      </w:rPr>
                    </m:ctrlPr>
                  </m:sSubPr>
                  <m:e>
                    <m:r>
                      <w:rPr>
                        <w:rFonts w:ascii="Cambria Math" w:hAnsi="Cambria Math"/>
                        <w:sz w:val="24"/>
                      </w:rPr>
                      <m:t>(NS+NNS</m:t>
                    </m:r>
                  </m:e>
                  <m:sub>
                    <m:r>
                      <w:rPr>
                        <w:rFonts w:ascii="Cambria Math" w:hAnsi="Cambria Math"/>
                        <w:sz w:val="24"/>
                      </w:rPr>
                      <m:t>p</m:t>
                    </m:r>
                  </m:sub>
                </m:sSub>
                <m:r>
                  <w:rPr>
                    <w:rFonts w:ascii="Cambria Math" w:hAnsi="Cambria Math"/>
                    <w:sz w:val="24"/>
                  </w:rPr>
                  <m:t>),</m:t>
                </m:r>
              </m:oMath>
            </m:oMathPara>
          </w:p>
        </w:tc>
        <w:tc>
          <w:tcPr>
            <w:tcW w:w="750" w:type="pct"/>
          </w:tcPr>
          <w:p w14:paraId="2F27B448" w14:textId="77777777" w:rsidR="007F446F" w:rsidRPr="00DD65E1" w:rsidRDefault="007F446F" w:rsidP="006233DD">
            <w:pPr>
              <w:pStyle w:val="LgendeDoctorat"/>
              <w:spacing w:line="480" w:lineRule="auto"/>
              <w:rPr>
                <w:rFonts w:ascii="Times New Roman" w:hAnsi="Times New Roman"/>
                <w:b w:val="0"/>
                <w:sz w:val="24"/>
                <w:szCs w:val="24"/>
              </w:rPr>
            </w:pPr>
            <w:r w:rsidRPr="00DD65E1">
              <w:rPr>
                <w:rFonts w:ascii="Times New Roman" w:hAnsi="Times New Roman"/>
                <w:b w:val="0"/>
                <w:sz w:val="24"/>
                <w:szCs w:val="24"/>
              </w:rPr>
              <w:t>(</w:t>
            </w:r>
            <w:r w:rsidRPr="00DD65E1">
              <w:rPr>
                <w:rFonts w:ascii="Times New Roman" w:hAnsi="Times New Roman"/>
                <w:b w:val="0"/>
                <w:sz w:val="24"/>
                <w:szCs w:val="24"/>
              </w:rPr>
              <w:fldChar w:fldCharType="begin"/>
            </w:r>
            <w:r w:rsidRPr="00DD65E1">
              <w:rPr>
                <w:rFonts w:ascii="Times New Roman" w:hAnsi="Times New Roman"/>
                <w:b w:val="0"/>
                <w:sz w:val="24"/>
                <w:szCs w:val="24"/>
              </w:rPr>
              <w:instrText xml:space="preserve"> SEQ Équation \* ARABIC \s 2 </w:instrText>
            </w:r>
            <w:r w:rsidRPr="00DD65E1">
              <w:rPr>
                <w:rFonts w:ascii="Times New Roman" w:hAnsi="Times New Roman"/>
                <w:b w:val="0"/>
                <w:sz w:val="24"/>
                <w:szCs w:val="24"/>
              </w:rPr>
              <w:fldChar w:fldCharType="separate"/>
            </w:r>
            <w:r w:rsidRPr="00DD65E1">
              <w:rPr>
                <w:rFonts w:ascii="Times New Roman" w:hAnsi="Times New Roman"/>
                <w:b w:val="0"/>
                <w:sz w:val="24"/>
                <w:szCs w:val="24"/>
              </w:rPr>
              <w:t>2</w:t>
            </w:r>
            <w:r w:rsidRPr="00DD65E1">
              <w:rPr>
                <w:rFonts w:ascii="Times New Roman" w:hAnsi="Times New Roman"/>
                <w:b w:val="0"/>
                <w:sz w:val="24"/>
                <w:szCs w:val="24"/>
              </w:rPr>
              <w:fldChar w:fldCharType="end"/>
            </w:r>
            <w:r w:rsidRPr="00DD65E1">
              <w:rPr>
                <w:rFonts w:ascii="Times New Roman" w:hAnsi="Times New Roman"/>
                <w:b w:val="0"/>
                <w:sz w:val="24"/>
                <w:szCs w:val="24"/>
              </w:rPr>
              <w:t>)</w:t>
            </w:r>
          </w:p>
        </w:tc>
      </w:tr>
    </w:tbl>
    <w:p w14:paraId="138D9B88" w14:textId="77777777" w:rsidR="007F446F" w:rsidRPr="004C0771" w:rsidRDefault="007F446F" w:rsidP="006233DD">
      <w:pPr>
        <w:pStyle w:val="ParagrapheDoctorat"/>
        <w:spacing w:line="480" w:lineRule="auto"/>
        <w:jc w:val="left"/>
        <w:rPr>
          <w:rFonts w:ascii="Times New Roman" w:hAnsi="Times New Roman"/>
          <w:sz w:val="24"/>
        </w:rPr>
      </w:pPr>
    </w:p>
    <w:p w14:paraId="3A947318" w14:textId="63FA75F5" w:rsidR="007F446F" w:rsidRPr="004C0771" w:rsidRDefault="007F446F" w:rsidP="006233DD">
      <w:pPr>
        <w:spacing w:line="480" w:lineRule="auto"/>
        <w:jc w:val="both"/>
        <w:rPr>
          <w:rFonts w:ascii="Times New Roman" w:hAnsi="Times New Roman"/>
          <w:sz w:val="24"/>
          <w:szCs w:val="24"/>
        </w:rPr>
      </w:pPr>
      <w:r w:rsidRPr="004C0771">
        <w:rPr>
          <w:rFonts w:ascii="Times New Roman" w:hAnsi="Times New Roman"/>
          <w:sz w:val="24"/>
          <w:szCs w:val="24"/>
        </w:rPr>
        <w:t xml:space="preserve">where NS stands for the percentage of native speakers of the official languages, and </w:t>
      </w:r>
      <w:proofErr w:type="spellStart"/>
      <w:r w:rsidRPr="004C0771">
        <w:rPr>
          <w:rFonts w:ascii="Times New Roman" w:hAnsi="Times New Roman"/>
          <w:sz w:val="24"/>
          <w:szCs w:val="24"/>
        </w:rPr>
        <w:t>NNS</w:t>
      </w:r>
      <w:r w:rsidRPr="004C0771">
        <w:rPr>
          <w:rFonts w:ascii="Times New Roman" w:hAnsi="Times New Roman"/>
          <w:sz w:val="24"/>
          <w:szCs w:val="24"/>
          <w:vertAlign w:val="subscript"/>
        </w:rPr>
        <w:t>p</w:t>
      </w:r>
      <w:proofErr w:type="spellEnd"/>
      <w:r w:rsidRPr="004C0771">
        <w:rPr>
          <w:rFonts w:ascii="Times New Roman" w:hAnsi="Times New Roman"/>
          <w:sz w:val="24"/>
          <w:szCs w:val="24"/>
        </w:rPr>
        <w:t xml:space="preserve"> stands for the percentage of non-native speakers who, according to the AES self-evaluation scale, declare a proficient level of knowledge of at least one official language as a first or second foreign language.</w:t>
      </w:r>
      <w:r w:rsidRPr="004C0771">
        <w:rPr>
          <w:rStyle w:val="FootnoteReference"/>
          <w:rFonts w:ascii="Times New Roman" w:hAnsi="Times New Roman"/>
          <w:sz w:val="24"/>
          <w:szCs w:val="24"/>
        </w:rPr>
        <w:footnoteReference w:id="4"/>
      </w:r>
      <w:r w:rsidRPr="004C0771">
        <w:rPr>
          <w:rFonts w:ascii="Times New Roman" w:hAnsi="Times New Roman"/>
          <w:sz w:val="24"/>
          <w:szCs w:val="24"/>
        </w:rPr>
        <w:t xml:space="preserve"> A ‘good’ level of </w:t>
      </w:r>
      <w:r>
        <w:rPr>
          <w:rFonts w:ascii="Times New Roman" w:hAnsi="Times New Roman"/>
          <w:sz w:val="24"/>
          <w:szCs w:val="24"/>
        </w:rPr>
        <w:t>language knowledge</w:t>
      </w:r>
      <w:r w:rsidRPr="004C0771">
        <w:rPr>
          <w:rFonts w:ascii="Times New Roman" w:hAnsi="Times New Roman"/>
          <w:sz w:val="24"/>
          <w:szCs w:val="24"/>
        </w:rPr>
        <w:t xml:space="preserve"> is not likely to be enough to communicate with EU institutions without too much effort, and certainly not at the same level of confidence of native </w:t>
      </w:r>
      <w:r w:rsidRPr="004C0771">
        <w:rPr>
          <w:rFonts w:ascii="Times New Roman" w:hAnsi="Times New Roman"/>
          <w:sz w:val="24"/>
          <w:szCs w:val="24"/>
        </w:rPr>
        <w:lastRenderedPageBreak/>
        <w:t>speaker</w:t>
      </w:r>
      <w:r>
        <w:rPr>
          <w:rFonts w:ascii="Times New Roman" w:hAnsi="Times New Roman"/>
          <w:sz w:val="24"/>
          <w:szCs w:val="24"/>
        </w:rPr>
        <w:t>s</w:t>
      </w:r>
      <w:r w:rsidRPr="004C0771">
        <w:rPr>
          <w:rFonts w:ascii="Times New Roman" w:hAnsi="Times New Roman"/>
          <w:sz w:val="24"/>
          <w:szCs w:val="24"/>
        </w:rPr>
        <w:t xml:space="preserve"> </w:t>
      </w:r>
      <w:r>
        <w:rPr>
          <w:rFonts w:ascii="Times New Roman" w:hAnsi="Times New Roman"/>
          <w:sz w:val="24"/>
          <w:szCs w:val="24"/>
        </w:rPr>
        <w:t xml:space="preserve">of the official language </w:t>
      </w:r>
      <w:r w:rsidRPr="004C0771">
        <w:rPr>
          <w:rFonts w:ascii="Times New Roman" w:hAnsi="Times New Roman"/>
          <w:sz w:val="24"/>
          <w:szCs w:val="24"/>
        </w:rPr>
        <w:t xml:space="preserve">or </w:t>
      </w:r>
      <w:r>
        <w:rPr>
          <w:rFonts w:ascii="Times New Roman" w:hAnsi="Times New Roman"/>
          <w:sz w:val="24"/>
          <w:szCs w:val="24"/>
        </w:rPr>
        <w:t xml:space="preserve">people who are </w:t>
      </w:r>
      <w:r w:rsidRPr="004C0771">
        <w:rPr>
          <w:rFonts w:ascii="Times New Roman" w:hAnsi="Times New Roman"/>
          <w:sz w:val="24"/>
          <w:szCs w:val="24"/>
        </w:rPr>
        <w:t>proficient in</w:t>
      </w:r>
      <w:r>
        <w:rPr>
          <w:rFonts w:ascii="Times New Roman" w:hAnsi="Times New Roman"/>
          <w:sz w:val="24"/>
          <w:szCs w:val="24"/>
        </w:rPr>
        <w:t xml:space="preserve"> it</w:t>
      </w:r>
      <w:r w:rsidRPr="004C0771">
        <w:rPr>
          <w:rFonts w:ascii="Times New Roman" w:hAnsi="Times New Roman"/>
          <w:sz w:val="24"/>
          <w:szCs w:val="24"/>
        </w:rPr>
        <w:t>. In this article, both disenfranchisement rates are used because they denote a lower and an upper bound.</w:t>
      </w:r>
    </w:p>
    <w:p w14:paraId="6C102C85" w14:textId="2BDF3BA4" w:rsidR="007F446F" w:rsidRPr="004C0771" w:rsidRDefault="007F446F" w:rsidP="006233DD">
      <w:pPr>
        <w:pStyle w:val="Heading2"/>
        <w:spacing w:line="480" w:lineRule="auto"/>
        <w:rPr>
          <w:rFonts w:ascii="Times New Roman" w:hAnsi="Times New Roman"/>
          <w:color w:val="auto"/>
          <w:sz w:val="24"/>
          <w:szCs w:val="24"/>
        </w:rPr>
      </w:pPr>
      <w:r w:rsidRPr="004C0771">
        <w:rPr>
          <w:rFonts w:ascii="Times New Roman" w:hAnsi="Times New Roman"/>
          <w:color w:val="auto"/>
          <w:sz w:val="24"/>
          <w:szCs w:val="24"/>
        </w:rPr>
        <w:t>Linguistic Disenfranchisement in the EU</w:t>
      </w:r>
    </w:p>
    <w:p w14:paraId="4388CB20" w14:textId="2DFFCACF" w:rsidR="007F446F" w:rsidRPr="004C0771" w:rsidRDefault="007F446F" w:rsidP="006233DD">
      <w:pPr>
        <w:spacing w:line="480" w:lineRule="auto"/>
        <w:jc w:val="both"/>
        <w:rPr>
          <w:rFonts w:ascii="Times New Roman" w:hAnsi="Times New Roman"/>
          <w:sz w:val="24"/>
          <w:szCs w:val="24"/>
        </w:rPr>
      </w:pPr>
      <w:r w:rsidRPr="004C0771">
        <w:rPr>
          <w:rFonts w:ascii="Times New Roman" w:hAnsi="Times New Roman"/>
          <w:sz w:val="24"/>
          <w:szCs w:val="24"/>
        </w:rPr>
        <w:t xml:space="preserve">Four language regimes are compared. The first one corresponds to the </w:t>
      </w:r>
      <w:r w:rsidRPr="004C0771">
        <w:rPr>
          <w:rFonts w:ascii="Times New Roman" w:hAnsi="Times New Roman"/>
          <w:i/>
          <w:sz w:val="24"/>
          <w:szCs w:val="24"/>
        </w:rPr>
        <w:t>status quo</w:t>
      </w:r>
      <w:r w:rsidRPr="004C0771">
        <w:rPr>
          <w:rFonts w:ascii="Times New Roman" w:hAnsi="Times New Roman"/>
          <w:sz w:val="24"/>
          <w:szCs w:val="24"/>
        </w:rPr>
        <w:t xml:space="preserve">, that is, a </w:t>
      </w:r>
      <w:r w:rsidRPr="004C0771">
        <w:rPr>
          <w:rFonts w:ascii="Times New Roman" w:hAnsi="Times New Roman"/>
          <w:i/>
          <w:sz w:val="24"/>
          <w:szCs w:val="24"/>
        </w:rPr>
        <w:t xml:space="preserve">multilingual </w:t>
      </w:r>
      <w:r w:rsidRPr="004C0771">
        <w:rPr>
          <w:rFonts w:ascii="Times New Roman" w:hAnsi="Times New Roman"/>
          <w:sz w:val="24"/>
          <w:szCs w:val="24"/>
        </w:rPr>
        <w:t xml:space="preserve">language policy based on 22 official languages (Croatian and Romanian are excluded from the analysis because Croatia and Romania are not included in the set of countries examined). </w:t>
      </w:r>
      <w:proofErr w:type="gramStart"/>
      <w:r w:rsidRPr="004C0771">
        <w:rPr>
          <w:rFonts w:ascii="Times New Roman" w:hAnsi="Times New Roman"/>
          <w:sz w:val="24"/>
          <w:szCs w:val="24"/>
        </w:rPr>
        <w:t>On the basis of</w:t>
      </w:r>
      <w:proofErr w:type="gramEnd"/>
      <w:r w:rsidRPr="004C0771">
        <w:rPr>
          <w:rFonts w:ascii="Times New Roman" w:hAnsi="Times New Roman"/>
          <w:sz w:val="24"/>
          <w:szCs w:val="24"/>
        </w:rPr>
        <w:t xml:space="preserve"> the alternative scenarios most frequently discussed in the literature, three counterfactuals are identified, that is:</w:t>
      </w:r>
    </w:p>
    <w:p w14:paraId="71E5582C" w14:textId="77777777" w:rsidR="007F446F" w:rsidRPr="004C0771" w:rsidRDefault="007F446F" w:rsidP="006233DD">
      <w:pPr>
        <w:pStyle w:val="ListParagraph"/>
        <w:numPr>
          <w:ilvl w:val="0"/>
          <w:numId w:val="5"/>
        </w:numPr>
        <w:spacing w:line="480" w:lineRule="auto"/>
        <w:jc w:val="both"/>
        <w:rPr>
          <w:rFonts w:ascii="Times New Roman" w:hAnsi="Times New Roman"/>
          <w:sz w:val="24"/>
          <w:szCs w:val="24"/>
        </w:rPr>
      </w:pPr>
      <w:r w:rsidRPr="004C0771">
        <w:rPr>
          <w:rFonts w:ascii="Times New Roman" w:hAnsi="Times New Roman"/>
          <w:sz w:val="24"/>
          <w:szCs w:val="24"/>
        </w:rPr>
        <w:t xml:space="preserve">an </w:t>
      </w:r>
      <w:proofErr w:type="spellStart"/>
      <w:r w:rsidRPr="004C0771">
        <w:rPr>
          <w:rFonts w:ascii="Times New Roman" w:hAnsi="Times New Roman"/>
          <w:i/>
          <w:sz w:val="24"/>
          <w:szCs w:val="24"/>
        </w:rPr>
        <w:t>hexalingual</w:t>
      </w:r>
      <w:proofErr w:type="spellEnd"/>
      <w:r w:rsidRPr="004C0771">
        <w:rPr>
          <w:rFonts w:ascii="Times New Roman" w:hAnsi="Times New Roman"/>
          <w:i/>
          <w:sz w:val="24"/>
          <w:szCs w:val="24"/>
        </w:rPr>
        <w:t xml:space="preserve"> </w:t>
      </w:r>
      <w:r w:rsidRPr="004C0771">
        <w:rPr>
          <w:rFonts w:ascii="Times New Roman" w:hAnsi="Times New Roman"/>
          <w:sz w:val="24"/>
          <w:szCs w:val="24"/>
        </w:rPr>
        <w:t>language regime including six languages, namely, English, French, German, Italian, Polish and Spanish. In terms of native speakers, these languages are the largest EU official languages;</w:t>
      </w:r>
    </w:p>
    <w:p w14:paraId="0674901E" w14:textId="77777777" w:rsidR="007F446F" w:rsidRPr="004C0771" w:rsidRDefault="007F446F" w:rsidP="006233DD">
      <w:pPr>
        <w:pStyle w:val="ListParagraph"/>
        <w:numPr>
          <w:ilvl w:val="0"/>
          <w:numId w:val="5"/>
        </w:numPr>
        <w:spacing w:line="480" w:lineRule="auto"/>
        <w:jc w:val="both"/>
        <w:rPr>
          <w:rFonts w:ascii="Times New Roman" w:hAnsi="Times New Roman"/>
          <w:sz w:val="24"/>
          <w:szCs w:val="24"/>
        </w:rPr>
      </w:pPr>
      <w:r w:rsidRPr="004C0771">
        <w:rPr>
          <w:rFonts w:ascii="Times New Roman" w:hAnsi="Times New Roman"/>
          <w:sz w:val="24"/>
          <w:szCs w:val="24"/>
        </w:rPr>
        <w:t xml:space="preserve">a </w:t>
      </w:r>
      <w:r w:rsidRPr="004C0771">
        <w:rPr>
          <w:rFonts w:ascii="Times New Roman" w:hAnsi="Times New Roman"/>
          <w:i/>
          <w:sz w:val="24"/>
          <w:szCs w:val="24"/>
        </w:rPr>
        <w:t xml:space="preserve">trilingual </w:t>
      </w:r>
      <w:r w:rsidRPr="004C0771">
        <w:rPr>
          <w:rFonts w:ascii="Times New Roman" w:hAnsi="Times New Roman"/>
          <w:sz w:val="24"/>
          <w:szCs w:val="24"/>
        </w:rPr>
        <w:t xml:space="preserve">language regime based on English, French and German; </w:t>
      </w:r>
    </w:p>
    <w:p w14:paraId="40C97364" w14:textId="77777777" w:rsidR="007F446F" w:rsidRPr="004C0771" w:rsidRDefault="007F446F" w:rsidP="006233DD">
      <w:pPr>
        <w:pStyle w:val="ListParagraph"/>
        <w:numPr>
          <w:ilvl w:val="0"/>
          <w:numId w:val="5"/>
        </w:numPr>
        <w:spacing w:line="480" w:lineRule="auto"/>
        <w:jc w:val="both"/>
        <w:rPr>
          <w:rFonts w:ascii="Times New Roman" w:hAnsi="Times New Roman"/>
          <w:sz w:val="24"/>
          <w:szCs w:val="24"/>
        </w:rPr>
      </w:pPr>
      <w:r w:rsidRPr="004C0771">
        <w:rPr>
          <w:rFonts w:ascii="Times New Roman" w:hAnsi="Times New Roman"/>
          <w:sz w:val="24"/>
          <w:szCs w:val="24"/>
        </w:rPr>
        <w:t xml:space="preserve">a </w:t>
      </w:r>
      <w:r w:rsidRPr="004C0771">
        <w:rPr>
          <w:rFonts w:ascii="Times New Roman" w:hAnsi="Times New Roman"/>
          <w:i/>
          <w:sz w:val="24"/>
          <w:szCs w:val="24"/>
        </w:rPr>
        <w:t>monolingual</w:t>
      </w:r>
      <w:r w:rsidRPr="004C0771">
        <w:rPr>
          <w:rFonts w:ascii="Times New Roman" w:hAnsi="Times New Roman"/>
          <w:sz w:val="24"/>
          <w:szCs w:val="24"/>
        </w:rPr>
        <w:t xml:space="preserve"> (or English-only) language policy.</w:t>
      </w:r>
    </w:p>
    <w:p w14:paraId="6CC46BE6" w14:textId="29A56795" w:rsidR="007F446F" w:rsidRPr="004C0771" w:rsidRDefault="007F446F" w:rsidP="006233DD">
      <w:pPr>
        <w:spacing w:line="480" w:lineRule="auto"/>
        <w:jc w:val="both"/>
        <w:rPr>
          <w:rFonts w:ascii="Times New Roman" w:hAnsi="Times New Roman"/>
          <w:bCs/>
          <w:sz w:val="24"/>
          <w:szCs w:val="24"/>
        </w:rPr>
      </w:pPr>
      <w:r w:rsidRPr="004C0771">
        <w:rPr>
          <w:rFonts w:ascii="Times New Roman" w:hAnsi="Times New Roman"/>
          <w:sz w:val="24"/>
          <w:szCs w:val="24"/>
        </w:rPr>
        <w:t xml:space="preserve">The results are presented in the last row of </w:t>
      </w:r>
      <w:r w:rsidRPr="004C0771">
        <w:rPr>
          <w:rFonts w:ascii="Times New Roman" w:hAnsi="Times New Roman"/>
          <w:sz w:val="24"/>
          <w:szCs w:val="24"/>
        </w:rPr>
        <w:fldChar w:fldCharType="begin"/>
      </w:r>
      <w:r w:rsidRPr="004C0771">
        <w:rPr>
          <w:rFonts w:ascii="Times New Roman" w:hAnsi="Times New Roman"/>
          <w:sz w:val="24"/>
          <w:szCs w:val="24"/>
        </w:rPr>
        <w:instrText xml:space="preserve"> REF _Ref386191566 \h  \* MERGEFORMAT </w:instrText>
      </w:r>
      <w:r w:rsidRPr="004C0771">
        <w:rPr>
          <w:rFonts w:ascii="Times New Roman" w:hAnsi="Times New Roman"/>
          <w:sz w:val="24"/>
          <w:szCs w:val="24"/>
        </w:rPr>
      </w:r>
      <w:r w:rsidRPr="004C0771">
        <w:rPr>
          <w:rFonts w:ascii="Times New Roman" w:hAnsi="Times New Roman"/>
          <w:sz w:val="24"/>
          <w:szCs w:val="24"/>
        </w:rPr>
        <w:fldChar w:fldCharType="separate"/>
      </w:r>
      <w:r w:rsidRPr="004C0771">
        <w:rPr>
          <w:rFonts w:ascii="Times New Roman" w:hAnsi="Times New Roman"/>
          <w:sz w:val="24"/>
          <w:szCs w:val="24"/>
        </w:rPr>
        <w:t>Table 1</w:t>
      </w:r>
      <w:r w:rsidRPr="004C0771">
        <w:rPr>
          <w:rFonts w:ascii="Times New Roman" w:hAnsi="Times New Roman"/>
          <w:sz w:val="24"/>
          <w:szCs w:val="24"/>
        </w:rPr>
        <w:fldChar w:fldCharType="end"/>
      </w:r>
      <w:r w:rsidRPr="004C0771">
        <w:rPr>
          <w:rFonts w:ascii="Times New Roman" w:hAnsi="Times New Roman"/>
          <w:sz w:val="24"/>
          <w:szCs w:val="24"/>
        </w:rPr>
        <w:t xml:space="preserve">, and they are consistent with those reported in other studies that use different datasets. Table 1 shows net values, that is, there is no double counting. For example, someone knowing both French and English is </w:t>
      </w:r>
      <w:proofErr w:type="gramStart"/>
      <w:r w:rsidRPr="004C0771">
        <w:rPr>
          <w:rFonts w:ascii="Times New Roman" w:hAnsi="Times New Roman"/>
          <w:sz w:val="24"/>
          <w:szCs w:val="24"/>
        </w:rPr>
        <w:t>taken into account</w:t>
      </w:r>
      <w:proofErr w:type="gramEnd"/>
      <w:r w:rsidRPr="004C0771">
        <w:rPr>
          <w:rFonts w:ascii="Times New Roman" w:hAnsi="Times New Roman"/>
          <w:sz w:val="24"/>
          <w:szCs w:val="24"/>
        </w:rPr>
        <w:t xml:space="preserve"> only once when computing the disenfranchisement rate corresponding to a trilingual language regime. </w:t>
      </w:r>
      <w:r w:rsidRPr="004C0771">
        <w:rPr>
          <w:rFonts w:ascii="Times New Roman" w:hAnsi="Times New Roman"/>
          <w:bCs/>
          <w:sz w:val="24"/>
          <w:szCs w:val="24"/>
        </w:rPr>
        <w:t xml:space="preserve">The AES-2011 does not contain data on the language attributes and the language skills of UK residents. Moreover, 5.3% of Irish residents declare to have no native language. This may be due to some errors in data collection or to a negative attitude of some Irish native speakers of English towards this language (on this point see Mac </w:t>
      </w:r>
      <w:proofErr w:type="spellStart"/>
      <w:r w:rsidRPr="004C0771">
        <w:rPr>
          <w:rFonts w:ascii="Times New Roman" w:hAnsi="Times New Roman"/>
          <w:bCs/>
          <w:sz w:val="24"/>
          <w:szCs w:val="24"/>
        </w:rPr>
        <w:t>Gréil</w:t>
      </w:r>
      <w:proofErr w:type="spellEnd"/>
      <w:r w:rsidRPr="004C0771">
        <w:rPr>
          <w:rFonts w:ascii="Times New Roman" w:hAnsi="Times New Roman"/>
          <w:bCs/>
          <w:sz w:val="24"/>
          <w:szCs w:val="24"/>
        </w:rPr>
        <w:t xml:space="preserve"> and </w:t>
      </w:r>
      <w:proofErr w:type="spellStart"/>
      <w:r w:rsidRPr="004C0771">
        <w:rPr>
          <w:rFonts w:ascii="Times New Roman" w:hAnsi="Times New Roman"/>
          <w:bCs/>
          <w:sz w:val="24"/>
          <w:szCs w:val="24"/>
        </w:rPr>
        <w:t>Rhatigan</w:t>
      </w:r>
      <w:proofErr w:type="spellEnd"/>
      <w:r w:rsidRPr="004C0771">
        <w:rPr>
          <w:rFonts w:ascii="Times New Roman" w:hAnsi="Times New Roman"/>
          <w:bCs/>
          <w:sz w:val="24"/>
          <w:szCs w:val="24"/>
        </w:rPr>
        <w:t>, 2009).</w:t>
      </w:r>
    </w:p>
    <w:p w14:paraId="0B5C886A" w14:textId="7B66FE0B" w:rsidR="007F446F" w:rsidRPr="004C0771" w:rsidRDefault="007F446F" w:rsidP="006233DD">
      <w:pPr>
        <w:spacing w:line="480" w:lineRule="auto"/>
        <w:jc w:val="both"/>
        <w:rPr>
          <w:rFonts w:ascii="Times New Roman" w:hAnsi="Times New Roman"/>
          <w:sz w:val="24"/>
          <w:szCs w:val="24"/>
        </w:rPr>
      </w:pPr>
      <w:proofErr w:type="gramStart"/>
      <w:r w:rsidRPr="004C0771">
        <w:rPr>
          <w:rFonts w:ascii="Times New Roman" w:hAnsi="Times New Roman"/>
          <w:bCs/>
          <w:sz w:val="24"/>
          <w:szCs w:val="24"/>
        </w:rPr>
        <w:t>In order to</w:t>
      </w:r>
      <w:proofErr w:type="gramEnd"/>
      <w:r w:rsidRPr="004C0771">
        <w:rPr>
          <w:rFonts w:ascii="Times New Roman" w:hAnsi="Times New Roman"/>
          <w:bCs/>
          <w:sz w:val="24"/>
          <w:szCs w:val="24"/>
        </w:rPr>
        <w:t xml:space="preserve"> avoid the exclusion of these two countries, </w:t>
      </w:r>
      <w:r>
        <w:rPr>
          <w:rFonts w:ascii="Times New Roman" w:hAnsi="Times New Roman"/>
          <w:bCs/>
          <w:sz w:val="24"/>
          <w:szCs w:val="24"/>
        </w:rPr>
        <w:t xml:space="preserve">I assume </w:t>
      </w:r>
      <w:r w:rsidRPr="004C0771">
        <w:rPr>
          <w:rFonts w:ascii="Times New Roman" w:hAnsi="Times New Roman"/>
          <w:bCs/>
          <w:sz w:val="24"/>
          <w:szCs w:val="24"/>
        </w:rPr>
        <w:t>that all</w:t>
      </w:r>
      <w:r w:rsidRPr="004C0771">
        <w:rPr>
          <w:rFonts w:ascii="Times New Roman" w:hAnsi="Times New Roman"/>
          <w:bCs/>
          <w:i/>
          <w:sz w:val="24"/>
          <w:szCs w:val="24"/>
        </w:rPr>
        <w:t xml:space="preserve"> </w:t>
      </w:r>
      <w:r w:rsidRPr="004C0771">
        <w:rPr>
          <w:rFonts w:ascii="Times New Roman" w:hAnsi="Times New Roman"/>
          <w:bCs/>
          <w:sz w:val="24"/>
          <w:szCs w:val="24"/>
        </w:rPr>
        <w:t xml:space="preserve">residents in the UK and Ireland are either native speakers of English or proficient in English as a foreign language according to the definition provided above. </w:t>
      </w:r>
      <w:proofErr w:type="gramStart"/>
      <w:r w:rsidRPr="004C0771">
        <w:rPr>
          <w:rFonts w:ascii="Times New Roman" w:hAnsi="Times New Roman"/>
          <w:bCs/>
          <w:sz w:val="24"/>
          <w:szCs w:val="24"/>
        </w:rPr>
        <w:t>As a result of</w:t>
      </w:r>
      <w:proofErr w:type="gramEnd"/>
      <w:r w:rsidRPr="004C0771">
        <w:rPr>
          <w:rFonts w:ascii="Times New Roman" w:hAnsi="Times New Roman"/>
          <w:bCs/>
          <w:sz w:val="24"/>
          <w:szCs w:val="24"/>
        </w:rPr>
        <w:t xml:space="preserve"> this choice and of the omission of three non-English </w:t>
      </w:r>
      <w:r w:rsidRPr="004C0771">
        <w:rPr>
          <w:rFonts w:ascii="Times New Roman" w:hAnsi="Times New Roman"/>
          <w:bCs/>
          <w:sz w:val="24"/>
          <w:szCs w:val="24"/>
        </w:rPr>
        <w:lastRenderedPageBreak/>
        <w:t xml:space="preserve">speaking countries (Croatia, Holland and Romania), in this study </w:t>
      </w:r>
      <w:r w:rsidRPr="004C0771">
        <w:rPr>
          <w:rFonts w:ascii="Times New Roman" w:hAnsi="Times New Roman"/>
          <w:sz w:val="24"/>
          <w:szCs w:val="24"/>
        </w:rPr>
        <w:t>the percentage of people knowing English in Europe is slightly overestimated.</w:t>
      </w:r>
    </w:p>
    <w:p w14:paraId="77EA101D" w14:textId="77777777" w:rsidR="007F446F" w:rsidRPr="004C0771" w:rsidRDefault="007F446F" w:rsidP="006233DD">
      <w:pPr>
        <w:pStyle w:val="Caption"/>
        <w:spacing w:line="480" w:lineRule="auto"/>
        <w:jc w:val="center"/>
        <w:rPr>
          <w:rFonts w:ascii="Times New Roman" w:hAnsi="Times New Roman"/>
          <w:b w:val="0"/>
          <w:i/>
          <w:color w:val="auto"/>
          <w:sz w:val="24"/>
          <w:szCs w:val="24"/>
        </w:rPr>
      </w:pPr>
      <w:bookmarkStart w:id="0" w:name="_Ref386191566"/>
      <w:r w:rsidRPr="004C0771">
        <w:rPr>
          <w:rFonts w:ascii="Times New Roman" w:hAnsi="Times New Roman"/>
          <w:b w:val="0"/>
          <w:i/>
          <w:color w:val="auto"/>
          <w:sz w:val="24"/>
          <w:szCs w:val="24"/>
        </w:rPr>
        <w:t xml:space="preserve">Table </w:t>
      </w:r>
      <w:r w:rsidRPr="004C0771">
        <w:rPr>
          <w:rFonts w:ascii="Times New Roman" w:hAnsi="Times New Roman"/>
          <w:b w:val="0"/>
          <w:i/>
          <w:color w:val="auto"/>
          <w:sz w:val="24"/>
          <w:szCs w:val="24"/>
        </w:rPr>
        <w:fldChar w:fldCharType="begin"/>
      </w:r>
      <w:r w:rsidRPr="004C0771">
        <w:rPr>
          <w:rFonts w:ascii="Times New Roman" w:hAnsi="Times New Roman"/>
          <w:b w:val="0"/>
          <w:i/>
          <w:color w:val="auto"/>
          <w:sz w:val="24"/>
          <w:szCs w:val="24"/>
        </w:rPr>
        <w:instrText xml:space="preserve"> SEQ Table \* ARABIC </w:instrText>
      </w:r>
      <w:r w:rsidRPr="004C0771">
        <w:rPr>
          <w:rFonts w:ascii="Times New Roman" w:hAnsi="Times New Roman"/>
          <w:b w:val="0"/>
          <w:i/>
          <w:color w:val="auto"/>
          <w:sz w:val="24"/>
          <w:szCs w:val="24"/>
        </w:rPr>
        <w:fldChar w:fldCharType="separate"/>
      </w:r>
      <w:r w:rsidRPr="004C0771">
        <w:rPr>
          <w:rFonts w:ascii="Times New Roman" w:hAnsi="Times New Roman"/>
          <w:b w:val="0"/>
          <w:i/>
          <w:color w:val="auto"/>
          <w:sz w:val="24"/>
          <w:szCs w:val="24"/>
        </w:rPr>
        <w:t>1</w:t>
      </w:r>
      <w:r w:rsidRPr="004C0771">
        <w:rPr>
          <w:rFonts w:ascii="Times New Roman" w:hAnsi="Times New Roman"/>
          <w:b w:val="0"/>
          <w:i/>
          <w:color w:val="auto"/>
          <w:sz w:val="24"/>
          <w:szCs w:val="24"/>
        </w:rPr>
        <w:fldChar w:fldCharType="end"/>
      </w:r>
      <w:bookmarkEnd w:id="0"/>
      <w:r w:rsidRPr="004C0771">
        <w:rPr>
          <w:rFonts w:ascii="Times New Roman" w:hAnsi="Times New Roman"/>
          <w:b w:val="0"/>
          <w:i/>
          <w:color w:val="auto"/>
          <w:sz w:val="24"/>
          <w:szCs w:val="24"/>
        </w:rPr>
        <w:t>  here</w:t>
      </w:r>
    </w:p>
    <w:p w14:paraId="69791EEB" w14:textId="281E2F00" w:rsidR="007F446F" w:rsidRPr="004C0771" w:rsidRDefault="007F446F" w:rsidP="006233DD">
      <w:pPr>
        <w:spacing w:line="480" w:lineRule="auto"/>
        <w:jc w:val="both"/>
        <w:rPr>
          <w:rFonts w:ascii="Times New Roman" w:hAnsi="Times New Roman"/>
          <w:sz w:val="24"/>
          <w:szCs w:val="24"/>
        </w:rPr>
      </w:pPr>
      <w:r w:rsidRPr="004C0771">
        <w:rPr>
          <w:rFonts w:ascii="Times New Roman" w:hAnsi="Times New Roman"/>
          <w:sz w:val="24"/>
          <w:szCs w:val="24"/>
        </w:rPr>
        <w:fldChar w:fldCharType="begin"/>
      </w:r>
      <w:r w:rsidRPr="004C0771">
        <w:rPr>
          <w:rFonts w:ascii="Times New Roman" w:hAnsi="Times New Roman"/>
          <w:sz w:val="24"/>
          <w:szCs w:val="24"/>
        </w:rPr>
        <w:instrText xml:space="preserve"> REF _Ref386191566 \h  \* MERGEFORMAT </w:instrText>
      </w:r>
      <w:r w:rsidRPr="004C0771">
        <w:rPr>
          <w:rFonts w:ascii="Times New Roman" w:hAnsi="Times New Roman"/>
          <w:sz w:val="24"/>
          <w:szCs w:val="24"/>
        </w:rPr>
      </w:r>
      <w:r w:rsidRPr="004C0771">
        <w:rPr>
          <w:rFonts w:ascii="Times New Roman" w:hAnsi="Times New Roman"/>
          <w:sz w:val="24"/>
          <w:szCs w:val="24"/>
        </w:rPr>
        <w:fldChar w:fldCharType="separate"/>
      </w:r>
      <w:r w:rsidRPr="004C0771">
        <w:rPr>
          <w:rFonts w:ascii="Times New Roman" w:hAnsi="Times New Roman"/>
          <w:sz w:val="24"/>
          <w:szCs w:val="24"/>
        </w:rPr>
        <w:t>Table 1</w:t>
      </w:r>
      <w:r w:rsidRPr="004C0771">
        <w:rPr>
          <w:rFonts w:ascii="Times New Roman" w:hAnsi="Times New Roman"/>
          <w:sz w:val="24"/>
          <w:szCs w:val="24"/>
        </w:rPr>
        <w:fldChar w:fldCharType="end"/>
      </w:r>
      <w:r w:rsidRPr="004C0771">
        <w:rPr>
          <w:rFonts w:ascii="Times New Roman" w:hAnsi="Times New Roman"/>
          <w:sz w:val="24"/>
          <w:szCs w:val="24"/>
        </w:rPr>
        <w:t xml:space="preserve"> shows that there is a significant difference between absolute and relative disenfranchisement rates. This implies that, on average, EU residents in the 25 countries examined do not have high skills in foreign languages. For example, 55% of EU residents in the sample declare themselves as having at least a fair knowledge of English, including native speakers. Yet, the percentage of residents who declare </w:t>
      </w:r>
      <w:r>
        <w:rPr>
          <w:rFonts w:ascii="Times New Roman" w:hAnsi="Times New Roman"/>
          <w:sz w:val="24"/>
          <w:szCs w:val="24"/>
        </w:rPr>
        <w:t>to be</w:t>
      </w:r>
      <w:r w:rsidRPr="004C0771">
        <w:rPr>
          <w:rFonts w:ascii="Times New Roman" w:hAnsi="Times New Roman"/>
          <w:sz w:val="24"/>
          <w:szCs w:val="24"/>
        </w:rPr>
        <w:t xml:space="preserve"> native speakers of English or proficient non-natives is much lower (13% and 8% of the sample, respectively). Data reveal that knowledge of English is still not a ‘basic skill’ or a universal lingua franca in Europe yet. In 25 countries considered, between 45% and 79% of the population either do speak it or know it to a level that is not likely to be high enough to take part in EU business without too much effort.</w:t>
      </w:r>
    </w:p>
    <w:p w14:paraId="66A41D46" w14:textId="1D5CC7FA" w:rsidR="007F446F" w:rsidRPr="004C0771" w:rsidRDefault="007F446F" w:rsidP="006233DD">
      <w:pPr>
        <w:spacing w:line="480" w:lineRule="auto"/>
        <w:jc w:val="both"/>
        <w:rPr>
          <w:rFonts w:ascii="Times New Roman" w:hAnsi="Times New Roman"/>
          <w:sz w:val="24"/>
          <w:szCs w:val="24"/>
        </w:rPr>
      </w:pPr>
      <w:r w:rsidRPr="004C0771">
        <w:rPr>
          <w:rFonts w:ascii="Times New Roman" w:hAnsi="Times New Roman"/>
          <w:sz w:val="24"/>
          <w:szCs w:val="24"/>
        </w:rPr>
        <w:t xml:space="preserve">The </w:t>
      </w:r>
      <w:proofErr w:type="spellStart"/>
      <w:r w:rsidRPr="004C0771">
        <w:rPr>
          <w:rFonts w:ascii="Times New Roman" w:hAnsi="Times New Roman"/>
          <w:sz w:val="24"/>
          <w:szCs w:val="24"/>
        </w:rPr>
        <w:t>hexalingual</w:t>
      </w:r>
      <w:proofErr w:type="spellEnd"/>
      <w:r w:rsidRPr="004C0771">
        <w:rPr>
          <w:rFonts w:ascii="Times New Roman" w:hAnsi="Times New Roman"/>
          <w:sz w:val="24"/>
          <w:szCs w:val="24"/>
        </w:rPr>
        <w:t xml:space="preserve"> and trilingual language regimes would generate positive and considerable disenfranchisement rates. As a result, the current multilingual language regime is the most effective language policy among the four alternatives examined. The positive value of the relative disenfranchisement rate associated with the multilingual policy (</w:t>
      </w:r>
      <w:r w:rsidRPr="004C0771">
        <w:rPr>
          <w:rFonts w:ascii="Times New Roman" w:hAnsi="Times New Roman"/>
          <w:bCs/>
          <w:sz w:val="24"/>
          <w:szCs w:val="24"/>
        </w:rPr>
        <w:t xml:space="preserve">4%) is due to the presence of different minorities in some Member States, notably, the Russian-speaking minority in the Baltic countries, and the Arabic-, </w:t>
      </w:r>
      <w:proofErr w:type="spellStart"/>
      <w:r w:rsidRPr="004C0771">
        <w:rPr>
          <w:rFonts w:ascii="Times New Roman" w:hAnsi="Times New Roman"/>
          <w:bCs/>
          <w:sz w:val="24"/>
          <w:szCs w:val="24"/>
        </w:rPr>
        <w:t>Serbo</w:t>
      </w:r>
      <w:proofErr w:type="spellEnd"/>
      <w:r w:rsidRPr="004C0771">
        <w:rPr>
          <w:rFonts w:ascii="Times New Roman" w:hAnsi="Times New Roman"/>
          <w:bCs/>
          <w:sz w:val="24"/>
          <w:szCs w:val="24"/>
        </w:rPr>
        <w:t>/Croatian- or Turkish-speaking residents with limited proficiency in the official language</w:t>
      </w:r>
      <w:r>
        <w:rPr>
          <w:rFonts w:ascii="Times New Roman" w:hAnsi="Times New Roman"/>
          <w:bCs/>
          <w:sz w:val="24"/>
          <w:szCs w:val="24"/>
        </w:rPr>
        <w:t xml:space="preserve"> of the country of residence</w:t>
      </w:r>
      <w:r w:rsidRPr="004C0771">
        <w:rPr>
          <w:rFonts w:ascii="Times New Roman" w:hAnsi="Times New Roman"/>
          <w:sz w:val="24"/>
          <w:szCs w:val="24"/>
        </w:rPr>
        <w:t>. A positive, although rather low, D</w:t>
      </w:r>
      <w:r w:rsidRPr="004C0771">
        <w:rPr>
          <w:rFonts w:ascii="Times New Roman" w:hAnsi="Times New Roman"/>
          <w:sz w:val="24"/>
          <w:szCs w:val="24"/>
          <w:vertAlign w:val="subscript"/>
        </w:rPr>
        <w:t>r</w:t>
      </w:r>
      <w:r w:rsidRPr="004C0771">
        <w:rPr>
          <w:rFonts w:ascii="Times New Roman" w:hAnsi="Times New Roman"/>
          <w:sz w:val="24"/>
          <w:szCs w:val="24"/>
        </w:rPr>
        <w:t xml:space="preserve"> associated with the </w:t>
      </w:r>
      <w:r w:rsidRPr="004C0771">
        <w:rPr>
          <w:rFonts w:ascii="Times New Roman" w:hAnsi="Times New Roman"/>
          <w:i/>
          <w:sz w:val="24"/>
          <w:szCs w:val="24"/>
        </w:rPr>
        <w:t>status quo</w:t>
      </w:r>
      <w:r w:rsidRPr="004C0771">
        <w:rPr>
          <w:rFonts w:ascii="Times New Roman" w:hAnsi="Times New Roman"/>
          <w:sz w:val="24"/>
          <w:szCs w:val="24"/>
        </w:rPr>
        <w:t xml:space="preserve"> means that the relative disenfranchisement rate resulting from the three alternative language regimes must be read in additional terms. For example, as 4% of residents in 25 states considered are (relatively) linguistically disenfranchised anyway, the additional</w:t>
      </w:r>
      <w:r w:rsidRPr="004C0771">
        <w:rPr>
          <w:rFonts w:ascii="Times New Roman" w:hAnsi="Times New Roman"/>
          <w:i/>
          <w:sz w:val="24"/>
          <w:szCs w:val="24"/>
        </w:rPr>
        <w:t xml:space="preserve"> </w:t>
      </w:r>
      <w:r w:rsidRPr="004C0771">
        <w:rPr>
          <w:rFonts w:ascii="Times New Roman" w:hAnsi="Times New Roman"/>
          <w:sz w:val="24"/>
          <w:szCs w:val="24"/>
        </w:rPr>
        <w:t>(or marginal) D</w:t>
      </w:r>
      <w:r w:rsidRPr="004C0771">
        <w:rPr>
          <w:rFonts w:ascii="Times New Roman" w:hAnsi="Times New Roman"/>
          <w:sz w:val="24"/>
          <w:szCs w:val="24"/>
          <w:vertAlign w:val="subscript"/>
        </w:rPr>
        <w:t>r</w:t>
      </w:r>
      <w:r w:rsidRPr="004C0771">
        <w:rPr>
          <w:rFonts w:ascii="Times New Roman" w:hAnsi="Times New Roman"/>
          <w:sz w:val="24"/>
          <w:szCs w:val="24"/>
        </w:rPr>
        <w:t xml:space="preserve"> associated with the monolingual language regime is </w:t>
      </w:r>
      <w:r>
        <w:rPr>
          <w:rFonts w:ascii="Times New Roman" w:hAnsi="Times New Roman"/>
          <w:sz w:val="24"/>
          <w:szCs w:val="24"/>
        </w:rPr>
        <w:t xml:space="preserve">equal to </w:t>
      </w:r>
      <w:r w:rsidRPr="004C0771">
        <w:rPr>
          <w:rFonts w:ascii="Times New Roman" w:hAnsi="Times New Roman"/>
          <w:sz w:val="24"/>
          <w:szCs w:val="24"/>
        </w:rPr>
        <w:t>75%.</w:t>
      </w:r>
    </w:p>
    <w:p w14:paraId="4103E297" w14:textId="152CA932" w:rsidR="007F446F" w:rsidRPr="004C0771" w:rsidRDefault="007F446F" w:rsidP="006233DD">
      <w:pPr>
        <w:spacing w:line="480" w:lineRule="auto"/>
        <w:jc w:val="both"/>
        <w:rPr>
          <w:rFonts w:ascii="Times New Roman" w:hAnsi="Times New Roman"/>
          <w:sz w:val="24"/>
          <w:szCs w:val="24"/>
        </w:rPr>
      </w:pPr>
      <w:r w:rsidRPr="004C0771">
        <w:rPr>
          <w:rFonts w:ascii="Times New Roman" w:hAnsi="Times New Roman"/>
          <w:sz w:val="24"/>
          <w:szCs w:val="24"/>
        </w:rPr>
        <w:t>The disenfranchisement rate</w:t>
      </w:r>
      <w:r>
        <w:rPr>
          <w:rFonts w:ascii="Times New Roman" w:hAnsi="Times New Roman"/>
          <w:sz w:val="24"/>
          <w:szCs w:val="24"/>
        </w:rPr>
        <w:t>s</w:t>
      </w:r>
      <w:r w:rsidRPr="004C0771">
        <w:rPr>
          <w:rFonts w:ascii="Times New Roman" w:hAnsi="Times New Roman"/>
          <w:sz w:val="24"/>
          <w:szCs w:val="24"/>
        </w:rPr>
        <w:t xml:space="preserve"> significantly var</w:t>
      </w:r>
      <w:r>
        <w:rPr>
          <w:rFonts w:ascii="Times New Roman" w:hAnsi="Times New Roman"/>
          <w:sz w:val="24"/>
          <w:szCs w:val="24"/>
        </w:rPr>
        <w:t>y</w:t>
      </w:r>
      <w:r w:rsidRPr="004C0771">
        <w:rPr>
          <w:rFonts w:ascii="Times New Roman" w:hAnsi="Times New Roman"/>
          <w:sz w:val="24"/>
          <w:szCs w:val="24"/>
        </w:rPr>
        <w:t xml:space="preserve"> across countries</w:t>
      </w:r>
      <w:r>
        <w:rPr>
          <w:rFonts w:ascii="Times New Roman" w:hAnsi="Times New Roman"/>
          <w:sz w:val="24"/>
          <w:szCs w:val="24"/>
        </w:rPr>
        <w:t xml:space="preserve">, as shown in </w:t>
      </w:r>
      <w:r w:rsidRPr="004C0771">
        <w:rPr>
          <w:rFonts w:ascii="Times New Roman" w:hAnsi="Times New Roman"/>
          <w:sz w:val="24"/>
          <w:szCs w:val="24"/>
        </w:rPr>
        <w:fldChar w:fldCharType="begin"/>
      </w:r>
      <w:r w:rsidRPr="004C0771">
        <w:rPr>
          <w:rFonts w:ascii="Times New Roman" w:hAnsi="Times New Roman"/>
          <w:sz w:val="24"/>
          <w:szCs w:val="24"/>
        </w:rPr>
        <w:instrText xml:space="preserve"> REF _Ref393466565 \h  \* MERGEFORMAT </w:instrText>
      </w:r>
      <w:r w:rsidRPr="004C0771">
        <w:rPr>
          <w:rFonts w:ascii="Times New Roman" w:hAnsi="Times New Roman"/>
          <w:sz w:val="24"/>
          <w:szCs w:val="24"/>
        </w:rPr>
      </w:r>
      <w:r w:rsidRPr="004C0771">
        <w:rPr>
          <w:rFonts w:ascii="Times New Roman" w:hAnsi="Times New Roman"/>
          <w:sz w:val="24"/>
          <w:szCs w:val="24"/>
        </w:rPr>
        <w:fldChar w:fldCharType="separate"/>
      </w:r>
      <w:r w:rsidRPr="004C0771">
        <w:rPr>
          <w:rFonts w:ascii="Times New Roman" w:hAnsi="Times New Roman"/>
          <w:sz w:val="24"/>
          <w:szCs w:val="24"/>
        </w:rPr>
        <w:t>Table 2</w:t>
      </w:r>
      <w:r w:rsidRPr="004C0771">
        <w:rPr>
          <w:rFonts w:ascii="Times New Roman" w:hAnsi="Times New Roman"/>
          <w:sz w:val="24"/>
          <w:szCs w:val="24"/>
        </w:rPr>
        <w:fldChar w:fldCharType="end"/>
      </w:r>
      <w:r w:rsidRPr="004C0771">
        <w:rPr>
          <w:rFonts w:ascii="Times New Roman" w:hAnsi="Times New Roman"/>
          <w:sz w:val="24"/>
          <w:szCs w:val="24"/>
        </w:rPr>
        <w:t xml:space="preserve">. </w:t>
      </w:r>
    </w:p>
    <w:p w14:paraId="4D18A4BB" w14:textId="77777777" w:rsidR="007F446F" w:rsidRPr="004C0771" w:rsidRDefault="007F446F" w:rsidP="006233DD">
      <w:pPr>
        <w:pStyle w:val="Caption"/>
        <w:spacing w:line="480" w:lineRule="auto"/>
        <w:jc w:val="center"/>
        <w:rPr>
          <w:rFonts w:ascii="Times New Roman" w:hAnsi="Times New Roman"/>
          <w:b w:val="0"/>
          <w:i/>
          <w:color w:val="auto"/>
          <w:sz w:val="24"/>
          <w:szCs w:val="24"/>
        </w:rPr>
      </w:pPr>
      <w:bookmarkStart w:id="1" w:name="_Ref393466565"/>
      <w:r w:rsidRPr="004C0771">
        <w:rPr>
          <w:rFonts w:ascii="Times New Roman" w:hAnsi="Times New Roman"/>
          <w:b w:val="0"/>
          <w:i/>
          <w:color w:val="auto"/>
          <w:sz w:val="24"/>
          <w:szCs w:val="24"/>
        </w:rPr>
        <w:lastRenderedPageBreak/>
        <w:t xml:space="preserve">Table </w:t>
      </w:r>
      <w:r w:rsidRPr="004C0771">
        <w:rPr>
          <w:rFonts w:ascii="Times New Roman" w:hAnsi="Times New Roman"/>
          <w:b w:val="0"/>
          <w:i/>
          <w:color w:val="auto"/>
          <w:sz w:val="24"/>
          <w:szCs w:val="24"/>
        </w:rPr>
        <w:fldChar w:fldCharType="begin"/>
      </w:r>
      <w:r w:rsidRPr="004C0771">
        <w:rPr>
          <w:rFonts w:ascii="Times New Roman" w:hAnsi="Times New Roman"/>
          <w:b w:val="0"/>
          <w:i/>
          <w:color w:val="auto"/>
          <w:sz w:val="24"/>
          <w:szCs w:val="24"/>
        </w:rPr>
        <w:instrText xml:space="preserve"> SEQ Table \* ARABIC </w:instrText>
      </w:r>
      <w:r w:rsidRPr="004C0771">
        <w:rPr>
          <w:rFonts w:ascii="Times New Roman" w:hAnsi="Times New Roman"/>
          <w:b w:val="0"/>
          <w:i/>
          <w:color w:val="auto"/>
          <w:sz w:val="24"/>
          <w:szCs w:val="24"/>
        </w:rPr>
        <w:fldChar w:fldCharType="separate"/>
      </w:r>
      <w:r w:rsidRPr="004C0771">
        <w:rPr>
          <w:rFonts w:ascii="Times New Roman" w:hAnsi="Times New Roman"/>
          <w:b w:val="0"/>
          <w:i/>
          <w:color w:val="auto"/>
          <w:sz w:val="24"/>
          <w:szCs w:val="24"/>
        </w:rPr>
        <w:t>2</w:t>
      </w:r>
      <w:r w:rsidRPr="004C0771">
        <w:rPr>
          <w:rFonts w:ascii="Times New Roman" w:hAnsi="Times New Roman"/>
          <w:b w:val="0"/>
          <w:i/>
          <w:color w:val="auto"/>
          <w:sz w:val="24"/>
          <w:szCs w:val="24"/>
        </w:rPr>
        <w:fldChar w:fldCharType="end"/>
      </w:r>
      <w:bookmarkEnd w:id="1"/>
      <w:r w:rsidRPr="004C0771">
        <w:rPr>
          <w:rFonts w:ascii="Times New Roman" w:hAnsi="Times New Roman"/>
          <w:b w:val="0"/>
          <w:i/>
          <w:color w:val="auto"/>
          <w:sz w:val="24"/>
          <w:szCs w:val="24"/>
        </w:rPr>
        <w:t>  here</w:t>
      </w:r>
    </w:p>
    <w:p w14:paraId="457466A9" w14:textId="57AFB373" w:rsidR="007F446F" w:rsidRPr="004C0771" w:rsidRDefault="007F446F" w:rsidP="006233DD">
      <w:pPr>
        <w:spacing w:line="480" w:lineRule="auto"/>
        <w:jc w:val="both"/>
        <w:rPr>
          <w:rFonts w:ascii="Times New Roman" w:hAnsi="Times New Roman"/>
          <w:sz w:val="24"/>
          <w:szCs w:val="24"/>
        </w:rPr>
      </w:pPr>
      <w:r w:rsidRPr="004C0771">
        <w:rPr>
          <w:rFonts w:ascii="Times New Roman" w:hAnsi="Times New Roman"/>
          <w:sz w:val="24"/>
          <w:szCs w:val="24"/>
        </w:rPr>
        <w:t>The D</w:t>
      </w:r>
      <w:r w:rsidRPr="004C0771">
        <w:rPr>
          <w:rFonts w:ascii="Times New Roman" w:hAnsi="Times New Roman"/>
          <w:sz w:val="24"/>
          <w:szCs w:val="24"/>
          <w:vertAlign w:val="subscript"/>
        </w:rPr>
        <w:t>a</w:t>
      </w:r>
      <w:r w:rsidRPr="004C0771">
        <w:rPr>
          <w:rFonts w:ascii="Times New Roman" w:hAnsi="Times New Roman"/>
          <w:sz w:val="24"/>
          <w:szCs w:val="24"/>
        </w:rPr>
        <w:t xml:space="preserve"> resulting from a monolingual language regime is higher than 50% in 12 countries out of 25, and the D</w:t>
      </w:r>
      <w:r w:rsidRPr="004C0771">
        <w:rPr>
          <w:rFonts w:ascii="Times New Roman" w:hAnsi="Times New Roman"/>
          <w:sz w:val="24"/>
          <w:szCs w:val="24"/>
          <w:vertAlign w:val="subscript"/>
        </w:rPr>
        <w:t>r</w:t>
      </w:r>
      <w:r w:rsidRPr="004C0771">
        <w:rPr>
          <w:rFonts w:ascii="Times New Roman" w:hAnsi="Times New Roman"/>
          <w:sz w:val="24"/>
          <w:szCs w:val="24"/>
        </w:rPr>
        <w:t xml:space="preserve"> is at least 90% in 11 countries. Adding French and German to English reduces both D</w:t>
      </w:r>
      <w:r w:rsidRPr="004C0771">
        <w:rPr>
          <w:rFonts w:ascii="Times New Roman" w:hAnsi="Times New Roman"/>
          <w:sz w:val="24"/>
          <w:szCs w:val="24"/>
          <w:vertAlign w:val="subscript"/>
        </w:rPr>
        <w:t>a</w:t>
      </w:r>
      <w:r w:rsidRPr="004C0771">
        <w:rPr>
          <w:rFonts w:ascii="Times New Roman" w:hAnsi="Times New Roman"/>
          <w:sz w:val="24"/>
          <w:szCs w:val="24"/>
        </w:rPr>
        <w:t xml:space="preserve"> and D</w:t>
      </w:r>
      <w:r w:rsidRPr="004C0771">
        <w:rPr>
          <w:rFonts w:ascii="Times New Roman" w:hAnsi="Times New Roman"/>
          <w:sz w:val="24"/>
          <w:szCs w:val="24"/>
          <w:vertAlign w:val="subscript"/>
        </w:rPr>
        <w:t>r</w:t>
      </w:r>
      <w:r w:rsidRPr="004C0771">
        <w:rPr>
          <w:rFonts w:ascii="Times New Roman" w:hAnsi="Times New Roman"/>
          <w:sz w:val="24"/>
          <w:szCs w:val="24"/>
        </w:rPr>
        <w:t xml:space="preserve"> in Southern and Eastern countries respectively, but not significantly in the Nordic countries. Nevertheless, a trilingual language regime would still disenfranchise more than one-third of residents in 12 countries out of 25. D</w:t>
      </w:r>
      <w:r w:rsidRPr="004C0771">
        <w:rPr>
          <w:rFonts w:ascii="Times New Roman" w:hAnsi="Times New Roman"/>
          <w:sz w:val="24"/>
          <w:szCs w:val="24"/>
          <w:vertAlign w:val="subscript"/>
        </w:rPr>
        <w:t>r</w:t>
      </w:r>
      <w:r w:rsidRPr="004C0771">
        <w:rPr>
          <w:rFonts w:ascii="Times New Roman" w:hAnsi="Times New Roman"/>
          <w:sz w:val="24"/>
          <w:szCs w:val="24"/>
        </w:rPr>
        <w:t xml:space="preserve"> is higher than 90% in nine countries. The relative disenfranchisement rate is positive and above 5% in Austria, Germany and France, even when German and French are included amid the set of official languages. This is due to the presence of citizens with a foreign background and immigrants from other EU countries with limited knowledge of English, French or German. This proportion could rise </w:t>
      </w:r>
      <w:proofErr w:type="gramStart"/>
      <w:r w:rsidRPr="004C0771">
        <w:rPr>
          <w:rFonts w:ascii="Times New Roman" w:hAnsi="Times New Roman"/>
          <w:sz w:val="24"/>
          <w:szCs w:val="24"/>
        </w:rPr>
        <w:t>as a result of</w:t>
      </w:r>
      <w:proofErr w:type="gramEnd"/>
      <w:r w:rsidRPr="004C0771">
        <w:rPr>
          <w:rFonts w:ascii="Times New Roman" w:hAnsi="Times New Roman"/>
          <w:sz w:val="24"/>
          <w:szCs w:val="24"/>
        </w:rPr>
        <w:t xml:space="preserve"> an increasing mobility in Europe and of recent massive migration flows from the Middle East and Africa.</w:t>
      </w:r>
    </w:p>
    <w:p w14:paraId="1D933B3C" w14:textId="6D63AFD0" w:rsidR="007F446F" w:rsidRPr="004C0771" w:rsidRDefault="007F446F" w:rsidP="006233DD">
      <w:pPr>
        <w:spacing w:line="480" w:lineRule="auto"/>
        <w:jc w:val="both"/>
        <w:rPr>
          <w:rFonts w:ascii="Times New Roman" w:hAnsi="Times New Roman"/>
          <w:sz w:val="24"/>
          <w:szCs w:val="24"/>
        </w:rPr>
      </w:pPr>
      <w:r w:rsidRPr="004C0771">
        <w:rPr>
          <w:rFonts w:ascii="Times New Roman" w:hAnsi="Times New Roman"/>
          <w:sz w:val="24"/>
          <w:szCs w:val="24"/>
        </w:rPr>
        <w:t>Adding Italian, Polish, and Spanish drastically reduces D</w:t>
      </w:r>
      <w:r w:rsidRPr="004C0771">
        <w:rPr>
          <w:rFonts w:ascii="Times New Roman" w:hAnsi="Times New Roman"/>
          <w:sz w:val="24"/>
          <w:szCs w:val="24"/>
          <w:vertAlign w:val="subscript"/>
        </w:rPr>
        <w:t>a</w:t>
      </w:r>
      <w:r w:rsidRPr="004C0771">
        <w:rPr>
          <w:rFonts w:ascii="Times New Roman" w:hAnsi="Times New Roman"/>
          <w:sz w:val="24"/>
          <w:szCs w:val="24"/>
        </w:rPr>
        <w:t xml:space="preserve"> in Italy, Poland, Spain, and to a much lesser extent in Lithuania, Portugal and Slovenia. The full multilingual language regime, on the contrary, does not create high absolute disenfranchisement rates within European countries, </w:t>
      </w:r>
      <w:proofErr w:type="gramStart"/>
      <w:r w:rsidRPr="004C0771">
        <w:rPr>
          <w:rFonts w:ascii="Times New Roman" w:hAnsi="Times New Roman"/>
          <w:sz w:val="24"/>
          <w:szCs w:val="24"/>
        </w:rPr>
        <w:t>with the exception of</w:t>
      </w:r>
      <w:proofErr w:type="gramEnd"/>
      <w:r w:rsidRPr="004C0771">
        <w:rPr>
          <w:rFonts w:ascii="Times New Roman" w:hAnsi="Times New Roman"/>
          <w:sz w:val="24"/>
          <w:szCs w:val="24"/>
        </w:rPr>
        <w:t xml:space="preserve"> Estonia and partially Latvia. Results for Bulgaria must be interpreted with caution.</w:t>
      </w:r>
      <w:r w:rsidRPr="004C0771">
        <w:rPr>
          <w:rStyle w:val="FootnoteReference"/>
          <w:rFonts w:ascii="Times New Roman" w:hAnsi="Times New Roman"/>
          <w:sz w:val="24"/>
          <w:szCs w:val="24"/>
        </w:rPr>
        <w:footnoteReference w:id="5"/>
      </w:r>
      <w:r w:rsidRPr="004C0771">
        <w:rPr>
          <w:rFonts w:ascii="Times New Roman" w:hAnsi="Times New Roman"/>
          <w:sz w:val="24"/>
          <w:szCs w:val="24"/>
        </w:rPr>
        <w:t xml:space="preserve"> The relative disenfranchisement rate associated with a full multilingual regime is rather high in Cyprus, Luxembourg, Sweden or Slovenia, mainly </w:t>
      </w:r>
      <w:proofErr w:type="gramStart"/>
      <w:r w:rsidRPr="004C0771">
        <w:rPr>
          <w:rFonts w:ascii="Times New Roman" w:hAnsi="Times New Roman"/>
          <w:sz w:val="24"/>
          <w:szCs w:val="24"/>
        </w:rPr>
        <w:t>as a result of</w:t>
      </w:r>
      <w:proofErr w:type="gramEnd"/>
      <w:r w:rsidRPr="004C0771">
        <w:rPr>
          <w:rFonts w:ascii="Times New Roman" w:hAnsi="Times New Roman"/>
          <w:sz w:val="24"/>
          <w:szCs w:val="24"/>
        </w:rPr>
        <w:t xml:space="preserve"> immigrants or minorities without a very good knowledge of the local official language. This raises different interesting questions on the need for language policy for new minorities issued from migration. For reasons of space, nevertheless, such questions cannot be addressed here.</w:t>
      </w:r>
    </w:p>
    <w:p w14:paraId="34543E78" w14:textId="0BB1CF66" w:rsidR="007F446F" w:rsidRPr="004C0771" w:rsidRDefault="007F446F" w:rsidP="006233DD">
      <w:pPr>
        <w:spacing w:line="480" w:lineRule="auto"/>
        <w:jc w:val="both"/>
        <w:rPr>
          <w:rFonts w:ascii="Times New Roman" w:hAnsi="Times New Roman"/>
          <w:sz w:val="24"/>
          <w:szCs w:val="24"/>
        </w:rPr>
      </w:pPr>
      <w:r w:rsidRPr="004C0771">
        <w:rPr>
          <w:rFonts w:ascii="Times New Roman" w:hAnsi="Times New Roman"/>
          <w:sz w:val="24"/>
          <w:szCs w:val="24"/>
        </w:rPr>
        <w:t xml:space="preserve">In conclusion, the current multilingual policy of the EU is not in the absolute the most effective way to inform Europeans about the EU; in certain countries, additional languages may be useful to </w:t>
      </w:r>
      <w:r w:rsidRPr="004C0771">
        <w:rPr>
          <w:rFonts w:ascii="Times New Roman" w:hAnsi="Times New Roman"/>
          <w:sz w:val="24"/>
          <w:szCs w:val="24"/>
        </w:rPr>
        <w:lastRenderedPageBreak/>
        <w:t>minimise linguistic exclusion. Nevertheless, it is certainly the most effective scenario among the four alternative policies compared in this study.</w:t>
      </w:r>
    </w:p>
    <w:p w14:paraId="1EED5AFC" w14:textId="01224615" w:rsidR="007F446F" w:rsidRPr="004C0771" w:rsidRDefault="007F446F" w:rsidP="006233DD">
      <w:pPr>
        <w:pStyle w:val="Heading2"/>
        <w:spacing w:line="480" w:lineRule="auto"/>
        <w:rPr>
          <w:rFonts w:ascii="Times New Roman" w:hAnsi="Times New Roman"/>
          <w:color w:val="auto"/>
          <w:sz w:val="24"/>
          <w:szCs w:val="24"/>
        </w:rPr>
      </w:pPr>
      <w:r w:rsidRPr="004C0771">
        <w:rPr>
          <w:rFonts w:ascii="Times New Roman" w:hAnsi="Times New Roman"/>
          <w:color w:val="auto"/>
          <w:sz w:val="24"/>
          <w:szCs w:val="24"/>
        </w:rPr>
        <w:t>Linguistic Disenfranchisement by Social Group</w:t>
      </w:r>
    </w:p>
    <w:p w14:paraId="12C843C6" w14:textId="283E0ABA" w:rsidR="007F446F" w:rsidRPr="004C0771" w:rsidRDefault="007F446F" w:rsidP="006233DD">
      <w:pPr>
        <w:spacing w:line="480" w:lineRule="auto"/>
        <w:jc w:val="both"/>
        <w:rPr>
          <w:rFonts w:ascii="Times New Roman" w:hAnsi="Times New Roman"/>
          <w:sz w:val="24"/>
          <w:szCs w:val="24"/>
        </w:rPr>
      </w:pPr>
      <w:r w:rsidRPr="004C0771">
        <w:rPr>
          <w:rFonts w:ascii="Times New Roman" w:hAnsi="Times New Roman"/>
          <w:sz w:val="24"/>
          <w:szCs w:val="24"/>
        </w:rPr>
        <w:t>It is quite logical that a monolingual or a trilingual language regime would disadvantage the citizens of some Member States more than others. It is less obvious, nevertheless, which social groups within</w:t>
      </w:r>
      <w:r w:rsidRPr="004C0771">
        <w:rPr>
          <w:rFonts w:ascii="Times New Roman" w:hAnsi="Times New Roman"/>
          <w:i/>
          <w:sz w:val="24"/>
          <w:szCs w:val="24"/>
        </w:rPr>
        <w:t xml:space="preserve"> </w:t>
      </w:r>
      <w:r w:rsidRPr="004C0771">
        <w:rPr>
          <w:rFonts w:ascii="Times New Roman" w:hAnsi="Times New Roman"/>
          <w:sz w:val="24"/>
          <w:szCs w:val="24"/>
        </w:rPr>
        <w:t xml:space="preserve">Member States suffer more from a reduction in the number of official languages and, most importantly, by how much. This is a crucial piece of information in </w:t>
      </w:r>
      <w:r w:rsidRPr="004C0771">
        <w:rPr>
          <w:rFonts w:ascii="Times New Roman" w:hAnsi="Times New Roman"/>
          <w:i/>
          <w:sz w:val="24"/>
          <w:szCs w:val="24"/>
        </w:rPr>
        <w:t>ex ante</w:t>
      </w:r>
      <w:r w:rsidRPr="004C0771">
        <w:rPr>
          <w:rFonts w:ascii="Times New Roman" w:hAnsi="Times New Roman"/>
          <w:sz w:val="24"/>
          <w:szCs w:val="24"/>
        </w:rPr>
        <w:t xml:space="preserve"> policy evaluation. </w:t>
      </w:r>
      <w:proofErr w:type="gramStart"/>
      <w:r w:rsidRPr="004C0771">
        <w:rPr>
          <w:rFonts w:ascii="Times New Roman" w:hAnsi="Times New Roman"/>
          <w:sz w:val="24"/>
          <w:szCs w:val="24"/>
        </w:rPr>
        <w:t>Generally speaking, a</w:t>
      </w:r>
      <w:proofErr w:type="gramEnd"/>
      <w:r w:rsidRPr="004C0771">
        <w:rPr>
          <w:rFonts w:ascii="Times New Roman" w:hAnsi="Times New Roman"/>
          <w:sz w:val="24"/>
          <w:szCs w:val="24"/>
        </w:rPr>
        <w:t xml:space="preserve"> careful comparison of the likely impacts of alternative policy options should be carried out in order to make informed decisions about which policy is best suited to achieve some relevant policy goals. Surprisingly, with few exceptions, </w:t>
      </w:r>
      <w:proofErr w:type="gramStart"/>
      <w:r w:rsidRPr="004C0771">
        <w:rPr>
          <w:rFonts w:ascii="Times New Roman" w:hAnsi="Times New Roman"/>
          <w:sz w:val="24"/>
          <w:szCs w:val="24"/>
        </w:rPr>
        <w:t>the majority of</w:t>
      </w:r>
      <w:proofErr w:type="gramEnd"/>
      <w:r w:rsidRPr="004C0771">
        <w:rPr>
          <w:rFonts w:ascii="Times New Roman" w:hAnsi="Times New Roman"/>
          <w:sz w:val="24"/>
          <w:szCs w:val="24"/>
        </w:rPr>
        <w:t xml:space="preserve"> the authors who recommend a decrease in the number of official languages of the EU provide no empirical analysis of the expected outcomes of </w:t>
      </w:r>
      <w:r>
        <w:rPr>
          <w:rFonts w:ascii="Times New Roman" w:hAnsi="Times New Roman"/>
          <w:sz w:val="24"/>
          <w:szCs w:val="24"/>
        </w:rPr>
        <w:t xml:space="preserve">this </w:t>
      </w:r>
      <w:r w:rsidRPr="004C0771">
        <w:rPr>
          <w:rFonts w:ascii="Times New Roman" w:hAnsi="Times New Roman"/>
          <w:sz w:val="24"/>
          <w:szCs w:val="24"/>
        </w:rPr>
        <w:t>choice.</w:t>
      </w:r>
    </w:p>
    <w:p w14:paraId="27DCCEAF" w14:textId="4FA99537" w:rsidR="007F446F" w:rsidRPr="004C0771" w:rsidRDefault="007F446F" w:rsidP="006233DD">
      <w:pPr>
        <w:spacing w:line="480" w:lineRule="auto"/>
        <w:jc w:val="both"/>
        <w:rPr>
          <w:rFonts w:ascii="Times New Roman" w:hAnsi="Times New Roman"/>
          <w:sz w:val="24"/>
          <w:szCs w:val="24"/>
        </w:rPr>
      </w:pPr>
      <w:r w:rsidRPr="004C0771">
        <w:rPr>
          <w:rFonts w:ascii="Times New Roman" w:hAnsi="Times New Roman"/>
          <w:sz w:val="24"/>
          <w:szCs w:val="24"/>
        </w:rPr>
        <w:t xml:space="preserve">The AES allows us to characterise respondents according to some relevant socio-economic dimensions, that is, age, income status, educational level achieved and occupational status. Obviously, there are other socio-economic variables that would be worth considering, but the AES provides information only on the socio-economic variables just </w:t>
      </w:r>
      <w:r>
        <w:rPr>
          <w:rFonts w:ascii="Times New Roman" w:hAnsi="Times New Roman"/>
          <w:sz w:val="24"/>
          <w:szCs w:val="24"/>
        </w:rPr>
        <w:t>mentioned. Consequently</w:t>
      </w:r>
      <w:r w:rsidRPr="004C0771">
        <w:rPr>
          <w:rFonts w:ascii="Times New Roman" w:hAnsi="Times New Roman"/>
          <w:sz w:val="24"/>
          <w:szCs w:val="24"/>
        </w:rPr>
        <w:t xml:space="preserve">, I use </w:t>
      </w:r>
      <w:r>
        <w:rPr>
          <w:rFonts w:ascii="Times New Roman" w:hAnsi="Times New Roman"/>
          <w:sz w:val="24"/>
          <w:szCs w:val="24"/>
        </w:rPr>
        <w:t xml:space="preserve">the said </w:t>
      </w:r>
      <w:r w:rsidRPr="004C0771">
        <w:rPr>
          <w:rFonts w:ascii="Times New Roman" w:hAnsi="Times New Roman"/>
          <w:sz w:val="24"/>
          <w:szCs w:val="24"/>
        </w:rPr>
        <w:t>variables to build four macro social groups</w:t>
      </w:r>
      <w:r>
        <w:rPr>
          <w:rFonts w:ascii="Times New Roman" w:hAnsi="Times New Roman"/>
          <w:sz w:val="24"/>
          <w:szCs w:val="24"/>
        </w:rPr>
        <w:t>,</w:t>
      </w:r>
      <w:r w:rsidRPr="004C0771">
        <w:rPr>
          <w:rFonts w:ascii="Times New Roman" w:hAnsi="Times New Roman"/>
          <w:sz w:val="24"/>
          <w:szCs w:val="24"/>
        </w:rPr>
        <w:t xml:space="preserve"> </w:t>
      </w:r>
      <w:r>
        <w:rPr>
          <w:rFonts w:ascii="Times New Roman" w:hAnsi="Times New Roman"/>
          <w:sz w:val="24"/>
          <w:szCs w:val="24"/>
        </w:rPr>
        <w:t xml:space="preserve">and I examine </w:t>
      </w:r>
      <w:r w:rsidRPr="004C0771">
        <w:rPr>
          <w:rFonts w:ascii="Times New Roman" w:hAnsi="Times New Roman"/>
          <w:sz w:val="24"/>
          <w:szCs w:val="24"/>
        </w:rPr>
        <w:t xml:space="preserve">the </w:t>
      </w:r>
      <w:r>
        <w:rPr>
          <w:rFonts w:ascii="Times New Roman" w:hAnsi="Times New Roman"/>
          <w:sz w:val="24"/>
          <w:szCs w:val="24"/>
        </w:rPr>
        <w:t xml:space="preserve">variation of </w:t>
      </w:r>
      <w:r w:rsidRPr="004C0771">
        <w:rPr>
          <w:rFonts w:ascii="Times New Roman" w:hAnsi="Times New Roman"/>
          <w:sz w:val="24"/>
          <w:szCs w:val="24"/>
        </w:rPr>
        <w:t xml:space="preserve">the </w:t>
      </w:r>
      <w:r>
        <w:rPr>
          <w:rFonts w:ascii="Times New Roman" w:hAnsi="Times New Roman"/>
          <w:sz w:val="24"/>
          <w:szCs w:val="24"/>
        </w:rPr>
        <w:t>disenfranchisement rate</w:t>
      </w:r>
      <w:r w:rsidRPr="004C0771">
        <w:rPr>
          <w:rFonts w:ascii="Times New Roman" w:hAnsi="Times New Roman"/>
          <w:sz w:val="24"/>
          <w:szCs w:val="24"/>
        </w:rPr>
        <w:t xml:space="preserve"> within each </w:t>
      </w:r>
      <w:r>
        <w:rPr>
          <w:rFonts w:ascii="Times New Roman" w:hAnsi="Times New Roman"/>
          <w:sz w:val="24"/>
          <w:szCs w:val="24"/>
        </w:rPr>
        <w:t>group</w:t>
      </w:r>
      <w:r w:rsidRPr="004C0771">
        <w:rPr>
          <w:rFonts w:ascii="Times New Roman" w:hAnsi="Times New Roman"/>
          <w:sz w:val="24"/>
          <w:szCs w:val="24"/>
        </w:rPr>
        <w:t xml:space="preserve">. </w:t>
      </w:r>
      <w:r>
        <w:rPr>
          <w:rFonts w:ascii="Times New Roman" w:hAnsi="Times New Roman"/>
          <w:sz w:val="24"/>
          <w:szCs w:val="24"/>
        </w:rPr>
        <w:t>T</w:t>
      </w:r>
      <w:r w:rsidRPr="004C0771">
        <w:rPr>
          <w:rFonts w:ascii="Times New Roman" w:hAnsi="Times New Roman"/>
          <w:sz w:val="24"/>
          <w:szCs w:val="24"/>
        </w:rPr>
        <w:t>he notion of ‘social group’</w:t>
      </w:r>
      <w:r>
        <w:rPr>
          <w:rFonts w:ascii="Times New Roman" w:hAnsi="Times New Roman"/>
          <w:sz w:val="24"/>
          <w:szCs w:val="24"/>
        </w:rPr>
        <w:t>, therefore,</w:t>
      </w:r>
      <w:r w:rsidRPr="00DD65E1">
        <w:rPr>
          <w:rFonts w:ascii="Times New Roman" w:hAnsi="Times New Roman"/>
          <w:sz w:val="24"/>
          <w:szCs w:val="24"/>
        </w:rPr>
        <w:t xml:space="preserve"> is </w:t>
      </w:r>
      <w:r w:rsidRPr="004C0771">
        <w:rPr>
          <w:rFonts w:ascii="Times New Roman" w:hAnsi="Times New Roman"/>
          <w:sz w:val="24"/>
          <w:szCs w:val="24"/>
        </w:rPr>
        <w:t xml:space="preserve">employed in a broad sense </w:t>
      </w:r>
      <w:proofErr w:type="gramStart"/>
      <w:r w:rsidRPr="004C0771">
        <w:rPr>
          <w:rFonts w:ascii="Times New Roman" w:hAnsi="Times New Roman"/>
          <w:sz w:val="24"/>
          <w:szCs w:val="24"/>
        </w:rPr>
        <w:t>in order to</w:t>
      </w:r>
      <w:proofErr w:type="gramEnd"/>
      <w:r w:rsidRPr="004C0771">
        <w:rPr>
          <w:rFonts w:ascii="Times New Roman" w:hAnsi="Times New Roman"/>
          <w:sz w:val="24"/>
          <w:szCs w:val="24"/>
        </w:rPr>
        <w:t xml:space="preserve"> include individuals with similar socio-economic characteristics.</w:t>
      </w:r>
    </w:p>
    <w:p w14:paraId="5CF1DB8D" w14:textId="644D825D" w:rsidR="007F446F" w:rsidRPr="004C0771" w:rsidRDefault="007F446F" w:rsidP="006233DD">
      <w:pPr>
        <w:spacing w:line="480" w:lineRule="auto"/>
        <w:jc w:val="both"/>
        <w:rPr>
          <w:rFonts w:ascii="Times New Roman" w:hAnsi="Times New Roman"/>
          <w:sz w:val="24"/>
          <w:szCs w:val="24"/>
        </w:rPr>
      </w:pPr>
      <w:r w:rsidRPr="004C0771">
        <w:rPr>
          <w:rFonts w:ascii="Times New Roman" w:hAnsi="Times New Roman"/>
          <w:sz w:val="24"/>
          <w:szCs w:val="24"/>
        </w:rPr>
        <w:t>Table 3 shows the distribution of D</w:t>
      </w:r>
      <w:r w:rsidRPr="004C0771">
        <w:rPr>
          <w:rFonts w:ascii="Times New Roman" w:hAnsi="Times New Roman"/>
          <w:sz w:val="24"/>
          <w:szCs w:val="24"/>
          <w:vertAlign w:val="subscript"/>
        </w:rPr>
        <w:t>a</w:t>
      </w:r>
      <w:r w:rsidRPr="004C0771">
        <w:rPr>
          <w:rFonts w:ascii="Times New Roman" w:hAnsi="Times New Roman"/>
          <w:sz w:val="24"/>
          <w:szCs w:val="24"/>
        </w:rPr>
        <w:t xml:space="preserve"> and D</w:t>
      </w:r>
      <w:r w:rsidRPr="004C0771">
        <w:rPr>
          <w:rFonts w:ascii="Times New Roman" w:hAnsi="Times New Roman"/>
          <w:sz w:val="24"/>
          <w:szCs w:val="24"/>
          <w:vertAlign w:val="subscript"/>
        </w:rPr>
        <w:t xml:space="preserve">r </w:t>
      </w:r>
      <w:r w:rsidRPr="004C0771">
        <w:rPr>
          <w:rFonts w:ascii="Times New Roman" w:hAnsi="Times New Roman"/>
          <w:sz w:val="24"/>
          <w:szCs w:val="24"/>
        </w:rPr>
        <w:t xml:space="preserve">by age group. It puts the results of Table 1 into perspective by introducing </w:t>
      </w:r>
      <w:r>
        <w:rPr>
          <w:rFonts w:ascii="Times New Roman" w:hAnsi="Times New Roman"/>
          <w:sz w:val="24"/>
          <w:szCs w:val="24"/>
        </w:rPr>
        <w:t>a time variable, because s</w:t>
      </w:r>
      <w:r w:rsidRPr="004C0771">
        <w:rPr>
          <w:rFonts w:ascii="Times New Roman" w:hAnsi="Times New Roman"/>
          <w:sz w:val="24"/>
          <w:szCs w:val="24"/>
        </w:rPr>
        <w:t xml:space="preserve">tudying the change </w:t>
      </w:r>
      <w:r>
        <w:rPr>
          <w:rFonts w:ascii="Times New Roman" w:hAnsi="Times New Roman"/>
          <w:sz w:val="24"/>
          <w:szCs w:val="24"/>
        </w:rPr>
        <w:t>in</w:t>
      </w:r>
      <w:r w:rsidRPr="004C0771">
        <w:rPr>
          <w:rFonts w:ascii="Times New Roman" w:hAnsi="Times New Roman"/>
          <w:sz w:val="24"/>
          <w:szCs w:val="24"/>
        </w:rPr>
        <w:t xml:space="preserve"> the disenfranchisement rates across generations provides a first idea of the likely evolution of </w:t>
      </w:r>
      <w:r>
        <w:rPr>
          <w:rFonts w:ascii="Times New Roman" w:hAnsi="Times New Roman"/>
          <w:sz w:val="24"/>
          <w:szCs w:val="24"/>
        </w:rPr>
        <w:t xml:space="preserve">linguistic exclusion </w:t>
      </w:r>
      <w:r w:rsidRPr="004C0771">
        <w:rPr>
          <w:rFonts w:ascii="Times New Roman" w:hAnsi="Times New Roman"/>
          <w:sz w:val="24"/>
          <w:szCs w:val="24"/>
        </w:rPr>
        <w:t>in the future.</w:t>
      </w:r>
    </w:p>
    <w:p w14:paraId="4580911B" w14:textId="77777777" w:rsidR="007F446F" w:rsidRPr="004C0771" w:rsidRDefault="007F446F" w:rsidP="006233DD">
      <w:pPr>
        <w:pStyle w:val="Caption"/>
        <w:keepNext/>
        <w:keepLines/>
        <w:spacing w:line="480" w:lineRule="auto"/>
        <w:jc w:val="center"/>
        <w:rPr>
          <w:rFonts w:ascii="Times New Roman" w:hAnsi="Times New Roman"/>
          <w:b w:val="0"/>
          <w:i/>
          <w:color w:val="auto"/>
          <w:sz w:val="24"/>
          <w:szCs w:val="24"/>
        </w:rPr>
      </w:pPr>
      <w:r w:rsidRPr="004C0771">
        <w:rPr>
          <w:rFonts w:ascii="Times New Roman" w:hAnsi="Times New Roman"/>
          <w:b w:val="0"/>
          <w:i/>
          <w:color w:val="auto"/>
          <w:sz w:val="24"/>
          <w:szCs w:val="24"/>
        </w:rPr>
        <w:lastRenderedPageBreak/>
        <w:t xml:space="preserve">Table </w:t>
      </w:r>
      <w:r w:rsidRPr="004C0771">
        <w:rPr>
          <w:rFonts w:ascii="Times New Roman" w:hAnsi="Times New Roman"/>
          <w:b w:val="0"/>
          <w:i/>
          <w:color w:val="auto"/>
          <w:sz w:val="24"/>
          <w:szCs w:val="24"/>
        </w:rPr>
        <w:fldChar w:fldCharType="begin"/>
      </w:r>
      <w:r w:rsidRPr="004C0771">
        <w:rPr>
          <w:rFonts w:ascii="Times New Roman" w:hAnsi="Times New Roman"/>
          <w:b w:val="0"/>
          <w:i/>
          <w:color w:val="auto"/>
          <w:sz w:val="24"/>
          <w:szCs w:val="24"/>
        </w:rPr>
        <w:instrText xml:space="preserve"> SEQ Table \* ARABIC </w:instrText>
      </w:r>
      <w:r w:rsidRPr="004C0771">
        <w:rPr>
          <w:rFonts w:ascii="Times New Roman" w:hAnsi="Times New Roman"/>
          <w:b w:val="0"/>
          <w:i/>
          <w:color w:val="auto"/>
          <w:sz w:val="24"/>
          <w:szCs w:val="24"/>
        </w:rPr>
        <w:fldChar w:fldCharType="separate"/>
      </w:r>
      <w:r w:rsidRPr="004C0771">
        <w:rPr>
          <w:rFonts w:ascii="Times New Roman" w:hAnsi="Times New Roman"/>
          <w:b w:val="0"/>
          <w:i/>
          <w:color w:val="auto"/>
          <w:sz w:val="24"/>
          <w:szCs w:val="24"/>
        </w:rPr>
        <w:t>3</w:t>
      </w:r>
      <w:r w:rsidRPr="004C0771">
        <w:rPr>
          <w:rFonts w:ascii="Times New Roman" w:hAnsi="Times New Roman"/>
          <w:b w:val="0"/>
          <w:i/>
          <w:color w:val="auto"/>
          <w:sz w:val="24"/>
          <w:szCs w:val="24"/>
        </w:rPr>
        <w:fldChar w:fldCharType="end"/>
      </w:r>
      <w:r w:rsidRPr="004C0771">
        <w:rPr>
          <w:rFonts w:ascii="Times New Roman" w:hAnsi="Times New Roman"/>
          <w:b w:val="0"/>
          <w:i/>
          <w:color w:val="auto"/>
          <w:sz w:val="24"/>
          <w:szCs w:val="24"/>
        </w:rPr>
        <w:t>  here</w:t>
      </w:r>
    </w:p>
    <w:p w14:paraId="704B8D53" w14:textId="7EF1BD50" w:rsidR="007F446F" w:rsidRPr="004C0771" w:rsidRDefault="007F446F" w:rsidP="006233DD">
      <w:pPr>
        <w:spacing w:line="480" w:lineRule="auto"/>
        <w:jc w:val="both"/>
        <w:rPr>
          <w:rFonts w:ascii="Times New Roman" w:hAnsi="Times New Roman"/>
          <w:sz w:val="24"/>
          <w:szCs w:val="24"/>
        </w:rPr>
      </w:pPr>
      <w:r w:rsidRPr="004C0771">
        <w:rPr>
          <w:rFonts w:ascii="Times New Roman" w:hAnsi="Times New Roman"/>
          <w:sz w:val="24"/>
          <w:szCs w:val="24"/>
        </w:rPr>
        <w:t xml:space="preserve">Results show a clear relationship between the absolute disenfranchisement rate and age: younger generations tend to speak foreign languages more often than older ones, and, therefore, the </w:t>
      </w:r>
      <w:proofErr w:type="spellStart"/>
      <w:r w:rsidRPr="004C0771">
        <w:rPr>
          <w:rFonts w:ascii="Times New Roman" w:hAnsi="Times New Roman"/>
          <w:sz w:val="24"/>
          <w:szCs w:val="24"/>
        </w:rPr>
        <w:t>D</w:t>
      </w:r>
      <w:r w:rsidRPr="004C0771">
        <w:rPr>
          <w:rFonts w:ascii="Times New Roman" w:hAnsi="Times New Roman"/>
          <w:sz w:val="24"/>
          <w:szCs w:val="24"/>
          <w:vertAlign w:val="subscript"/>
        </w:rPr>
        <w:t>a</w:t>
      </w:r>
      <w:r w:rsidRPr="004C0771">
        <w:rPr>
          <w:rFonts w:ascii="Times New Roman" w:hAnsi="Times New Roman"/>
          <w:sz w:val="24"/>
          <w:szCs w:val="24"/>
        </w:rPr>
        <w:t xml:space="preserve"> is</w:t>
      </w:r>
      <w:proofErr w:type="spellEnd"/>
      <w:r w:rsidRPr="004C0771">
        <w:rPr>
          <w:rFonts w:ascii="Times New Roman" w:hAnsi="Times New Roman"/>
          <w:sz w:val="24"/>
          <w:szCs w:val="24"/>
        </w:rPr>
        <w:t xml:space="preserve"> lower among the younger. For example, the absolute disenfranchisement rate resulting from an English-only language regime is </w:t>
      </w:r>
      <w:r>
        <w:rPr>
          <w:rFonts w:ascii="Times New Roman" w:hAnsi="Times New Roman"/>
          <w:sz w:val="24"/>
          <w:szCs w:val="24"/>
        </w:rPr>
        <w:t xml:space="preserve">equal to </w:t>
      </w:r>
      <w:r w:rsidRPr="004C0771">
        <w:rPr>
          <w:rFonts w:ascii="Times New Roman" w:hAnsi="Times New Roman"/>
          <w:sz w:val="24"/>
          <w:szCs w:val="24"/>
        </w:rPr>
        <w:t xml:space="preserve">59% among residents aged 55-64, and 30% among those aged 25-34 (recall that native speakers of English are included). The same trend can be observed for all three language regimes alternative to the </w:t>
      </w:r>
      <w:r w:rsidRPr="004C0771">
        <w:rPr>
          <w:rFonts w:ascii="Times New Roman" w:hAnsi="Times New Roman"/>
          <w:i/>
          <w:sz w:val="24"/>
          <w:szCs w:val="24"/>
        </w:rPr>
        <w:t>status quo</w:t>
      </w:r>
      <w:r w:rsidRPr="004C0771">
        <w:rPr>
          <w:rFonts w:ascii="Times New Roman" w:hAnsi="Times New Roman"/>
          <w:sz w:val="24"/>
          <w:szCs w:val="24"/>
        </w:rPr>
        <w:t xml:space="preserve">. </w:t>
      </w:r>
    </w:p>
    <w:p w14:paraId="1D79A529" w14:textId="15878320" w:rsidR="007F446F" w:rsidRPr="004C0771" w:rsidRDefault="007F446F" w:rsidP="006233DD">
      <w:pPr>
        <w:spacing w:line="480" w:lineRule="auto"/>
        <w:jc w:val="both"/>
        <w:rPr>
          <w:rFonts w:ascii="Times New Roman" w:hAnsi="Times New Roman"/>
          <w:sz w:val="24"/>
          <w:szCs w:val="24"/>
        </w:rPr>
      </w:pPr>
      <w:r w:rsidRPr="004C0771">
        <w:rPr>
          <w:rFonts w:ascii="Times New Roman" w:hAnsi="Times New Roman"/>
          <w:sz w:val="24"/>
          <w:szCs w:val="24"/>
        </w:rPr>
        <w:t>Surprisingly, the D</w:t>
      </w:r>
      <w:r w:rsidRPr="004C0771">
        <w:rPr>
          <w:rFonts w:ascii="Times New Roman" w:hAnsi="Times New Roman"/>
          <w:sz w:val="24"/>
          <w:szCs w:val="24"/>
          <w:vertAlign w:val="subscript"/>
        </w:rPr>
        <w:t>r</w:t>
      </w:r>
      <w:r w:rsidRPr="004C0771">
        <w:rPr>
          <w:rFonts w:ascii="Times New Roman" w:hAnsi="Times New Roman"/>
          <w:sz w:val="24"/>
          <w:szCs w:val="24"/>
        </w:rPr>
        <w:t xml:space="preserve"> does not vary too much across generations. The difference between </w:t>
      </w:r>
      <w:r>
        <w:rPr>
          <w:rFonts w:ascii="Times New Roman" w:hAnsi="Times New Roman"/>
          <w:sz w:val="24"/>
          <w:szCs w:val="24"/>
        </w:rPr>
        <w:t xml:space="preserve">the relative disenfranchisement rate </w:t>
      </w:r>
      <w:r w:rsidRPr="004C0771">
        <w:rPr>
          <w:rFonts w:ascii="Times New Roman" w:hAnsi="Times New Roman"/>
          <w:sz w:val="24"/>
          <w:szCs w:val="24"/>
        </w:rPr>
        <w:t xml:space="preserve">resulting from monolingualism among residents aged 55-64 and </w:t>
      </w:r>
      <w:r>
        <w:rPr>
          <w:rFonts w:ascii="Times New Roman" w:hAnsi="Times New Roman"/>
          <w:sz w:val="24"/>
          <w:szCs w:val="24"/>
        </w:rPr>
        <w:t xml:space="preserve">the corresponding rate </w:t>
      </w:r>
      <w:r w:rsidRPr="004C0771">
        <w:rPr>
          <w:rFonts w:ascii="Times New Roman" w:hAnsi="Times New Roman"/>
          <w:sz w:val="24"/>
          <w:szCs w:val="24"/>
        </w:rPr>
        <w:t>a</w:t>
      </w:r>
      <w:r>
        <w:rPr>
          <w:rFonts w:ascii="Times New Roman" w:hAnsi="Times New Roman"/>
          <w:sz w:val="24"/>
          <w:szCs w:val="24"/>
        </w:rPr>
        <w:t>mong those aged 25-34 amounts to just 9 percentage points</w:t>
      </w:r>
      <w:r w:rsidRPr="004C0771">
        <w:rPr>
          <w:rFonts w:ascii="Times New Roman" w:hAnsi="Times New Roman"/>
          <w:sz w:val="24"/>
          <w:szCs w:val="24"/>
        </w:rPr>
        <w:t xml:space="preserve">; this </w:t>
      </w:r>
      <w:r>
        <w:rPr>
          <w:rFonts w:ascii="Times New Roman" w:hAnsi="Times New Roman"/>
          <w:sz w:val="24"/>
          <w:szCs w:val="24"/>
        </w:rPr>
        <w:t>gap</w:t>
      </w:r>
      <w:r w:rsidRPr="004C0771">
        <w:rPr>
          <w:rFonts w:ascii="Times New Roman" w:hAnsi="Times New Roman"/>
          <w:sz w:val="24"/>
          <w:szCs w:val="24"/>
        </w:rPr>
        <w:t xml:space="preserve"> is much lower than </w:t>
      </w:r>
      <w:r>
        <w:rPr>
          <w:rFonts w:ascii="Times New Roman" w:hAnsi="Times New Roman"/>
          <w:sz w:val="24"/>
          <w:szCs w:val="24"/>
        </w:rPr>
        <w:t xml:space="preserve">that </w:t>
      </w:r>
      <w:r w:rsidRPr="004C0771">
        <w:rPr>
          <w:rFonts w:ascii="Times New Roman" w:hAnsi="Times New Roman"/>
          <w:sz w:val="24"/>
          <w:szCs w:val="24"/>
        </w:rPr>
        <w:t xml:space="preserve">the </w:t>
      </w:r>
      <w:r>
        <w:rPr>
          <w:rFonts w:ascii="Times New Roman" w:hAnsi="Times New Roman"/>
          <w:sz w:val="24"/>
          <w:szCs w:val="24"/>
        </w:rPr>
        <w:t xml:space="preserve">difference measured through </w:t>
      </w:r>
      <w:r w:rsidRPr="004C0771">
        <w:rPr>
          <w:rFonts w:ascii="Times New Roman" w:hAnsi="Times New Roman"/>
          <w:sz w:val="24"/>
          <w:szCs w:val="24"/>
        </w:rPr>
        <w:t>D</w:t>
      </w:r>
      <w:r w:rsidRPr="004C0771">
        <w:rPr>
          <w:rFonts w:ascii="Times New Roman" w:hAnsi="Times New Roman"/>
          <w:sz w:val="24"/>
          <w:szCs w:val="24"/>
          <w:vertAlign w:val="subscript"/>
        </w:rPr>
        <w:t xml:space="preserve">a </w:t>
      </w:r>
      <w:r w:rsidRPr="004C0771">
        <w:rPr>
          <w:rFonts w:ascii="Times New Roman" w:hAnsi="Times New Roman"/>
          <w:sz w:val="24"/>
          <w:szCs w:val="24"/>
        </w:rPr>
        <w:t>(</w:t>
      </w:r>
      <w:r>
        <w:rPr>
          <w:rFonts w:ascii="Times New Roman" w:hAnsi="Times New Roman"/>
          <w:sz w:val="24"/>
          <w:szCs w:val="24"/>
        </w:rPr>
        <w:t xml:space="preserve">i.e. </w:t>
      </w:r>
      <w:r w:rsidRPr="004C0771">
        <w:rPr>
          <w:rFonts w:ascii="Times New Roman" w:hAnsi="Times New Roman"/>
          <w:sz w:val="24"/>
          <w:szCs w:val="24"/>
        </w:rPr>
        <w:t xml:space="preserve">29%). </w:t>
      </w:r>
      <w:r w:rsidRPr="004C0771">
        <w:rPr>
          <w:rFonts w:ascii="Times New Roman" w:hAnsi="Times New Roman"/>
          <w:bCs/>
          <w:sz w:val="24"/>
          <w:szCs w:val="24"/>
        </w:rPr>
        <w:t>D</w:t>
      </w:r>
      <w:r w:rsidRPr="004C0771">
        <w:rPr>
          <w:rFonts w:ascii="Times New Roman" w:hAnsi="Times New Roman"/>
          <w:bCs/>
          <w:sz w:val="24"/>
          <w:szCs w:val="24"/>
          <w:vertAlign w:val="subscript"/>
        </w:rPr>
        <w:t>r</w:t>
      </w:r>
      <w:r w:rsidRPr="004C0771">
        <w:rPr>
          <w:rFonts w:ascii="Times New Roman" w:hAnsi="Times New Roman"/>
          <w:sz w:val="24"/>
          <w:szCs w:val="24"/>
        </w:rPr>
        <w:t xml:space="preserve"> is virtually constant across age groups in the trilingual and </w:t>
      </w:r>
      <w:proofErr w:type="spellStart"/>
      <w:r w:rsidRPr="004C0771">
        <w:rPr>
          <w:rFonts w:ascii="Times New Roman" w:hAnsi="Times New Roman"/>
          <w:sz w:val="24"/>
          <w:szCs w:val="24"/>
        </w:rPr>
        <w:t>hexolingual</w:t>
      </w:r>
      <w:proofErr w:type="spellEnd"/>
      <w:r w:rsidRPr="004C0771">
        <w:rPr>
          <w:rFonts w:ascii="Times New Roman" w:hAnsi="Times New Roman"/>
          <w:sz w:val="24"/>
          <w:szCs w:val="24"/>
        </w:rPr>
        <w:t xml:space="preserve"> scenarios. </w:t>
      </w:r>
      <w:proofErr w:type="gramStart"/>
      <w:r w:rsidRPr="004C0771">
        <w:rPr>
          <w:rFonts w:ascii="Times New Roman" w:hAnsi="Times New Roman"/>
          <w:sz w:val="24"/>
          <w:szCs w:val="24"/>
        </w:rPr>
        <w:t>As regards</w:t>
      </w:r>
      <w:proofErr w:type="gramEnd"/>
      <w:r w:rsidRPr="004C0771">
        <w:rPr>
          <w:rFonts w:ascii="Times New Roman" w:hAnsi="Times New Roman"/>
          <w:sz w:val="24"/>
          <w:szCs w:val="24"/>
        </w:rPr>
        <w:t xml:space="preserve"> the multilingual language regime, D</w:t>
      </w:r>
      <w:r w:rsidRPr="004C0771">
        <w:rPr>
          <w:rFonts w:ascii="Times New Roman" w:hAnsi="Times New Roman"/>
          <w:sz w:val="24"/>
          <w:szCs w:val="24"/>
          <w:vertAlign w:val="subscript"/>
        </w:rPr>
        <w:t>r</w:t>
      </w:r>
      <w:r w:rsidRPr="004C0771">
        <w:rPr>
          <w:rFonts w:ascii="Times New Roman" w:hAnsi="Times New Roman"/>
          <w:sz w:val="24"/>
          <w:szCs w:val="24"/>
        </w:rPr>
        <w:t xml:space="preserve"> is slightly higher among the younger, probably as a result of migration flows. </w:t>
      </w:r>
    </w:p>
    <w:p w14:paraId="5EC1E10C" w14:textId="554E0148" w:rsidR="007F446F" w:rsidRPr="004C0771" w:rsidRDefault="007F446F" w:rsidP="006233DD">
      <w:pPr>
        <w:spacing w:line="480" w:lineRule="auto"/>
        <w:jc w:val="both"/>
        <w:rPr>
          <w:rFonts w:ascii="Times New Roman" w:hAnsi="Times New Roman"/>
          <w:sz w:val="24"/>
          <w:szCs w:val="24"/>
        </w:rPr>
      </w:pPr>
      <w:r w:rsidRPr="004C0771">
        <w:rPr>
          <w:rFonts w:ascii="Times New Roman" w:hAnsi="Times New Roman"/>
          <w:sz w:val="24"/>
          <w:szCs w:val="24"/>
        </w:rPr>
        <w:t>Results show that, on average, young</w:t>
      </w:r>
      <w:r>
        <w:rPr>
          <w:rFonts w:ascii="Times New Roman" w:hAnsi="Times New Roman"/>
          <w:sz w:val="24"/>
          <w:szCs w:val="24"/>
        </w:rPr>
        <w:t xml:space="preserve"> people </w:t>
      </w:r>
      <w:r w:rsidRPr="004C0771">
        <w:rPr>
          <w:rFonts w:ascii="Times New Roman" w:hAnsi="Times New Roman"/>
          <w:sz w:val="24"/>
          <w:szCs w:val="24"/>
        </w:rPr>
        <w:t xml:space="preserve">are more likely to have acquired at least some knowledge of foreign languages than the older generation, as shown by the difference in </w:t>
      </w:r>
      <w:r w:rsidRPr="004C0771">
        <w:rPr>
          <w:rFonts w:ascii="Times New Roman" w:hAnsi="Times New Roman"/>
          <w:bCs/>
          <w:sz w:val="24"/>
          <w:szCs w:val="24"/>
        </w:rPr>
        <w:t>D</w:t>
      </w:r>
      <w:r w:rsidRPr="004C0771">
        <w:rPr>
          <w:rFonts w:ascii="Times New Roman" w:hAnsi="Times New Roman"/>
          <w:bCs/>
          <w:sz w:val="24"/>
          <w:szCs w:val="24"/>
          <w:vertAlign w:val="subscript"/>
        </w:rPr>
        <w:t>a</w:t>
      </w:r>
      <w:r w:rsidRPr="004C0771">
        <w:rPr>
          <w:rFonts w:ascii="Times New Roman" w:hAnsi="Times New Roman"/>
          <w:bCs/>
          <w:i/>
          <w:sz w:val="24"/>
          <w:szCs w:val="24"/>
        </w:rPr>
        <w:t xml:space="preserve"> </w:t>
      </w:r>
      <w:r w:rsidRPr="004C0771">
        <w:rPr>
          <w:rFonts w:ascii="Times New Roman" w:hAnsi="Times New Roman"/>
          <w:bCs/>
          <w:sz w:val="24"/>
          <w:szCs w:val="24"/>
        </w:rPr>
        <w:t xml:space="preserve">across cohorts. Nevertheless, </w:t>
      </w:r>
      <w:r w:rsidRPr="004C0771">
        <w:rPr>
          <w:rFonts w:ascii="Times New Roman" w:hAnsi="Times New Roman"/>
          <w:sz w:val="24"/>
          <w:szCs w:val="24"/>
        </w:rPr>
        <w:t xml:space="preserve">they </w:t>
      </w:r>
      <w:r>
        <w:rPr>
          <w:rFonts w:ascii="Times New Roman" w:hAnsi="Times New Roman"/>
          <w:sz w:val="24"/>
          <w:szCs w:val="24"/>
        </w:rPr>
        <w:t>have</w:t>
      </w:r>
      <w:r w:rsidRPr="004C0771">
        <w:rPr>
          <w:rFonts w:ascii="Times New Roman" w:hAnsi="Times New Roman"/>
          <w:sz w:val="24"/>
          <w:szCs w:val="24"/>
        </w:rPr>
        <w:t xml:space="preserve"> not learnt them much better, as revealed by the relatively little intergenerational variance of </w:t>
      </w:r>
      <w:proofErr w:type="spellStart"/>
      <w:r w:rsidRPr="004C0771">
        <w:rPr>
          <w:rFonts w:ascii="Times New Roman" w:hAnsi="Times New Roman"/>
          <w:bCs/>
          <w:sz w:val="24"/>
          <w:szCs w:val="24"/>
        </w:rPr>
        <w:t>D</w:t>
      </w:r>
      <w:r w:rsidRPr="004C0771">
        <w:rPr>
          <w:rFonts w:ascii="Times New Roman" w:hAnsi="Times New Roman"/>
          <w:bCs/>
          <w:sz w:val="24"/>
          <w:szCs w:val="24"/>
          <w:vertAlign w:val="subscript"/>
        </w:rPr>
        <w:t>r</w:t>
      </w:r>
      <w:r w:rsidRPr="004C0771">
        <w:rPr>
          <w:rFonts w:ascii="Times New Roman" w:hAnsi="Times New Roman"/>
          <w:sz w:val="24"/>
          <w:szCs w:val="24"/>
        </w:rPr>
        <w:t>.</w:t>
      </w:r>
      <w:proofErr w:type="spellEnd"/>
      <w:r w:rsidRPr="004C0771">
        <w:rPr>
          <w:rFonts w:ascii="Times New Roman" w:hAnsi="Times New Roman"/>
          <w:sz w:val="24"/>
          <w:szCs w:val="24"/>
        </w:rPr>
        <w:t xml:space="preserve"> This observation is relevant for decision-makers, because it points out that the need for translation and interpreting in the EU is not likely to change drastically in the foreseeable future. </w:t>
      </w:r>
    </w:p>
    <w:p w14:paraId="4EE36A51" w14:textId="03E92D7A" w:rsidR="007F446F" w:rsidRPr="004C0771" w:rsidRDefault="007F446F" w:rsidP="006233DD">
      <w:pPr>
        <w:spacing w:line="480" w:lineRule="auto"/>
        <w:jc w:val="both"/>
        <w:rPr>
          <w:rFonts w:ascii="Times New Roman" w:hAnsi="Times New Roman"/>
          <w:sz w:val="24"/>
          <w:szCs w:val="24"/>
        </w:rPr>
      </w:pPr>
      <w:r w:rsidRPr="004C0771">
        <w:rPr>
          <w:rFonts w:ascii="Times New Roman" w:hAnsi="Times New Roman"/>
          <w:sz w:val="24"/>
          <w:szCs w:val="24"/>
        </w:rPr>
        <w:t xml:space="preserve">Income is another important variable that must be considered. In the AES respondents’ income is defined in relative terms using statistical deciles, which makes it possible to compare, at least to a certain extent, the income status of residents across different countries. The variable income in the AES is defined as the share of net monthly income of the household accruing to respondents. Due to </w:t>
      </w:r>
      <w:r w:rsidRPr="004C0771">
        <w:rPr>
          <w:rFonts w:ascii="Times New Roman" w:hAnsi="Times New Roman"/>
          <w:sz w:val="24"/>
          <w:szCs w:val="24"/>
        </w:rPr>
        <w:lastRenderedPageBreak/>
        <w:t>some incongruences in data collection,</w:t>
      </w:r>
      <w:r w:rsidRPr="004C0771">
        <w:rPr>
          <w:rStyle w:val="FootnoteReference"/>
          <w:rFonts w:ascii="Times New Roman" w:hAnsi="Times New Roman"/>
          <w:sz w:val="24"/>
          <w:szCs w:val="24"/>
        </w:rPr>
        <w:footnoteReference w:id="6"/>
      </w:r>
      <w:r w:rsidRPr="004C0771">
        <w:rPr>
          <w:rFonts w:ascii="Times New Roman" w:hAnsi="Times New Roman"/>
          <w:sz w:val="24"/>
          <w:szCs w:val="24"/>
        </w:rPr>
        <w:t xml:space="preserve"> it is not possible to provide a contingency table in which the relationship between the disenfranchisement rates and income status is examined for the </w:t>
      </w:r>
      <w:proofErr w:type="gramStart"/>
      <w:r w:rsidRPr="004C0771">
        <w:rPr>
          <w:rFonts w:ascii="Times New Roman" w:hAnsi="Times New Roman"/>
          <w:sz w:val="24"/>
          <w:szCs w:val="24"/>
        </w:rPr>
        <w:t>EU as a whole</w:t>
      </w:r>
      <w:proofErr w:type="gramEnd"/>
      <w:r w:rsidRPr="004C0771">
        <w:rPr>
          <w:rFonts w:ascii="Times New Roman" w:hAnsi="Times New Roman"/>
          <w:sz w:val="24"/>
          <w:szCs w:val="24"/>
        </w:rPr>
        <w:t>. Nevertheless, it is possible to carry out a reliable empirical analysis at the individual country level for a subset of Member States.</w:t>
      </w:r>
    </w:p>
    <w:p w14:paraId="057280EB" w14:textId="16455CA7" w:rsidR="007F446F" w:rsidRPr="004C0771" w:rsidRDefault="007F446F" w:rsidP="006233DD">
      <w:pPr>
        <w:spacing w:line="480" w:lineRule="auto"/>
        <w:jc w:val="both"/>
        <w:rPr>
          <w:rFonts w:ascii="Times New Roman" w:hAnsi="Times New Roman"/>
          <w:sz w:val="24"/>
          <w:szCs w:val="24"/>
        </w:rPr>
      </w:pPr>
      <w:r w:rsidRPr="004C0771">
        <w:rPr>
          <w:rFonts w:ascii="Times New Roman" w:hAnsi="Times New Roman"/>
          <w:sz w:val="24"/>
          <w:szCs w:val="24"/>
        </w:rPr>
        <w:t>I estimate the strength of the statistical correlation between the ordinal variable ‘income status’ and the dichotomous variable ‘knowledge of at least one official language as a foreign language’ in 12 countries. The correlation is measured through the Spearman’s rank correlation coefficient (</w:t>
      </w:r>
      <w:r w:rsidRPr="004C0771">
        <w:rPr>
          <w:rFonts w:ascii="Times New Roman" w:hAnsi="Times New Roman"/>
          <w:i/>
          <w:sz w:val="24"/>
          <w:szCs w:val="24"/>
        </w:rPr>
        <w:t>ρ</w:t>
      </w:r>
      <w:r w:rsidRPr="004C0771">
        <w:rPr>
          <w:rFonts w:ascii="Times New Roman" w:hAnsi="Times New Roman"/>
          <w:sz w:val="24"/>
          <w:szCs w:val="24"/>
        </w:rPr>
        <w:t>).</w:t>
      </w:r>
      <w:r w:rsidRPr="004C0771">
        <w:rPr>
          <w:rStyle w:val="FootnoteReference"/>
          <w:rFonts w:ascii="Times New Roman" w:hAnsi="Times New Roman"/>
          <w:sz w:val="24"/>
          <w:szCs w:val="24"/>
        </w:rPr>
        <w:footnoteReference w:id="7"/>
      </w:r>
      <w:r w:rsidRPr="004C0771">
        <w:rPr>
          <w:rFonts w:ascii="Times New Roman" w:hAnsi="Times New Roman"/>
          <w:sz w:val="24"/>
          <w:szCs w:val="24"/>
        </w:rPr>
        <w:t xml:space="preserve"> A positive correlation between the two variables means that people belonging to the highest deciles of the income distribution are more likely to have at least some knowledge of at least one official language as a foreign language, and therefore they are less likely to be disenfranchised </w:t>
      </w:r>
      <w:r>
        <w:rPr>
          <w:rFonts w:ascii="Times New Roman" w:hAnsi="Times New Roman"/>
          <w:sz w:val="24"/>
          <w:szCs w:val="24"/>
        </w:rPr>
        <w:t>if</w:t>
      </w:r>
      <w:r w:rsidRPr="004C0771">
        <w:rPr>
          <w:rFonts w:ascii="Times New Roman" w:hAnsi="Times New Roman"/>
          <w:sz w:val="24"/>
          <w:szCs w:val="24"/>
        </w:rPr>
        <w:t xml:space="preserve"> their mother tongue is nor used for official purposes. </w:t>
      </w:r>
      <w:proofErr w:type="gramStart"/>
      <w:r w:rsidRPr="004C0771">
        <w:rPr>
          <w:rFonts w:ascii="Times New Roman" w:hAnsi="Times New Roman"/>
          <w:sz w:val="24"/>
          <w:szCs w:val="24"/>
        </w:rPr>
        <w:t>In order to</w:t>
      </w:r>
      <w:proofErr w:type="gramEnd"/>
      <w:r w:rsidRPr="004C0771">
        <w:rPr>
          <w:rFonts w:ascii="Times New Roman" w:hAnsi="Times New Roman"/>
          <w:sz w:val="24"/>
          <w:szCs w:val="24"/>
        </w:rPr>
        <w:t xml:space="preserve"> avoid spurious correlations, native speakers of the official language(s) must be excluded. </w:t>
      </w:r>
    </w:p>
    <w:p w14:paraId="14C86288" w14:textId="231BB77A" w:rsidR="007F446F" w:rsidRPr="004C0771" w:rsidRDefault="007F446F" w:rsidP="006233DD">
      <w:pPr>
        <w:spacing w:line="480" w:lineRule="auto"/>
        <w:jc w:val="both"/>
        <w:rPr>
          <w:rFonts w:ascii="Times New Roman" w:hAnsi="Times New Roman"/>
          <w:sz w:val="24"/>
          <w:szCs w:val="24"/>
        </w:rPr>
      </w:pPr>
      <w:r w:rsidRPr="004C0771">
        <w:rPr>
          <w:rFonts w:ascii="Times New Roman" w:hAnsi="Times New Roman"/>
          <w:sz w:val="24"/>
          <w:szCs w:val="24"/>
        </w:rPr>
        <w:t xml:space="preserve">In </w:t>
      </w:r>
      <w:r w:rsidRPr="004C0771">
        <w:rPr>
          <w:rFonts w:ascii="Times New Roman" w:hAnsi="Times New Roman"/>
          <w:sz w:val="24"/>
          <w:szCs w:val="24"/>
        </w:rPr>
        <w:fldChar w:fldCharType="begin"/>
      </w:r>
      <w:r w:rsidRPr="004C0771">
        <w:rPr>
          <w:rFonts w:ascii="Times New Roman" w:hAnsi="Times New Roman"/>
          <w:sz w:val="24"/>
          <w:szCs w:val="24"/>
        </w:rPr>
        <w:instrText xml:space="preserve"> REF _Ref393556086 \h  \* MERGEFORMAT </w:instrText>
      </w:r>
      <w:r w:rsidRPr="004C0771">
        <w:rPr>
          <w:rFonts w:ascii="Times New Roman" w:hAnsi="Times New Roman"/>
          <w:sz w:val="24"/>
          <w:szCs w:val="24"/>
        </w:rPr>
      </w:r>
      <w:r w:rsidRPr="004C0771">
        <w:rPr>
          <w:rFonts w:ascii="Times New Roman" w:hAnsi="Times New Roman"/>
          <w:sz w:val="24"/>
          <w:szCs w:val="24"/>
        </w:rPr>
        <w:fldChar w:fldCharType="separate"/>
      </w:r>
      <w:r w:rsidRPr="004C0771">
        <w:rPr>
          <w:rFonts w:ascii="Times New Roman" w:hAnsi="Times New Roman"/>
          <w:sz w:val="24"/>
          <w:szCs w:val="24"/>
        </w:rPr>
        <w:t>Table 4</w:t>
      </w:r>
      <w:r w:rsidRPr="004C0771">
        <w:rPr>
          <w:rFonts w:ascii="Times New Roman" w:hAnsi="Times New Roman"/>
          <w:sz w:val="24"/>
          <w:szCs w:val="24"/>
        </w:rPr>
        <w:fldChar w:fldCharType="end"/>
      </w:r>
      <w:r w:rsidRPr="004C0771">
        <w:rPr>
          <w:rFonts w:ascii="Times New Roman" w:hAnsi="Times New Roman"/>
          <w:sz w:val="24"/>
          <w:szCs w:val="24"/>
        </w:rPr>
        <w:t xml:space="preserve">, countries have been clustered in four groups reflecting </w:t>
      </w:r>
      <w:r>
        <w:rPr>
          <w:rFonts w:ascii="Times New Roman" w:hAnsi="Times New Roman"/>
          <w:sz w:val="24"/>
          <w:szCs w:val="24"/>
        </w:rPr>
        <w:t xml:space="preserve">the strength of the statistical </w:t>
      </w:r>
      <w:r w:rsidRPr="004C0771">
        <w:rPr>
          <w:rFonts w:ascii="Times New Roman" w:hAnsi="Times New Roman"/>
          <w:sz w:val="24"/>
          <w:szCs w:val="24"/>
        </w:rPr>
        <w:t xml:space="preserve">correlation between the two variables considered. These groups are defined by the range of the value of </w:t>
      </w:r>
      <w:r w:rsidRPr="004C0771">
        <w:rPr>
          <w:rFonts w:ascii="Times New Roman" w:hAnsi="Times New Roman"/>
          <w:i/>
          <w:sz w:val="24"/>
          <w:szCs w:val="24"/>
        </w:rPr>
        <w:t>ρ</w:t>
      </w:r>
      <w:r w:rsidRPr="004C0771">
        <w:rPr>
          <w:rFonts w:ascii="Times New Roman" w:hAnsi="Times New Roman"/>
          <w:sz w:val="24"/>
          <w:szCs w:val="24"/>
        </w:rPr>
        <w:t xml:space="preserve">; the higher the value of </w:t>
      </w:r>
      <w:r w:rsidRPr="004C0771">
        <w:rPr>
          <w:rFonts w:ascii="Times New Roman" w:hAnsi="Times New Roman"/>
          <w:i/>
          <w:sz w:val="24"/>
          <w:szCs w:val="24"/>
        </w:rPr>
        <w:t>ρ</w:t>
      </w:r>
      <w:r w:rsidRPr="004C0771">
        <w:rPr>
          <w:rFonts w:ascii="Times New Roman" w:hAnsi="Times New Roman"/>
          <w:sz w:val="24"/>
          <w:szCs w:val="24"/>
        </w:rPr>
        <w:t>, the stronger the correlation.</w:t>
      </w:r>
    </w:p>
    <w:p w14:paraId="6678C6DB" w14:textId="77777777" w:rsidR="007F446F" w:rsidRPr="004C0771" w:rsidRDefault="007F446F" w:rsidP="006233DD">
      <w:pPr>
        <w:pStyle w:val="Caption"/>
        <w:keepNext/>
        <w:keepLines/>
        <w:spacing w:line="480" w:lineRule="auto"/>
        <w:jc w:val="center"/>
        <w:rPr>
          <w:rFonts w:ascii="Times New Roman" w:hAnsi="Times New Roman"/>
          <w:b w:val="0"/>
          <w:i/>
          <w:color w:val="auto"/>
          <w:sz w:val="24"/>
          <w:szCs w:val="24"/>
        </w:rPr>
      </w:pPr>
      <w:bookmarkStart w:id="2" w:name="_Ref393556086"/>
      <w:bookmarkStart w:id="3" w:name="_Ref393556070"/>
      <w:r w:rsidRPr="004C0771">
        <w:rPr>
          <w:rFonts w:ascii="Times New Roman" w:hAnsi="Times New Roman"/>
          <w:b w:val="0"/>
          <w:i/>
          <w:color w:val="auto"/>
          <w:sz w:val="24"/>
          <w:szCs w:val="24"/>
        </w:rPr>
        <w:t xml:space="preserve">Table </w:t>
      </w:r>
      <w:r w:rsidRPr="004C0771">
        <w:rPr>
          <w:rFonts w:ascii="Times New Roman" w:hAnsi="Times New Roman"/>
          <w:b w:val="0"/>
          <w:i/>
          <w:color w:val="auto"/>
          <w:sz w:val="24"/>
          <w:szCs w:val="24"/>
        </w:rPr>
        <w:fldChar w:fldCharType="begin"/>
      </w:r>
      <w:r w:rsidRPr="004C0771">
        <w:rPr>
          <w:rFonts w:ascii="Times New Roman" w:hAnsi="Times New Roman"/>
          <w:b w:val="0"/>
          <w:i/>
          <w:color w:val="auto"/>
          <w:sz w:val="24"/>
          <w:szCs w:val="24"/>
        </w:rPr>
        <w:instrText xml:space="preserve"> SEQ Table \* ARABIC </w:instrText>
      </w:r>
      <w:r w:rsidRPr="004C0771">
        <w:rPr>
          <w:rFonts w:ascii="Times New Roman" w:hAnsi="Times New Roman"/>
          <w:b w:val="0"/>
          <w:i/>
          <w:color w:val="auto"/>
          <w:sz w:val="24"/>
          <w:szCs w:val="24"/>
        </w:rPr>
        <w:fldChar w:fldCharType="separate"/>
      </w:r>
      <w:r w:rsidRPr="004C0771">
        <w:rPr>
          <w:rFonts w:ascii="Times New Roman" w:hAnsi="Times New Roman"/>
          <w:b w:val="0"/>
          <w:i/>
          <w:color w:val="auto"/>
          <w:sz w:val="24"/>
          <w:szCs w:val="24"/>
        </w:rPr>
        <w:t>4</w:t>
      </w:r>
      <w:r w:rsidRPr="004C0771">
        <w:rPr>
          <w:rFonts w:ascii="Times New Roman" w:hAnsi="Times New Roman"/>
          <w:b w:val="0"/>
          <w:i/>
          <w:color w:val="auto"/>
          <w:sz w:val="24"/>
          <w:szCs w:val="24"/>
        </w:rPr>
        <w:fldChar w:fldCharType="end"/>
      </w:r>
      <w:bookmarkEnd w:id="2"/>
      <w:r w:rsidRPr="004C0771">
        <w:rPr>
          <w:rFonts w:ascii="Times New Roman" w:hAnsi="Times New Roman"/>
          <w:b w:val="0"/>
          <w:i/>
          <w:color w:val="auto"/>
          <w:sz w:val="24"/>
          <w:szCs w:val="24"/>
        </w:rPr>
        <w:t xml:space="preserve"> here </w:t>
      </w:r>
      <w:bookmarkEnd w:id="3"/>
    </w:p>
    <w:p w14:paraId="4271BC64" w14:textId="235BDBCE" w:rsidR="007F446F" w:rsidRPr="004C0771" w:rsidRDefault="007F446F" w:rsidP="006233DD">
      <w:pPr>
        <w:spacing w:line="480" w:lineRule="auto"/>
        <w:jc w:val="both"/>
        <w:rPr>
          <w:rFonts w:ascii="Times New Roman" w:hAnsi="Times New Roman"/>
          <w:sz w:val="24"/>
          <w:szCs w:val="24"/>
        </w:rPr>
      </w:pPr>
      <w:r w:rsidRPr="004C0771">
        <w:rPr>
          <w:rFonts w:ascii="Times New Roman" w:hAnsi="Times New Roman"/>
          <w:sz w:val="24"/>
          <w:szCs w:val="24"/>
        </w:rPr>
        <w:t xml:space="preserve">The Spearman’s rank correlation coefficient is positive and statistically significant in all 12 </w:t>
      </w:r>
      <w:r>
        <w:rPr>
          <w:rFonts w:ascii="Times New Roman" w:hAnsi="Times New Roman"/>
          <w:sz w:val="24"/>
          <w:szCs w:val="24"/>
        </w:rPr>
        <w:t>countries</w:t>
      </w:r>
      <w:r w:rsidRPr="004C0771">
        <w:rPr>
          <w:rFonts w:ascii="Times New Roman" w:hAnsi="Times New Roman"/>
          <w:sz w:val="24"/>
          <w:szCs w:val="24"/>
        </w:rPr>
        <w:t xml:space="preserve">. </w:t>
      </w:r>
    </w:p>
    <w:p w14:paraId="1771C620" w14:textId="77777777" w:rsidR="007F446F" w:rsidRDefault="007F446F" w:rsidP="006233DD">
      <w:pPr>
        <w:spacing w:line="480" w:lineRule="auto"/>
        <w:jc w:val="both"/>
        <w:rPr>
          <w:rFonts w:ascii="Times New Roman" w:hAnsi="Times New Roman"/>
          <w:sz w:val="24"/>
          <w:szCs w:val="24"/>
        </w:rPr>
      </w:pPr>
      <w:r>
        <w:rPr>
          <w:rFonts w:ascii="Times New Roman" w:hAnsi="Times New Roman"/>
          <w:sz w:val="24"/>
          <w:szCs w:val="24"/>
        </w:rPr>
        <w:lastRenderedPageBreak/>
        <w:t>Estimates</w:t>
      </w:r>
      <w:r w:rsidRPr="004C0771">
        <w:rPr>
          <w:rFonts w:ascii="Times New Roman" w:hAnsi="Times New Roman"/>
          <w:sz w:val="24"/>
          <w:szCs w:val="24"/>
        </w:rPr>
        <w:t xml:space="preserve"> reveal a correlation between the level of respondents’ income and their language skills. In other words, the higher the income status, the lower the absolute disenfranchisement rate. For reasons of space, I cannot discuss in detail the relationship between income status and </w:t>
      </w:r>
      <w:proofErr w:type="spellStart"/>
      <w:r w:rsidRPr="004C0771">
        <w:rPr>
          <w:rFonts w:ascii="Times New Roman" w:hAnsi="Times New Roman"/>
          <w:sz w:val="24"/>
          <w:szCs w:val="24"/>
        </w:rPr>
        <w:t>D</w:t>
      </w:r>
      <w:r w:rsidRPr="004C0771">
        <w:rPr>
          <w:rFonts w:ascii="Times New Roman" w:hAnsi="Times New Roman"/>
          <w:sz w:val="24"/>
          <w:szCs w:val="24"/>
          <w:vertAlign w:val="subscript"/>
        </w:rPr>
        <w:t>r</w:t>
      </w:r>
      <w:r w:rsidRPr="004C0771">
        <w:rPr>
          <w:rFonts w:ascii="Times New Roman" w:hAnsi="Times New Roman"/>
          <w:sz w:val="24"/>
          <w:szCs w:val="24"/>
        </w:rPr>
        <w:t>.</w:t>
      </w:r>
      <w:proofErr w:type="spellEnd"/>
      <w:r w:rsidRPr="004C0771">
        <w:rPr>
          <w:rFonts w:ascii="Times New Roman" w:hAnsi="Times New Roman"/>
          <w:sz w:val="24"/>
          <w:szCs w:val="24"/>
        </w:rPr>
        <w:t xml:space="preserve"> Suffice it to say that the value of </w:t>
      </w:r>
      <w:r w:rsidRPr="004C0771">
        <w:rPr>
          <w:rFonts w:ascii="Times New Roman" w:hAnsi="Times New Roman"/>
          <w:i/>
          <w:sz w:val="24"/>
          <w:szCs w:val="24"/>
        </w:rPr>
        <w:t>ρ</w:t>
      </w:r>
      <w:r w:rsidRPr="004C0771">
        <w:rPr>
          <w:rFonts w:ascii="Times New Roman" w:hAnsi="Times New Roman"/>
          <w:sz w:val="24"/>
          <w:szCs w:val="24"/>
        </w:rPr>
        <w:t xml:space="preserve"> is still positive but lower than the value of </w:t>
      </w:r>
      <w:r w:rsidRPr="004C0771">
        <w:rPr>
          <w:rFonts w:ascii="Times New Roman" w:hAnsi="Times New Roman"/>
          <w:i/>
          <w:sz w:val="24"/>
          <w:szCs w:val="24"/>
        </w:rPr>
        <w:t>ρ</w:t>
      </w:r>
      <w:r w:rsidRPr="004C0771">
        <w:rPr>
          <w:rFonts w:ascii="Times New Roman" w:hAnsi="Times New Roman"/>
          <w:sz w:val="24"/>
          <w:szCs w:val="24"/>
        </w:rPr>
        <w:t xml:space="preserve"> in </w:t>
      </w:r>
      <w:r w:rsidRPr="004C0771">
        <w:rPr>
          <w:rFonts w:ascii="Times New Roman" w:hAnsi="Times New Roman"/>
          <w:sz w:val="24"/>
          <w:szCs w:val="24"/>
        </w:rPr>
        <w:fldChar w:fldCharType="begin"/>
      </w:r>
      <w:r w:rsidRPr="004C0771">
        <w:rPr>
          <w:rFonts w:ascii="Times New Roman" w:hAnsi="Times New Roman"/>
          <w:sz w:val="24"/>
          <w:szCs w:val="24"/>
        </w:rPr>
        <w:instrText xml:space="preserve"> REF _Ref393556086 \h  \* MERGEFORMAT </w:instrText>
      </w:r>
      <w:r w:rsidRPr="004C0771">
        <w:rPr>
          <w:rFonts w:ascii="Times New Roman" w:hAnsi="Times New Roman"/>
          <w:sz w:val="24"/>
          <w:szCs w:val="24"/>
        </w:rPr>
      </w:r>
      <w:r w:rsidRPr="004C0771">
        <w:rPr>
          <w:rFonts w:ascii="Times New Roman" w:hAnsi="Times New Roman"/>
          <w:sz w:val="24"/>
          <w:szCs w:val="24"/>
        </w:rPr>
        <w:fldChar w:fldCharType="separate"/>
      </w:r>
      <w:r w:rsidRPr="004C0771">
        <w:rPr>
          <w:rFonts w:ascii="Times New Roman" w:hAnsi="Times New Roman"/>
          <w:sz w:val="24"/>
          <w:szCs w:val="24"/>
        </w:rPr>
        <w:t>Table 4</w:t>
      </w:r>
      <w:r w:rsidRPr="004C0771">
        <w:rPr>
          <w:rFonts w:ascii="Times New Roman" w:hAnsi="Times New Roman"/>
          <w:sz w:val="24"/>
          <w:szCs w:val="24"/>
        </w:rPr>
        <w:fldChar w:fldCharType="end"/>
      </w:r>
      <w:r w:rsidRPr="004C0771">
        <w:rPr>
          <w:rFonts w:ascii="Times New Roman" w:hAnsi="Times New Roman"/>
          <w:sz w:val="24"/>
          <w:szCs w:val="24"/>
        </w:rPr>
        <w:t xml:space="preserve">. </w:t>
      </w:r>
    </w:p>
    <w:p w14:paraId="20551355" w14:textId="26BB9D5D" w:rsidR="007F446F" w:rsidRPr="004C0771" w:rsidRDefault="007F446F" w:rsidP="006233DD">
      <w:pPr>
        <w:spacing w:line="480" w:lineRule="auto"/>
        <w:jc w:val="both"/>
        <w:rPr>
          <w:rFonts w:ascii="Times New Roman" w:hAnsi="Times New Roman"/>
          <w:sz w:val="24"/>
          <w:szCs w:val="24"/>
        </w:rPr>
      </w:pPr>
      <w:r w:rsidRPr="004C0771">
        <w:rPr>
          <w:rFonts w:ascii="Times New Roman" w:hAnsi="Times New Roman"/>
          <w:sz w:val="24"/>
          <w:szCs w:val="24"/>
        </w:rPr>
        <w:t>There are significant differences among Member States. In Hungary or Portugal, the relationship between income and D</w:t>
      </w:r>
      <w:r w:rsidRPr="004C0771">
        <w:rPr>
          <w:rFonts w:ascii="Times New Roman" w:hAnsi="Times New Roman"/>
          <w:sz w:val="24"/>
          <w:szCs w:val="24"/>
          <w:vertAlign w:val="subscript"/>
        </w:rPr>
        <w:t>a</w:t>
      </w:r>
      <w:r w:rsidRPr="004C0771">
        <w:rPr>
          <w:rFonts w:ascii="Times New Roman" w:hAnsi="Times New Roman"/>
          <w:sz w:val="24"/>
          <w:szCs w:val="24"/>
        </w:rPr>
        <w:t xml:space="preserve"> is stronger than in Denmark or Italy. This can be </w:t>
      </w:r>
      <w:proofErr w:type="gramStart"/>
      <w:r w:rsidRPr="004C0771">
        <w:rPr>
          <w:rFonts w:ascii="Times New Roman" w:hAnsi="Times New Roman"/>
          <w:sz w:val="24"/>
          <w:szCs w:val="24"/>
        </w:rPr>
        <w:t>due to the fact that</w:t>
      </w:r>
      <w:proofErr w:type="gramEnd"/>
      <w:r w:rsidRPr="004C0771">
        <w:rPr>
          <w:rFonts w:ascii="Times New Roman" w:hAnsi="Times New Roman"/>
          <w:sz w:val="24"/>
          <w:szCs w:val="24"/>
        </w:rPr>
        <w:t xml:space="preserve"> in the latter two countries, no matter what the level of income of respondents is, some knowledge of foreign languages is quite widespread among the population (e.g. in Denmark), or, alternatively, it is not</w:t>
      </w:r>
      <w:r w:rsidRPr="004C0771">
        <w:rPr>
          <w:rFonts w:ascii="Times New Roman" w:hAnsi="Times New Roman"/>
          <w:i/>
          <w:sz w:val="24"/>
          <w:szCs w:val="24"/>
        </w:rPr>
        <w:t xml:space="preserve"> </w:t>
      </w:r>
      <w:r w:rsidRPr="004C0771">
        <w:rPr>
          <w:rFonts w:ascii="Times New Roman" w:hAnsi="Times New Roman"/>
          <w:sz w:val="24"/>
          <w:szCs w:val="24"/>
        </w:rPr>
        <w:t xml:space="preserve">widespread among residents (e.g. in Italy). Further, </w:t>
      </w:r>
      <w:r w:rsidRPr="004C0771">
        <w:rPr>
          <w:rFonts w:ascii="Times New Roman" w:hAnsi="Times New Roman"/>
          <w:sz w:val="24"/>
          <w:szCs w:val="24"/>
        </w:rPr>
        <w:fldChar w:fldCharType="begin"/>
      </w:r>
      <w:r w:rsidRPr="004C0771">
        <w:rPr>
          <w:rFonts w:ascii="Times New Roman" w:hAnsi="Times New Roman"/>
          <w:sz w:val="24"/>
          <w:szCs w:val="24"/>
        </w:rPr>
        <w:instrText xml:space="preserve"> REF _Ref393556086 \h  \* MERGEFORMAT </w:instrText>
      </w:r>
      <w:r w:rsidRPr="004C0771">
        <w:rPr>
          <w:rFonts w:ascii="Times New Roman" w:hAnsi="Times New Roman"/>
          <w:sz w:val="24"/>
          <w:szCs w:val="24"/>
        </w:rPr>
      </w:r>
      <w:r w:rsidRPr="004C0771">
        <w:rPr>
          <w:rFonts w:ascii="Times New Roman" w:hAnsi="Times New Roman"/>
          <w:sz w:val="24"/>
          <w:szCs w:val="24"/>
        </w:rPr>
        <w:fldChar w:fldCharType="separate"/>
      </w:r>
      <w:r w:rsidRPr="004C0771">
        <w:rPr>
          <w:rFonts w:ascii="Times New Roman" w:hAnsi="Times New Roman"/>
          <w:sz w:val="24"/>
          <w:szCs w:val="24"/>
        </w:rPr>
        <w:t>Table 4</w:t>
      </w:r>
      <w:r w:rsidRPr="004C0771">
        <w:rPr>
          <w:rFonts w:ascii="Times New Roman" w:hAnsi="Times New Roman"/>
          <w:sz w:val="24"/>
          <w:szCs w:val="24"/>
        </w:rPr>
        <w:fldChar w:fldCharType="end"/>
      </w:r>
      <w:r w:rsidRPr="004C0771">
        <w:rPr>
          <w:rFonts w:ascii="Times New Roman" w:hAnsi="Times New Roman"/>
          <w:sz w:val="24"/>
          <w:szCs w:val="24"/>
        </w:rPr>
        <w:t xml:space="preserve"> shows that the correlation between income status and the disenfranchisement rate is independent from the language regime chosen. Putting it differently, any </w:t>
      </w:r>
      <w:r>
        <w:rPr>
          <w:rFonts w:ascii="Times New Roman" w:hAnsi="Times New Roman"/>
          <w:sz w:val="24"/>
          <w:szCs w:val="24"/>
        </w:rPr>
        <w:t>alternative</w:t>
      </w:r>
      <w:r w:rsidRPr="004C0771">
        <w:rPr>
          <w:rFonts w:ascii="Times New Roman" w:hAnsi="Times New Roman"/>
          <w:sz w:val="24"/>
          <w:szCs w:val="24"/>
        </w:rPr>
        <w:t xml:space="preserve"> to the </w:t>
      </w:r>
      <w:r w:rsidRPr="004C0771">
        <w:rPr>
          <w:rFonts w:ascii="Times New Roman" w:hAnsi="Times New Roman"/>
          <w:i/>
          <w:sz w:val="24"/>
          <w:szCs w:val="24"/>
        </w:rPr>
        <w:t>status quo</w:t>
      </w:r>
      <w:r w:rsidRPr="004C0771">
        <w:rPr>
          <w:rFonts w:ascii="Times New Roman" w:hAnsi="Times New Roman"/>
          <w:sz w:val="24"/>
          <w:szCs w:val="24"/>
        </w:rPr>
        <w:t xml:space="preserve"> would </w:t>
      </w:r>
      <w:r>
        <w:rPr>
          <w:rFonts w:ascii="Times New Roman" w:hAnsi="Times New Roman"/>
          <w:sz w:val="24"/>
          <w:szCs w:val="24"/>
        </w:rPr>
        <w:t>disenfranchise</w:t>
      </w:r>
      <w:r w:rsidRPr="004C0771">
        <w:rPr>
          <w:rFonts w:ascii="Times New Roman" w:hAnsi="Times New Roman"/>
          <w:sz w:val="24"/>
          <w:szCs w:val="24"/>
        </w:rPr>
        <w:t xml:space="preserve"> residents with a relatively lower income </w:t>
      </w:r>
      <w:r>
        <w:rPr>
          <w:rFonts w:ascii="Times New Roman" w:hAnsi="Times New Roman"/>
          <w:sz w:val="24"/>
          <w:szCs w:val="24"/>
        </w:rPr>
        <w:t xml:space="preserve">more often than residents </w:t>
      </w:r>
      <w:r w:rsidRPr="004C0771">
        <w:rPr>
          <w:rFonts w:ascii="Times New Roman" w:hAnsi="Times New Roman"/>
          <w:sz w:val="24"/>
          <w:szCs w:val="24"/>
        </w:rPr>
        <w:t xml:space="preserve">who have a relatively higher income. By contrast, the current language regime does not entail significant </w:t>
      </w:r>
      <w:r>
        <w:rPr>
          <w:rFonts w:ascii="Times New Roman" w:hAnsi="Times New Roman"/>
          <w:sz w:val="24"/>
          <w:szCs w:val="24"/>
        </w:rPr>
        <w:t xml:space="preserve">income-related </w:t>
      </w:r>
      <w:r w:rsidRPr="004C0771">
        <w:rPr>
          <w:rFonts w:ascii="Times New Roman" w:hAnsi="Times New Roman"/>
          <w:sz w:val="24"/>
          <w:szCs w:val="24"/>
        </w:rPr>
        <w:t>inequalities among European residents, because the official languages used correspond, with some exceptions, to their mother tongue or primary language of education.</w:t>
      </w:r>
    </w:p>
    <w:p w14:paraId="32DC33F6" w14:textId="77777777" w:rsidR="007F446F" w:rsidRDefault="007F446F" w:rsidP="006233DD">
      <w:pPr>
        <w:spacing w:line="480" w:lineRule="auto"/>
        <w:jc w:val="both"/>
        <w:rPr>
          <w:rFonts w:ascii="Times New Roman" w:hAnsi="Times New Roman"/>
          <w:sz w:val="24"/>
          <w:szCs w:val="24"/>
        </w:rPr>
      </w:pPr>
      <w:r>
        <w:rPr>
          <w:rFonts w:ascii="Times New Roman" w:hAnsi="Times New Roman"/>
          <w:sz w:val="24"/>
          <w:szCs w:val="24"/>
        </w:rPr>
        <w:t>D</w:t>
      </w:r>
      <w:r w:rsidRPr="004C0771">
        <w:rPr>
          <w:rFonts w:ascii="Times New Roman" w:hAnsi="Times New Roman"/>
          <w:sz w:val="24"/>
          <w:szCs w:val="24"/>
        </w:rPr>
        <w:t>isenfranchisement rate</w:t>
      </w:r>
      <w:r>
        <w:rPr>
          <w:rFonts w:ascii="Times New Roman" w:hAnsi="Times New Roman"/>
          <w:sz w:val="24"/>
          <w:szCs w:val="24"/>
        </w:rPr>
        <w:t>s</w:t>
      </w:r>
      <w:r w:rsidRPr="004C0771">
        <w:rPr>
          <w:rFonts w:ascii="Times New Roman" w:hAnsi="Times New Roman"/>
          <w:sz w:val="24"/>
          <w:szCs w:val="24"/>
        </w:rPr>
        <w:t xml:space="preserve">, as expected, </w:t>
      </w:r>
      <w:r>
        <w:rPr>
          <w:rFonts w:ascii="Times New Roman" w:hAnsi="Times New Roman"/>
          <w:sz w:val="24"/>
          <w:szCs w:val="24"/>
        </w:rPr>
        <w:t>are</w:t>
      </w:r>
      <w:r w:rsidRPr="004C0771">
        <w:rPr>
          <w:rFonts w:ascii="Times New Roman" w:hAnsi="Times New Roman"/>
          <w:sz w:val="24"/>
          <w:szCs w:val="24"/>
        </w:rPr>
        <w:t xml:space="preserve"> correlated </w:t>
      </w:r>
      <w:r>
        <w:rPr>
          <w:rFonts w:ascii="Times New Roman" w:hAnsi="Times New Roman"/>
          <w:sz w:val="24"/>
          <w:szCs w:val="24"/>
        </w:rPr>
        <w:t>with</w:t>
      </w:r>
      <w:r w:rsidRPr="004C0771">
        <w:rPr>
          <w:rFonts w:ascii="Times New Roman" w:hAnsi="Times New Roman"/>
          <w:sz w:val="24"/>
          <w:szCs w:val="24"/>
        </w:rPr>
        <w:t xml:space="preserve"> education. </w:t>
      </w:r>
      <w:r w:rsidRPr="004C0771">
        <w:rPr>
          <w:rFonts w:ascii="Times New Roman" w:hAnsi="Times New Roman"/>
          <w:sz w:val="24"/>
          <w:szCs w:val="24"/>
        </w:rPr>
        <w:fldChar w:fldCharType="begin"/>
      </w:r>
      <w:r w:rsidRPr="004C0771">
        <w:rPr>
          <w:rFonts w:ascii="Times New Roman" w:hAnsi="Times New Roman"/>
          <w:sz w:val="24"/>
          <w:szCs w:val="24"/>
        </w:rPr>
        <w:instrText xml:space="preserve"> REF _Ref393561195 \h  \* MERGEFORMAT </w:instrText>
      </w:r>
      <w:r w:rsidRPr="004C0771">
        <w:rPr>
          <w:rFonts w:ascii="Times New Roman" w:hAnsi="Times New Roman"/>
          <w:sz w:val="24"/>
          <w:szCs w:val="24"/>
        </w:rPr>
      </w:r>
      <w:r w:rsidRPr="004C0771">
        <w:rPr>
          <w:rFonts w:ascii="Times New Roman" w:hAnsi="Times New Roman"/>
          <w:sz w:val="24"/>
          <w:szCs w:val="24"/>
        </w:rPr>
        <w:fldChar w:fldCharType="separate"/>
      </w:r>
      <w:r w:rsidRPr="004C0771">
        <w:rPr>
          <w:rFonts w:ascii="Times New Roman" w:hAnsi="Times New Roman"/>
          <w:sz w:val="24"/>
          <w:szCs w:val="24"/>
        </w:rPr>
        <w:t>Table 5</w:t>
      </w:r>
      <w:r w:rsidRPr="004C0771">
        <w:rPr>
          <w:rFonts w:ascii="Times New Roman" w:hAnsi="Times New Roman"/>
          <w:sz w:val="24"/>
          <w:szCs w:val="24"/>
        </w:rPr>
        <w:fldChar w:fldCharType="end"/>
      </w:r>
      <w:r w:rsidRPr="004C0771">
        <w:rPr>
          <w:rFonts w:ascii="Times New Roman" w:hAnsi="Times New Roman"/>
          <w:sz w:val="24"/>
          <w:szCs w:val="24"/>
        </w:rPr>
        <w:t xml:space="preserve"> presents the </w:t>
      </w:r>
      <w:r>
        <w:rPr>
          <w:rFonts w:ascii="Times New Roman" w:hAnsi="Times New Roman"/>
          <w:sz w:val="24"/>
          <w:szCs w:val="24"/>
        </w:rPr>
        <w:t xml:space="preserve">distribution of </w:t>
      </w:r>
      <w:r w:rsidRPr="004C0771">
        <w:rPr>
          <w:rFonts w:ascii="Times New Roman" w:hAnsi="Times New Roman"/>
          <w:sz w:val="24"/>
          <w:szCs w:val="24"/>
        </w:rPr>
        <w:t>D</w:t>
      </w:r>
      <w:r w:rsidRPr="004C0771">
        <w:rPr>
          <w:rFonts w:ascii="Times New Roman" w:hAnsi="Times New Roman"/>
          <w:sz w:val="24"/>
          <w:szCs w:val="24"/>
          <w:vertAlign w:val="subscript"/>
        </w:rPr>
        <w:t>a</w:t>
      </w:r>
      <w:r w:rsidRPr="004C0771">
        <w:rPr>
          <w:rFonts w:ascii="Times New Roman" w:hAnsi="Times New Roman"/>
          <w:sz w:val="24"/>
          <w:szCs w:val="24"/>
        </w:rPr>
        <w:t xml:space="preserve"> </w:t>
      </w:r>
      <w:r>
        <w:rPr>
          <w:rFonts w:ascii="Times New Roman" w:hAnsi="Times New Roman"/>
          <w:sz w:val="24"/>
          <w:szCs w:val="24"/>
        </w:rPr>
        <w:t xml:space="preserve">and </w:t>
      </w:r>
      <w:r w:rsidRPr="004C0771">
        <w:rPr>
          <w:rFonts w:ascii="Times New Roman" w:hAnsi="Times New Roman"/>
          <w:sz w:val="24"/>
          <w:szCs w:val="24"/>
        </w:rPr>
        <w:t>D</w:t>
      </w:r>
      <w:r>
        <w:rPr>
          <w:rFonts w:ascii="Times New Roman" w:hAnsi="Times New Roman"/>
          <w:sz w:val="24"/>
          <w:szCs w:val="24"/>
          <w:vertAlign w:val="subscript"/>
        </w:rPr>
        <w:t>r</w:t>
      </w:r>
      <w:r w:rsidRPr="004C0771">
        <w:rPr>
          <w:rFonts w:ascii="Times New Roman" w:hAnsi="Times New Roman"/>
          <w:sz w:val="24"/>
          <w:szCs w:val="24"/>
        </w:rPr>
        <w:t xml:space="preserve"> </w:t>
      </w:r>
      <w:r>
        <w:rPr>
          <w:rFonts w:ascii="Times New Roman" w:hAnsi="Times New Roman"/>
          <w:sz w:val="24"/>
          <w:szCs w:val="24"/>
        </w:rPr>
        <w:t xml:space="preserve">according to </w:t>
      </w:r>
      <w:r w:rsidRPr="004C0771">
        <w:rPr>
          <w:rFonts w:ascii="Times New Roman" w:hAnsi="Times New Roman"/>
          <w:sz w:val="24"/>
          <w:szCs w:val="24"/>
        </w:rPr>
        <w:t xml:space="preserve">the highest level of education successfully completed by </w:t>
      </w:r>
      <w:r>
        <w:rPr>
          <w:rFonts w:ascii="Times New Roman" w:hAnsi="Times New Roman"/>
          <w:sz w:val="24"/>
          <w:szCs w:val="24"/>
        </w:rPr>
        <w:t>respondents.</w:t>
      </w:r>
      <w:r w:rsidRPr="004C0771">
        <w:rPr>
          <w:rStyle w:val="FootnoteReference"/>
          <w:rFonts w:ascii="Times New Roman" w:hAnsi="Times New Roman"/>
          <w:sz w:val="24"/>
          <w:szCs w:val="24"/>
        </w:rPr>
        <w:footnoteReference w:id="8"/>
      </w:r>
      <w:r>
        <w:rPr>
          <w:rFonts w:ascii="Times New Roman" w:hAnsi="Times New Roman"/>
          <w:sz w:val="24"/>
          <w:szCs w:val="24"/>
        </w:rPr>
        <w:t xml:space="preserve"> The levels</w:t>
      </w:r>
    </w:p>
    <w:p w14:paraId="7AD376E5" w14:textId="1D4D2048" w:rsidR="007F446F" w:rsidRPr="004C0771" w:rsidRDefault="007F446F" w:rsidP="006233DD">
      <w:pPr>
        <w:spacing w:line="480" w:lineRule="auto"/>
        <w:jc w:val="both"/>
        <w:rPr>
          <w:rFonts w:ascii="Times New Roman" w:hAnsi="Times New Roman"/>
          <w:sz w:val="24"/>
          <w:szCs w:val="24"/>
        </w:rPr>
      </w:pPr>
      <w:r>
        <w:rPr>
          <w:rFonts w:ascii="Times New Roman" w:hAnsi="Times New Roman"/>
          <w:sz w:val="24"/>
          <w:szCs w:val="24"/>
        </w:rPr>
        <w:t xml:space="preserve"> of education are</w:t>
      </w:r>
      <w:r w:rsidRPr="004C0771">
        <w:rPr>
          <w:rFonts w:ascii="Times New Roman" w:hAnsi="Times New Roman"/>
          <w:sz w:val="24"/>
          <w:szCs w:val="24"/>
        </w:rPr>
        <w:t xml:space="preserve"> defined following the ISCED classification</w:t>
      </w:r>
      <w:r>
        <w:rPr>
          <w:rFonts w:ascii="Times New Roman" w:hAnsi="Times New Roman"/>
          <w:sz w:val="24"/>
          <w:szCs w:val="24"/>
        </w:rPr>
        <w:t xml:space="preserve"> (</w:t>
      </w:r>
      <w:r w:rsidRPr="004C0771">
        <w:rPr>
          <w:rFonts w:ascii="Times New Roman" w:hAnsi="Times New Roman"/>
          <w:sz w:val="24"/>
          <w:szCs w:val="24"/>
        </w:rPr>
        <w:t>ISCED stands for ‘International Standard Classification of Education’, a system developed by UNESCO to facilitate the comparison between the educational systems of different countries</w:t>
      </w:r>
      <w:r>
        <w:rPr>
          <w:rFonts w:ascii="Times New Roman" w:hAnsi="Times New Roman"/>
          <w:sz w:val="24"/>
          <w:szCs w:val="24"/>
        </w:rPr>
        <w:t>)</w:t>
      </w:r>
      <w:r w:rsidRPr="004C0771">
        <w:rPr>
          <w:rFonts w:ascii="Times New Roman" w:hAnsi="Times New Roman"/>
          <w:sz w:val="24"/>
          <w:szCs w:val="24"/>
        </w:rPr>
        <w:t>.</w:t>
      </w:r>
    </w:p>
    <w:p w14:paraId="1D853949" w14:textId="77777777" w:rsidR="007F446F" w:rsidRPr="004C0771" w:rsidRDefault="007F446F" w:rsidP="006233DD">
      <w:pPr>
        <w:pStyle w:val="Caption"/>
        <w:spacing w:line="480" w:lineRule="auto"/>
        <w:jc w:val="center"/>
        <w:rPr>
          <w:rFonts w:ascii="Times New Roman" w:hAnsi="Times New Roman"/>
          <w:b w:val="0"/>
          <w:i/>
          <w:color w:val="auto"/>
          <w:sz w:val="24"/>
          <w:szCs w:val="24"/>
        </w:rPr>
      </w:pPr>
      <w:bookmarkStart w:id="4" w:name="_Ref393561195"/>
      <w:r w:rsidRPr="004C0771">
        <w:rPr>
          <w:rFonts w:ascii="Times New Roman" w:hAnsi="Times New Roman"/>
          <w:b w:val="0"/>
          <w:i/>
          <w:color w:val="auto"/>
          <w:sz w:val="24"/>
          <w:szCs w:val="24"/>
        </w:rPr>
        <w:lastRenderedPageBreak/>
        <w:t xml:space="preserve">Table </w:t>
      </w:r>
      <w:r w:rsidRPr="004C0771">
        <w:rPr>
          <w:rFonts w:ascii="Times New Roman" w:hAnsi="Times New Roman"/>
          <w:b w:val="0"/>
          <w:i/>
          <w:color w:val="auto"/>
          <w:sz w:val="24"/>
          <w:szCs w:val="24"/>
        </w:rPr>
        <w:fldChar w:fldCharType="begin"/>
      </w:r>
      <w:r w:rsidRPr="004C0771">
        <w:rPr>
          <w:rFonts w:ascii="Times New Roman" w:hAnsi="Times New Roman"/>
          <w:b w:val="0"/>
          <w:i/>
          <w:color w:val="auto"/>
          <w:sz w:val="24"/>
          <w:szCs w:val="24"/>
        </w:rPr>
        <w:instrText xml:space="preserve"> SEQ Table \* ARABIC </w:instrText>
      </w:r>
      <w:r w:rsidRPr="004C0771">
        <w:rPr>
          <w:rFonts w:ascii="Times New Roman" w:hAnsi="Times New Roman"/>
          <w:b w:val="0"/>
          <w:i/>
          <w:color w:val="auto"/>
          <w:sz w:val="24"/>
          <w:szCs w:val="24"/>
        </w:rPr>
        <w:fldChar w:fldCharType="separate"/>
      </w:r>
      <w:r w:rsidRPr="004C0771">
        <w:rPr>
          <w:rFonts w:ascii="Times New Roman" w:hAnsi="Times New Roman"/>
          <w:b w:val="0"/>
          <w:i/>
          <w:color w:val="auto"/>
          <w:sz w:val="24"/>
          <w:szCs w:val="24"/>
        </w:rPr>
        <w:t>5</w:t>
      </w:r>
      <w:r w:rsidRPr="004C0771">
        <w:rPr>
          <w:rFonts w:ascii="Times New Roman" w:hAnsi="Times New Roman"/>
          <w:b w:val="0"/>
          <w:i/>
          <w:color w:val="auto"/>
          <w:sz w:val="24"/>
          <w:szCs w:val="24"/>
        </w:rPr>
        <w:fldChar w:fldCharType="end"/>
      </w:r>
      <w:bookmarkEnd w:id="4"/>
      <w:r w:rsidRPr="004C0771">
        <w:rPr>
          <w:rFonts w:ascii="Times New Roman" w:hAnsi="Times New Roman"/>
          <w:b w:val="0"/>
          <w:i/>
          <w:color w:val="auto"/>
          <w:sz w:val="24"/>
          <w:szCs w:val="24"/>
        </w:rPr>
        <w:t>  here</w:t>
      </w:r>
    </w:p>
    <w:p w14:paraId="1AF3765F" w14:textId="1D76D917" w:rsidR="007F446F" w:rsidRPr="004C0771" w:rsidRDefault="007F446F" w:rsidP="006233DD">
      <w:pPr>
        <w:spacing w:line="480" w:lineRule="auto"/>
        <w:jc w:val="both"/>
        <w:rPr>
          <w:rFonts w:ascii="Times New Roman" w:hAnsi="Times New Roman"/>
          <w:sz w:val="24"/>
          <w:szCs w:val="24"/>
        </w:rPr>
      </w:pPr>
      <w:r w:rsidRPr="004C0771">
        <w:rPr>
          <w:rFonts w:ascii="Times New Roman" w:hAnsi="Times New Roman"/>
          <w:sz w:val="24"/>
          <w:szCs w:val="24"/>
        </w:rPr>
        <w:fldChar w:fldCharType="begin"/>
      </w:r>
      <w:r w:rsidRPr="004C0771">
        <w:rPr>
          <w:rFonts w:ascii="Times New Roman" w:hAnsi="Times New Roman"/>
          <w:sz w:val="24"/>
          <w:szCs w:val="24"/>
        </w:rPr>
        <w:instrText xml:space="preserve"> REF _Ref393561195 \h  \* MERGEFORMAT </w:instrText>
      </w:r>
      <w:r w:rsidRPr="004C0771">
        <w:rPr>
          <w:rFonts w:ascii="Times New Roman" w:hAnsi="Times New Roman"/>
          <w:sz w:val="24"/>
          <w:szCs w:val="24"/>
        </w:rPr>
      </w:r>
      <w:r w:rsidRPr="004C0771">
        <w:rPr>
          <w:rFonts w:ascii="Times New Roman" w:hAnsi="Times New Roman"/>
          <w:sz w:val="24"/>
          <w:szCs w:val="24"/>
        </w:rPr>
        <w:fldChar w:fldCharType="separate"/>
      </w:r>
      <w:r w:rsidRPr="004C0771">
        <w:rPr>
          <w:rFonts w:ascii="Times New Roman" w:hAnsi="Times New Roman"/>
          <w:sz w:val="24"/>
          <w:szCs w:val="24"/>
        </w:rPr>
        <w:t>Table 5</w:t>
      </w:r>
      <w:r w:rsidRPr="004C0771">
        <w:rPr>
          <w:rFonts w:ascii="Times New Roman" w:hAnsi="Times New Roman"/>
          <w:sz w:val="24"/>
          <w:szCs w:val="24"/>
        </w:rPr>
        <w:fldChar w:fldCharType="end"/>
      </w:r>
      <w:r w:rsidRPr="004C0771">
        <w:rPr>
          <w:rFonts w:ascii="Times New Roman" w:hAnsi="Times New Roman"/>
          <w:sz w:val="24"/>
          <w:szCs w:val="24"/>
        </w:rPr>
        <w:t xml:space="preserve"> reveals a clear relationship between, on the one hand, the value of D</w:t>
      </w:r>
      <w:r w:rsidRPr="004C0771">
        <w:rPr>
          <w:rFonts w:ascii="Times New Roman" w:hAnsi="Times New Roman"/>
          <w:sz w:val="24"/>
          <w:szCs w:val="24"/>
          <w:vertAlign w:val="subscript"/>
        </w:rPr>
        <w:t>a</w:t>
      </w:r>
      <w:r w:rsidRPr="004C0771">
        <w:rPr>
          <w:rFonts w:ascii="Times New Roman" w:hAnsi="Times New Roman"/>
          <w:sz w:val="24"/>
          <w:szCs w:val="24"/>
        </w:rPr>
        <w:t xml:space="preserve"> and D</w:t>
      </w:r>
      <w:r w:rsidRPr="004C0771">
        <w:rPr>
          <w:rFonts w:ascii="Times New Roman" w:hAnsi="Times New Roman"/>
          <w:sz w:val="24"/>
          <w:szCs w:val="24"/>
          <w:vertAlign w:val="subscript"/>
        </w:rPr>
        <w:t>r</w:t>
      </w:r>
      <w:r w:rsidRPr="004C0771">
        <w:rPr>
          <w:rFonts w:ascii="Times New Roman" w:hAnsi="Times New Roman"/>
          <w:sz w:val="24"/>
          <w:szCs w:val="24"/>
        </w:rPr>
        <w:t xml:space="preserve"> associated with the three language regimes alternative to the </w:t>
      </w:r>
      <w:r w:rsidRPr="004C0771">
        <w:rPr>
          <w:rFonts w:ascii="Times New Roman" w:hAnsi="Times New Roman"/>
          <w:i/>
          <w:sz w:val="24"/>
          <w:szCs w:val="24"/>
        </w:rPr>
        <w:t>status quo</w:t>
      </w:r>
      <w:r w:rsidRPr="004C0771">
        <w:rPr>
          <w:rFonts w:ascii="Times New Roman" w:hAnsi="Times New Roman"/>
          <w:sz w:val="24"/>
          <w:szCs w:val="24"/>
        </w:rPr>
        <w:t xml:space="preserve">, and the </w:t>
      </w:r>
      <w:r>
        <w:rPr>
          <w:rFonts w:ascii="Times New Roman" w:hAnsi="Times New Roman"/>
          <w:sz w:val="24"/>
          <w:szCs w:val="24"/>
        </w:rPr>
        <w:t xml:space="preserve">respondents’ </w:t>
      </w:r>
      <w:r w:rsidRPr="004C0771">
        <w:rPr>
          <w:rFonts w:ascii="Times New Roman" w:hAnsi="Times New Roman"/>
          <w:sz w:val="24"/>
          <w:szCs w:val="24"/>
        </w:rPr>
        <w:t xml:space="preserve">level of education on the other hand. A trilingual language regime, for example, would disenfranchise one-fourth of all EU residents who have successfully completed an upper secondary level of education, but only 8% of those who have achieved a tertiary level of education (recall that </w:t>
      </w:r>
      <w:r w:rsidRPr="004C0771">
        <w:rPr>
          <w:rFonts w:ascii="Times New Roman" w:hAnsi="Times New Roman"/>
          <w:sz w:val="24"/>
          <w:szCs w:val="24"/>
        </w:rPr>
        <w:fldChar w:fldCharType="begin"/>
      </w:r>
      <w:r w:rsidRPr="004C0771">
        <w:rPr>
          <w:rFonts w:ascii="Times New Roman" w:hAnsi="Times New Roman"/>
          <w:sz w:val="24"/>
          <w:szCs w:val="24"/>
        </w:rPr>
        <w:instrText xml:space="preserve"> REF _Ref393561195 \h  \* MERGEFORMAT </w:instrText>
      </w:r>
      <w:r w:rsidRPr="004C0771">
        <w:rPr>
          <w:rFonts w:ascii="Times New Roman" w:hAnsi="Times New Roman"/>
          <w:sz w:val="24"/>
          <w:szCs w:val="24"/>
        </w:rPr>
      </w:r>
      <w:r w:rsidRPr="004C0771">
        <w:rPr>
          <w:rFonts w:ascii="Times New Roman" w:hAnsi="Times New Roman"/>
          <w:sz w:val="24"/>
          <w:szCs w:val="24"/>
        </w:rPr>
        <w:fldChar w:fldCharType="separate"/>
      </w:r>
      <w:r w:rsidRPr="004C0771">
        <w:rPr>
          <w:rFonts w:ascii="Times New Roman" w:hAnsi="Times New Roman"/>
          <w:sz w:val="24"/>
          <w:szCs w:val="24"/>
        </w:rPr>
        <w:t>Table 5</w:t>
      </w:r>
      <w:r w:rsidRPr="004C0771">
        <w:rPr>
          <w:rFonts w:ascii="Times New Roman" w:hAnsi="Times New Roman"/>
          <w:sz w:val="24"/>
          <w:szCs w:val="24"/>
        </w:rPr>
        <w:fldChar w:fldCharType="end"/>
      </w:r>
      <w:r w:rsidRPr="004C0771">
        <w:rPr>
          <w:rFonts w:ascii="Times New Roman" w:hAnsi="Times New Roman"/>
          <w:sz w:val="24"/>
          <w:szCs w:val="24"/>
        </w:rPr>
        <w:t xml:space="preserve"> presents percentages based on the whole population; thus, native speakers are included). Nevertheless, the relative disenfranchisement rates are still high, and they tend to be so also for people who have </w:t>
      </w:r>
      <w:r>
        <w:rPr>
          <w:rFonts w:ascii="Times New Roman" w:hAnsi="Times New Roman"/>
          <w:sz w:val="24"/>
          <w:szCs w:val="24"/>
        </w:rPr>
        <w:t>obtained a university degree</w:t>
      </w:r>
      <w:r w:rsidRPr="004C0771">
        <w:rPr>
          <w:rFonts w:ascii="Times New Roman" w:hAnsi="Times New Roman"/>
          <w:sz w:val="24"/>
          <w:szCs w:val="24"/>
        </w:rPr>
        <w:t xml:space="preserve">. For example, a monolingual language regime would (relatively) disenfranchise almost two thirds of EU residents who have achieved a tertiary level education. A high level of proficiency in foreign languages in Europe is still not the norm, not even among the most educated people. The relative disenfranchisement rate resulting from a full multilingual language regime is not negligible </w:t>
      </w:r>
      <w:r>
        <w:rPr>
          <w:rFonts w:ascii="Times New Roman" w:hAnsi="Times New Roman"/>
          <w:sz w:val="24"/>
          <w:szCs w:val="24"/>
        </w:rPr>
        <w:t>in the groups of</w:t>
      </w:r>
      <w:r w:rsidRPr="004C0771">
        <w:rPr>
          <w:rFonts w:ascii="Times New Roman" w:hAnsi="Times New Roman"/>
          <w:sz w:val="24"/>
          <w:szCs w:val="24"/>
        </w:rPr>
        <w:t xml:space="preserve"> respondents </w:t>
      </w:r>
      <w:r>
        <w:rPr>
          <w:rFonts w:ascii="Times New Roman" w:hAnsi="Times New Roman"/>
          <w:sz w:val="24"/>
          <w:szCs w:val="24"/>
        </w:rPr>
        <w:t xml:space="preserve">who achieved </w:t>
      </w:r>
      <w:r w:rsidRPr="004C0771">
        <w:rPr>
          <w:rFonts w:ascii="Times New Roman" w:hAnsi="Times New Roman"/>
          <w:sz w:val="24"/>
          <w:szCs w:val="24"/>
        </w:rPr>
        <w:t xml:space="preserve">a primary or </w:t>
      </w:r>
      <w:r>
        <w:rPr>
          <w:rFonts w:ascii="Times New Roman" w:hAnsi="Times New Roman"/>
          <w:sz w:val="24"/>
          <w:szCs w:val="24"/>
        </w:rPr>
        <w:t xml:space="preserve">a </w:t>
      </w:r>
      <w:r w:rsidRPr="004C0771">
        <w:rPr>
          <w:rFonts w:ascii="Times New Roman" w:hAnsi="Times New Roman"/>
          <w:sz w:val="24"/>
          <w:szCs w:val="24"/>
        </w:rPr>
        <w:t>lower secondary level of education</w:t>
      </w:r>
      <w:r>
        <w:rPr>
          <w:rFonts w:ascii="Times New Roman" w:hAnsi="Times New Roman"/>
          <w:sz w:val="24"/>
          <w:szCs w:val="24"/>
        </w:rPr>
        <w:t>. This can be explained by the fact that, on average</w:t>
      </w:r>
      <w:r w:rsidRPr="004C0771">
        <w:rPr>
          <w:rFonts w:ascii="Times New Roman" w:hAnsi="Times New Roman"/>
          <w:sz w:val="24"/>
          <w:szCs w:val="24"/>
        </w:rPr>
        <w:t>, non-EU citizens who have</w:t>
      </w:r>
      <w:r>
        <w:rPr>
          <w:rFonts w:ascii="Times New Roman" w:hAnsi="Times New Roman"/>
          <w:sz w:val="24"/>
          <w:szCs w:val="24"/>
        </w:rPr>
        <w:t xml:space="preserve"> low</w:t>
      </w:r>
      <w:r w:rsidRPr="004C0771">
        <w:rPr>
          <w:rFonts w:ascii="Times New Roman" w:hAnsi="Times New Roman"/>
          <w:sz w:val="24"/>
          <w:szCs w:val="24"/>
        </w:rPr>
        <w:t xml:space="preserve"> level</w:t>
      </w:r>
      <w:r>
        <w:rPr>
          <w:rFonts w:ascii="Times New Roman" w:hAnsi="Times New Roman"/>
          <w:sz w:val="24"/>
          <w:szCs w:val="24"/>
        </w:rPr>
        <w:t>s</w:t>
      </w:r>
      <w:r w:rsidRPr="004C0771">
        <w:rPr>
          <w:rFonts w:ascii="Times New Roman" w:hAnsi="Times New Roman"/>
          <w:sz w:val="24"/>
          <w:szCs w:val="24"/>
        </w:rPr>
        <w:t xml:space="preserve"> of education tend to have </w:t>
      </w:r>
      <w:r>
        <w:rPr>
          <w:rFonts w:ascii="Times New Roman" w:hAnsi="Times New Roman"/>
          <w:sz w:val="24"/>
          <w:szCs w:val="24"/>
        </w:rPr>
        <w:t xml:space="preserve">low skills </w:t>
      </w:r>
      <w:r w:rsidRPr="004C0771">
        <w:rPr>
          <w:rFonts w:ascii="Times New Roman" w:hAnsi="Times New Roman"/>
          <w:sz w:val="24"/>
          <w:szCs w:val="24"/>
        </w:rPr>
        <w:t xml:space="preserve">in the </w:t>
      </w:r>
      <w:r>
        <w:rPr>
          <w:rFonts w:ascii="Times New Roman" w:hAnsi="Times New Roman"/>
          <w:sz w:val="24"/>
          <w:szCs w:val="24"/>
        </w:rPr>
        <w:t>dominant language of the host country.</w:t>
      </w:r>
    </w:p>
    <w:p w14:paraId="0910CD9E" w14:textId="15E0AB3A" w:rsidR="007F446F" w:rsidRPr="004C0771" w:rsidRDefault="007F446F" w:rsidP="006233DD">
      <w:pPr>
        <w:spacing w:line="480" w:lineRule="auto"/>
        <w:jc w:val="both"/>
        <w:rPr>
          <w:rFonts w:ascii="Times New Roman" w:hAnsi="Times New Roman"/>
          <w:sz w:val="24"/>
          <w:szCs w:val="24"/>
        </w:rPr>
      </w:pPr>
      <w:r w:rsidRPr="004C0771">
        <w:rPr>
          <w:rFonts w:ascii="Times New Roman" w:hAnsi="Times New Roman"/>
          <w:sz w:val="24"/>
          <w:szCs w:val="24"/>
        </w:rPr>
        <w:t xml:space="preserve">Clearly, the socio-economic variables defined in this article should not be considered in isolation. I estimate the statistical correlation between the level of education achieved by respondents (defined in six ordinal ranks) and their income status (defined in ten ordinal ranks). The correlation, measured by the Spearman’s rank correlation coefficient, is positive and statistically significant at the 1% significance level in all countries reported in the first column in </w:t>
      </w:r>
      <w:r w:rsidRPr="004C0771">
        <w:rPr>
          <w:rFonts w:ascii="Times New Roman" w:hAnsi="Times New Roman"/>
          <w:sz w:val="24"/>
          <w:szCs w:val="24"/>
        </w:rPr>
        <w:fldChar w:fldCharType="begin"/>
      </w:r>
      <w:r w:rsidRPr="004C0771">
        <w:rPr>
          <w:rFonts w:ascii="Times New Roman" w:hAnsi="Times New Roman"/>
          <w:sz w:val="24"/>
          <w:szCs w:val="24"/>
        </w:rPr>
        <w:instrText xml:space="preserve"> REF _Ref393556086 \h  \* MERGEFORMAT </w:instrText>
      </w:r>
      <w:r w:rsidRPr="004C0771">
        <w:rPr>
          <w:rFonts w:ascii="Times New Roman" w:hAnsi="Times New Roman"/>
          <w:sz w:val="24"/>
          <w:szCs w:val="24"/>
        </w:rPr>
      </w:r>
      <w:r w:rsidRPr="004C0771">
        <w:rPr>
          <w:rFonts w:ascii="Times New Roman" w:hAnsi="Times New Roman"/>
          <w:sz w:val="24"/>
          <w:szCs w:val="24"/>
        </w:rPr>
        <w:fldChar w:fldCharType="separate"/>
      </w:r>
      <w:r w:rsidRPr="004C0771">
        <w:rPr>
          <w:rFonts w:ascii="Times New Roman" w:hAnsi="Times New Roman"/>
          <w:sz w:val="24"/>
          <w:szCs w:val="24"/>
        </w:rPr>
        <w:t>Table 4</w:t>
      </w:r>
      <w:r w:rsidRPr="004C0771">
        <w:rPr>
          <w:rFonts w:ascii="Times New Roman" w:hAnsi="Times New Roman"/>
          <w:sz w:val="24"/>
          <w:szCs w:val="24"/>
        </w:rPr>
        <w:fldChar w:fldCharType="end"/>
      </w:r>
      <w:r w:rsidRPr="004C0771">
        <w:rPr>
          <w:rFonts w:ascii="Times New Roman" w:hAnsi="Times New Roman"/>
          <w:sz w:val="24"/>
          <w:szCs w:val="24"/>
        </w:rPr>
        <w:t xml:space="preserve">. It ranges from 0.16 in Denmark to 0.51 in Portugal. </w:t>
      </w:r>
      <w:r>
        <w:rPr>
          <w:rFonts w:ascii="Times New Roman" w:hAnsi="Times New Roman"/>
          <w:sz w:val="24"/>
          <w:szCs w:val="24"/>
        </w:rPr>
        <w:t>A</w:t>
      </w:r>
      <w:r w:rsidRPr="004C0771">
        <w:rPr>
          <w:rFonts w:ascii="Times New Roman" w:hAnsi="Times New Roman"/>
          <w:sz w:val="24"/>
          <w:szCs w:val="24"/>
        </w:rPr>
        <w:t>s expected, on average</w:t>
      </w:r>
      <w:r>
        <w:rPr>
          <w:rFonts w:ascii="Times New Roman" w:hAnsi="Times New Roman"/>
          <w:sz w:val="24"/>
          <w:szCs w:val="24"/>
        </w:rPr>
        <w:t>,</w:t>
      </w:r>
      <w:r w:rsidRPr="004C0771">
        <w:rPr>
          <w:rFonts w:ascii="Times New Roman" w:hAnsi="Times New Roman"/>
          <w:sz w:val="24"/>
          <w:szCs w:val="24"/>
        </w:rPr>
        <w:t xml:space="preserve"> residents who are less educated </w:t>
      </w:r>
      <w:r>
        <w:rPr>
          <w:rFonts w:ascii="Times New Roman" w:hAnsi="Times New Roman"/>
          <w:sz w:val="24"/>
          <w:szCs w:val="24"/>
        </w:rPr>
        <w:t>tend to belong to the lowest</w:t>
      </w:r>
      <w:r w:rsidRPr="004C0771">
        <w:rPr>
          <w:rFonts w:ascii="Times New Roman" w:hAnsi="Times New Roman"/>
          <w:sz w:val="24"/>
          <w:szCs w:val="24"/>
        </w:rPr>
        <w:t xml:space="preserve"> deciles of the income distribution</w:t>
      </w:r>
      <w:r>
        <w:rPr>
          <w:rFonts w:ascii="Times New Roman" w:hAnsi="Times New Roman"/>
          <w:sz w:val="24"/>
          <w:szCs w:val="24"/>
        </w:rPr>
        <w:t>,</w:t>
      </w:r>
      <w:r w:rsidRPr="004C0771">
        <w:rPr>
          <w:rFonts w:ascii="Times New Roman" w:hAnsi="Times New Roman"/>
          <w:sz w:val="24"/>
          <w:szCs w:val="24"/>
        </w:rPr>
        <w:t xml:space="preserve"> and </w:t>
      </w:r>
      <w:r>
        <w:rPr>
          <w:rFonts w:ascii="Times New Roman" w:hAnsi="Times New Roman"/>
          <w:sz w:val="24"/>
          <w:szCs w:val="24"/>
        </w:rPr>
        <w:t xml:space="preserve">they </w:t>
      </w:r>
      <w:r w:rsidRPr="004C0771">
        <w:rPr>
          <w:rFonts w:ascii="Times New Roman" w:hAnsi="Times New Roman"/>
          <w:sz w:val="24"/>
          <w:szCs w:val="24"/>
        </w:rPr>
        <w:t xml:space="preserve">are less likely to have </w:t>
      </w:r>
      <w:r>
        <w:rPr>
          <w:rFonts w:ascii="Times New Roman" w:hAnsi="Times New Roman"/>
          <w:sz w:val="24"/>
          <w:szCs w:val="24"/>
        </w:rPr>
        <w:t xml:space="preserve">good </w:t>
      </w:r>
      <w:r w:rsidRPr="004C0771">
        <w:rPr>
          <w:rFonts w:ascii="Times New Roman" w:hAnsi="Times New Roman"/>
          <w:sz w:val="24"/>
          <w:szCs w:val="24"/>
        </w:rPr>
        <w:t>skills in foreign languages.</w:t>
      </w:r>
    </w:p>
    <w:p w14:paraId="64ACD53A" w14:textId="671581E5" w:rsidR="007F446F" w:rsidRPr="004C0771" w:rsidRDefault="007F446F" w:rsidP="006233DD">
      <w:pPr>
        <w:spacing w:line="480" w:lineRule="auto"/>
        <w:jc w:val="both"/>
        <w:rPr>
          <w:rFonts w:ascii="Times New Roman" w:hAnsi="Times New Roman"/>
          <w:sz w:val="24"/>
          <w:szCs w:val="24"/>
        </w:rPr>
      </w:pPr>
      <w:r w:rsidRPr="004C0771">
        <w:rPr>
          <w:rFonts w:ascii="Times New Roman" w:hAnsi="Times New Roman"/>
          <w:sz w:val="24"/>
          <w:szCs w:val="24"/>
        </w:rPr>
        <w:lastRenderedPageBreak/>
        <w:fldChar w:fldCharType="begin"/>
      </w:r>
      <w:r w:rsidRPr="004C0771">
        <w:rPr>
          <w:rFonts w:ascii="Times New Roman" w:hAnsi="Times New Roman"/>
          <w:sz w:val="24"/>
          <w:szCs w:val="24"/>
        </w:rPr>
        <w:instrText xml:space="preserve"> REF _Ref393561195 \h  \* MERGEFORMAT </w:instrText>
      </w:r>
      <w:r w:rsidRPr="004C0771">
        <w:rPr>
          <w:rFonts w:ascii="Times New Roman" w:hAnsi="Times New Roman"/>
          <w:sz w:val="24"/>
          <w:szCs w:val="24"/>
        </w:rPr>
      </w:r>
      <w:r w:rsidRPr="004C0771">
        <w:rPr>
          <w:rFonts w:ascii="Times New Roman" w:hAnsi="Times New Roman"/>
          <w:sz w:val="24"/>
          <w:szCs w:val="24"/>
        </w:rPr>
        <w:fldChar w:fldCharType="separate"/>
      </w:r>
      <w:r w:rsidRPr="004C0771">
        <w:rPr>
          <w:rFonts w:ascii="Times New Roman" w:hAnsi="Times New Roman"/>
          <w:sz w:val="24"/>
          <w:szCs w:val="24"/>
        </w:rPr>
        <w:t>Table 5</w:t>
      </w:r>
      <w:r w:rsidRPr="004C0771">
        <w:rPr>
          <w:rFonts w:ascii="Times New Roman" w:hAnsi="Times New Roman"/>
          <w:sz w:val="24"/>
          <w:szCs w:val="24"/>
        </w:rPr>
        <w:fldChar w:fldCharType="end"/>
      </w:r>
      <w:r w:rsidRPr="004C0771">
        <w:rPr>
          <w:rFonts w:ascii="Times New Roman" w:hAnsi="Times New Roman"/>
          <w:sz w:val="24"/>
          <w:szCs w:val="24"/>
        </w:rPr>
        <w:t xml:space="preserve"> also shows the distribution of the disenfranchisement rates according to the main occupational status of respondents.</w:t>
      </w:r>
      <w:r w:rsidRPr="004C0771">
        <w:rPr>
          <w:rStyle w:val="FootnoteReference"/>
          <w:rFonts w:ascii="Times New Roman" w:hAnsi="Times New Roman"/>
          <w:sz w:val="24"/>
          <w:szCs w:val="24"/>
        </w:rPr>
        <w:footnoteReference w:id="9"/>
      </w:r>
      <w:r w:rsidRPr="004C0771">
        <w:rPr>
          <w:rFonts w:ascii="Times New Roman" w:hAnsi="Times New Roman"/>
          <w:sz w:val="24"/>
          <w:szCs w:val="24"/>
        </w:rPr>
        <w:t xml:space="preserve"> Both D</w:t>
      </w:r>
      <w:r w:rsidRPr="004C0771">
        <w:rPr>
          <w:rFonts w:ascii="Times New Roman" w:hAnsi="Times New Roman"/>
          <w:sz w:val="24"/>
          <w:szCs w:val="24"/>
          <w:vertAlign w:val="subscript"/>
        </w:rPr>
        <w:t>a</w:t>
      </w:r>
      <w:r w:rsidRPr="004C0771">
        <w:rPr>
          <w:rFonts w:ascii="Times New Roman" w:hAnsi="Times New Roman"/>
          <w:sz w:val="24"/>
          <w:szCs w:val="24"/>
        </w:rPr>
        <w:t xml:space="preserve"> and D</w:t>
      </w:r>
      <w:r w:rsidRPr="004C0771">
        <w:rPr>
          <w:rFonts w:ascii="Times New Roman" w:hAnsi="Times New Roman"/>
          <w:sz w:val="24"/>
          <w:szCs w:val="24"/>
          <w:vertAlign w:val="subscript"/>
        </w:rPr>
        <w:t>r</w:t>
      </w:r>
      <w:r w:rsidRPr="004C0771">
        <w:rPr>
          <w:rFonts w:ascii="Times New Roman" w:hAnsi="Times New Roman"/>
          <w:sz w:val="24"/>
          <w:szCs w:val="24"/>
        </w:rPr>
        <w:t xml:space="preserve"> tend to be unevenly distributed across occupational statuses, with the partial exception of the </w:t>
      </w:r>
      <w:proofErr w:type="spellStart"/>
      <w:r w:rsidRPr="004C0771">
        <w:rPr>
          <w:rFonts w:ascii="Times New Roman" w:hAnsi="Times New Roman"/>
          <w:sz w:val="24"/>
          <w:szCs w:val="24"/>
        </w:rPr>
        <w:t>hexalingual</w:t>
      </w:r>
      <w:proofErr w:type="spellEnd"/>
      <w:r w:rsidRPr="004C0771">
        <w:rPr>
          <w:rFonts w:ascii="Times New Roman" w:hAnsi="Times New Roman"/>
          <w:sz w:val="24"/>
          <w:szCs w:val="24"/>
        </w:rPr>
        <w:t xml:space="preserve"> and multilingual scenario</w:t>
      </w:r>
      <w:r>
        <w:rPr>
          <w:rFonts w:ascii="Times New Roman" w:hAnsi="Times New Roman"/>
          <w:sz w:val="24"/>
          <w:szCs w:val="24"/>
        </w:rPr>
        <w:t>s</w:t>
      </w:r>
      <w:r w:rsidRPr="004C0771">
        <w:rPr>
          <w:rFonts w:ascii="Times New Roman" w:hAnsi="Times New Roman"/>
          <w:sz w:val="24"/>
          <w:szCs w:val="24"/>
        </w:rPr>
        <w:t>. D</w:t>
      </w:r>
      <w:r w:rsidRPr="004C0771">
        <w:rPr>
          <w:rFonts w:ascii="Times New Roman" w:hAnsi="Times New Roman"/>
          <w:sz w:val="24"/>
          <w:szCs w:val="24"/>
          <w:vertAlign w:val="subscript"/>
        </w:rPr>
        <w:t>a</w:t>
      </w:r>
      <w:r w:rsidRPr="004C0771">
        <w:rPr>
          <w:rFonts w:ascii="Times New Roman" w:hAnsi="Times New Roman"/>
          <w:sz w:val="24"/>
          <w:szCs w:val="24"/>
        </w:rPr>
        <w:t xml:space="preserve"> is in general lower for respondents carrying out a job than for unemployed and retired people, the permanently disabled and people fulfilling domestic tasks (a variable correlated with gender). Foreign language skills, therefore, tend to be associated with a better employment status, which is consistent with the literature showing a positive effect of education and language skills on income and employability (for an overview see </w:t>
      </w:r>
      <w:hyperlink w:anchor="_ENREF_28" w:tooltip="Grin, 2010 #448" w:history="1">
        <w:r w:rsidRPr="004C0771">
          <w:rPr>
            <w:rFonts w:ascii="Times New Roman" w:hAnsi="Times New Roman"/>
            <w:sz w:val="24"/>
            <w:szCs w:val="24"/>
          </w:rPr>
          <w:t>Gazzola</w:t>
        </w:r>
      </w:hyperlink>
      <w:r w:rsidRPr="004C0771">
        <w:rPr>
          <w:rFonts w:ascii="Times New Roman" w:hAnsi="Times New Roman"/>
          <w:sz w:val="24"/>
          <w:szCs w:val="24"/>
        </w:rPr>
        <w:t xml:space="preserve"> </w:t>
      </w:r>
      <w:r w:rsidRPr="0044332B">
        <w:rPr>
          <w:rFonts w:ascii="Times New Roman" w:hAnsi="Times New Roman"/>
          <w:sz w:val="24"/>
          <w:szCs w:val="24"/>
        </w:rPr>
        <w:t>et al.</w:t>
      </w:r>
      <w:r w:rsidRPr="004C0771">
        <w:rPr>
          <w:rFonts w:ascii="Times New Roman" w:hAnsi="Times New Roman"/>
          <w:sz w:val="24"/>
          <w:szCs w:val="24"/>
        </w:rPr>
        <w:t xml:space="preserve">, </w:t>
      </w:r>
      <w:hyperlink w:anchor="_ENREF_24" w:tooltip="Gazzola, 2016 #1089" w:history="1">
        <w:r w:rsidRPr="004C0771">
          <w:rPr>
            <w:rFonts w:ascii="Times New Roman" w:hAnsi="Times New Roman"/>
            <w:sz w:val="24"/>
            <w:szCs w:val="24"/>
          </w:rPr>
          <w:fldChar w:fldCharType="begin"/>
        </w:r>
        <w:r w:rsidRPr="004C0771">
          <w:rPr>
            <w:rFonts w:ascii="Times New Roman" w:hAnsi="Times New Roman"/>
            <w:sz w:val="24"/>
            <w:szCs w:val="24"/>
          </w:rPr>
          <w:instrText xml:space="preserve"> ADDIN EN.CITE &lt;EndNote&gt;&lt;Cite ExcludeAuth="1"&gt;&lt;Author&gt;Gazzola&lt;/Author&gt;&lt;Year&gt;2016&lt;/Year&gt;&lt;RecNum&gt;1089&lt;/RecNum&gt;&lt;DisplayText&gt;2016&lt;/DisplayText&gt;&lt;record&gt;&lt;rec-number&gt;1089&lt;/rec-number&gt;&lt;foreign-keys&gt;&lt;key app="EN" db-id="wvvszzd93a0z5wesdfpvdv9z5wrra5p05axp"&gt;1089&lt;/key&gt;&lt;/foreign-keys&gt;&lt;ref-type name="Book Section"&gt;5&lt;/ref-type&gt;&lt;contributors&gt;&lt;authors&gt;&lt;author&gt;Gazzola, Michele&lt;/author&gt;&lt;author&gt;Grin, François&lt;/author&gt;&lt;author&gt;Wickström, Bengt-Arne&lt;/author&gt;&lt;/authors&gt;&lt;secondary-authors&gt;&lt;author&gt;Gazzola, Michele&lt;/author&gt;&lt;author&gt;Wickström, Bengt-Arne&lt;/author&gt;&lt;/secondary-authors&gt;&lt;/contributors&gt;&lt;titles&gt;&lt;title&gt;A concise bibliography of language economics&lt;/title&gt;&lt;secondary-title&gt;The Economics of Language Policy&lt;/secondary-title&gt;&lt;/titles&gt;&lt;pages&gt;53-92&lt;/pages&gt;&lt;dates&gt;&lt;year&gt;2016&lt;/year&gt;&lt;/dates&gt;&lt;pub-location&gt;Cambridge (MA)&lt;/pub-location&gt;&lt;publisher&gt;MIT Press&lt;/publisher&gt;&lt;urls&gt;&lt;/urls&gt;&lt;/record&gt;&lt;/Cite&gt;&lt;/EndNote&gt;</w:instrText>
        </w:r>
        <w:r w:rsidRPr="004C0771">
          <w:rPr>
            <w:rFonts w:ascii="Times New Roman" w:hAnsi="Times New Roman"/>
            <w:sz w:val="24"/>
            <w:szCs w:val="24"/>
          </w:rPr>
          <w:fldChar w:fldCharType="separate"/>
        </w:r>
        <w:r w:rsidRPr="004C0771">
          <w:rPr>
            <w:rFonts w:ascii="Times New Roman" w:hAnsi="Times New Roman"/>
            <w:sz w:val="24"/>
            <w:szCs w:val="24"/>
          </w:rPr>
          <w:t>2016</w:t>
        </w:r>
        <w:r w:rsidRPr="004C0771">
          <w:rPr>
            <w:rFonts w:ascii="Times New Roman" w:hAnsi="Times New Roman"/>
            <w:sz w:val="24"/>
            <w:szCs w:val="24"/>
          </w:rPr>
          <w:fldChar w:fldCharType="end"/>
        </w:r>
      </w:hyperlink>
      <w:r w:rsidRPr="004C0771">
        <w:rPr>
          <w:rFonts w:ascii="Times New Roman" w:hAnsi="Times New Roman"/>
          <w:sz w:val="24"/>
          <w:szCs w:val="24"/>
        </w:rPr>
        <w:t xml:space="preserve">). Differences among occupational statuses </w:t>
      </w:r>
      <w:proofErr w:type="gramStart"/>
      <w:r w:rsidRPr="004C0771">
        <w:rPr>
          <w:rFonts w:ascii="Times New Roman" w:hAnsi="Times New Roman"/>
          <w:sz w:val="24"/>
          <w:szCs w:val="24"/>
        </w:rPr>
        <w:t>as regards</w:t>
      </w:r>
      <w:proofErr w:type="gramEnd"/>
      <w:r w:rsidRPr="004C0771">
        <w:rPr>
          <w:rFonts w:ascii="Times New Roman" w:hAnsi="Times New Roman"/>
          <w:sz w:val="24"/>
          <w:szCs w:val="24"/>
        </w:rPr>
        <w:t xml:space="preserve"> the value of D</w:t>
      </w:r>
      <w:r w:rsidRPr="004C0771">
        <w:rPr>
          <w:rFonts w:ascii="Times New Roman" w:hAnsi="Times New Roman"/>
          <w:sz w:val="24"/>
          <w:szCs w:val="24"/>
          <w:vertAlign w:val="subscript"/>
        </w:rPr>
        <w:t>r</w:t>
      </w:r>
      <w:r w:rsidRPr="004C0771">
        <w:rPr>
          <w:rFonts w:ascii="Times New Roman" w:hAnsi="Times New Roman"/>
          <w:sz w:val="24"/>
          <w:szCs w:val="24"/>
        </w:rPr>
        <w:t xml:space="preserve"> are weaker.</w:t>
      </w:r>
    </w:p>
    <w:p w14:paraId="557D0010" w14:textId="02589201" w:rsidR="007F446F" w:rsidRPr="004C0771" w:rsidRDefault="007F446F" w:rsidP="006233DD">
      <w:pPr>
        <w:pStyle w:val="Heading2"/>
        <w:spacing w:line="480" w:lineRule="auto"/>
        <w:rPr>
          <w:rFonts w:ascii="Times New Roman" w:hAnsi="Times New Roman"/>
          <w:color w:val="auto"/>
          <w:sz w:val="24"/>
          <w:szCs w:val="24"/>
        </w:rPr>
      </w:pPr>
      <w:r w:rsidRPr="004C0771">
        <w:rPr>
          <w:rFonts w:ascii="Times New Roman" w:hAnsi="Times New Roman"/>
          <w:color w:val="auto"/>
          <w:sz w:val="24"/>
          <w:szCs w:val="24"/>
        </w:rPr>
        <w:t>Discussion and Conclusions</w:t>
      </w:r>
    </w:p>
    <w:p w14:paraId="392FECA4" w14:textId="4C571EB1" w:rsidR="007F446F" w:rsidRPr="004C0771" w:rsidRDefault="007F446F" w:rsidP="006233DD">
      <w:pPr>
        <w:spacing w:line="480" w:lineRule="auto"/>
        <w:jc w:val="both"/>
        <w:rPr>
          <w:rFonts w:ascii="Times New Roman" w:hAnsi="Times New Roman"/>
          <w:sz w:val="24"/>
          <w:szCs w:val="24"/>
        </w:rPr>
      </w:pPr>
      <w:r w:rsidRPr="004C0771">
        <w:rPr>
          <w:rFonts w:ascii="Times New Roman" w:eastAsia="Times New Roman" w:hAnsi="Times New Roman"/>
          <w:sz w:val="24"/>
          <w:szCs w:val="24"/>
          <w:lang w:eastAsia="it-IT"/>
        </w:rPr>
        <w:t xml:space="preserve">This article demonstrates that Europeans are still far from proficiency in one or just a few </w:t>
      </w:r>
      <w:r>
        <w:rPr>
          <w:rFonts w:ascii="Times New Roman" w:eastAsia="Times New Roman" w:hAnsi="Times New Roman"/>
          <w:sz w:val="24"/>
          <w:szCs w:val="24"/>
          <w:lang w:eastAsia="it-IT"/>
        </w:rPr>
        <w:t xml:space="preserve">foreign </w:t>
      </w:r>
      <w:r w:rsidRPr="004C0771">
        <w:rPr>
          <w:rFonts w:ascii="Times New Roman" w:eastAsia="Times New Roman" w:hAnsi="Times New Roman"/>
          <w:sz w:val="24"/>
          <w:szCs w:val="24"/>
          <w:lang w:eastAsia="it-IT"/>
        </w:rPr>
        <w:t xml:space="preserve">languages, thereby supporting </w:t>
      </w:r>
      <w:proofErr w:type="spellStart"/>
      <w:r w:rsidRPr="004C0771">
        <w:rPr>
          <w:rFonts w:ascii="Times New Roman" w:eastAsia="Times New Roman" w:hAnsi="Times New Roman"/>
          <w:sz w:val="24"/>
          <w:szCs w:val="24"/>
          <w:lang w:eastAsia="it-IT"/>
        </w:rPr>
        <w:t>skeptical</w:t>
      </w:r>
      <w:proofErr w:type="spellEnd"/>
      <w:r w:rsidRPr="004C0771">
        <w:rPr>
          <w:rFonts w:ascii="Times New Roman" w:eastAsia="Times New Roman" w:hAnsi="Times New Roman"/>
          <w:sz w:val="24"/>
          <w:szCs w:val="24"/>
          <w:lang w:eastAsia="it-IT"/>
        </w:rPr>
        <w:t xml:space="preserve"> views about the practicability of reducing the number of the official languages of the EU</w:t>
      </w:r>
      <w:r w:rsidRPr="004C0771">
        <w:rPr>
          <w:rFonts w:ascii="Times New Roman" w:hAnsi="Times New Roman"/>
          <w:sz w:val="24"/>
          <w:szCs w:val="24"/>
        </w:rPr>
        <w:t xml:space="preserve"> or restricting their current domains of use. Empirical evidence does not support the claim that an English-only or restricted multilingual language regimes (which I named trilingual and </w:t>
      </w:r>
      <w:proofErr w:type="spellStart"/>
      <w:r w:rsidRPr="004C0771">
        <w:rPr>
          <w:rFonts w:ascii="Times New Roman" w:hAnsi="Times New Roman"/>
          <w:sz w:val="24"/>
          <w:szCs w:val="24"/>
        </w:rPr>
        <w:t>hexalingual</w:t>
      </w:r>
      <w:proofErr w:type="spellEnd"/>
      <w:r w:rsidRPr="004C0771">
        <w:rPr>
          <w:rFonts w:ascii="Times New Roman" w:hAnsi="Times New Roman"/>
          <w:sz w:val="24"/>
          <w:szCs w:val="24"/>
        </w:rPr>
        <w:t xml:space="preserve">) would contribute to the effectiveness of European communication and to its inclusiveness. Rather, the results of this study tend to show that the contrary is likely to be true, thereby confirming the conclusions of other authors (e.g. </w:t>
      </w:r>
      <w:hyperlink w:anchor="_ENREF_4" w:tooltip="Backus, 2013 #928" w:history="1">
        <w:r w:rsidRPr="004C0771">
          <w:rPr>
            <w:rFonts w:ascii="Times New Roman" w:hAnsi="Times New Roman"/>
            <w:sz w:val="24"/>
            <w:szCs w:val="24"/>
          </w:rPr>
          <w:fldChar w:fldCharType="begin"/>
        </w:r>
        <w:r w:rsidRPr="004C0771">
          <w:rPr>
            <w:rFonts w:ascii="Times New Roman" w:hAnsi="Times New Roman"/>
            <w:sz w:val="24"/>
            <w:szCs w:val="24"/>
          </w:rPr>
          <w:instrText xml:space="preserve"> ADDIN EN.CITE &lt;EndNote&gt;&lt;Cite&gt;&lt;Author&gt;Backus&lt;/Author&gt;&lt;Year&gt;2013&lt;/Year&gt;&lt;RecNum&gt;928&lt;/RecNum&gt;&lt;DisplayText&gt;Backus et al. 2013&lt;/DisplayText&gt;&lt;record&gt;&lt;rec-number&gt;928&lt;/rec-number&gt;&lt;foreign-keys&gt;&lt;key app="EN" db-id="wvvszzd93a0z5wesdfpvdv9z5wrra5p05axp"&gt;928&lt;/key&gt;&lt;/foreign-keys&gt;&lt;ref-type name="Journal Article"&gt;17&lt;/ref-type&gt;&lt;contributors&gt;&lt;authors&gt;&lt;author&gt;Backus, Ad&lt;/author&gt;&lt;author&gt;Gorter, Durk&lt;/author&gt;&lt;author&gt;Knapp, Karlfried&lt;/author&gt;&lt;author&gt;Schjerve-Rindler, Rosita&lt;/author&gt;&lt;author&gt;Swanenberg, Jos&lt;/author&gt;&lt;author&gt;ten Thije, Jan&lt;/author&gt;&lt;author&gt;Vetter, Eva&lt;/author&gt;&lt;/authors&gt;&lt;/contributors&gt;&lt;titles&gt;&lt;title&gt;Inclusive Multilingualism: Concept, modes and implications&lt;/title&gt;&lt;secondary-title&gt;European Journal of Applied Linguistics&lt;/secondary-title&gt;&lt;/titles&gt;&lt;periodical&gt;&lt;full-title&gt;European Journal of Applied Linguistics&lt;/full-title&gt;&lt;/periodical&gt;&lt;pages&gt;179–215&lt;/pages&gt;&lt;volume&gt;1&lt;/volume&gt;&lt;number&gt;2&lt;/number&gt;&lt;dates&gt;&lt;year&gt;2013&lt;/year&gt;&lt;/dates&gt;&lt;urls&gt;&lt;/urls&gt;&lt;/record&gt;&lt;/Cite&gt;&lt;/EndNote&gt;</w:instrText>
        </w:r>
        <w:r w:rsidRPr="004C0771">
          <w:rPr>
            <w:rFonts w:ascii="Times New Roman" w:hAnsi="Times New Roman"/>
            <w:sz w:val="24"/>
            <w:szCs w:val="24"/>
          </w:rPr>
          <w:fldChar w:fldCharType="separate"/>
        </w:r>
        <w:r w:rsidRPr="004C0771">
          <w:rPr>
            <w:rFonts w:ascii="Times New Roman" w:hAnsi="Times New Roman"/>
            <w:sz w:val="24"/>
            <w:szCs w:val="24"/>
          </w:rPr>
          <w:t xml:space="preserve">Backus </w:t>
        </w:r>
        <w:r w:rsidRPr="0044332B">
          <w:rPr>
            <w:rFonts w:ascii="Times New Roman" w:hAnsi="Times New Roman"/>
            <w:sz w:val="24"/>
            <w:szCs w:val="24"/>
          </w:rPr>
          <w:t>et al.</w:t>
        </w:r>
        <w:r w:rsidRPr="004C0771">
          <w:rPr>
            <w:rFonts w:ascii="Times New Roman" w:hAnsi="Times New Roman"/>
            <w:sz w:val="24"/>
            <w:szCs w:val="24"/>
          </w:rPr>
          <w:t>, 2013</w:t>
        </w:r>
        <w:r w:rsidRPr="004C0771">
          <w:rPr>
            <w:rFonts w:ascii="Times New Roman" w:hAnsi="Times New Roman"/>
            <w:sz w:val="24"/>
            <w:szCs w:val="24"/>
          </w:rPr>
          <w:fldChar w:fldCharType="end"/>
        </w:r>
      </w:hyperlink>
      <w:r w:rsidRPr="004C0771">
        <w:rPr>
          <w:rFonts w:ascii="Times New Roman" w:hAnsi="Times New Roman"/>
          <w:sz w:val="24"/>
          <w:szCs w:val="24"/>
        </w:rPr>
        <w:t xml:space="preserve">; </w:t>
      </w:r>
      <w:hyperlink w:anchor="_ENREF_6" w:tooltip="Barbier, 2015 #1108" w:history="1">
        <w:r w:rsidRPr="004C0771">
          <w:rPr>
            <w:rFonts w:ascii="Times New Roman" w:hAnsi="Times New Roman"/>
            <w:sz w:val="24"/>
            <w:szCs w:val="24"/>
          </w:rPr>
          <w:fldChar w:fldCharType="begin"/>
        </w:r>
        <w:r w:rsidRPr="004C0771">
          <w:rPr>
            <w:rFonts w:ascii="Times New Roman" w:hAnsi="Times New Roman"/>
            <w:sz w:val="24"/>
            <w:szCs w:val="24"/>
          </w:rPr>
          <w:instrText xml:space="preserve"> ADDIN EN.CITE &lt;EndNote&gt;&lt;Cite&gt;&lt;Author&gt;Barbier&lt;/Author&gt;&lt;Year&gt;2015&lt;/Year&gt;&lt;RecNum&gt;1108&lt;/RecNum&gt;&lt;DisplayText&gt;Barbier 2015&lt;/DisplayText&gt;&lt;record&gt;&lt;rec-number&gt;1108&lt;/rec-number&gt;&lt;foreign-keys&gt;&lt;key app="EN" db-id="wvvszzd93a0z5wesdfpvdv9z5wrra5p05axp"&gt;1108&lt;/key&gt;&lt;/foreign-keys&gt;&lt;ref-type name="Journal Article"&gt;17&lt;/ref-type&gt;&lt;contributors&gt;&lt;authors&gt;&lt;author&gt;Barbier, Jean-Claude&lt;/author&gt;&lt;/authors&gt;&lt;/contributors&gt;&lt;titles&gt;&lt;title&gt;English speaking, a hidden political factor of European politics and European integration&lt;/title&gt;&lt;secondary-title&gt;Politiche Sociali/Social Policies&lt;/secondary-title&gt;&lt;/titles&gt;&lt;periodical&gt;&lt;full-title&gt;Politiche Sociali/Social Policies&lt;/full-title&gt;&lt;/periodical&gt;&lt;pages&gt;185-218&lt;/pages&gt;&lt;number&gt;2&lt;/number&gt;&lt;dates&gt;&lt;year&gt;2015&lt;/year&gt;&lt;/dates&gt;&lt;urls&gt;&lt;/urls&gt;&lt;/record&gt;&lt;/Cite&gt;&lt;/EndNote&gt;</w:instrText>
        </w:r>
        <w:r w:rsidRPr="004C0771">
          <w:rPr>
            <w:rFonts w:ascii="Times New Roman" w:hAnsi="Times New Roman"/>
            <w:sz w:val="24"/>
            <w:szCs w:val="24"/>
          </w:rPr>
          <w:fldChar w:fldCharType="separate"/>
        </w:r>
        <w:r w:rsidRPr="004C0771">
          <w:rPr>
            <w:rFonts w:ascii="Times New Roman" w:hAnsi="Times New Roman"/>
            <w:sz w:val="24"/>
            <w:szCs w:val="24"/>
          </w:rPr>
          <w:t>Barbier, 2015</w:t>
        </w:r>
        <w:r w:rsidRPr="004C0771">
          <w:rPr>
            <w:rFonts w:ascii="Times New Roman" w:hAnsi="Times New Roman"/>
            <w:sz w:val="24"/>
            <w:szCs w:val="24"/>
          </w:rPr>
          <w:fldChar w:fldCharType="end"/>
        </w:r>
      </w:hyperlink>
      <w:r w:rsidRPr="004C0771">
        <w:rPr>
          <w:rFonts w:ascii="Times New Roman" w:hAnsi="Times New Roman"/>
          <w:sz w:val="24"/>
          <w:szCs w:val="24"/>
        </w:rPr>
        <w:t xml:space="preserve">; Kraus, </w:t>
      </w:r>
      <w:hyperlink w:anchor="_ENREF_34" w:tooltip="Kraus, 2008 #797" w:history="1">
        <w:r w:rsidRPr="004C0771">
          <w:rPr>
            <w:rFonts w:ascii="Times New Roman" w:hAnsi="Times New Roman"/>
            <w:sz w:val="24"/>
            <w:szCs w:val="24"/>
          </w:rPr>
          <w:fldChar w:fldCharType="begin"/>
        </w:r>
        <w:r w:rsidRPr="004C0771">
          <w:rPr>
            <w:rFonts w:ascii="Times New Roman" w:hAnsi="Times New Roman"/>
            <w:sz w:val="24"/>
            <w:szCs w:val="24"/>
          </w:rPr>
          <w:instrText xml:space="preserve"> ADDIN EN.CITE &lt;EndNote&gt;&lt;Cite ExcludeAuth="1"&gt;&lt;Author&gt;Kraus&lt;/Author&gt;&lt;Year&gt;2008&lt;/Year&gt;&lt;RecNum&gt;797&lt;/RecNum&gt;&lt;DisplayText&gt;2008&lt;/DisplayText&gt;&lt;record&gt;&lt;rec-number&gt;797&lt;/rec-number&gt;&lt;foreign-keys&gt;&lt;key app="EN" db-id="wvvszzd93a0z5wesdfpvdv9z5wrra5p05axp"&gt;797&lt;/key&gt;&lt;/foreign-keys&gt;&lt;ref-type name="Book"&gt;6&lt;/ref-type&gt;&lt;contributors&gt;&lt;authors&gt;&lt;author&gt;Kraus, Peter A.&lt;/author&gt;&lt;/authors&gt;&lt;/contributors&gt;&lt;titles&gt;&lt;title&gt;A Union of diversity: Language, identity and polity-building in Europe&lt;/title&gt;&lt;/titles&gt;&lt;dates&gt;&lt;year&gt;2008&lt;/year&gt;&lt;/dates&gt;&lt;pub-location&gt;Cambridge&lt;/pub-location&gt;&lt;publisher&gt;Cambridge University Press&lt;/publisher&gt;&lt;urls&gt;&lt;/urls&gt;&lt;/record&gt;&lt;/Cite&gt;&lt;/EndNote&gt;</w:instrText>
        </w:r>
        <w:r w:rsidRPr="004C0771">
          <w:rPr>
            <w:rFonts w:ascii="Times New Roman" w:hAnsi="Times New Roman"/>
            <w:sz w:val="24"/>
            <w:szCs w:val="24"/>
          </w:rPr>
          <w:fldChar w:fldCharType="separate"/>
        </w:r>
        <w:r w:rsidRPr="004C0771">
          <w:rPr>
            <w:rFonts w:ascii="Times New Roman" w:hAnsi="Times New Roman"/>
            <w:sz w:val="24"/>
            <w:szCs w:val="24"/>
          </w:rPr>
          <w:t>2008</w:t>
        </w:r>
        <w:r w:rsidRPr="004C0771">
          <w:rPr>
            <w:rFonts w:ascii="Times New Roman" w:hAnsi="Times New Roman"/>
            <w:sz w:val="24"/>
            <w:szCs w:val="24"/>
          </w:rPr>
          <w:fldChar w:fldCharType="end"/>
        </w:r>
      </w:hyperlink>
      <w:r w:rsidRPr="004C0771">
        <w:rPr>
          <w:rFonts w:ascii="Times New Roman" w:hAnsi="Times New Roman"/>
          <w:sz w:val="24"/>
          <w:szCs w:val="24"/>
        </w:rPr>
        <w:t xml:space="preserve">). </w:t>
      </w:r>
      <w:r>
        <w:rPr>
          <w:rFonts w:ascii="Times New Roman" w:hAnsi="Times New Roman"/>
          <w:sz w:val="24"/>
          <w:szCs w:val="24"/>
        </w:rPr>
        <w:t>First, a</w:t>
      </w:r>
      <w:r w:rsidRPr="004C0771">
        <w:rPr>
          <w:rFonts w:ascii="Times New Roman" w:hAnsi="Times New Roman"/>
          <w:sz w:val="24"/>
          <w:szCs w:val="24"/>
        </w:rPr>
        <w:t xml:space="preserve"> full multilingual language regime is </w:t>
      </w:r>
      <w:r>
        <w:rPr>
          <w:rFonts w:ascii="Times New Roman" w:hAnsi="Times New Roman"/>
          <w:sz w:val="24"/>
          <w:szCs w:val="24"/>
        </w:rPr>
        <w:t xml:space="preserve">still </w:t>
      </w:r>
      <w:r w:rsidRPr="004C0771">
        <w:rPr>
          <w:rFonts w:ascii="Times New Roman" w:hAnsi="Times New Roman"/>
          <w:sz w:val="24"/>
          <w:szCs w:val="24"/>
        </w:rPr>
        <w:t xml:space="preserve">(and will be in the foreseeable future) the </w:t>
      </w:r>
      <w:r w:rsidRPr="004C0771">
        <w:rPr>
          <w:rFonts w:ascii="Times New Roman" w:hAnsi="Times New Roman"/>
          <w:sz w:val="24"/>
          <w:szCs w:val="24"/>
        </w:rPr>
        <w:lastRenderedPageBreak/>
        <w:t xml:space="preserve">most effective language policy to convey information about the EU to people living in the Union among the four alternatives analysed in this study. </w:t>
      </w:r>
      <w:r>
        <w:rPr>
          <w:rFonts w:ascii="Times New Roman" w:hAnsi="Times New Roman"/>
          <w:sz w:val="24"/>
          <w:szCs w:val="24"/>
        </w:rPr>
        <w:t>Second</w:t>
      </w:r>
      <w:r w:rsidRPr="004C0771">
        <w:rPr>
          <w:rFonts w:ascii="Times New Roman" w:hAnsi="Times New Roman"/>
          <w:sz w:val="24"/>
          <w:szCs w:val="24"/>
        </w:rPr>
        <w:t xml:space="preserve">, </w:t>
      </w:r>
      <w:r>
        <w:rPr>
          <w:rFonts w:ascii="Times New Roman" w:hAnsi="Times New Roman"/>
          <w:sz w:val="24"/>
          <w:szCs w:val="24"/>
        </w:rPr>
        <w:t xml:space="preserve">knowledge of foreign languages tends </w:t>
      </w:r>
      <w:r w:rsidRPr="004C0771">
        <w:rPr>
          <w:rFonts w:ascii="Times New Roman" w:hAnsi="Times New Roman"/>
          <w:sz w:val="24"/>
          <w:szCs w:val="24"/>
        </w:rPr>
        <w:t>to be more common among residents belonging to the highest deciles of the income distribution, those who have achieved a tertiary level of education, and people currently employed</w:t>
      </w:r>
      <w:r>
        <w:rPr>
          <w:rFonts w:ascii="Times New Roman" w:hAnsi="Times New Roman"/>
          <w:sz w:val="24"/>
          <w:szCs w:val="24"/>
        </w:rPr>
        <w:t xml:space="preserve"> (for a discussion on this see also </w:t>
      </w:r>
      <w:r w:rsidRPr="0044332B">
        <w:rPr>
          <w:rFonts w:ascii="Times New Roman" w:hAnsi="Times New Roman"/>
          <w:sz w:val="24"/>
          <w:szCs w:val="24"/>
        </w:rPr>
        <w:t>Gerhards,</w:t>
      </w:r>
      <w:r>
        <w:rPr>
          <w:rFonts w:ascii="Times New Roman" w:hAnsi="Times New Roman"/>
          <w:sz w:val="24"/>
          <w:szCs w:val="24"/>
        </w:rPr>
        <w:t xml:space="preserve"> </w:t>
      </w:r>
      <w:hyperlink w:anchor="_ENREF_25" w:tooltip="Gerhards, 2014 #1045" w:history="1">
        <w:r w:rsidRPr="0044332B">
          <w:rPr>
            <w:rFonts w:ascii="Times New Roman" w:hAnsi="Times New Roman"/>
            <w:sz w:val="24"/>
            <w:szCs w:val="24"/>
          </w:rPr>
          <w:fldChar w:fldCharType="begin"/>
        </w:r>
        <w:r w:rsidRPr="0044332B">
          <w:rPr>
            <w:rFonts w:ascii="Times New Roman" w:hAnsi="Times New Roman"/>
            <w:sz w:val="24"/>
            <w:szCs w:val="24"/>
          </w:rPr>
          <w:instrText xml:space="preserve"> ADDIN EN.CITE &lt;EndNote&gt;&lt;Cite ExcludeAuth="1"&gt;&lt;Author&gt;Gerhards&lt;/Author&gt;&lt;Year&gt;2014&lt;/Year&gt;&lt;RecNum&gt;1045&lt;/RecNum&gt;&lt;DisplayText&gt;2014&lt;/DisplayText&gt;&lt;record&gt;&lt;rec-number&gt;1045&lt;/rec-number&gt;&lt;foreign-keys&gt;&lt;key app="EN" db-id="wvvszzd93a0z5wesdfpvdv9z5wrra5p05axp"&gt;1045&lt;/key&gt;&lt;/foreign-keys&gt;&lt;ref-type name="Journal Article"&gt;17&lt;/ref-type&gt;&lt;contributors&gt;&lt;authors&gt;&lt;author&gt;Gerhards, Jürgen&lt;/author&gt;&lt;/authors&gt;&lt;/contributors&gt;&lt;titles&gt;&lt;title&gt;Transnational Linguistic Capital. Explaining Multilingualism and English Proficiency in 27 Countries&lt;/title&gt;&lt;secondary-title&gt;International Sociology&lt;/secondary-title&gt;&lt;/titles&gt;&lt;periodical&gt;&lt;full-title&gt;International Sociology&lt;/full-title&gt;&lt;/periodical&gt;&lt;pages&gt;56-74&lt;/pages&gt;&lt;volume&gt;29&lt;/volume&gt;&lt;number&gt;1&lt;/number&gt;&lt;dates&gt;&lt;year&gt;2014&lt;/year&gt;&lt;/dates&gt;&lt;urls&gt;&lt;/urls&gt;&lt;/record&gt;&lt;/Cite&gt;&lt;/EndNote&gt;</w:instrText>
        </w:r>
        <w:r w:rsidRPr="0044332B">
          <w:rPr>
            <w:rFonts w:ascii="Times New Roman" w:hAnsi="Times New Roman"/>
            <w:sz w:val="24"/>
            <w:szCs w:val="24"/>
          </w:rPr>
          <w:fldChar w:fldCharType="separate"/>
        </w:r>
        <w:r w:rsidRPr="0044332B">
          <w:rPr>
            <w:rFonts w:ascii="Times New Roman" w:hAnsi="Times New Roman"/>
            <w:sz w:val="24"/>
            <w:szCs w:val="24"/>
          </w:rPr>
          <w:t>2014</w:t>
        </w:r>
        <w:r w:rsidRPr="0044332B">
          <w:rPr>
            <w:rFonts w:ascii="Times New Roman" w:hAnsi="Times New Roman"/>
            <w:sz w:val="24"/>
            <w:szCs w:val="24"/>
          </w:rPr>
          <w:fldChar w:fldCharType="end"/>
        </w:r>
      </w:hyperlink>
      <w:r w:rsidRPr="0044332B">
        <w:rPr>
          <w:rFonts w:ascii="Times New Roman" w:hAnsi="Times New Roman"/>
          <w:sz w:val="24"/>
          <w:szCs w:val="24"/>
        </w:rPr>
        <w:t>)</w:t>
      </w:r>
      <w:r w:rsidRPr="004C0771">
        <w:rPr>
          <w:rFonts w:ascii="Times New Roman" w:hAnsi="Times New Roman"/>
          <w:sz w:val="24"/>
          <w:szCs w:val="24"/>
        </w:rPr>
        <w:t xml:space="preserve">. A drastic reduction of the official languages of the EU, therefore, would have regressive effects, because it would be particularly detrimental to the least educated people, those with the lowest income status, the unemployed, the retired, the permanently disabled and residents fulfilling domestic tasks. Among the alternatives considered, the </w:t>
      </w:r>
      <w:proofErr w:type="spellStart"/>
      <w:r w:rsidRPr="004C0771">
        <w:rPr>
          <w:rFonts w:ascii="Times New Roman" w:hAnsi="Times New Roman"/>
          <w:sz w:val="24"/>
          <w:szCs w:val="24"/>
        </w:rPr>
        <w:t>hexalingual</w:t>
      </w:r>
      <w:proofErr w:type="spellEnd"/>
      <w:r w:rsidRPr="004C0771">
        <w:rPr>
          <w:rFonts w:ascii="Times New Roman" w:hAnsi="Times New Roman"/>
          <w:sz w:val="24"/>
          <w:szCs w:val="24"/>
        </w:rPr>
        <w:t xml:space="preserve"> regime is clearly more effective than the monolingual and trilingual regimes, but it does not substantially reduce disparities among social groups in countries in which English, French, German, Italian, Spanish or Polish are not official</w:t>
      </w:r>
      <w:r>
        <w:rPr>
          <w:rFonts w:ascii="Times New Roman" w:hAnsi="Times New Roman"/>
          <w:sz w:val="24"/>
          <w:szCs w:val="24"/>
        </w:rPr>
        <w:t xml:space="preserve"> languages</w:t>
      </w:r>
      <w:r w:rsidRPr="004C0771">
        <w:rPr>
          <w:rFonts w:ascii="Times New Roman" w:hAnsi="Times New Roman"/>
          <w:sz w:val="24"/>
          <w:szCs w:val="24"/>
        </w:rPr>
        <w:t>.</w:t>
      </w:r>
    </w:p>
    <w:p w14:paraId="37785887" w14:textId="02D82A67" w:rsidR="007F446F" w:rsidRPr="004C0771" w:rsidRDefault="007F446F" w:rsidP="006233DD">
      <w:pPr>
        <w:spacing w:line="480" w:lineRule="auto"/>
        <w:jc w:val="both"/>
        <w:rPr>
          <w:rFonts w:ascii="Times New Roman" w:hAnsi="Times New Roman"/>
          <w:sz w:val="24"/>
          <w:szCs w:val="24"/>
        </w:rPr>
      </w:pPr>
      <w:r w:rsidRPr="004C0771">
        <w:rPr>
          <w:rFonts w:ascii="Times New Roman" w:hAnsi="Times New Roman"/>
          <w:sz w:val="24"/>
          <w:szCs w:val="24"/>
        </w:rPr>
        <w:t>It is worth emphasising that it is not just a blanket reduction in the number of languages that would be exclusionary. Even reducing the current domains of use of the official language entails analogous effects. Hence, evidence supports the idea that translation and interpreting currently contribute to creating a more inclusive European public space by making it possible to implement a multilingual regime based on the mother tongues or the primary language of education of the vast majority of EU residents (</w:t>
      </w:r>
      <w:hyperlink w:anchor="_ENREF_13" w:tooltip="European Commission, 2010 #814" w:history="1">
        <w:r w:rsidRPr="004C0771">
          <w:rPr>
            <w:rFonts w:ascii="Times New Roman" w:hAnsi="Times New Roman"/>
            <w:sz w:val="24"/>
            <w:szCs w:val="24"/>
          </w:rPr>
          <w:fldChar w:fldCharType="begin"/>
        </w:r>
        <w:r w:rsidRPr="004C0771">
          <w:rPr>
            <w:rFonts w:ascii="Times New Roman" w:hAnsi="Times New Roman"/>
            <w:sz w:val="24"/>
            <w:szCs w:val="24"/>
          </w:rPr>
          <w:instrText xml:space="preserve"> ADDIN EN.CITE &lt;EndNote&gt;&lt;Cite&gt;&lt;Author&gt;European Commission&lt;/Author&gt;&lt;Year&gt;2010&lt;/Year&gt;&lt;RecNum&gt;814&lt;/RecNum&gt;&lt;DisplayText&gt;European Commission 2010a&lt;/DisplayText&gt;&lt;record&gt;&lt;rec-number&gt;814&lt;/rec-number&gt;&lt;foreign-keys&gt;&lt;key app="EN" db-id="wvvszzd93a0z5wesdfpvdv9z5wrra5p05axp"&gt;814&lt;/key&gt;&lt;/foreign-keys&gt;&lt;ref-type name="Report"&gt;27&lt;/ref-type&gt;&lt;contributors&gt;&lt;authors&gt;&lt;author&gt;European Commission,&lt;/author&gt;&lt;/authors&gt;&lt;/contributors&gt;&lt;titles&gt;&lt;title&gt;Contribution de la traduction à la société multilingue dans l&amp;apos;Union européenne&lt;/title&gt;&lt;secondary-title&gt;Études sur la traduction et le multilinguisme&lt;/secondary-title&gt;&lt;/titles&gt;&lt;dates&gt;&lt;year&gt;2010&lt;/year&gt;&lt;/dates&gt;&lt;pub-location&gt;Brussels&lt;/pub-location&gt;&lt;publisher&gt;European Commission. Directorate-General for Translation&lt;/publisher&gt;&lt;urls&gt;&lt;/urls&gt;&lt;/record&gt;&lt;/Cite&gt;&lt;/EndNote&gt;</w:instrText>
        </w:r>
        <w:r w:rsidRPr="004C0771">
          <w:rPr>
            <w:rFonts w:ascii="Times New Roman" w:hAnsi="Times New Roman"/>
            <w:sz w:val="24"/>
            <w:szCs w:val="24"/>
          </w:rPr>
          <w:fldChar w:fldCharType="separate"/>
        </w:r>
        <w:r w:rsidRPr="004C0771">
          <w:rPr>
            <w:rFonts w:ascii="Times New Roman" w:hAnsi="Times New Roman"/>
            <w:sz w:val="24"/>
            <w:szCs w:val="24"/>
          </w:rPr>
          <w:t>European Commission, 2010a</w:t>
        </w:r>
        <w:r w:rsidRPr="004C0771">
          <w:rPr>
            <w:rFonts w:ascii="Times New Roman" w:hAnsi="Times New Roman"/>
            <w:sz w:val="24"/>
            <w:szCs w:val="24"/>
          </w:rPr>
          <w:fldChar w:fldCharType="end"/>
        </w:r>
      </w:hyperlink>
      <w:r w:rsidRPr="004C0771">
        <w:rPr>
          <w:rFonts w:ascii="Times New Roman" w:hAnsi="Times New Roman"/>
          <w:sz w:val="24"/>
          <w:szCs w:val="24"/>
        </w:rPr>
        <w:t xml:space="preserve">). To conclude on this point, the answer to the question posed in the title of this article (‘multilingual communication for whom?’), therefore, is: </w:t>
      </w:r>
      <w:proofErr w:type="gramStart"/>
      <w:r w:rsidRPr="004C0771">
        <w:rPr>
          <w:rFonts w:ascii="Times New Roman" w:hAnsi="Times New Roman"/>
          <w:sz w:val="24"/>
          <w:szCs w:val="24"/>
        </w:rPr>
        <w:t>the majority of</w:t>
      </w:r>
      <w:proofErr w:type="gramEnd"/>
      <w:r w:rsidRPr="004C0771">
        <w:rPr>
          <w:rFonts w:ascii="Times New Roman" w:hAnsi="Times New Roman"/>
          <w:sz w:val="24"/>
          <w:szCs w:val="24"/>
        </w:rPr>
        <w:t xml:space="preserve"> EU residents, and in particular the economically and socially disadvantaged individuals. </w:t>
      </w:r>
    </w:p>
    <w:p w14:paraId="7623B1FC" w14:textId="18953DAF" w:rsidR="007F446F" w:rsidRPr="004C0771" w:rsidRDefault="007F446F" w:rsidP="006233DD">
      <w:pPr>
        <w:spacing w:line="480" w:lineRule="auto"/>
        <w:jc w:val="both"/>
        <w:rPr>
          <w:rFonts w:ascii="Times New Roman" w:hAnsi="Times New Roman"/>
          <w:sz w:val="24"/>
          <w:szCs w:val="24"/>
        </w:rPr>
      </w:pPr>
      <w:r w:rsidRPr="004C0771">
        <w:rPr>
          <w:rFonts w:ascii="Times New Roman" w:hAnsi="Times New Roman"/>
          <w:sz w:val="24"/>
          <w:szCs w:val="24"/>
        </w:rPr>
        <w:t xml:space="preserve">In order to </w:t>
      </w:r>
      <w:r>
        <w:rPr>
          <w:rFonts w:ascii="Times New Roman" w:hAnsi="Times New Roman"/>
          <w:sz w:val="24"/>
          <w:szCs w:val="24"/>
        </w:rPr>
        <w:t xml:space="preserve">assess </w:t>
      </w:r>
      <w:r w:rsidRPr="004C0771">
        <w:rPr>
          <w:rFonts w:ascii="Times New Roman" w:hAnsi="Times New Roman"/>
          <w:sz w:val="24"/>
          <w:szCs w:val="24"/>
        </w:rPr>
        <w:t xml:space="preserve">the </w:t>
      </w:r>
      <w:r>
        <w:rPr>
          <w:rFonts w:ascii="Times New Roman" w:hAnsi="Times New Roman"/>
          <w:sz w:val="24"/>
          <w:szCs w:val="24"/>
        </w:rPr>
        <w:t xml:space="preserve">relevance </w:t>
      </w:r>
      <w:r w:rsidRPr="004C0771">
        <w:rPr>
          <w:rFonts w:ascii="Times New Roman" w:hAnsi="Times New Roman"/>
          <w:sz w:val="24"/>
          <w:szCs w:val="24"/>
        </w:rPr>
        <w:t xml:space="preserve">of </w:t>
      </w:r>
      <w:r>
        <w:rPr>
          <w:rFonts w:ascii="Times New Roman" w:hAnsi="Times New Roman"/>
          <w:sz w:val="24"/>
          <w:szCs w:val="24"/>
        </w:rPr>
        <w:t xml:space="preserve">my </w:t>
      </w:r>
      <w:r w:rsidRPr="004C0771">
        <w:rPr>
          <w:rFonts w:ascii="Times New Roman" w:hAnsi="Times New Roman"/>
          <w:sz w:val="24"/>
          <w:szCs w:val="24"/>
        </w:rPr>
        <w:t xml:space="preserve">findings, </w:t>
      </w:r>
      <w:r>
        <w:rPr>
          <w:rFonts w:ascii="Times New Roman" w:hAnsi="Times New Roman"/>
          <w:sz w:val="24"/>
          <w:szCs w:val="24"/>
        </w:rPr>
        <w:t xml:space="preserve">I discuss some common </w:t>
      </w:r>
      <w:r w:rsidRPr="004C0771">
        <w:rPr>
          <w:rFonts w:ascii="Times New Roman" w:hAnsi="Times New Roman"/>
          <w:sz w:val="24"/>
          <w:szCs w:val="24"/>
        </w:rPr>
        <w:t>counter-arguments</w:t>
      </w:r>
      <w:r>
        <w:rPr>
          <w:rFonts w:ascii="Times New Roman" w:hAnsi="Times New Roman"/>
          <w:sz w:val="24"/>
          <w:szCs w:val="24"/>
        </w:rPr>
        <w:t>, that is:</w:t>
      </w:r>
      <w:r w:rsidRPr="004C0771">
        <w:rPr>
          <w:rFonts w:ascii="Times New Roman" w:hAnsi="Times New Roman"/>
          <w:sz w:val="24"/>
          <w:szCs w:val="24"/>
        </w:rPr>
        <w:t xml:space="preserve"> (</w:t>
      </w:r>
      <w:proofErr w:type="spellStart"/>
      <w:r w:rsidRPr="004C0771">
        <w:rPr>
          <w:rFonts w:ascii="Times New Roman" w:hAnsi="Times New Roman"/>
          <w:sz w:val="24"/>
          <w:szCs w:val="24"/>
        </w:rPr>
        <w:t>i</w:t>
      </w:r>
      <w:proofErr w:type="spellEnd"/>
      <w:r w:rsidRPr="004C0771">
        <w:rPr>
          <w:rFonts w:ascii="Times New Roman" w:hAnsi="Times New Roman"/>
          <w:sz w:val="24"/>
          <w:szCs w:val="24"/>
        </w:rPr>
        <w:t xml:space="preserve">) few people actually need to have access to EU documents, and those persons usually are proficient in English; (ii) the costs of </w:t>
      </w:r>
      <w:r>
        <w:rPr>
          <w:rFonts w:ascii="Times New Roman" w:hAnsi="Times New Roman"/>
          <w:sz w:val="24"/>
          <w:szCs w:val="24"/>
        </w:rPr>
        <w:t xml:space="preserve">a multilingual </w:t>
      </w:r>
      <w:r w:rsidRPr="004C0771">
        <w:rPr>
          <w:rFonts w:ascii="Times New Roman" w:hAnsi="Times New Roman"/>
          <w:sz w:val="24"/>
          <w:szCs w:val="24"/>
        </w:rPr>
        <w:t xml:space="preserve">language regime are unsustainable; (iii) the EU should adopt a long term strategy to promote a single </w:t>
      </w:r>
      <w:r w:rsidRPr="004C0771">
        <w:rPr>
          <w:rFonts w:ascii="Times New Roman" w:hAnsi="Times New Roman"/>
          <w:i/>
          <w:sz w:val="24"/>
          <w:szCs w:val="24"/>
        </w:rPr>
        <w:t>lingua franca</w:t>
      </w:r>
      <w:r>
        <w:rPr>
          <w:rFonts w:ascii="Times New Roman" w:hAnsi="Times New Roman"/>
          <w:i/>
          <w:sz w:val="24"/>
          <w:szCs w:val="24"/>
        </w:rPr>
        <w:t xml:space="preserve"> </w:t>
      </w:r>
      <w:r>
        <w:rPr>
          <w:rFonts w:ascii="Times New Roman" w:hAnsi="Times New Roman"/>
          <w:sz w:val="24"/>
          <w:szCs w:val="24"/>
        </w:rPr>
        <w:t xml:space="preserve">to minimise </w:t>
      </w:r>
      <w:proofErr w:type="spellStart"/>
      <w:r>
        <w:rPr>
          <w:rFonts w:ascii="Times New Roman" w:hAnsi="Times New Roman"/>
          <w:sz w:val="24"/>
          <w:szCs w:val="24"/>
        </w:rPr>
        <w:t>linguisti</w:t>
      </w:r>
      <w:proofErr w:type="spellEnd"/>
      <w:r>
        <w:rPr>
          <w:rFonts w:ascii="Times New Roman" w:hAnsi="Times New Roman"/>
          <w:sz w:val="24"/>
          <w:szCs w:val="24"/>
        </w:rPr>
        <w:t xml:space="preserve"> exclusion</w:t>
      </w:r>
      <w:r w:rsidRPr="004C0771">
        <w:rPr>
          <w:rFonts w:ascii="Times New Roman" w:hAnsi="Times New Roman"/>
          <w:sz w:val="24"/>
          <w:szCs w:val="24"/>
        </w:rPr>
        <w:t>.</w:t>
      </w:r>
    </w:p>
    <w:p w14:paraId="1EE91068" w14:textId="2EAB131E" w:rsidR="007F446F" w:rsidRPr="004C0771" w:rsidRDefault="007F446F" w:rsidP="006233DD">
      <w:pPr>
        <w:spacing w:line="480" w:lineRule="auto"/>
        <w:jc w:val="both"/>
        <w:rPr>
          <w:rFonts w:ascii="Times New Roman" w:hAnsi="Times New Roman"/>
          <w:sz w:val="24"/>
          <w:szCs w:val="24"/>
        </w:rPr>
      </w:pPr>
      <w:r w:rsidRPr="004C0771">
        <w:rPr>
          <w:rFonts w:ascii="Times New Roman" w:hAnsi="Times New Roman"/>
          <w:sz w:val="24"/>
          <w:szCs w:val="24"/>
        </w:rPr>
        <w:lastRenderedPageBreak/>
        <w:t xml:space="preserve">It can be argued that not all Europeans are interested in the business of the EU, that just the elite </w:t>
      </w:r>
      <w:proofErr w:type="gramStart"/>
      <w:r w:rsidRPr="004C0771">
        <w:rPr>
          <w:rFonts w:ascii="Times New Roman" w:hAnsi="Times New Roman"/>
          <w:sz w:val="24"/>
          <w:szCs w:val="24"/>
        </w:rPr>
        <w:t>actually needs</w:t>
      </w:r>
      <w:proofErr w:type="gramEnd"/>
      <w:r w:rsidRPr="004C0771">
        <w:rPr>
          <w:rFonts w:ascii="Times New Roman" w:hAnsi="Times New Roman"/>
          <w:sz w:val="24"/>
          <w:szCs w:val="24"/>
        </w:rPr>
        <w:t xml:space="preserve"> to be informed about the process and the outcomes of EU policy-making</w:t>
      </w:r>
      <w:r>
        <w:rPr>
          <w:rFonts w:ascii="Times New Roman" w:hAnsi="Times New Roman"/>
          <w:sz w:val="24"/>
          <w:szCs w:val="24"/>
        </w:rPr>
        <w:t>,</w:t>
      </w:r>
      <w:r w:rsidRPr="004C0771">
        <w:rPr>
          <w:rFonts w:ascii="Times New Roman" w:hAnsi="Times New Roman"/>
          <w:sz w:val="24"/>
          <w:szCs w:val="24"/>
        </w:rPr>
        <w:t xml:space="preserve"> and about EU legal texts. If it were true that, generally speaking, ‘only elites are fluent in more than one language’ (</w:t>
      </w:r>
      <w:hyperlink w:anchor="_ENREF_35" w:tooltip="Kymlicka, 2001 #1210" w:history="1">
        <w:r w:rsidRPr="004C0771">
          <w:rPr>
            <w:rFonts w:ascii="Times New Roman" w:hAnsi="Times New Roman"/>
            <w:sz w:val="24"/>
            <w:szCs w:val="24"/>
          </w:rPr>
          <w:fldChar w:fldCharType="begin"/>
        </w:r>
        <w:r w:rsidRPr="004C0771">
          <w:rPr>
            <w:rFonts w:ascii="Times New Roman" w:hAnsi="Times New Roman"/>
            <w:sz w:val="24"/>
            <w:szCs w:val="24"/>
          </w:rPr>
          <w:instrText xml:space="preserve"> ADDIN EN.CITE &lt;EndNote&gt;&lt;Cite&gt;&lt;Author&gt;Kymlicka&lt;/Author&gt;&lt;Year&gt;2001&lt;/Year&gt;&lt;RecNum&gt;1210&lt;/RecNum&gt;&lt;Pages&gt;214&lt;/Pages&gt;&lt;DisplayText&gt;Kymlicka 2001: 214&lt;/DisplayText&gt;&lt;record&gt;&lt;rec-number&gt;1210&lt;/rec-number&gt;&lt;foreign-keys&gt;&lt;key app="EN" db-id="wvvszzd93a0z5wesdfpvdv9z5wrra5p05axp"&gt;1210&lt;/key&gt;&lt;/foreign-keys&gt;&lt;ref-type name="Book"&gt;6&lt;/ref-type&gt;&lt;contributors&gt;&lt;authors&gt;&lt;author&gt;Kymlicka, Will&lt;/author&gt;&lt;/authors&gt;&lt;/contributors&gt;&lt;titles&gt;&lt;title&gt;Politics in the vernacular&lt;/title&gt;&lt;/titles&gt;&lt;dates&gt;&lt;year&gt;2001&lt;/year&gt;&lt;/dates&gt;&lt;pub-location&gt;Oxford&lt;/pub-location&gt;&lt;publisher&gt;Oxford University Press&lt;/publisher&gt;&lt;urls&gt;&lt;/urls&gt;&lt;/record&gt;&lt;/Cite&gt;&lt;/EndNote&gt;</w:instrText>
        </w:r>
        <w:r w:rsidRPr="004C0771">
          <w:rPr>
            <w:rFonts w:ascii="Times New Roman" w:hAnsi="Times New Roman"/>
            <w:sz w:val="24"/>
            <w:szCs w:val="24"/>
          </w:rPr>
          <w:fldChar w:fldCharType="separate"/>
        </w:r>
        <w:r w:rsidRPr="004C0771">
          <w:rPr>
            <w:rFonts w:ascii="Times New Roman" w:hAnsi="Times New Roman"/>
            <w:sz w:val="24"/>
            <w:szCs w:val="24"/>
          </w:rPr>
          <w:t>Kymlicka, 2001: 214</w:t>
        </w:r>
        <w:r w:rsidRPr="004C0771">
          <w:rPr>
            <w:rFonts w:ascii="Times New Roman" w:hAnsi="Times New Roman"/>
            <w:sz w:val="24"/>
            <w:szCs w:val="24"/>
          </w:rPr>
          <w:fldChar w:fldCharType="end"/>
        </w:r>
      </w:hyperlink>
      <w:r w:rsidRPr="004C0771">
        <w:rPr>
          <w:rFonts w:ascii="Times New Roman" w:hAnsi="Times New Roman"/>
          <w:sz w:val="24"/>
          <w:szCs w:val="24"/>
        </w:rPr>
        <w:t xml:space="preserve">, quoted in </w:t>
      </w:r>
      <w:hyperlink w:anchor="_ENREF_46" w:tooltip="Rose, 2008 #885" w:history="1">
        <w:r w:rsidRPr="004C0771">
          <w:rPr>
            <w:rFonts w:ascii="Times New Roman" w:hAnsi="Times New Roman"/>
            <w:sz w:val="24"/>
            <w:szCs w:val="24"/>
          </w:rPr>
          <w:fldChar w:fldCharType="begin"/>
        </w:r>
        <w:r w:rsidRPr="004C0771">
          <w:rPr>
            <w:rFonts w:ascii="Times New Roman" w:hAnsi="Times New Roman"/>
            <w:sz w:val="24"/>
            <w:szCs w:val="24"/>
          </w:rPr>
          <w:instrText xml:space="preserve"> ADDIN EN.CITE &lt;EndNote&gt;&lt;Cite&gt;&lt;Author&gt;Rose&lt;/Author&gt;&lt;Year&gt;2008&lt;/Year&gt;&lt;RecNum&gt;885&lt;/RecNum&gt;&lt;Pages&gt;460&lt;/Pages&gt;&lt;DisplayText&gt;Rose 2008: 460&lt;/DisplayText&gt;&lt;record&gt;&lt;rec-number&gt;885&lt;/rec-number&gt;&lt;foreign-keys&gt;&lt;key app="EN" db-id="wvvszzd93a0z5wesdfpvdv9z5wrra5p05axp"&gt;885&lt;/key&gt;&lt;/foreign-keys&gt;&lt;ref-type name="Journal Article"&gt;17&lt;/ref-type&gt;&lt;contributors&gt;&lt;authors&gt;&lt;author&gt;Rose, Richard&lt;/author&gt;&lt;/authors&gt;&lt;/contributors&gt;&lt;titles&gt;&lt;title&gt;Political Communication in a European Public Space: Language, the Internet and Understanding as Soft Power&lt;/title&gt;&lt;secondary-title&gt;Journal of Common Market Studies&lt;/secondary-title&gt;&lt;/titles&gt;&lt;periodical&gt;&lt;full-title&gt;Journal of Common Market Studies&lt;/full-title&gt;&lt;/periodical&gt;&lt;pages&gt;451-475&lt;/pages&gt;&lt;volume&gt;46&lt;/volume&gt;&lt;number&gt;2&lt;/number&gt;&lt;dates&gt;&lt;year&gt;2008&lt;/year&gt;&lt;/dates&gt;&lt;urls&gt;&lt;/urls&gt;&lt;/record&gt;&lt;/Cite&gt;&lt;/EndNote&gt;</w:instrText>
        </w:r>
        <w:r w:rsidRPr="004C0771">
          <w:rPr>
            <w:rFonts w:ascii="Times New Roman" w:hAnsi="Times New Roman"/>
            <w:sz w:val="24"/>
            <w:szCs w:val="24"/>
          </w:rPr>
          <w:fldChar w:fldCharType="separate"/>
        </w:r>
        <w:r w:rsidRPr="004C0771">
          <w:rPr>
            <w:rFonts w:ascii="Times New Roman" w:hAnsi="Times New Roman"/>
            <w:sz w:val="24"/>
            <w:szCs w:val="24"/>
          </w:rPr>
          <w:t>Rose, 2008: 460</w:t>
        </w:r>
        <w:r w:rsidRPr="004C0771">
          <w:rPr>
            <w:rFonts w:ascii="Times New Roman" w:hAnsi="Times New Roman"/>
            <w:sz w:val="24"/>
            <w:szCs w:val="24"/>
          </w:rPr>
          <w:fldChar w:fldCharType="end"/>
        </w:r>
      </w:hyperlink>
      <w:r w:rsidRPr="004C0771">
        <w:rPr>
          <w:rFonts w:ascii="Times New Roman" w:hAnsi="Times New Roman"/>
          <w:sz w:val="24"/>
          <w:szCs w:val="24"/>
        </w:rPr>
        <w:t xml:space="preserve">), then one could argue that full multilingualism should be preserved in the European Parliament and in direct communication between the EU institutions and EU citizens, </w:t>
      </w:r>
      <w:r>
        <w:rPr>
          <w:rFonts w:ascii="Times New Roman" w:hAnsi="Times New Roman"/>
          <w:sz w:val="24"/>
          <w:szCs w:val="24"/>
        </w:rPr>
        <w:t>whereas</w:t>
      </w:r>
      <w:r w:rsidRPr="004C0771">
        <w:rPr>
          <w:rFonts w:ascii="Times New Roman" w:hAnsi="Times New Roman"/>
          <w:sz w:val="24"/>
          <w:szCs w:val="24"/>
        </w:rPr>
        <w:t xml:space="preserve"> a certain degree of linguistic disenfranchisement could be accepted in other circumstances (see </w:t>
      </w:r>
      <w:proofErr w:type="spellStart"/>
      <w:r w:rsidRPr="004C0771">
        <w:rPr>
          <w:rFonts w:ascii="Times New Roman" w:hAnsi="Times New Roman"/>
          <w:sz w:val="24"/>
          <w:szCs w:val="24"/>
        </w:rPr>
        <w:t>Fidrmuc</w:t>
      </w:r>
      <w:proofErr w:type="spellEnd"/>
      <w:r w:rsidRPr="004C0771">
        <w:rPr>
          <w:rFonts w:ascii="Times New Roman" w:hAnsi="Times New Roman"/>
          <w:sz w:val="24"/>
          <w:szCs w:val="24"/>
        </w:rPr>
        <w:t xml:space="preserve"> </w:t>
      </w:r>
      <w:r w:rsidRPr="0044332B">
        <w:rPr>
          <w:rFonts w:ascii="Times New Roman" w:hAnsi="Times New Roman"/>
          <w:sz w:val="24"/>
          <w:szCs w:val="24"/>
        </w:rPr>
        <w:t>et al.</w:t>
      </w:r>
      <w:r w:rsidRPr="004C0771">
        <w:rPr>
          <w:rFonts w:ascii="Times New Roman" w:hAnsi="Times New Roman"/>
          <w:sz w:val="24"/>
          <w:szCs w:val="24"/>
        </w:rPr>
        <w:t xml:space="preserve">, </w:t>
      </w:r>
      <w:hyperlink w:anchor="_ENREF_19" w:tooltip="Fidrmuc, 2009 #1097" w:history="1">
        <w:r w:rsidRPr="004C0771">
          <w:rPr>
            <w:rFonts w:ascii="Times New Roman" w:hAnsi="Times New Roman"/>
            <w:sz w:val="24"/>
            <w:szCs w:val="24"/>
          </w:rPr>
          <w:fldChar w:fldCharType="begin"/>
        </w:r>
        <w:r w:rsidRPr="004C0771">
          <w:rPr>
            <w:rFonts w:ascii="Times New Roman" w:hAnsi="Times New Roman"/>
            <w:sz w:val="24"/>
            <w:szCs w:val="24"/>
          </w:rPr>
          <w:instrText xml:space="preserve"> ADDIN EN.CITE &lt;EndNote&gt;&lt;Cite ExcludeAuth="1"&gt;&lt;Author&gt;Fidrmuc&lt;/Author&gt;&lt;Year&gt;2009&lt;/Year&gt;&lt;RecNum&gt;1097&lt;/RecNum&gt;&lt;DisplayText&gt;2009&lt;/DisplayText&gt;&lt;record&gt;&lt;rec-number&gt;1097&lt;/rec-number&gt;&lt;foreign-keys&gt;&lt;key app="EN" db-id="wvvszzd93a0z5wesdfpvdv9z5wrra5p05axp"&gt;1097&lt;/key&gt;&lt;/foreign-keys&gt;&lt;ref-type name="Journal Article"&gt;17&lt;/ref-type&gt;&lt;contributors&gt;&lt;authors&gt;&lt;author&gt;Fidrmuc, Jan&lt;/author&gt;&lt;author&gt;Ginsburgh, Victor&lt;/author&gt;&lt;author&gt;Weber, Shlomo&lt;/author&gt;&lt;/authors&gt;&lt;/contributors&gt;&lt;titles&gt;&lt;title&gt;Voting on the choice of core languages in the European Union&lt;/title&gt;&lt;secondary-title&gt;European Journal of Political Economy&lt;/secondary-title&gt;&lt;/titles&gt;&lt;periodical&gt;&lt;full-title&gt;European Journal of Political Economy&lt;/full-title&gt;&lt;/periodical&gt;&lt;pages&gt;56–62&lt;/pages&gt;&lt;volume&gt;25&lt;/volume&gt;&lt;number&gt;1&lt;/number&gt;&lt;dates&gt;&lt;year&gt;2009&lt;/year&gt;&lt;/dates&gt;&lt;urls&gt;&lt;/urls&gt;&lt;/record&gt;&lt;/Cite&gt;&lt;/EndNote&gt;</w:instrText>
        </w:r>
        <w:r w:rsidRPr="004C0771">
          <w:rPr>
            <w:rFonts w:ascii="Times New Roman" w:hAnsi="Times New Roman"/>
            <w:sz w:val="24"/>
            <w:szCs w:val="24"/>
          </w:rPr>
          <w:fldChar w:fldCharType="separate"/>
        </w:r>
        <w:r w:rsidRPr="004C0771">
          <w:rPr>
            <w:rFonts w:ascii="Times New Roman" w:hAnsi="Times New Roman"/>
            <w:sz w:val="24"/>
            <w:szCs w:val="24"/>
          </w:rPr>
          <w:t>2009</w:t>
        </w:r>
        <w:r w:rsidRPr="004C0771">
          <w:rPr>
            <w:rFonts w:ascii="Times New Roman" w:hAnsi="Times New Roman"/>
            <w:sz w:val="24"/>
            <w:szCs w:val="24"/>
          </w:rPr>
          <w:fldChar w:fldCharType="end"/>
        </w:r>
      </w:hyperlink>
      <w:r w:rsidRPr="004C0771">
        <w:rPr>
          <w:rFonts w:ascii="Times New Roman" w:hAnsi="Times New Roman"/>
          <w:sz w:val="24"/>
          <w:szCs w:val="24"/>
        </w:rPr>
        <w:t>). Evidence available, nevertheless, shows a different picture. The AES contains data on respondents</w:t>
      </w:r>
      <w:r>
        <w:rPr>
          <w:rFonts w:ascii="Times New Roman" w:hAnsi="Times New Roman"/>
          <w:sz w:val="24"/>
          <w:szCs w:val="24"/>
        </w:rPr>
        <w:t>’</w:t>
      </w:r>
      <w:r w:rsidRPr="004C0771">
        <w:rPr>
          <w:rFonts w:ascii="Times New Roman" w:hAnsi="Times New Roman"/>
          <w:sz w:val="24"/>
          <w:szCs w:val="24"/>
        </w:rPr>
        <w:t xml:space="preserve"> type of occupation classified according to the International Standard Classification of Occupations (ISCO-88). Ten macro-occupation classes are defined. The first ISCO-88 class is named ‘managers’</w:t>
      </w:r>
      <w:r>
        <w:rPr>
          <w:rFonts w:ascii="Times New Roman" w:hAnsi="Times New Roman"/>
          <w:sz w:val="24"/>
          <w:szCs w:val="24"/>
        </w:rPr>
        <w:t>, and it</w:t>
      </w:r>
      <w:r w:rsidRPr="004C0771">
        <w:rPr>
          <w:rFonts w:ascii="Times New Roman" w:hAnsi="Times New Roman"/>
          <w:sz w:val="24"/>
          <w:szCs w:val="24"/>
        </w:rPr>
        <w:t xml:space="preserve"> includes different sub-specifications, i.e. ‘chief executives, senior officials and legislators’, ‘administrative and commercial managers’, ‘production and specialised managers’, ‘hospitality, retail and other </w:t>
      </w:r>
      <w:proofErr w:type="gramStart"/>
      <w:r w:rsidRPr="004C0771">
        <w:rPr>
          <w:rFonts w:ascii="Times New Roman" w:hAnsi="Times New Roman"/>
          <w:sz w:val="24"/>
          <w:szCs w:val="24"/>
        </w:rPr>
        <w:t>services managers’</w:t>
      </w:r>
      <w:proofErr w:type="gramEnd"/>
      <w:r w:rsidRPr="004C0771">
        <w:rPr>
          <w:rFonts w:ascii="Times New Roman" w:hAnsi="Times New Roman"/>
          <w:sz w:val="24"/>
          <w:szCs w:val="24"/>
        </w:rPr>
        <w:t>. I focus on the first sub-class, that is, ‘chief executives, senior officials and legislators’</w:t>
      </w:r>
      <w:r>
        <w:rPr>
          <w:rFonts w:ascii="Times New Roman" w:hAnsi="Times New Roman"/>
          <w:sz w:val="24"/>
          <w:szCs w:val="24"/>
        </w:rPr>
        <w:t xml:space="preserve"> (</w:t>
      </w:r>
      <w:r w:rsidRPr="004C0771">
        <w:rPr>
          <w:rFonts w:ascii="Times New Roman" w:hAnsi="Times New Roman"/>
          <w:sz w:val="24"/>
          <w:szCs w:val="24"/>
        </w:rPr>
        <w:t xml:space="preserve">N=948, including native speakers), because these people are generally considered </w:t>
      </w:r>
      <w:r>
        <w:rPr>
          <w:rFonts w:ascii="Times New Roman" w:hAnsi="Times New Roman"/>
          <w:sz w:val="24"/>
          <w:szCs w:val="24"/>
        </w:rPr>
        <w:t xml:space="preserve">to constitute </w:t>
      </w:r>
      <w:r w:rsidRPr="004C0771">
        <w:rPr>
          <w:rFonts w:ascii="Times New Roman" w:hAnsi="Times New Roman"/>
          <w:sz w:val="24"/>
          <w:szCs w:val="24"/>
        </w:rPr>
        <w:t>part of the European elite</w:t>
      </w:r>
      <w:r>
        <w:rPr>
          <w:rFonts w:ascii="Times New Roman" w:hAnsi="Times New Roman"/>
          <w:sz w:val="24"/>
          <w:szCs w:val="24"/>
        </w:rPr>
        <w:t>. T</w:t>
      </w:r>
      <w:r w:rsidRPr="004C0771">
        <w:rPr>
          <w:rFonts w:ascii="Times New Roman" w:hAnsi="Times New Roman"/>
          <w:sz w:val="24"/>
          <w:szCs w:val="24"/>
        </w:rPr>
        <w:t>he disenfranchisement rates</w:t>
      </w:r>
      <w:r>
        <w:rPr>
          <w:rFonts w:ascii="Times New Roman" w:hAnsi="Times New Roman"/>
          <w:sz w:val="24"/>
          <w:szCs w:val="24"/>
        </w:rPr>
        <w:t xml:space="preserve"> in this sub-group of people are estimated per each language regime alternative to the status quo. The results are the following</w:t>
      </w:r>
      <w:r w:rsidRPr="004C0771">
        <w:rPr>
          <w:rFonts w:ascii="Times New Roman" w:hAnsi="Times New Roman"/>
          <w:sz w:val="24"/>
          <w:szCs w:val="24"/>
        </w:rPr>
        <w:t>: D</w:t>
      </w:r>
      <w:r w:rsidRPr="004C0771">
        <w:rPr>
          <w:rFonts w:ascii="Times New Roman" w:hAnsi="Times New Roman"/>
          <w:sz w:val="24"/>
          <w:szCs w:val="24"/>
          <w:vertAlign w:val="subscript"/>
        </w:rPr>
        <w:t>a</w:t>
      </w:r>
      <w:r w:rsidRPr="004C0771">
        <w:rPr>
          <w:rFonts w:ascii="Times New Roman" w:hAnsi="Times New Roman"/>
          <w:sz w:val="24"/>
          <w:szCs w:val="24"/>
        </w:rPr>
        <w:t>=2</w:t>
      </w:r>
      <w:r>
        <w:rPr>
          <w:rFonts w:ascii="Times New Roman" w:hAnsi="Times New Roman"/>
          <w:sz w:val="24"/>
          <w:szCs w:val="24"/>
        </w:rPr>
        <w:t>7</w:t>
      </w:r>
      <w:r w:rsidRPr="004C0771">
        <w:rPr>
          <w:rFonts w:ascii="Times New Roman" w:hAnsi="Times New Roman"/>
          <w:sz w:val="24"/>
          <w:szCs w:val="24"/>
        </w:rPr>
        <w:t>% and D</w:t>
      </w:r>
      <w:r w:rsidRPr="004C0771">
        <w:rPr>
          <w:rFonts w:ascii="Times New Roman" w:hAnsi="Times New Roman"/>
          <w:sz w:val="24"/>
          <w:szCs w:val="24"/>
          <w:vertAlign w:val="subscript"/>
        </w:rPr>
        <w:t>r</w:t>
      </w:r>
      <w:r w:rsidRPr="004C0771">
        <w:rPr>
          <w:rFonts w:ascii="Times New Roman" w:hAnsi="Times New Roman"/>
          <w:sz w:val="24"/>
          <w:szCs w:val="24"/>
        </w:rPr>
        <w:t>= </w:t>
      </w:r>
      <w:r>
        <w:rPr>
          <w:rFonts w:ascii="Times New Roman" w:hAnsi="Times New Roman"/>
          <w:sz w:val="24"/>
          <w:szCs w:val="24"/>
        </w:rPr>
        <w:t>77</w:t>
      </w:r>
      <w:r w:rsidRPr="004C0771">
        <w:rPr>
          <w:rFonts w:ascii="Times New Roman" w:hAnsi="Times New Roman"/>
          <w:sz w:val="24"/>
          <w:szCs w:val="24"/>
        </w:rPr>
        <w:t>%</w:t>
      </w:r>
      <w:r>
        <w:rPr>
          <w:rFonts w:ascii="Times New Roman" w:hAnsi="Times New Roman"/>
          <w:sz w:val="24"/>
          <w:szCs w:val="24"/>
        </w:rPr>
        <w:t xml:space="preserve"> (English-only policy)</w:t>
      </w:r>
      <w:r w:rsidRPr="004C0771">
        <w:rPr>
          <w:rFonts w:ascii="Times New Roman" w:hAnsi="Times New Roman"/>
          <w:sz w:val="24"/>
          <w:szCs w:val="24"/>
        </w:rPr>
        <w:t>; D</w:t>
      </w:r>
      <w:r w:rsidRPr="004C0771">
        <w:rPr>
          <w:rFonts w:ascii="Times New Roman" w:hAnsi="Times New Roman"/>
          <w:sz w:val="24"/>
          <w:szCs w:val="24"/>
          <w:vertAlign w:val="subscript"/>
        </w:rPr>
        <w:t>a</w:t>
      </w:r>
      <w:r w:rsidRPr="004C0771">
        <w:rPr>
          <w:rFonts w:ascii="Times New Roman" w:hAnsi="Times New Roman"/>
          <w:sz w:val="24"/>
          <w:szCs w:val="24"/>
        </w:rPr>
        <w:t>=</w:t>
      </w:r>
      <w:r>
        <w:rPr>
          <w:rFonts w:ascii="Times New Roman" w:hAnsi="Times New Roman"/>
          <w:sz w:val="24"/>
          <w:szCs w:val="24"/>
        </w:rPr>
        <w:t>14</w:t>
      </w:r>
      <w:r w:rsidRPr="004C0771">
        <w:rPr>
          <w:rFonts w:ascii="Times New Roman" w:hAnsi="Times New Roman"/>
          <w:sz w:val="24"/>
          <w:szCs w:val="24"/>
        </w:rPr>
        <w:t>% and D</w:t>
      </w:r>
      <w:r w:rsidRPr="004C0771">
        <w:rPr>
          <w:rFonts w:ascii="Times New Roman" w:hAnsi="Times New Roman"/>
          <w:sz w:val="24"/>
          <w:szCs w:val="24"/>
          <w:vertAlign w:val="subscript"/>
        </w:rPr>
        <w:t>r</w:t>
      </w:r>
      <w:r w:rsidRPr="004C0771">
        <w:rPr>
          <w:rFonts w:ascii="Times New Roman" w:hAnsi="Times New Roman"/>
          <w:sz w:val="24"/>
          <w:szCs w:val="24"/>
        </w:rPr>
        <w:t>=</w:t>
      </w:r>
      <w:r>
        <w:rPr>
          <w:rFonts w:ascii="Times New Roman" w:hAnsi="Times New Roman"/>
          <w:sz w:val="24"/>
          <w:szCs w:val="24"/>
        </w:rPr>
        <w:t>49</w:t>
      </w:r>
      <w:r w:rsidRPr="004C0771">
        <w:rPr>
          <w:rFonts w:ascii="Times New Roman" w:hAnsi="Times New Roman"/>
          <w:sz w:val="24"/>
          <w:szCs w:val="24"/>
        </w:rPr>
        <w:t>%</w:t>
      </w:r>
      <w:r>
        <w:rPr>
          <w:rFonts w:ascii="Times New Roman" w:hAnsi="Times New Roman"/>
          <w:sz w:val="24"/>
          <w:szCs w:val="24"/>
        </w:rPr>
        <w:t xml:space="preserve"> (</w:t>
      </w:r>
      <w:r w:rsidRPr="004C0771">
        <w:rPr>
          <w:rFonts w:ascii="Times New Roman" w:hAnsi="Times New Roman"/>
          <w:sz w:val="24"/>
          <w:szCs w:val="24"/>
        </w:rPr>
        <w:t>trilingual language regime</w:t>
      </w:r>
      <w:r>
        <w:rPr>
          <w:rFonts w:ascii="Times New Roman" w:hAnsi="Times New Roman"/>
          <w:sz w:val="24"/>
          <w:szCs w:val="24"/>
        </w:rPr>
        <w:t xml:space="preserve">); </w:t>
      </w:r>
      <w:r w:rsidRPr="004C0771">
        <w:rPr>
          <w:rFonts w:ascii="Times New Roman" w:hAnsi="Times New Roman"/>
          <w:sz w:val="24"/>
          <w:szCs w:val="24"/>
        </w:rPr>
        <w:t>D</w:t>
      </w:r>
      <w:r w:rsidRPr="004C0771">
        <w:rPr>
          <w:rFonts w:ascii="Times New Roman" w:hAnsi="Times New Roman"/>
          <w:sz w:val="24"/>
          <w:szCs w:val="24"/>
          <w:vertAlign w:val="subscript"/>
        </w:rPr>
        <w:t>a</w:t>
      </w:r>
      <w:r w:rsidRPr="004C0771">
        <w:rPr>
          <w:rFonts w:ascii="Times New Roman" w:hAnsi="Times New Roman"/>
          <w:sz w:val="24"/>
          <w:szCs w:val="24"/>
        </w:rPr>
        <w:t>=</w:t>
      </w:r>
      <w:r>
        <w:rPr>
          <w:rFonts w:ascii="Times New Roman" w:hAnsi="Times New Roman"/>
          <w:sz w:val="24"/>
          <w:szCs w:val="24"/>
        </w:rPr>
        <w:t>4</w:t>
      </w:r>
      <w:r w:rsidRPr="004C0771">
        <w:rPr>
          <w:rFonts w:ascii="Times New Roman" w:hAnsi="Times New Roman"/>
          <w:sz w:val="24"/>
          <w:szCs w:val="24"/>
        </w:rPr>
        <w:t>% and a D</w:t>
      </w:r>
      <w:r w:rsidRPr="004C0771">
        <w:rPr>
          <w:rFonts w:ascii="Times New Roman" w:hAnsi="Times New Roman"/>
          <w:sz w:val="24"/>
          <w:szCs w:val="24"/>
          <w:vertAlign w:val="subscript"/>
        </w:rPr>
        <w:t>r</w:t>
      </w:r>
      <w:r w:rsidRPr="004C0771">
        <w:rPr>
          <w:rFonts w:ascii="Times New Roman" w:hAnsi="Times New Roman"/>
          <w:sz w:val="24"/>
          <w:szCs w:val="24"/>
        </w:rPr>
        <w:t>=</w:t>
      </w:r>
      <w:r>
        <w:rPr>
          <w:rFonts w:ascii="Times New Roman" w:hAnsi="Times New Roman"/>
          <w:sz w:val="24"/>
          <w:szCs w:val="24"/>
        </w:rPr>
        <w:t>17</w:t>
      </w:r>
      <w:r w:rsidRPr="004C0771">
        <w:rPr>
          <w:rFonts w:ascii="Times New Roman" w:hAnsi="Times New Roman"/>
          <w:sz w:val="24"/>
          <w:szCs w:val="24"/>
        </w:rPr>
        <w:t>%</w:t>
      </w:r>
      <w:r>
        <w:rPr>
          <w:rFonts w:ascii="Times New Roman" w:hAnsi="Times New Roman"/>
          <w:sz w:val="24"/>
          <w:szCs w:val="24"/>
        </w:rPr>
        <w:t xml:space="preserve"> (</w:t>
      </w:r>
      <w:proofErr w:type="spellStart"/>
      <w:r w:rsidRPr="004C0771">
        <w:rPr>
          <w:rFonts w:ascii="Times New Roman" w:hAnsi="Times New Roman"/>
          <w:sz w:val="24"/>
          <w:szCs w:val="24"/>
        </w:rPr>
        <w:t>hexalingual</w:t>
      </w:r>
      <w:proofErr w:type="spellEnd"/>
      <w:r w:rsidRPr="004C0771">
        <w:rPr>
          <w:rFonts w:ascii="Times New Roman" w:hAnsi="Times New Roman"/>
          <w:sz w:val="24"/>
          <w:szCs w:val="24"/>
        </w:rPr>
        <w:t xml:space="preserve"> language</w:t>
      </w:r>
      <w:r>
        <w:rPr>
          <w:rFonts w:ascii="Times New Roman" w:hAnsi="Times New Roman"/>
          <w:sz w:val="24"/>
          <w:szCs w:val="24"/>
        </w:rPr>
        <w:t xml:space="preserve"> regime)</w:t>
      </w:r>
      <w:r w:rsidRPr="004C0771">
        <w:rPr>
          <w:rFonts w:ascii="Times New Roman" w:hAnsi="Times New Roman"/>
          <w:sz w:val="24"/>
          <w:szCs w:val="24"/>
        </w:rPr>
        <w:t xml:space="preserve">. Compare these results with those presented in Table 1 for the entire population. Results are </w:t>
      </w:r>
      <w:r>
        <w:rPr>
          <w:rFonts w:ascii="Times New Roman" w:hAnsi="Times New Roman"/>
          <w:sz w:val="24"/>
          <w:szCs w:val="24"/>
        </w:rPr>
        <w:t>somewhat surprising</w:t>
      </w:r>
      <w:r w:rsidRPr="004C0771">
        <w:rPr>
          <w:rFonts w:ascii="Times New Roman" w:hAnsi="Times New Roman"/>
          <w:sz w:val="24"/>
          <w:szCs w:val="24"/>
        </w:rPr>
        <w:t>. First</w:t>
      </w:r>
      <w:r>
        <w:rPr>
          <w:rFonts w:ascii="Times New Roman" w:hAnsi="Times New Roman"/>
          <w:sz w:val="24"/>
          <w:szCs w:val="24"/>
        </w:rPr>
        <w:t>,</w:t>
      </w:r>
      <w:r w:rsidRPr="004C0771">
        <w:rPr>
          <w:rFonts w:ascii="Times New Roman" w:hAnsi="Times New Roman"/>
          <w:sz w:val="24"/>
          <w:szCs w:val="24"/>
        </w:rPr>
        <w:t xml:space="preserve"> </w:t>
      </w:r>
      <w:r>
        <w:rPr>
          <w:rFonts w:ascii="Times New Roman" w:hAnsi="Times New Roman"/>
          <w:sz w:val="24"/>
          <w:szCs w:val="24"/>
        </w:rPr>
        <w:t xml:space="preserve">as expected, </w:t>
      </w:r>
      <w:r w:rsidRPr="004C0771">
        <w:rPr>
          <w:rFonts w:ascii="Times New Roman" w:hAnsi="Times New Roman"/>
          <w:sz w:val="24"/>
          <w:szCs w:val="24"/>
        </w:rPr>
        <w:t>the absolute disenfranchisement rates among European chief executives, senior officials and legislators are</w:t>
      </w:r>
      <w:r>
        <w:rPr>
          <w:rFonts w:ascii="Times New Roman" w:hAnsi="Times New Roman"/>
          <w:sz w:val="24"/>
          <w:szCs w:val="24"/>
        </w:rPr>
        <w:t xml:space="preserve"> lower </w:t>
      </w:r>
      <w:r w:rsidRPr="004C0771">
        <w:rPr>
          <w:rFonts w:ascii="Times New Roman" w:hAnsi="Times New Roman"/>
          <w:sz w:val="24"/>
          <w:szCs w:val="24"/>
        </w:rPr>
        <w:t>than the average disenfranchisement rates among the entire population</w:t>
      </w:r>
      <w:r>
        <w:rPr>
          <w:rFonts w:ascii="Times New Roman" w:hAnsi="Times New Roman"/>
          <w:sz w:val="24"/>
          <w:szCs w:val="24"/>
        </w:rPr>
        <w:t>, but they are not low or negligible</w:t>
      </w:r>
      <w:r w:rsidRPr="004C0771">
        <w:rPr>
          <w:rFonts w:ascii="Times New Roman" w:hAnsi="Times New Roman"/>
          <w:sz w:val="24"/>
          <w:szCs w:val="24"/>
        </w:rPr>
        <w:t xml:space="preserve">. Second, the relative disenfranchisement rates are virtually equal </w:t>
      </w:r>
      <w:r>
        <w:rPr>
          <w:rFonts w:ascii="Times New Roman" w:hAnsi="Times New Roman"/>
          <w:sz w:val="24"/>
          <w:szCs w:val="24"/>
        </w:rPr>
        <w:t>in both groups, showing that managers, do not have much better skills in foreign languages than the average</w:t>
      </w:r>
      <w:r w:rsidRPr="004C0771">
        <w:rPr>
          <w:rFonts w:ascii="Times New Roman" w:hAnsi="Times New Roman"/>
          <w:sz w:val="24"/>
          <w:szCs w:val="24"/>
        </w:rPr>
        <w:t xml:space="preserve">. Therefore, a significant percentage of European chief executives, senior officials and legislators benefit from multilingual communication. </w:t>
      </w:r>
    </w:p>
    <w:p w14:paraId="6E2725B1" w14:textId="64EA495C" w:rsidR="007F446F" w:rsidRPr="004C0771" w:rsidRDefault="007F446F" w:rsidP="006233DD">
      <w:pPr>
        <w:spacing w:line="480" w:lineRule="auto"/>
        <w:jc w:val="both"/>
      </w:pPr>
      <w:r w:rsidRPr="004C0771">
        <w:rPr>
          <w:rFonts w:ascii="Times New Roman" w:eastAsia="Times New Roman" w:hAnsi="Times New Roman"/>
          <w:sz w:val="24"/>
          <w:szCs w:val="24"/>
          <w:lang w:eastAsia="it-IT"/>
        </w:rPr>
        <w:lastRenderedPageBreak/>
        <w:t>Further, as noted above, EU external communication does not involve only the production of legal or technical texts.</w:t>
      </w:r>
      <w:r w:rsidRPr="004C0771">
        <w:rPr>
          <w:rFonts w:ascii="Times New Roman" w:hAnsi="Times New Roman"/>
          <w:sz w:val="24"/>
          <w:szCs w:val="24"/>
        </w:rPr>
        <w:t xml:space="preserve"> </w:t>
      </w:r>
      <w:r w:rsidRPr="004C0771">
        <w:rPr>
          <w:rFonts w:ascii="Times New Roman" w:hAnsi="Times New Roman"/>
          <w:bCs/>
          <w:sz w:val="24"/>
          <w:szCs w:val="24"/>
        </w:rPr>
        <w:t>Different actors, including citizens</w:t>
      </w:r>
      <w:r w:rsidRPr="004C0771">
        <w:rPr>
          <w:rFonts w:ascii="Times New Roman" w:hAnsi="Times New Roman"/>
          <w:sz w:val="24"/>
          <w:szCs w:val="24"/>
        </w:rPr>
        <w:t xml:space="preserve"> who receive a reply from the European Ombudsman</w:t>
      </w:r>
      <w:r w:rsidRPr="004C0771">
        <w:rPr>
          <w:rFonts w:ascii="Times New Roman" w:hAnsi="Times New Roman"/>
          <w:bCs/>
          <w:sz w:val="24"/>
          <w:szCs w:val="24"/>
        </w:rPr>
        <w:t xml:space="preserve">, or youth organisations, schools, and NGOs that submit proposals for international educational projects, may need to have access to programme guidelines, webpages and other </w:t>
      </w:r>
      <w:r>
        <w:rPr>
          <w:rFonts w:ascii="Times New Roman" w:hAnsi="Times New Roman"/>
          <w:bCs/>
          <w:sz w:val="24"/>
          <w:szCs w:val="24"/>
        </w:rPr>
        <w:t xml:space="preserve">official </w:t>
      </w:r>
      <w:r w:rsidRPr="004C0771">
        <w:rPr>
          <w:rFonts w:ascii="Times New Roman" w:hAnsi="Times New Roman"/>
          <w:bCs/>
          <w:sz w:val="24"/>
          <w:szCs w:val="24"/>
        </w:rPr>
        <w:t xml:space="preserve">documents. </w:t>
      </w:r>
      <w:r w:rsidRPr="004C0771">
        <w:rPr>
          <w:rFonts w:ascii="Times New Roman" w:hAnsi="Times New Roman"/>
          <w:sz w:val="24"/>
          <w:szCs w:val="24"/>
        </w:rPr>
        <w:t xml:space="preserve">This article shows that </w:t>
      </w:r>
      <w:proofErr w:type="gramStart"/>
      <w:r w:rsidRPr="004C0771">
        <w:rPr>
          <w:rFonts w:ascii="Times New Roman" w:hAnsi="Times New Roman"/>
          <w:sz w:val="24"/>
          <w:szCs w:val="24"/>
        </w:rPr>
        <w:t>t</w:t>
      </w:r>
      <w:r w:rsidRPr="004C0771">
        <w:rPr>
          <w:rFonts w:ascii="Times New Roman" w:eastAsia="Times New Roman" w:hAnsi="Times New Roman"/>
          <w:sz w:val="24"/>
          <w:szCs w:val="24"/>
          <w:lang w:eastAsia="it-IT"/>
        </w:rPr>
        <w:t>he majority of</w:t>
      </w:r>
      <w:proofErr w:type="gramEnd"/>
      <w:r w:rsidRPr="004C0771">
        <w:rPr>
          <w:rFonts w:ascii="Times New Roman" w:eastAsia="Times New Roman" w:hAnsi="Times New Roman"/>
          <w:sz w:val="24"/>
          <w:szCs w:val="24"/>
          <w:lang w:eastAsia="it-IT"/>
        </w:rPr>
        <w:t xml:space="preserve"> residents in the EU (and a large percentage of managers) still has little or no competence in English as a foreign language, let alone in French and German, and that those who declare to know foreign languages </w:t>
      </w:r>
      <w:r>
        <w:rPr>
          <w:rFonts w:ascii="Times New Roman" w:eastAsia="Times New Roman" w:hAnsi="Times New Roman"/>
          <w:sz w:val="24"/>
          <w:szCs w:val="24"/>
          <w:lang w:eastAsia="it-IT"/>
        </w:rPr>
        <w:t xml:space="preserve">often </w:t>
      </w:r>
      <w:r w:rsidRPr="004C0771">
        <w:rPr>
          <w:rFonts w:ascii="Times New Roman" w:eastAsia="Times New Roman" w:hAnsi="Times New Roman"/>
          <w:sz w:val="24"/>
          <w:szCs w:val="24"/>
          <w:lang w:eastAsia="it-IT"/>
        </w:rPr>
        <w:t xml:space="preserve">speak them at a fair or an intermediate level. Such levels may be enough to take part into a conversation, to travel abroad and to perform specific tasks on the workplace, but they are unlikely be </w:t>
      </w:r>
      <w:proofErr w:type="gramStart"/>
      <w:r w:rsidRPr="004C0771">
        <w:rPr>
          <w:rFonts w:ascii="Times New Roman" w:eastAsia="Times New Roman" w:hAnsi="Times New Roman"/>
          <w:sz w:val="24"/>
          <w:szCs w:val="24"/>
          <w:lang w:eastAsia="it-IT"/>
        </w:rPr>
        <w:t>sufficient</w:t>
      </w:r>
      <w:proofErr w:type="gramEnd"/>
      <w:r w:rsidRPr="004C0771">
        <w:rPr>
          <w:rFonts w:ascii="Times New Roman" w:eastAsia="Times New Roman" w:hAnsi="Times New Roman"/>
          <w:sz w:val="24"/>
          <w:szCs w:val="24"/>
          <w:lang w:eastAsia="it-IT"/>
        </w:rPr>
        <w:t xml:space="preserve"> to participate in EU </w:t>
      </w:r>
      <w:r>
        <w:rPr>
          <w:rFonts w:ascii="Times New Roman" w:eastAsia="Times New Roman" w:hAnsi="Times New Roman"/>
          <w:sz w:val="24"/>
          <w:szCs w:val="24"/>
          <w:lang w:eastAsia="it-IT"/>
        </w:rPr>
        <w:t xml:space="preserve">business </w:t>
      </w:r>
      <w:r w:rsidRPr="004C0771">
        <w:rPr>
          <w:rFonts w:ascii="Times New Roman" w:hAnsi="Times New Roman"/>
          <w:bCs/>
          <w:sz w:val="24"/>
          <w:szCs w:val="24"/>
        </w:rPr>
        <w:t xml:space="preserve">without too much effort, or to compete </w:t>
      </w:r>
      <w:r w:rsidRPr="004C0771">
        <w:rPr>
          <w:rFonts w:ascii="Times New Roman" w:hAnsi="Times New Roman"/>
          <w:sz w:val="24"/>
          <w:szCs w:val="24"/>
        </w:rPr>
        <w:t>on an equal footing</w:t>
      </w:r>
      <w:r w:rsidRPr="004C0771">
        <w:rPr>
          <w:rFonts w:ascii="Times New Roman" w:hAnsi="Times New Roman"/>
          <w:bCs/>
          <w:sz w:val="24"/>
          <w:szCs w:val="24"/>
        </w:rPr>
        <w:t xml:space="preserve"> with </w:t>
      </w:r>
      <w:r w:rsidRPr="004C0771">
        <w:rPr>
          <w:rFonts w:ascii="Times New Roman" w:hAnsi="Times New Roman"/>
          <w:sz w:val="24"/>
          <w:szCs w:val="24"/>
        </w:rPr>
        <w:t xml:space="preserve">native speakers. </w:t>
      </w:r>
      <w:r w:rsidRPr="004C0771">
        <w:rPr>
          <w:rFonts w:ascii="Times New Roman" w:eastAsia="Times New Roman" w:hAnsi="Times New Roman"/>
          <w:sz w:val="24"/>
          <w:szCs w:val="24"/>
          <w:lang w:eastAsia="it-IT"/>
        </w:rPr>
        <w:t xml:space="preserve">Texts such as the EU directives, calls for tender, procurement procedures are clearly demanding texts, but reading and understanding in a foreign language information on food security, passenger’s rights, </w:t>
      </w:r>
      <w:r>
        <w:rPr>
          <w:rFonts w:ascii="Times New Roman" w:eastAsia="Times New Roman" w:hAnsi="Times New Roman"/>
          <w:sz w:val="24"/>
          <w:szCs w:val="24"/>
          <w:lang w:eastAsia="it-IT"/>
        </w:rPr>
        <w:t>and</w:t>
      </w:r>
      <w:r w:rsidRPr="004C0771">
        <w:rPr>
          <w:rFonts w:ascii="Times New Roman" w:eastAsia="Times New Roman" w:hAnsi="Times New Roman"/>
          <w:sz w:val="24"/>
          <w:szCs w:val="24"/>
          <w:lang w:eastAsia="it-IT"/>
        </w:rPr>
        <w:t xml:space="preserve"> the guidelines of EU funding programmes can be challenging too. Debates held during the plenary meeting of the EU Parliament or debates involving the candidates to the Precedency of the European Commission (sometimes named ‘</w:t>
      </w:r>
      <w:proofErr w:type="spellStart"/>
      <w:r w:rsidRPr="004C0771">
        <w:rPr>
          <w:rFonts w:ascii="Times New Roman" w:eastAsia="Times New Roman" w:hAnsi="Times New Roman"/>
          <w:sz w:val="24"/>
          <w:szCs w:val="24"/>
          <w:lang w:eastAsia="it-IT"/>
        </w:rPr>
        <w:t>Spitzenkandidaten</w:t>
      </w:r>
      <w:proofErr w:type="spellEnd"/>
      <w:r w:rsidRPr="004C0771">
        <w:rPr>
          <w:rFonts w:ascii="Times New Roman" w:eastAsia="Times New Roman" w:hAnsi="Times New Roman"/>
          <w:sz w:val="24"/>
          <w:szCs w:val="24"/>
          <w:lang w:eastAsia="it-IT"/>
        </w:rPr>
        <w:t xml:space="preserve">’) are public and broadcasted via the Internet or in TV. Such debates potentially concern any EU citizen. Following and understanding them requires a very good level of language competence. Tendency to underestimate the importance of the level of linguistic skills in the public sphere can lead to awkward outcomes, even within EU institutions. For example, </w:t>
      </w:r>
      <w:r>
        <w:rPr>
          <w:rFonts w:ascii="Times New Roman" w:eastAsia="Times New Roman" w:hAnsi="Times New Roman"/>
          <w:sz w:val="24"/>
          <w:szCs w:val="24"/>
          <w:lang w:eastAsia="it-IT"/>
        </w:rPr>
        <w:t>the</w:t>
      </w:r>
      <w:r w:rsidRPr="004C0771">
        <w:rPr>
          <w:rFonts w:ascii="Times New Roman" w:eastAsia="Times New Roman" w:hAnsi="Times New Roman"/>
          <w:sz w:val="24"/>
          <w:szCs w:val="24"/>
          <w:lang w:eastAsia="it-IT"/>
        </w:rPr>
        <w:t xml:space="preserve"> 5 February 2016 the European Parliament’s chief of staff, Mr Klaus </w:t>
      </w:r>
      <w:proofErr w:type="spellStart"/>
      <w:r w:rsidRPr="004C0771">
        <w:rPr>
          <w:rFonts w:ascii="Times New Roman" w:eastAsia="Times New Roman" w:hAnsi="Times New Roman"/>
          <w:sz w:val="24"/>
          <w:szCs w:val="24"/>
          <w:lang w:eastAsia="it-IT"/>
        </w:rPr>
        <w:t>Welle</w:t>
      </w:r>
      <w:proofErr w:type="spellEnd"/>
      <w:r w:rsidRPr="004C0771">
        <w:rPr>
          <w:rFonts w:ascii="Times New Roman" w:eastAsia="Times New Roman" w:hAnsi="Times New Roman"/>
          <w:sz w:val="24"/>
          <w:szCs w:val="24"/>
          <w:lang w:eastAsia="it-IT"/>
        </w:rPr>
        <w:t>, urged MEPs to speak slower and stick to their native language, to help the interpreters in doing their job</w:t>
      </w:r>
      <w:r>
        <w:rPr>
          <w:rFonts w:ascii="Times New Roman" w:eastAsia="Times New Roman" w:hAnsi="Times New Roman"/>
          <w:sz w:val="24"/>
          <w:szCs w:val="24"/>
          <w:lang w:eastAsia="it-IT"/>
        </w:rPr>
        <w:t xml:space="preserve"> (BBC, 2016)</w:t>
      </w:r>
      <w:r w:rsidRPr="004C0771">
        <w:rPr>
          <w:rFonts w:ascii="Times New Roman" w:eastAsia="Times New Roman" w:hAnsi="Times New Roman"/>
          <w:sz w:val="24"/>
          <w:szCs w:val="24"/>
          <w:lang w:eastAsia="it-IT"/>
        </w:rPr>
        <w:t>. Some MEPs who are not native speakers of English prefer to address their peers in this language because they believe that this enables them to be better understood by a larger audience. Yet, they overestimate their language competence, the interpreters fail to understand what they say, and the message is not properly interpreted into other languages (o</w:t>
      </w:r>
      <w:r w:rsidRPr="00E007D2">
        <w:rPr>
          <w:rFonts w:ascii="Times New Roman" w:eastAsia="Times New Roman" w:hAnsi="Times New Roman"/>
          <w:sz w:val="24"/>
          <w:szCs w:val="24"/>
          <w:lang w:eastAsia="it-IT"/>
        </w:rPr>
        <w:t xml:space="preserve">n this point, see also Phillipson, </w:t>
      </w:r>
      <w:hyperlink w:anchor="_ENREF_42" w:tooltip="Phillipson, 2003 #178" w:history="1">
        <w:r w:rsidRPr="00E007D2">
          <w:rPr>
            <w:rFonts w:ascii="Times New Roman" w:hAnsi="Times New Roman"/>
            <w:sz w:val="24"/>
            <w:szCs w:val="24"/>
          </w:rPr>
          <w:fldChar w:fldCharType="begin"/>
        </w:r>
        <w:r w:rsidRPr="00E007D2">
          <w:rPr>
            <w:rFonts w:ascii="Times New Roman" w:hAnsi="Times New Roman"/>
            <w:sz w:val="24"/>
            <w:szCs w:val="24"/>
          </w:rPr>
          <w:instrText xml:space="preserve"> ADDIN EN.CITE &lt;EndNote&gt;&lt;Cite ExcludeAuth="1"&gt;&lt;Author&gt;Phillipson&lt;/Author&gt;&lt;Year&gt;2003&lt;/Year&gt;&lt;RecNum&gt;178&lt;/RecNum&gt;&lt;Pages&gt;134&lt;/Pages&gt;&lt;DisplayText&gt;2003: 134&lt;/DisplayText&gt;&lt;record&gt;&lt;rec-number&gt;178&lt;/rec-number&gt;&lt;foreign-keys&gt;&lt;key app="EN" db-id="wvvszzd93a0z5wesdfpvdv9z5wrra5p05axp"&gt;178&lt;/key&gt;&lt;/foreign-keys&gt;&lt;ref-type name="Book"&gt;6&lt;/ref-type&gt;&lt;contributors&gt;&lt;authors&gt;&lt;author&gt;Phillipson, Robert&lt;/author&gt;&lt;/authors&gt;&lt;/contributors&gt;&lt;titles&gt;&lt;title&gt;English-only Europe? Challenging language policy&lt;/title&gt;&lt;/titles&gt;&lt;dates&gt;&lt;year&gt;2003&lt;/year&gt;&lt;/dates&gt;&lt;pub-location&gt;London&lt;/pub-location&gt;&lt;publisher&gt;Routledge&lt;/publisher&gt;&lt;urls&gt;&lt;/urls&gt;&lt;/record&gt;&lt;/Cite&gt;&lt;/EndNote&gt;</w:instrText>
        </w:r>
        <w:r w:rsidRPr="00E007D2">
          <w:rPr>
            <w:rFonts w:ascii="Times New Roman" w:hAnsi="Times New Roman"/>
            <w:sz w:val="24"/>
            <w:szCs w:val="24"/>
          </w:rPr>
          <w:fldChar w:fldCharType="separate"/>
        </w:r>
        <w:r w:rsidRPr="00E007D2">
          <w:rPr>
            <w:rFonts w:ascii="Times New Roman" w:hAnsi="Times New Roman"/>
            <w:sz w:val="24"/>
            <w:szCs w:val="24"/>
          </w:rPr>
          <w:t>2003: 134</w:t>
        </w:r>
        <w:r w:rsidRPr="00E007D2">
          <w:rPr>
            <w:rFonts w:ascii="Times New Roman" w:hAnsi="Times New Roman"/>
            <w:sz w:val="24"/>
            <w:szCs w:val="24"/>
          </w:rPr>
          <w:fldChar w:fldCharType="end"/>
        </w:r>
      </w:hyperlink>
      <w:r w:rsidRPr="00E007D2">
        <w:rPr>
          <w:rFonts w:ascii="Times New Roman" w:eastAsia="Times New Roman" w:hAnsi="Times New Roman"/>
          <w:sz w:val="24"/>
          <w:szCs w:val="24"/>
          <w:lang w:eastAsia="it-IT"/>
        </w:rPr>
        <w:t>)</w:t>
      </w:r>
      <w:r w:rsidRPr="004C0771">
        <w:rPr>
          <w:rFonts w:ascii="Times New Roman" w:eastAsia="Times New Roman" w:hAnsi="Times New Roman"/>
          <w:sz w:val="24"/>
          <w:szCs w:val="24"/>
          <w:lang w:eastAsia="it-IT"/>
        </w:rPr>
        <w:t>.</w:t>
      </w:r>
    </w:p>
    <w:p w14:paraId="6EDDF52E" w14:textId="7F817A50" w:rsidR="007F446F" w:rsidRPr="004C0771" w:rsidRDefault="007F446F" w:rsidP="006233DD">
      <w:pPr>
        <w:spacing w:line="480" w:lineRule="auto"/>
        <w:jc w:val="both"/>
        <w:rPr>
          <w:rFonts w:ascii="Times New Roman" w:hAnsi="Times New Roman"/>
          <w:sz w:val="24"/>
          <w:szCs w:val="24"/>
        </w:rPr>
      </w:pPr>
      <w:r w:rsidRPr="004C0771">
        <w:rPr>
          <w:rFonts w:ascii="Times New Roman" w:hAnsi="Times New Roman"/>
          <w:sz w:val="24"/>
          <w:szCs w:val="24"/>
        </w:rPr>
        <w:lastRenderedPageBreak/>
        <w:t>A second counter-argument concerns the costs of the EU language policy. Some authors claim that the language regime of the EU after the last enlargements has become economically unsustainable (</w:t>
      </w:r>
      <w:hyperlink w:anchor="_ENREF_8" w:tooltip="Cogo, 2010 #804" w:history="1">
        <w:r w:rsidRPr="004C0771">
          <w:rPr>
            <w:rFonts w:ascii="Times New Roman" w:hAnsi="Times New Roman"/>
            <w:sz w:val="24"/>
            <w:szCs w:val="24"/>
          </w:rPr>
          <w:fldChar w:fldCharType="begin"/>
        </w:r>
        <w:r w:rsidRPr="004C0771">
          <w:rPr>
            <w:rFonts w:ascii="Times New Roman" w:hAnsi="Times New Roman"/>
            <w:sz w:val="24"/>
            <w:szCs w:val="24"/>
          </w:rPr>
          <w:instrText xml:space="preserve"> ADDIN EN.CITE &lt;EndNote&gt;&lt;Cite&gt;&lt;Author&gt;Cogo&lt;/Author&gt;&lt;Year&gt;2010&lt;/Year&gt;&lt;RecNum&gt;804&lt;/RecNum&gt;&lt;Pages&gt;272&lt;/Pages&gt;&lt;DisplayText&gt;Cogo and Jenkins 2010: 272&lt;/DisplayText&gt;&lt;record&gt;&lt;rec-number&gt;804&lt;/rec-number&gt;&lt;foreign-keys&gt;&lt;key app="EN" db-id="wvvszzd93a0z5wesdfpvdv9z5wrra5p05axp"&gt;804&lt;/key&gt;&lt;/foreign-keys&gt;&lt;ref-type name="Journal Article"&gt;17&lt;/ref-type&gt;&lt;contributors&gt;&lt;authors&gt;&lt;author&gt;Cogo, Alessia&lt;/author&gt;&lt;author&gt;Jenkins, Jennifer&lt;/author&gt;&lt;/authors&gt;&lt;/contributors&gt;&lt;titles&gt;&lt;title&gt;English as a lingua franca in Europe. A mismatch between policy and practice&lt;/title&gt;&lt;secondary-title&gt;European Journal of Language Policy&lt;/secondary-title&gt;&lt;/titles&gt;&lt;periodical&gt;&lt;full-title&gt;European Journal of Language Policy&lt;/full-title&gt;&lt;/periodical&gt;&lt;pages&gt;271–294&lt;/pages&gt;&lt;volume&gt;2&lt;/volume&gt;&lt;number&gt;2&lt;/number&gt;&lt;dates&gt;&lt;year&gt;2010&lt;/year&gt;&lt;/dates&gt;&lt;urls&gt;&lt;/urls&gt;&lt;/record&gt;&lt;/Cite&gt;&lt;/EndNote&gt;</w:instrText>
        </w:r>
        <w:r w:rsidRPr="004C0771">
          <w:rPr>
            <w:rFonts w:ascii="Times New Roman" w:hAnsi="Times New Roman"/>
            <w:sz w:val="24"/>
            <w:szCs w:val="24"/>
          </w:rPr>
          <w:fldChar w:fldCharType="separate"/>
        </w:r>
        <w:r w:rsidRPr="004C0771">
          <w:rPr>
            <w:rFonts w:ascii="Times New Roman" w:hAnsi="Times New Roman"/>
            <w:sz w:val="24"/>
            <w:szCs w:val="24"/>
          </w:rPr>
          <w:t>Cogo and Jenkins, 2010: 272</w:t>
        </w:r>
        <w:r w:rsidRPr="004C0771">
          <w:rPr>
            <w:rFonts w:ascii="Times New Roman" w:hAnsi="Times New Roman"/>
            <w:sz w:val="24"/>
            <w:szCs w:val="24"/>
          </w:rPr>
          <w:fldChar w:fldCharType="end"/>
        </w:r>
      </w:hyperlink>
      <w:r w:rsidRPr="004C0771">
        <w:rPr>
          <w:rFonts w:ascii="Times New Roman" w:hAnsi="Times New Roman"/>
          <w:sz w:val="24"/>
          <w:szCs w:val="24"/>
        </w:rPr>
        <w:t>). According to the last official figures available for 2012, the EU spends roughly €1.1 billion per year on language services. This corresponds to a yearly expenditure of about €2.2 per resident, or €2.7 if we focus on residents who are at least 15 years old. It is not likely that the enlargement to Croatia in 2013 brought about substantial changes. €1.1 billion amounted to 0.0085% of the GDP of the EU in 2012, and 1% of the budget of EU institutions and bodies. Something that costs 0.0085% of aggregate income cannot be defined as economically unsustainable. The real question is how much Europeans are willing to pay for translation and interpreting services. Giving an answer to this question is a purely subjective matter. Nevertheless, it is perhaps useful to compare the European situation with the Canadian case, one of the few countries for which data on the costs of official bilingualism exist.</w:t>
      </w:r>
    </w:p>
    <w:p w14:paraId="51ABB4EF" w14:textId="77777777" w:rsidR="007F446F" w:rsidRDefault="007F446F" w:rsidP="006233DD">
      <w:pPr>
        <w:spacing w:line="480" w:lineRule="auto"/>
        <w:jc w:val="both"/>
        <w:rPr>
          <w:rFonts w:ascii="Times New Roman" w:hAnsi="Times New Roman"/>
          <w:sz w:val="24"/>
          <w:szCs w:val="24"/>
        </w:rPr>
      </w:pPr>
      <w:r w:rsidRPr="004C0771">
        <w:rPr>
          <w:rFonts w:ascii="Times New Roman" w:hAnsi="Times New Roman"/>
          <w:sz w:val="24"/>
          <w:szCs w:val="24"/>
        </w:rPr>
        <w:t>From April 2006 to March 2007 inclusive (</w:t>
      </w:r>
      <w:r>
        <w:rPr>
          <w:rFonts w:ascii="Times New Roman" w:hAnsi="Times New Roman"/>
          <w:sz w:val="24"/>
          <w:szCs w:val="24"/>
        </w:rPr>
        <w:t>following</w:t>
      </w:r>
      <w:r w:rsidRPr="004C0771">
        <w:rPr>
          <w:rFonts w:ascii="Times New Roman" w:hAnsi="Times New Roman"/>
          <w:sz w:val="24"/>
          <w:szCs w:val="24"/>
        </w:rPr>
        <w:t xml:space="preserve"> the calendar of the typical Canadian federal fiscal year), the costs borne by the Canadian federal government to provide bilingual federal public services in the two official languages (English and French) — that is, official documents and oral services, cultural services such as TV and radio broadcasting, and the provision of criminal justi</w:t>
      </w:r>
      <w:r>
        <w:rPr>
          <w:rFonts w:ascii="Times New Roman" w:hAnsi="Times New Roman"/>
          <w:sz w:val="24"/>
          <w:szCs w:val="24"/>
        </w:rPr>
        <w:t xml:space="preserve">ce in both languages (education, </w:t>
      </w:r>
      <w:r w:rsidRPr="004C0771">
        <w:rPr>
          <w:rFonts w:ascii="Times New Roman" w:hAnsi="Times New Roman"/>
          <w:sz w:val="24"/>
          <w:szCs w:val="24"/>
        </w:rPr>
        <w:t>therefore</w:t>
      </w:r>
      <w:r>
        <w:rPr>
          <w:rFonts w:ascii="Times New Roman" w:hAnsi="Times New Roman"/>
          <w:sz w:val="24"/>
          <w:szCs w:val="24"/>
        </w:rPr>
        <w:t>, is</w:t>
      </w:r>
      <w:r w:rsidRPr="004C0771">
        <w:rPr>
          <w:rFonts w:ascii="Times New Roman" w:hAnsi="Times New Roman"/>
          <w:sz w:val="24"/>
          <w:szCs w:val="24"/>
        </w:rPr>
        <w:t xml:space="preserve"> excluded) — amounted to 1.6-1.8 billion Canadian dollars ($), of which $0.28 billion (roughly €0.2 billion) were spent for translation and interpreting services (</w:t>
      </w:r>
      <w:hyperlink w:anchor="_ENREF_51" w:tooltip="Vaillancourt, 2009 #909" w:history="1">
        <w:r w:rsidRPr="004C0771">
          <w:rPr>
            <w:rFonts w:ascii="Times New Roman" w:hAnsi="Times New Roman"/>
            <w:sz w:val="24"/>
            <w:szCs w:val="24"/>
          </w:rPr>
          <w:fldChar w:fldCharType="begin"/>
        </w:r>
        <w:r w:rsidRPr="004C0771">
          <w:rPr>
            <w:rFonts w:ascii="Times New Roman" w:hAnsi="Times New Roman"/>
            <w:sz w:val="24"/>
            <w:szCs w:val="24"/>
          </w:rPr>
          <w:instrText xml:space="preserve"> ADDIN EN.CITE &lt;EndNote&gt;&lt;Cite&gt;&lt;Author&gt;Vaillancourt&lt;/Author&gt;&lt;Year&gt;2009&lt;/Year&gt;&lt;RecNum&gt;909&lt;/RecNum&gt;&lt;Pages&gt;28-32&lt;/Pages&gt;&lt;DisplayText&gt;Vaillancourt and Coche 2009: 28-32&lt;/DisplayText&gt;&lt;record&gt;&lt;rec-number&gt;909&lt;/rec-number&gt;&lt;foreign-keys&gt;&lt;key app="EN" db-id="wvvszzd93a0z5wesdfpvdv9z5wrra5p05axp"&gt;909&lt;/key&gt;&lt;/foreign-keys&gt;&lt;ref-type name="Report"&gt;27&lt;/ref-type&gt;&lt;contributors&gt;&lt;authors&gt;&lt;author&gt;Vaillancourt, François&lt;/author&gt;&lt;author&gt;Coche, Olivier&lt;/author&gt;&lt;/authors&gt;&lt;/contributors&gt;&lt;titles&gt;&lt;title&gt;Official language policies at the federal level in Canada: Costs and benefits in 2006&lt;/title&gt;&lt;secondary-title&gt;Studies in Language Policy&lt;/secondary-title&gt;&lt;/titles&gt;&lt;dates&gt;&lt;year&gt;2009&lt;/year&gt;&lt;/dates&gt;&lt;pub-location&gt;Vancouver&lt;/pub-location&gt;&lt;publisher&gt;Institut Fraser&lt;/publisher&gt;&lt;urls&gt;&lt;/urls&gt;&lt;/record&gt;&lt;/Cite&gt;&lt;/EndNote&gt;</w:instrText>
        </w:r>
        <w:r w:rsidRPr="004C0771">
          <w:rPr>
            <w:rFonts w:ascii="Times New Roman" w:hAnsi="Times New Roman"/>
            <w:sz w:val="24"/>
            <w:szCs w:val="24"/>
          </w:rPr>
          <w:fldChar w:fldCharType="separate"/>
        </w:r>
        <w:r w:rsidRPr="004C0771">
          <w:rPr>
            <w:rFonts w:ascii="Times New Roman" w:hAnsi="Times New Roman"/>
            <w:sz w:val="24"/>
            <w:szCs w:val="24"/>
          </w:rPr>
          <w:t>Vaillancourt and Coche, 2009: 28-32</w:t>
        </w:r>
        <w:r w:rsidRPr="004C0771">
          <w:rPr>
            <w:rFonts w:ascii="Times New Roman" w:hAnsi="Times New Roman"/>
            <w:sz w:val="24"/>
            <w:szCs w:val="24"/>
          </w:rPr>
          <w:fldChar w:fldCharType="end"/>
        </w:r>
      </w:hyperlink>
      <w:r w:rsidRPr="004C0771">
        <w:rPr>
          <w:rFonts w:ascii="Times New Roman" w:hAnsi="Times New Roman"/>
          <w:sz w:val="24"/>
          <w:szCs w:val="24"/>
        </w:rPr>
        <w:t>). $0.28 billion amount to 0.02% of the Canadian GDP in 2006-2007 (or €3.6 per citizen per year). Clearly, the EU and Canada are comparable only to a certain extent, because the number of services provided by the Canadian federal government to its citizens is larger than in the European case. Nevertheless, there are similarities between two contexts. The EU must publish official documents in different languages too, and it must provide multilingual legal procedures at the European Court of Justice. Hence, if compared the costs of translation and interpreting in the EU as a percentage of the GDP or if compared with the Canadian case, the costs of European multilingualism do not seem to be exaggerated.</w:t>
      </w:r>
      <w:r>
        <w:rPr>
          <w:rFonts w:ascii="Times New Roman" w:hAnsi="Times New Roman"/>
          <w:sz w:val="24"/>
          <w:szCs w:val="24"/>
        </w:rPr>
        <w:t xml:space="preserve"> </w:t>
      </w:r>
    </w:p>
    <w:p w14:paraId="30FC71D9" w14:textId="1D24DDC8" w:rsidR="007F446F" w:rsidRDefault="007F446F" w:rsidP="001142DA">
      <w:pPr>
        <w:spacing w:line="480" w:lineRule="auto"/>
        <w:rPr>
          <w:rFonts w:ascii="Times New Roman" w:hAnsi="Times New Roman"/>
          <w:sz w:val="24"/>
          <w:szCs w:val="24"/>
        </w:rPr>
      </w:pPr>
      <w:r w:rsidRPr="004C0771">
        <w:rPr>
          <w:rFonts w:ascii="Times New Roman" w:hAnsi="Times New Roman"/>
          <w:sz w:val="24"/>
          <w:szCs w:val="24"/>
        </w:rPr>
        <w:lastRenderedPageBreak/>
        <w:t xml:space="preserve">Given the current distribution of language skills among EU residents, reducing the direct costs of the EU language regime would essentially amount to shifting the costs of non-multilingualism onto Europeans who do not know the official languages well enough, and </w:t>
      </w:r>
      <w:proofErr w:type="gramStart"/>
      <w:r w:rsidRPr="004C0771">
        <w:rPr>
          <w:rFonts w:ascii="Times New Roman" w:hAnsi="Times New Roman"/>
          <w:sz w:val="24"/>
          <w:szCs w:val="24"/>
        </w:rPr>
        <w:t>in particular onto</w:t>
      </w:r>
      <w:proofErr w:type="gramEnd"/>
      <w:r w:rsidRPr="004C0771">
        <w:rPr>
          <w:rFonts w:ascii="Times New Roman" w:hAnsi="Times New Roman"/>
          <w:sz w:val="24"/>
          <w:szCs w:val="24"/>
        </w:rPr>
        <w:t xml:space="preserve"> those who are less educated and belong to the lowest deciles of the income distribution. To the best of my knowledge, it has never been convincingly demonstrated that reducing the number of official languages would cost less on the aggregate than using a centralised translation system. Rather, the contrary may be true</w:t>
      </w:r>
      <w:r>
        <w:rPr>
          <w:rFonts w:ascii="Times New Roman" w:hAnsi="Times New Roman"/>
          <w:sz w:val="24"/>
          <w:szCs w:val="24"/>
        </w:rPr>
        <w:t xml:space="preserve">, if </w:t>
      </w:r>
      <w:r w:rsidRPr="004C0771">
        <w:rPr>
          <w:rFonts w:ascii="Times New Roman" w:hAnsi="Times New Roman"/>
          <w:sz w:val="24"/>
          <w:szCs w:val="24"/>
        </w:rPr>
        <w:t xml:space="preserve">the </w:t>
      </w:r>
      <w:r w:rsidRPr="004C0771">
        <w:rPr>
          <w:rFonts w:ascii="Times New Roman" w:hAnsi="Times New Roman"/>
          <w:i/>
          <w:sz w:val="24"/>
          <w:szCs w:val="24"/>
        </w:rPr>
        <w:t>implicit</w:t>
      </w:r>
      <w:r w:rsidRPr="004C0771">
        <w:rPr>
          <w:rFonts w:ascii="Times New Roman" w:hAnsi="Times New Roman"/>
          <w:sz w:val="24"/>
          <w:szCs w:val="24"/>
        </w:rPr>
        <w:t xml:space="preserve"> costs of language policy </w:t>
      </w:r>
      <w:r>
        <w:rPr>
          <w:rFonts w:ascii="Times New Roman" w:hAnsi="Times New Roman"/>
          <w:sz w:val="24"/>
          <w:szCs w:val="24"/>
        </w:rPr>
        <w:t xml:space="preserve">are </w:t>
      </w:r>
      <w:r w:rsidRPr="004C0771">
        <w:rPr>
          <w:rFonts w:ascii="Times New Roman" w:hAnsi="Times New Roman"/>
          <w:sz w:val="24"/>
          <w:szCs w:val="24"/>
        </w:rPr>
        <w:t xml:space="preserve">duly </w:t>
      </w:r>
      <w:proofErr w:type="gramStart"/>
      <w:r w:rsidRPr="004C0771">
        <w:rPr>
          <w:rFonts w:ascii="Times New Roman" w:hAnsi="Times New Roman"/>
          <w:sz w:val="24"/>
          <w:szCs w:val="24"/>
        </w:rPr>
        <w:t>taken into account</w:t>
      </w:r>
      <w:proofErr w:type="gramEnd"/>
      <w:r>
        <w:rPr>
          <w:rFonts w:ascii="Times New Roman" w:hAnsi="Times New Roman"/>
          <w:sz w:val="24"/>
          <w:szCs w:val="24"/>
        </w:rPr>
        <w:t xml:space="preserve">. By implicit costs (or adoption costs), I mean the costs borne by private citizens to adjust to a language regime that does not include a language they master, e.g. costs for a </w:t>
      </w:r>
      <w:proofErr w:type="gramStart"/>
      <w:r>
        <w:rPr>
          <w:rFonts w:ascii="Times New Roman" w:hAnsi="Times New Roman"/>
          <w:sz w:val="24"/>
          <w:szCs w:val="24"/>
        </w:rPr>
        <w:t>private translations</w:t>
      </w:r>
      <w:proofErr w:type="gramEnd"/>
      <w:r>
        <w:rPr>
          <w:rFonts w:ascii="Times New Roman" w:hAnsi="Times New Roman"/>
          <w:sz w:val="24"/>
          <w:szCs w:val="24"/>
        </w:rPr>
        <w:t xml:space="preserve"> or the costs to learn an official language. If such costs are </w:t>
      </w:r>
      <w:proofErr w:type="gramStart"/>
      <w:r>
        <w:rPr>
          <w:rFonts w:ascii="Times New Roman" w:hAnsi="Times New Roman"/>
          <w:sz w:val="24"/>
          <w:szCs w:val="24"/>
        </w:rPr>
        <w:t>taken into account</w:t>
      </w:r>
      <w:proofErr w:type="gramEnd"/>
      <w:r>
        <w:rPr>
          <w:rFonts w:ascii="Times New Roman" w:hAnsi="Times New Roman"/>
          <w:sz w:val="24"/>
          <w:szCs w:val="24"/>
        </w:rPr>
        <w:t>, t</w:t>
      </w:r>
      <w:r w:rsidRPr="004C0771">
        <w:rPr>
          <w:rFonts w:ascii="Times New Roman" w:hAnsi="Times New Roman"/>
          <w:sz w:val="24"/>
          <w:szCs w:val="24"/>
        </w:rPr>
        <w:t xml:space="preserve">he </w:t>
      </w:r>
      <w:proofErr w:type="spellStart"/>
      <w:r w:rsidRPr="004C0771">
        <w:rPr>
          <w:rFonts w:ascii="Times New Roman" w:hAnsi="Times New Roman"/>
          <w:sz w:val="24"/>
          <w:szCs w:val="24"/>
        </w:rPr>
        <w:t>hexalingual</w:t>
      </w:r>
      <w:proofErr w:type="spellEnd"/>
      <w:r w:rsidRPr="004C0771">
        <w:rPr>
          <w:rFonts w:ascii="Times New Roman" w:hAnsi="Times New Roman"/>
          <w:sz w:val="24"/>
          <w:szCs w:val="24"/>
        </w:rPr>
        <w:t xml:space="preserve"> and the multilingual language regimes may turn out to be cheaper than the monolingual and trilingual language regimes (see the online appendix for a tentative demonstration).</w:t>
      </w:r>
      <w:r>
        <w:rPr>
          <w:rFonts w:ascii="Times New Roman" w:hAnsi="Times New Roman"/>
          <w:sz w:val="24"/>
          <w:szCs w:val="24"/>
        </w:rPr>
        <w:t xml:space="preserve"> As Pool notes ‘it is wrong to claim (as is often done) that having many official languages is necessarily efficient. As more native languages are made official, translation costs rise but adoption costs fall. If all adoption prices are sufficiently large, it will be efficient to officialise all the groups’ native languages. […] The tendency to regard multiple official languages as inefficient may, then, reflect a state-centred neglect of costs incurred by individuals in adapting to language policies’ (1991, 503).</w:t>
      </w:r>
    </w:p>
    <w:p w14:paraId="0EF802B5" w14:textId="66B60AF1" w:rsidR="007F446F" w:rsidRPr="004C0771" w:rsidRDefault="007F446F" w:rsidP="006233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480" w:lineRule="auto"/>
        <w:jc w:val="both"/>
        <w:rPr>
          <w:rFonts w:ascii="Times New Roman" w:eastAsia="Times New Roman" w:hAnsi="Times New Roman"/>
          <w:sz w:val="24"/>
          <w:szCs w:val="24"/>
          <w:lang w:eastAsia="it-IT"/>
        </w:rPr>
      </w:pPr>
      <w:r w:rsidRPr="004C0771">
        <w:rPr>
          <w:rFonts w:ascii="Times New Roman" w:hAnsi="Times New Roman"/>
          <w:sz w:val="24"/>
          <w:szCs w:val="24"/>
        </w:rPr>
        <w:t xml:space="preserve">Another frequent counter-argument points out that disenfranchisement rates in the long term could be reduced by vigorous and massive language acquisition planning aiming at spreading one common language, e.g. English (see for example </w:t>
      </w:r>
      <w:hyperlink w:anchor="_ENREF_11" w:tooltip="De Swaan, 2001 #73" w:history="1">
        <w:r w:rsidRPr="004C0771">
          <w:rPr>
            <w:rFonts w:ascii="Times New Roman" w:hAnsi="Times New Roman"/>
            <w:sz w:val="24"/>
            <w:szCs w:val="24"/>
          </w:rPr>
          <w:fldChar w:fldCharType="begin"/>
        </w:r>
        <w:r w:rsidRPr="004C0771">
          <w:rPr>
            <w:rFonts w:ascii="Times New Roman" w:hAnsi="Times New Roman"/>
            <w:sz w:val="24"/>
            <w:szCs w:val="24"/>
          </w:rPr>
          <w:instrText xml:space="preserve"> ADDIN EN.CITE &lt;EndNote&gt;&lt;Cite&gt;&lt;Author&gt;De Swaan&lt;/Author&gt;&lt;Year&gt;2001&lt;/Year&gt;&lt;RecNum&gt;73&lt;/RecNum&gt;&lt;DisplayText&gt;De Swaan 2001&lt;/DisplayText&gt;&lt;record&gt;&lt;rec-number&gt;73&lt;/rec-number&gt;&lt;foreign-keys&gt;&lt;key app="EN" db-id="wvvszzd93a0z5wesdfpvdv9z5wrra5p05axp"&gt;73&lt;/key&gt;&lt;/foreign-keys&gt;&lt;ref-type name="Book"&gt;6&lt;/ref-type&gt;&lt;contributors&gt;&lt;authors&gt;&lt;author&gt;De Swaan, Abram&lt;/author&gt;&lt;/authors&gt;&lt;/contributors&gt;&lt;titles&gt;&lt;title&gt;Words of the world. The global language system&lt;/title&gt;&lt;/titles&gt;&lt;pages&gt;vii+253&lt;/pages&gt;&lt;dates&gt;&lt;year&gt;2001&lt;/year&gt;&lt;/dates&gt;&lt;pub-location&gt;Cambridge (UK)&lt;/pub-location&gt;&lt;publisher&gt;Polity Press&lt;/publisher&gt;&lt;urls&gt;&lt;/urls&gt;&lt;/record&gt;&lt;/Cite&gt;&lt;/EndNote&gt;</w:instrText>
        </w:r>
        <w:r w:rsidRPr="004C0771">
          <w:rPr>
            <w:rFonts w:ascii="Times New Roman" w:hAnsi="Times New Roman"/>
            <w:sz w:val="24"/>
            <w:szCs w:val="24"/>
          </w:rPr>
          <w:fldChar w:fldCharType="separate"/>
        </w:r>
        <w:r w:rsidRPr="004C0771">
          <w:rPr>
            <w:rFonts w:ascii="Times New Roman" w:hAnsi="Times New Roman"/>
            <w:sz w:val="24"/>
            <w:szCs w:val="24"/>
          </w:rPr>
          <w:t>De Swaan, 2001</w:t>
        </w:r>
        <w:r w:rsidRPr="004C0771">
          <w:rPr>
            <w:rFonts w:ascii="Times New Roman" w:hAnsi="Times New Roman"/>
            <w:sz w:val="24"/>
            <w:szCs w:val="24"/>
          </w:rPr>
          <w:fldChar w:fldCharType="end"/>
        </w:r>
      </w:hyperlink>
      <w:r w:rsidRPr="004C0771">
        <w:rPr>
          <w:rFonts w:ascii="Times New Roman" w:hAnsi="Times New Roman"/>
          <w:sz w:val="24"/>
          <w:szCs w:val="24"/>
        </w:rPr>
        <w:t xml:space="preserve">; Van </w:t>
      </w:r>
      <w:proofErr w:type="spellStart"/>
      <w:r w:rsidRPr="004C0771">
        <w:rPr>
          <w:rFonts w:ascii="Times New Roman" w:hAnsi="Times New Roman"/>
          <w:sz w:val="24"/>
          <w:szCs w:val="24"/>
        </w:rPr>
        <w:t>Parijs</w:t>
      </w:r>
      <w:proofErr w:type="spellEnd"/>
      <w:r w:rsidRPr="004C0771">
        <w:rPr>
          <w:rFonts w:ascii="Times New Roman" w:hAnsi="Times New Roman"/>
          <w:sz w:val="24"/>
          <w:szCs w:val="24"/>
        </w:rPr>
        <w:t xml:space="preserve">, </w:t>
      </w:r>
      <w:hyperlink w:anchor="_ENREF_53" w:tooltip="Van Parijs, 2011 #794" w:history="1">
        <w:r w:rsidRPr="004C0771">
          <w:rPr>
            <w:rFonts w:ascii="Times New Roman" w:hAnsi="Times New Roman"/>
            <w:sz w:val="24"/>
            <w:szCs w:val="24"/>
          </w:rPr>
          <w:fldChar w:fldCharType="begin"/>
        </w:r>
        <w:r w:rsidRPr="004C0771">
          <w:rPr>
            <w:rFonts w:ascii="Times New Roman" w:hAnsi="Times New Roman"/>
            <w:sz w:val="24"/>
            <w:szCs w:val="24"/>
          </w:rPr>
          <w:instrText xml:space="preserve"> ADDIN EN.CITE &lt;EndNote&gt;&lt;Cite ExcludeAuth="1"&gt;&lt;Author&gt;Van Parijs&lt;/Author&gt;&lt;Year&gt;2011&lt;/Year&gt;&lt;RecNum&gt;794&lt;/RecNum&gt;&lt;DisplayText&gt;2011&lt;/DisplayText&gt;&lt;record&gt;&lt;rec-number&gt;794&lt;/rec-number&gt;&lt;foreign-keys&gt;&lt;key app="EN" db-id="wvvszzd93a0z5wesdfpvdv9z5wrra5p05axp"&gt;794&lt;/key&gt;&lt;/foreign-keys&gt;&lt;ref-type name="Book"&gt;6&lt;/ref-type&gt;&lt;contributors&gt;&lt;authors&gt;&lt;author&gt;Van Parijs, Philippe&lt;/author&gt;&lt;/authors&gt;&lt;/contributors&gt;&lt;titles&gt;&lt;title&gt;Linguistic justice for Europe and for the World&lt;/title&gt;&lt;/titles&gt;&lt;dates&gt;&lt;year&gt;2011&lt;/year&gt;&lt;/dates&gt;&lt;pub-location&gt;Oxford&lt;/pub-location&gt;&lt;publisher&gt;Oxford University Press&lt;/publisher&gt;&lt;urls&gt;&lt;/urls&gt;&lt;/record&gt;&lt;/Cite&gt;&lt;/EndNote&gt;</w:instrText>
        </w:r>
        <w:r w:rsidRPr="004C0771">
          <w:rPr>
            <w:rFonts w:ascii="Times New Roman" w:hAnsi="Times New Roman"/>
            <w:sz w:val="24"/>
            <w:szCs w:val="24"/>
          </w:rPr>
          <w:fldChar w:fldCharType="separate"/>
        </w:r>
        <w:r w:rsidRPr="004C0771">
          <w:rPr>
            <w:rFonts w:ascii="Times New Roman" w:hAnsi="Times New Roman"/>
            <w:sz w:val="24"/>
            <w:szCs w:val="24"/>
          </w:rPr>
          <w:t>2011</w:t>
        </w:r>
        <w:r w:rsidRPr="004C0771">
          <w:rPr>
            <w:rFonts w:ascii="Times New Roman" w:hAnsi="Times New Roman"/>
            <w:sz w:val="24"/>
            <w:szCs w:val="24"/>
          </w:rPr>
          <w:fldChar w:fldCharType="end"/>
        </w:r>
      </w:hyperlink>
      <w:r w:rsidRPr="004C0771">
        <w:rPr>
          <w:rFonts w:ascii="Times New Roman" w:hAnsi="Times New Roman"/>
          <w:sz w:val="24"/>
          <w:szCs w:val="24"/>
        </w:rPr>
        <w:t xml:space="preserve">). I do not discuss the desirability of this proposal from a normative point of view (on this point see, among others, </w:t>
      </w:r>
      <w:proofErr w:type="spellStart"/>
      <w:r w:rsidRPr="004C0771">
        <w:rPr>
          <w:rFonts w:ascii="Times New Roman" w:hAnsi="Times New Roman"/>
          <w:sz w:val="24"/>
          <w:szCs w:val="24"/>
        </w:rPr>
        <w:t>Barbier</w:t>
      </w:r>
      <w:proofErr w:type="spellEnd"/>
      <w:r w:rsidRPr="004C0771">
        <w:rPr>
          <w:rFonts w:ascii="Times New Roman" w:hAnsi="Times New Roman"/>
          <w:sz w:val="24"/>
          <w:szCs w:val="24"/>
        </w:rPr>
        <w:t xml:space="preserve">, </w:t>
      </w:r>
      <w:hyperlink w:anchor="_ENREF_5" w:tooltip="Barbier, 2012 #808" w:history="1">
        <w:r w:rsidRPr="004C0771">
          <w:rPr>
            <w:rFonts w:ascii="Times New Roman" w:hAnsi="Times New Roman"/>
            <w:sz w:val="24"/>
            <w:szCs w:val="24"/>
          </w:rPr>
          <w:fldChar w:fldCharType="begin"/>
        </w:r>
        <w:r w:rsidRPr="004C0771">
          <w:rPr>
            <w:rFonts w:ascii="Times New Roman" w:hAnsi="Times New Roman"/>
            <w:sz w:val="24"/>
            <w:szCs w:val="24"/>
          </w:rPr>
          <w:instrText xml:space="preserve"> ADDIN EN.CITE &lt;EndNote&gt;&lt;Cite ExcludeAuth="1"&gt;&lt;Author&gt;Barbier&lt;/Author&gt;&lt;Year&gt;2012&lt;/Year&gt;&lt;RecNum&gt;808&lt;/RecNum&gt;&lt;DisplayText&gt;2012&lt;/DisplayText&gt;&lt;record&gt;&lt;rec-number&gt;808&lt;/rec-number&gt;&lt;foreign-keys&gt;&lt;key app="EN" db-id="wvvszzd93a0z5wesdfpvdv9z5wrra5p05axp"&gt;808&lt;/key&gt;&lt;/foreign-keys&gt;&lt;ref-type name="Journal Article"&gt;17&lt;/ref-type&gt;&lt;contributors&gt;&lt;authors&gt;&lt;author&gt;Barbier, Jean-Claude&lt;/author&gt;&lt;/authors&gt;&lt;/contributors&gt;&lt;titles&gt;&lt;title&gt;&amp;apos;Une seule bannière linguistique pour une justice globale&amp;apos;, recension de Linguistic Justice for Europe and for the World, Philippe Van Parijs&lt;/title&gt;&lt;secondary-title&gt;Revue française de science politique&lt;/secondary-title&gt;&lt;/titles&gt;&lt;periodical&gt;&lt;full-title&gt;Revue française de science politique&lt;/full-title&gt;&lt;/periodical&gt;&lt;pages&gt;469-471&lt;/pages&gt;&lt;volume&gt;62&lt;/volume&gt;&lt;number&gt;3&lt;/number&gt;&lt;dates&gt;&lt;year&gt;2012&lt;/year&gt;&lt;/dates&gt;&lt;urls&gt;&lt;/urls&gt;&lt;/record&gt;&lt;/Cite&gt;&lt;/EndNote&gt;</w:instrText>
        </w:r>
        <w:r w:rsidRPr="004C0771">
          <w:rPr>
            <w:rFonts w:ascii="Times New Roman" w:hAnsi="Times New Roman"/>
            <w:sz w:val="24"/>
            <w:szCs w:val="24"/>
          </w:rPr>
          <w:fldChar w:fldCharType="separate"/>
        </w:r>
        <w:r w:rsidRPr="004C0771">
          <w:rPr>
            <w:rFonts w:ascii="Times New Roman" w:hAnsi="Times New Roman"/>
            <w:sz w:val="24"/>
            <w:szCs w:val="24"/>
          </w:rPr>
          <w:t>2012</w:t>
        </w:r>
        <w:r w:rsidRPr="004C0771">
          <w:rPr>
            <w:rFonts w:ascii="Times New Roman" w:hAnsi="Times New Roman"/>
            <w:sz w:val="24"/>
            <w:szCs w:val="24"/>
          </w:rPr>
          <w:fldChar w:fldCharType="end"/>
        </w:r>
      </w:hyperlink>
      <w:r w:rsidRPr="004C0771">
        <w:rPr>
          <w:rFonts w:ascii="Times New Roman" w:hAnsi="Times New Roman"/>
          <w:sz w:val="24"/>
          <w:szCs w:val="24"/>
        </w:rPr>
        <w:t xml:space="preserve">; Grin, </w:t>
      </w:r>
      <w:hyperlink w:anchor="_ENREF_29" w:tooltip="Grin, 2004 #159" w:history="1">
        <w:r w:rsidRPr="004C0771">
          <w:rPr>
            <w:rFonts w:ascii="Times New Roman" w:hAnsi="Times New Roman"/>
            <w:sz w:val="24"/>
            <w:szCs w:val="24"/>
          </w:rPr>
          <w:fldChar w:fldCharType="begin"/>
        </w:r>
        <w:r w:rsidRPr="004C0771">
          <w:rPr>
            <w:rFonts w:ascii="Times New Roman" w:hAnsi="Times New Roman"/>
            <w:sz w:val="24"/>
            <w:szCs w:val="24"/>
          </w:rPr>
          <w:instrText xml:space="preserve"> ADDIN EN.CITE &lt;EndNote&gt;&lt;Cite ExcludeAuth="1"&gt;&lt;Author&gt;Grin&lt;/Author&gt;&lt;Year&gt;2004&lt;/Year&gt;&lt;RecNum&gt;159&lt;/RecNum&gt;&lt;DisplayText&gt;2004&lt;/DisplayText&gt;&lt;record&gt;&lt;rec-number&gt;159&lt;/rec-number&gt;&lt;foreign-keys&gt;&lt;key app="EN" db-id="wvvszzd93a0z5wesdfpvdv9z5wrra5p05axp"&gt;159&lt;/key&gt;&lt;/foreign-keys&gt;&lt;ref-type name="Journal Article"&gt;17&lt;/ref-type&gt;&lt;contributors&gt;&lt;authors&gt;&lt;author&gt;Grin, François&lt;/author&gt;&lt;/authors&gt;&lt;/contributors&gt;&lt;titles&gt;&lt;title&gt;&lt;style face="normal" font="default" size="100%"&gt;L&amp;apos;anglais comme &lt;/style&gt;&lt;style face="italic" font="default" size="100%"&gt;lingua franca: &lt;/style&gt;&lt;style face="normal" font="default" size="100%"&gt;questions de coût et d&amp;apos;équité. Commentaire sur l&amp;apos;article de Philippe Van Parijs&lt;/style&gt;&lt;/title&gt;&lt;secondary-title&gt;Économie publique&lt;/secondary-title&gt;&lt;/titles&gt;&lt;pages&gt;33-41&lt;/pages&gt;&lt;volume&gt;15&lt;/volume&gt;&lt;number&gt;2&lt;/number&gt;&lt;dates&gt;&lt;year&gt;2004&lt;/year&gt;&lt;/dates&gt;&lt;urls&gt;&lt;/urls&gt;&lt;/record&gt;&lt;/Cite&gt;&lt;/EndNote&gt;</w:instrText>
        </w:r>
        <w:r w:rsidRPr="004C0771">
          <w:rPr>
            <w:rFonts w:ascii="Times New Roman" w:hAnsi="Times New Roman"/>
            <w:sz w:val="24"/>
            <w:szCs w:val="24"/>
          </w:rPr>
          <w:fldChar w:fldCharType="separate"/>
        </w:r>
        <w:r w:rsidRPr="004C0771">
          <w:rPr>
            <w:rFonts w:ascii="Times New Roman" w:hAnsi="Times New Roman"/>
            <w:sz w:val="24"/>
            <w:szCs w:val="24"/>
          </w:rPr>
          <w:t>2004</w:t>
        </w:r>
        <w:r w:rsidRPr="004C0771">
          <w:rPr>
            <w:rFonts w:ascii="Times New Roman" w:hAnsi="Times New Roman"/>
            <w:sz w:val="24"/>
            <w:szCs w:val="24"/>
          </w:rPr>
          <w:fldChar w:fldCharType="end"/>
        </w:r>
      </w:hyperlink>
      <w:r w:rsidRPr="004C0771">
        <w:rPr>
          <w:rFonts w:ascii="Times New Roman" w:hAnsi="Times New Roman"/>
          <w:sz w:val="24"/>
          <w:szCs w:val="24"/>
        </w:rPr>
        <w:t xml:space="preserve">; Lacey, </w:t>
      </w:r>
      <w:hyperlink w:anchor="_ENREF_36" w:tooltip="Lacey, 2015 #898" w:history="1">
        <w:r w:rsidRPr="004C0771">
          <w:rPr>
            <w:rFonts w:ascii="Times New Roman" w:hAnsi="Times New Roman"/>
            <w:sz w:val="24"/>
            <w:szCs w:val="24"/>
          </w:rPr>
          <w:fldChar w:fldCharType="begin"/>
        </w:r>
        <w:r w:rsidRPr="004C0771">
          <w:rPr>
            <w:rFonts w:ascii="Times New Roman" w:hAnsi="Times New Roman"/>
            <w:sz w:val="24"/>
            <w:szCs w:val="24"/>
          </w:rPr>
          <w:instrText xml:space="preserve"> ADDIN EN.CITE &lt;EndNote&gt;&lt;Cite ExcludeAuth="1"&gt;&lt;Author&gt;Lacey&lt;/Author&gt;&lt;Year&gt;2015&lt;/Year&gt;&lt;RecNum&gt;898&lt;/RecNum&gt;&lt;DisplayText&gt;2015&lt;/DisplayText&gt;&lt;record&gt;&lt;rec-number&gt;898&lt;/rec-number&gt;&lt;foreign-keys&gt;&lt;key app="EN" db-id="wvvszzd93a0z5wesdfpvdv9z5wrra5p05axp"&gt;898&lt;/key&gt;&lt;/foreign-keys&gt;&lt;ref-type name="Journal Article"&gt;17&lt;/ref-type&gt;&lt;contributors&gt;&lt;authors&gt;&lt;author&gt;Lacey, Joseph&lt;/author&gt;&lt;/authors&gt;&lt;/contributors&gt;&lt;titles&gt;&lt;title&gt;Considerations on English as a Global Lingua Franca&lt;/title&gt;&lt;secondary-title&gt;Political Studies Review&lt;/secondary-title&gt;&lt;/titles&gt;&lt;periodical&gt;&lt;full-title&gt;Political Studies Review&lt;/full-title&gt;&lt;/periodical&gt;&lt;pages&gt;363–372&lt;/pages&gt;&lt;volume&gt;13&lt;/volume&gt;&lt;number&gt;3&lt;/number&gt;&lt;dates&gt;&lt;year&gt;2015&lt;/year&gt;&lt;/dates&gt;&lt;urls&gt;&lt;related-urls&gt;&lt;url&gt;doi: 10.1111/1478-9302.12004&lt;/url&gt;&lt;/related-urls&gt;&lt;/urls&gt;&lt;/record&gt;&lt;/Cite&gt;&lt;/EndNote&gt;</w:instrText>
        </w:r>
        <w:r w:rsidRPr="004C0771">
          <w:rPr>
            <w:rFonts w:ascii="Times New Roman" w:hAnsi="Times New Roman"/>
            <w:sz w:val="24"/>
            <w:szCs w:val="24"/>
          </w:rPr>
          <w:fldChar w:fldCharType="separate"/>
        </w:r>
        <w:r w:rsidRPr="004C0771">
          <w:rPr>
            <w:rFonts w:ascii="Times New Roman" w:hAnsi="Times New Roman"/>
            <w:sz w:val="24"/>
            <w:szCs w:val="24"/>
          </w:rPr>
          <w:t>2015</w:t>
        </w:r>
        <w:r w:rsidRPr="004C0771">
          <w:rPr>
            <w:rFonts w:ascii="Times New Roman" w:hAnsi="Times New Roman"/>
            <w:sz w:val="24"/>
            <w:szCs w:val="24"/>
          </w:rPr>
          <w:fldChar w:fldCharType="end"/>
        </w:r>
      </w:hyperlink>
      <w:r w:rsidRPr="004C0771">
        <w:rPr>
          <w:rFonts w:ascii="Times New Roman" w:hAnsi="Times New Roman"/>
          <w:sz w:val="24"/>
          <w:szCs w:val="24"/>
        </w:rPr>
        <w:t xml:space="preserve">; Phillipson, </w:t>
      </w:r>
      <w:hyperlink w:anchor="_ENREF_43" w:tooltip="Phillipson, 2012 #809" w:history="1">
        <w:r w:rsidRPr="004C0771">
          <w:rPr>
            <w:rFonts w:ascii="Times New Roman" w:hAnsi="Times New Roman"/>
            <w:sz w:val="24"/>
            <w:szCs w:val="24"/>
          </w:rPr>
          <w:fldChar w:fldCharType="begin"/>
        </w:r>
        <w:r w:rsidRPr="004C0771">
          <w:rPr>
            <w:rFonts w:ascii="Times New Roman" w:hAnsi="Times New Roman"/>
            <w:sz w:val="24"/>
            <w:szCs w:val="24"/>
          </w:rPr>
          <w:instrText xml:space="preserve"> ADDIN EN.CITE &lt;EndNote&gt;&lt;Cite ExcludeAuth="1"&gt;&lt;Author&gt;Phillipson&lt;/Author&gt;&lt;Year&gt;2012, forthcoming&lt;/Year&gt;&lt;RecNum&gt;809&lt;/RecNum&gt;&lt;DisplayText&gt;2012&lt;/DisplayText&gt;&lt;record&gt;&lt;rec-number&gt;809&lt;/rec-number&gt;&lt;foreign-keys&gt;&lt;key app="EN" db-id="wvvszzd93a0z5wesdfpvdv9z5wrra5p05axp"&gt;809&lt;/key&gt;&lt;/foreign-keys&gt;&lt;ref-type name="Journal Article"&gt;17&lt;/ref-type&gt;&lt;contributors&gt;&lt;authors&gt;&lt;author&gt;Phillipson, Robert&lt;/author&gt;&lt;/authors&gt;&lt;/contributors&gt;&lt;titles&gt;&lt;title&gt;Review Essay: Languages, Genocide and Justice in the European Integration Process&lt;/title&gt;&lt;secondary-title&gt;Journal of Contemporary European Studies&lt;/secondary-title&gt;&lt;/titles&gt;&lt;periodical&gt;&lt;full-title&gt;Journal of Contemporary European Studies&lt;/full-title&gt;&lt;/periodical&gt;&lt;pages&gt;377-414&lt;/pages&gt;&lt;volume&gt;20&lt;/volume&gt;&lt;number&gt;3&lt;/number&gt;&lt;dates&gt;&lt;year&gt;2012&lt;/year&gt;&lt;/dates&gt;&lt;urls&gt;&lt;/urls&gt;&lt;/record&gt;&lt;/Cite&gt;&lt;/EndNote&gt;</w:instrText>
        </w:r>
        <w:r w:rsidRPr="004C0771">
          <w:rPr>
            <w:rFonts w:ascii="Times New Roman" w:hAnsi="Times New Roman"/>
            <w:sz w:val="24"/>
            <w:szCs w:val="24"/>
          </w:rPr>
          <w:fldChar w:fldCharType="separate"/>
        </w:r>
        <w:r w:rsidRPr="004C0771">
          <w:rPr>
            <w:rFonts w:ascii="Times New Roman" w:hAnsi="Times New Roman"/>
            <w:sz w:val="24"/>
            <w:szCs w:val="24"/>
          </w:rPr>
          <w:t>2012</w:t>
        </w:r>
        <w:r w:rsidRPr="004C0771">
          <w:rPr>
            <w:rFonts w:ascii="Times New Roman" w:hAnsi="Times New Roman"/>
            <w:sz w:val="24"/>
            <w:szCs w:val="24"/>
          </w:rPr>
          <w:fldChar w:fldCharType="end"/>
        </w:r>
      </w:hyperlink>
      <w:r w:rsidRPr="004C0771">
        <w:rPr>
          <w:rFonts w:ascii="Times New Roman" w:hAnsi="Times New Roman"/>
          <w:sz w:val="24"/>
          <w:szCs w:val="24"/>
        </w:rPr>
        <w:t xml:space="preserve">; and several contributions in De </w:t>
      </w:r>
      <w:proofErr w:type="spellStart"/>
      <w:r w:rsidRPr="004C0771">
        <w:rPr>
          <w:rFonts w:ascii="Times New Roman" w:hAnsi="Times New Roman"/>
          <w:sz w:val="24"/>
          <w:szCs w:val="24"/>
        </w:rPr>
        <w:t>Schutter</w:t>
      </w:r>
      <w:proofErr w:type="spellEnd"/>
      <w:r w:rsidRPr="004C0771">
        <w:rPr>
          <w:rFonts w:ascii="Times New Roman" w:hAnsi="Times New Roman"/>
          <w:sz w:val="24"/>
          <w:szCs w:val="24"/>
        </w:rPr>
        <w:t xml:space="preserve"> and Robichaud, </w:t>
      </w:r>
      <w:hyperlink w:anchor="_ENREF_10" w:tooltip="De Schutter, 2015 #1162" w:history="1">
        <w:r w:rsidRPr="004C0771">
          <w:rPr>
            <w:rFonts w:ascii="Times New Roman" w:hAnsi="Times New Roman"/>
            <w:sz w:val="24"/>
            <w:szCs w:val="24"/>
          </w:rPr>
          <w:fldChar w:fldCharType="begin"/>
        </w:r>
        <w:r w:rsidRPr="004C0771">
          <w:rPr>
            <w:rFonts w:ascii="Times New Roman" w:hAnsi="Times New Roman"/>
            <w:sz w:val="24"/>
            <w:szCs w:val="24"/>
          </w:rPr>
          <w:instrText xml:space="preserve"> ADDIN EN.CITE &lt;EndNote&gt;&lt;Cite ExcludeAuth="1"&gt;&lt;Author&gt;De Schutter&lt;/Author&gt;&lt;Year&gt;2015&lt;/Year&gt;&lt;RecNum&gt;1162&lt;/RecNum&gt;&lt;DisplayText&gt;2015&lt;/DisplayText&gt;&lt;record&gt;&lt;rec-number&gt;1162&lt;/rec-number&gt;&lt;foreign-keys&gt;&lt;key app="EN" db-id="wvvszzd93a0z5wesdfpvdv9z5wrra5p05axp"&gt;1162&lt;/key&gt;&lt;/foreign-keys&gt;&lt;ref-type name="Edited Book"&gt;28&lt;/ref-type&gt;&lt;contributors&gt;&lt;authors&gt;&lt;author&gt;De Schutter, Helder&lt;/author&gt;&lt;author&gt;Robichaud, David&lt;/author&gt;&lt;/authors&gt;&lt;/contributors&gt;&lt;titles&gt;&lt;title&gt;Linguistic justice. Van Parijs and his critics&lt;/title&gt;&lt;/titles&gt;&lt;dates&gt;&lt;year&gt;2015&lt;/year&gt;&lt;/dates&gt;&lt;pub-location&gt;Critical Review of International Social and Political Philosophy (Volume 18, Issue 2)&lt;/pub-location&gt;&lt;publisher&gt;Special issue of &lt;/publisher&gt;&lt;urls&gt;&lt;/urls&gt;&lt;/record&gt;&lt;/Cite&gt;&lt;/EndNote&gt;</w:instrText>
        </w:r>
        <w:r w:rsidRPr="004C0771">
          <w:rPr>
            <w:rFonts w:ascii="Times New Roman" w:hAnsi="Times New Roman"/>
            <w:sz w:val="24"/>
            <w:szCs w:val="24"/>
          </w:rPr>
          <w:fldChar w:fldCharType="separate"/>
        </w:r>
        <w:r w:rsidRPr="004C0771">
          <w:rPr>
            <w:rFonts w:ascii="Times New Roman" w:hAnsi="Times New Roman"/>
            <w:sz w:val="24"/>
            <w:szCs w:val="24"/>
          </w:rPr>
          <w:t>2015</w:t>
        </w:r>
        <w:r w:rsidRPr="004C0771">
          <w:rPr>
            <w:rFonts w:ascii="Times New Roman" w:hAnsi="Times New Roman"/>
            <w:sz w:val="24"/>
            <w:szCs w:val="24"/>
          </w:rPr>
          <w:fldChar w:fldCharType="end"/>
        </w:r>
      </w:hyperlink>
      <w:r w:rsidRPr="004C0771">
        <w:rPr>
          <w:rFonts w:ascii="Times New Roman" w:hAnsi="Times New Roman"/>
          <w:sz w:val="24"/>
          <w:szCs w:val="24"/>
        </w:rPr>
        <w:t xml:space="preserve">), </w:t>
      </w:r>
      <w:r>
        <w:rPr>
          <w:rFonts w:ascii="Times New Roman" w:hAnsi="Times New Roman"/>
          <w:sz w:val="24"/>
          <w:szCs w:val="24"/>
        </w:rPr>
        <w:t>and I do not address</w:t>
      </w:r>
      <w:r w:rsidRPr="004C0771">
        <w:rPr>
          <w:rFonts w:ascii="Times New Roman" w:hAnsi="Times New Roman"/>
          <w:sz w:val="24"/>
          <w:szCs w:val="24"/>
        </w:rPr>
        <w:t xml:space="preserve"> the thorny question of the role (if any) of a common language in the creation of a EU identity (see Kraus, </w:t>
      </w:r>
      <w:r w:rsidRPr="004C0771">
        <w:rPr>
          <w:rFonts w:ascii="Times New Roman" w:hAnsi="Times New Roman"/>
          <w:sz w:val="24"/>
          <w:szCs w:val="24"/>
        </w:rPr>
        <w:fldChar w:fldCharType="begin"/>
      </w:r>
      <w:r w:rsidRPr="004C0771">
        <w:rPr>
          <w:rFonts w:ascii="Times New Roman" w:hAnsi="Times New Roman"/>
          <w:sz w:val="24"/>
          <w:szCs w:val="24"/>
        </w:rPr>
        <w:instrText xml:space="preserve"> ADDIN EN.CITE &lt;EndNote&gt;&lt;Cite ExcludeAuth="1"&gt;&lt;Author&gt;Kraus&lt;/Author&gt;&lt;Year&gt;2008&lt;/Year&gt;&lt;RecNum&gt;797&lt;/RecNum&gt;&lt;DisplayText&gt;2008&lt;/DisplayText&gt;&lt;record&gt;&lt;rec-number&gt;797&lt;/rec-number&gt;&lt;foreign-keys&gt;&lt;key app="EN" db-id="wvvszzd93a0z5wesdfpvdv9z5wrra5p05axp"&gt;797&lt;/key&gt;&lt;/foreign-keys&gt;&lt;ref-type name="Book"&gt;6&lt;/ref-type&gt;&lt;contributors&gt;&lt;authors&gt;&lt;author&gt;Kraus, Peter A.&lt;/author&gt;&lt;/authors&gt;&lt;/contributors&gt;&lt;titles&gt;&lt;title&gt;A Union of diversity: Language, identity and polity-building in Europe&lt;/title&gt;&lt;/titles&gt;&lt;dates&gt;&lt;year&gt;2008&lt;/year&gt;&lt;/dates&gt;&lt;pub-location&gt;Cambridge&lt;/pub-location&gt;&lt;publisher&gt;Cambridge University Press&lt;/publisher&gt;&lt;urls&gt;&lt;/urls&gt;&lt;/record&gt;&lt;/Cite&gt;&lt;/EndNote&gt;</w:instrText>
      </w:r>
      <w:r w:rsidRPr="004C0771">
        <w:rPr>
          <w:rFonts w:ascii="Times New Roman" w:hAnsi="Times New Roman"/>
          <w:sz w:val="24"/>
          <w:szCs w:val="24"/>
        </w:rPr>
        <w:fldChar w:fldCharType="separate"/>
      </w:r>
      <w:r w:rsidRPr="004C0771">
        <w:rPr>
          <w:rFonts w:ascii="Times New Roman" w:hAnsi="Times New Roman"/>
          <w:sz w:val="24"/>
          <w:szCs w:val="24"/>
        </w:rPr>
        <w:t>2008</w:t>
      </w:r>
      <w:r w:rsidRPr="004C0771">
        <w:rPr>
          <w:rFonts w:ascii="Times New Roman" w:hAnsi="Times New Roman"/>
          <w:sz w:val="24"/>
          <w:szCs w:val="24"/>
        </w:rPr>
        <w:fldChar w:fldCharType="end"/>
      </w:r>
      <w:r w:rsidRPr="004C0771">
        <w:rPr>
          <w:rFonts w:ascii="Times New Roman" w:hAnsi="Times New Roman"/>
          <w:sz w:val="24"/>
          <w:szCs w:val="24"/>
        </w:rPr>
        <w:t xml:space="preserve">; </w:t>
      </w:r>
      <w:r w:rsidRPr="004C0771">
        <w:rPr>
          <w:rFonts w:ascii="Times New Roman" w:hAnsi="Times New Roman"/>
          <w:sz w:val="24"/>
          <w:szCs w:val="24"/>
        </w:rPr>
        <w:fldChar w:fldCharType="begin"/>
      </w:r>
      <w:r w:rsidRPr="004C0771">
        <w:rPr>
          <w:rFonts w:ascii="Times New Roman" w:hAnsi="Times New Roman"/>
          <w:sz w:val="24"/>
          <w:szCs w:val="24"/>
        </w:rPr>
        <w:instrText xml:space="preserve"> ADDIN EN.CITE &lt;EndNote&gt;&lt;Cite&gt;&lt;Author&gt;Romaine&lt;/Author&gt;&lt;Year&gt;2013&lt;/Year&gt;&lt;RecNum&gt;884&lt;/RecNum&gt;&lt;Pages&gt;123-124&lt;/Pages&gt;&lt;DisplayText&gt;Romaine 2013: 123-124&lt;/DisplayText&gt;&lt;record&gt;&lt;rec-number&gt;884&lt;/rec-number&gt;&lt;foreign-keys&gt;&lt;key app="EN" db-id="wvvszzd93a0z5wesdfpvdv9z5wrra5p05axp"&gt;884&lt;/key&gt;&lt;/foreign-keys&gt;&lt;ref-type name="Journal Article"&gt;17&lt;/ref-type&gt;&lt;contributors&gt;&lt;authors&gt;&lt;author&gt;Romaine, Suzanne&lt;/author&gt;&lt;/authors&gt;&lt;/contributors&gt;&lt;titles&gt;&lt;title&gt;Politics and policies of promoting multilingualism in the European Union&lt;/title&gt;&lt;secondary-title&gt;Language Policy&lt;/secondary-title&gt;&lt;/titles&gt;&lt;periodical&gt;&lt;full-title&gt;Language Policy&lt;/full-title&gt;&lt;/periodical&gt;&lt;pages&gt;115-137&lt;/pages&gt;&lt;volume&gt;12&lt;/volume&gt;&lt;dates&gt;&lt;year&gt;2013&lt;/year&gt;&lt;/dates&gt;&lt;urls&gt;&lt;/urls&gt;&lt;/record&gt;&lt;/Cite&gt;&lt;/EndNote&gt;</w:instrText>
      </w:r>
      <w:r w:rsidRPr="004C0771">
        <w:rPr>
          <w:rFonts w:ascii="Times New Roman" w:hAnsi="Times New Roman"/>
          <w:sz w:val="24"/>
          <w:szCs w:val="24"/>
        </w:rPr>
        <w:fldChar w:fldCharType="separate"/>
      </w:r>
      <w:r w:rsidRPr="004C0771">
        <w:rPr>
          <w:rFonts w:ascii="Times New Roman" w:hAnsi="Times New Roman"/>
          <w:sz w:val="24"/>
          <w:szCs w:val="24"/>
        </w:rPr>
        <w:t>Romaine, 2013: 123-124</w:t>
      </w:r>
      <w:r w:rsidRPr="004C0771">
        <w:rPr>
          <w:rFonts w:ascii="Times New Roman" w:hAnsi="Times New Roman"/>
          <w:sz w:val="24"/>
          <w:szCs w:val="24"/>
        </w:rPr>
        <w:fldChar w:fldCharType="end"/>
      </w:r>
      <w:r>
        <w:rPr>
          <w:rFonts w:ascii="Times New Roman" w:hAnsi="Times New Roman"/>
          <w:sz w:val="24"/>
          <w:szCs w:val="24"/>
        </w:rPr>
        <w:t xml:space="preserve"> for a discussion</w:t>
      </w:r>
      <w:r w:rsidRPr="004C0771">
        <w:rPr>
          <w:rFonts w:ascii="Times New Roman" w:hAnsi="Times New Roman"/>
          <w:sz w:val="24"/>
          <w:szCs w:val="24"/>
        </w:rPr>
        <w:t xml:space="preserve">). I limit myself to question the </w:t>
      </w:r>
      <w:r w:rsidRPr="004C0771">
        <w:rPr>
          <w:rFonts w:ascii="Times New Roman" w:eastAsia="Times New Roman" w:hAnsi="Times New Roman"/>
          <w:sz w:val="24"/>
          <w:szCs w:val="24"/>
          <w:lang w:eastAsia="it-IT"/>
        </w:rPr>
        <w:t>feasibility of this plan.</w:t>
      </w:r>
    </w:p>
    <w:p w14:paraId="5B8C9B77" w14:textId="51B80974" w:rsidR="007F446F" w:rsidRPr="004C0771" w:rsidRDefault="007F446F" w:rsidP="006233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480" w:lineRule="auto"/>
        <w:jc w:val="both"/>
        <w:rPr>
          <w:rFonts w:ascii="Times New Roman" w:eastAsia="Times New Roman" w:hAnsi="Times New Roman"/>
          <w:sz w:val="24"/>
          <w:szCs w:val="24"/>
          <w:lang w:eastAsia="it-IT"/>
        </w:rPr>
      </w:pPr>
      <w:r w:rsidRPr="004C0771">
        <w:rPr>
          <w:rFonts w:ascii="Times New Roman" w:eastAsia="Times New Roman" w:hAnsi="Times New Roman"/>
          <w:sz w:val="24"/>
          <w:szCs w:val="24"/>
          <w:lang w:eastAsia="it-IT"/>
        </w:rPr>
        <w:lastRenderedPageBreak/>
        <w:t xml:space="preserve">First, EU institutions cannot spread any specific language using education or the media because the treaties give no competence to the EU in these policy areas in accordance with the subsidiarity principle. The EU controls just one of the levers of language policy (probably not the most important one), that is, the provision of multilingual communication to European citizens and residents. The EU can </w:t>
      </w:r>
      <w:r w:rsidRPr="004C0771">
        <w:rPr>
          <w:rFonts w:ascii="Times New Roman" w:eastAsia="Times New Roman" w:hAnsi="Times New Roman"/>
          <w:i/>
          <w:sz w:val="24"/>
          <w:szCs w:val="24"/>
          <w:lang w:eastAsia="it-IT"/>
        </w:rPr>
        <w:t>influence</w:t>
      </w:r>
      <w:r w:rsidRPr="004C0771">
        <w:rPr>
          <w:rFonts w:ascii="Times New Roman" w:eastAsia="Times New Roman" w:hAnsi="Times New Roman"/>
          <w:sz w:val="24"/>
          <w:szCs w:val="24"/>
          <w:lang w:eastAsia="it-IT"/>
        </w:rPr>
        <w:t xml:space="preserve"> language learning and teaching through recommendations and funding programmes such as </w:t>
      </w:r>
      <w:r w:rsidRPr="00C2298C">
        <w:rPr>
          <w:rFonts w:ascii="Times New Roman" w:eastAsia="Times New Roman" w:hAnsi="Times New Roman"/>
          <w:sz w:val="24"/>
          <w:szCs w:val="24"/>
          <w:lang w:eastAsia="it-IT"/>
        </w:rPr>
        <w:t>Erasmus+</w:t>
      </w:r>
      <w:r w:rsidRPr="004C0771">
        <w:rPr>
          <w:rFonts w:ascii="Times New Roman" w:eastAsia="Times New Roman" w:hAnsi="Times New Roman"/>
          <w:sz w:val="24"/>
          <w:szCs w:val="24"/>
          <w:lang w:eastAsia="it-IT"/>
        </w:rPr>
        <w:t xml:space="preserve">, but education policy firmly remains in the hands of the Member States or even regional authorities (e.g. the German </w:t>
      </w:r>
      <w:proofErr w:type="spellStart"/>
      <w:r w:rsidRPr="00C2298C">
        <w:rPr>
          <w:rFonts w:ascii="Times New Roman" w:eastAsia="Times New Roman" w:hAnsi="Times New Roman"/>
          <w:sz w:val="24"/>
          <w:szCs w:val="24"/>
          <w:lang w:eastAsia="it-IT"/>
        </w:rPr>
        <w:t>Bundesländer</w:t>
      </w:r>
      <w:proofErr w:type="spellEnd"/>
      <w:r w:rsidRPr="004C0771">
        <w:rPr>
          <w:rFonts w:ascii="Times New Roman" w:eastAsia="Times New Roman" w:hAnsi="Times New Roman"/>
          <w:sz w:val="24"/>
          <w:szCs w:val="24"/>
          <w:lang w:eastAsia="it-IT"/>
        </w:rPr>
        <w:t>). Each state or region has its own language policy that responds to local needs (e.g. giving priority to the official language of the neighbouring country).</w:t>
      </w:r>
    </w:p>
    <w:p w14:paraId="3C350989" w14:textId="51A31218" w:rsidR="007F446F" w:rsidRPr="004C0771" w:rsidRDefault="007F446F" w:rsidP="006233DD">
      <w:pPr>
        <w:spacing w:line="480" w:lineRule="auto"/>
        <w:jc w:val="both"/>
        <w:rPr>
          <w:rFonts w:ascii="Times New Roman" w:eastAsia="Times New Roman" w:hAnsi="Times New Roman"/>
          <w:sz w:val="24"/>
          <w:szCs w:val="24"/>
          <w:lang w:eastAsia="it-IT"/>
        </w:rPr>
      </w:pPr>
      <w:r w:rsidRPr="004C0771">
        <w:rPr>
          <w:rFonts w:ascii="Times New Roman" w:hAnsi="Times New Roman"/>
          <w:sz w:val="24"/>
          <w:szCs w:val="24"/>
        </w:rPr>
        <w:t xml:space="preserve">Second, the effectiveness of European education systems in teaching foreign languages should not be overestimated. Results reported in this article and other sources (e.g. </w:t>
      </w:r>
      <w:hyperlink w:anchor="_ENREF_17" w:tooltip="Eurydice, 2012 #1146" w:history="1">
        <w:r w:rsidRPr="004C0771">
          <w:rPr>
            <w:rFonts w:ascii="Times New Roman" w:eastAsia="Times New Roman" w:hAnsi="Times New Roman"/>
            <w:sz w:val="24"/>
            <w:szCs w:val="24"/>
            <w:lang w:eastAsia="it-IT"/>
          </w:rPr>
          <w:fldChar w:fldCharType="begin"/>
        </w:r>
        <w:r w:rsidRPr="004C0771">
          <w:rPr>
            <w:rFonts w:ascii="Times New Roman" w:eastAsia="Times New Roman" w:hAnsi="Times New Roman"/>
            <w:sz w:val="24"/>
            <w:szCs w:val="24"/>
            <w:lang w:eastAsia="it-IT"/>
          </w:rPr>
          <w:instrText xml:space="preserve"> ADDIN EN.CITE &lt;EndNote&gt;&lt;Cite&gt;&lt;Author&gt;Eurydice&lt;/Author&gt;&lt;Year&gt;2012&lt;/Year&gt;&lt;RecNum&gt;1146&lt;/RecNum&gt;&lt;DisplayText&gt;Eurydice 2012&lt;/DisplayText&gt;&lt;record&gt;&lt;rec-number&gt;1146&lt;/rec-number&gt;&lt;foreign-keys&gt;&lt;key app="EN" db-id="wvvszzd93a0z5wesdfpvdv9z5wrra5p05axp"&gt;1146&lt;/key&gt;&lt;/foreign-keys&gt;&lt;ref-type name="Report"&gt;27&lt;/ref-type&gt;&lt;contributors&gt;&lt;authors&gt;&lt;author&gt;Eurydice,&lt;/author&gt;&lt;/authors&gt;&lt;/contributors&gt;&lt;titles&gt;&lt;title&gt;Key Data on Teaching Languages at School in Europe 2012&lt;/title&gt;&lt;/titles&gt;&lt;dates&gt;&lt;year&gt;2012&lt;/year&gt;&lt;/dates&gt;&lt;pub-location&gt;Brussels&lt;/pub-location&gt;&lt;publisher&gt;European Commission&lt;/publisher&gt;&lt;urls&gt;&lt;/urls&gt;&lt;/record&gt;&lt;/Cite&gt;&lt;/EndNote&gt;</w:instrText>
        </w:r>
        <w:r w:rsidRPr="004C0771">
          <w:rPr>
            <w:rFonts w:ascii="Times New Roman" w:eastAsia="Times New Roman" w:hAnsi="Times New Roman"/>
            <w:sz w:val="24"/>
            <w:szCs w:val="24"/>
            <w:lang w:eastAsia="it-IT"/>
          </w:rPr>
          <w:fldChar w:fldCharType="separate"/>
        </w:r>
        <w:r w:rsidRPr="004C0771">
          <w:rPr>
            <w:rFonts w:ascii="Times New Roman" w:eastAsia="Times New Roman" w:hAnsi="Times New Roman"/>
            <w:sz w:val="24"/>
            <w:szCs w:val="24"/>
            <w:lang w:eastAsia="it-IT"/>
          </w:rPr>
          <w:t>Eurydice, 2012</w:t>
        </w:r>
        <w:r w:rsidRPr="004C0771">
          <w:rPr>
            <w:rFonts w:ascii="Times New Roman" w:eastAsia="Times New Roman" w:hAnsi="Times New Roman"/>
            <w:sz w:val="24"/>
            <w:szCs w:val="24"/>
            <w:lang w:eastAsia="it-IT"/>
          </w:rPr>
          <w:fldChar w:fldCharType="end"/>
        </w:r>
      </w:hyperlink>
      <w:r w:rsidRPr="004C0771">
        <w:rPr>
          <w:rFonts w:ascii="Times New Roman" w:eastAsia="Times New Roman" w:hAnsi="Times New Roman"/>
          <w:sz w:val="24"/>
          <w:szCs w:val="24"/>
          <w:lang w:eastAsia="it-IT"/>
        </w:rPr>
        <w:t>)</w:t>
      </w:r>
      <w:r w:rsidRPr="004C0771">
        <w:rPr>
          <w:rFonts w:ascii="Times New Roman" w:hAnsi="Times New Roman"/>
          <w:sz w:val="24"/>
          <w:szCs w:val="24"/>
        </w:rPr>
        <w:t xml:space="preserve"> reveal that </w:t>
      </w:r>
      <w:r w:rsidRPr="004C0771">
        <w:rPr>
          <w:rFonts w:ascii="Times New Roman" w:eastAsia="Times New Roman" w:hAnsi="Times New Roman"/>
          <w:sz w:val="24"/>
          <w:szCs w:val="24"/>
          <w:lang w:eastAsia="it-IT"/>
        </w:rPr>
        <w:t>younger generations learn foreign languages more often than in the past. This is certainly good news, but the average level of competence achieved by pupils and students is still deceiving. For example, English has been promoted as a first foreign language in European schools for decades, but results are largely unsatisfying. T</w:t>
      </w:r>
      <w:r w:rsidRPr="004C0771">
        <w:rPr>
          <w:rFonts w:ascii="Times New Roman" w:hAnsi="Times New Roman"/>
          <w:sz w:val="24"/>
          <w:szCs w:val="24"/>
        </w:rPr>
        <w:t xml:space="preserve">he </w:t>
      </w:r>
      <w:r w:rsidRPr="00C2298C">
        <w:rPr>
          <w:rFonts w:ascii="Times New Roman" w:hAnsi="Times New Roman"/>
          <w:sz w:val="24"/>
          <w:szCs w:val="24"/>
        </w:rPr>
        <w:t>First European Survey on Language Competences</w:t>
      </w:r>
      <w:r w:rsidRPr="004C0771">
        <w:rPr>
          <w:rFonts w:ascii="Times New Roman" w:hAnsi="Times New Roman"/>
          <w:sz w:val="24"/>
          <w:szCs w:val="24"/>
        </w:rPr>
        <w:t xml:space="preserve"> (</w:t>
      </w:r>
      <w:hyperlink w:anchor="_ENREF_16" w:tooltip="European Commission, 2012 #1047" w:history="1">
        <w:r w:rsidRPr="004C0771">
          <w:rPr>
            <w:rFonts w:ascii="Times New Roman" w:hAnsi="Times New Roman"/>
            <w:sz w:val="24"/>
            <w:szCs w:val="24"/>
          </w:rPr>
          <w:fldChar w:fldCharType="begin"/>
        </w:r>
        <w:r w:rsidRPr="004C0771">
          <w:rPr>
            <w:rFonts w:ascii="Times New Roman" w:hAnsi="Times New Roman"/>
            <w:sz w:val="24"/>
            <w:szCs w:val="24"/>
          </w:rPr>
          <w:instrText xml:space="preserve"> ADDIN EN.CITE &lt;EndNote&gt;&lt;Cite&gt;&lt;Author&gt;European commission&lt;/Author&gt;&lt;Year&gt;2012&lt;/Year&gt;&lt;RecNum&gt;1047&lt;/RecNum&gt;&lt;DisplayText&gt;European Commission 2012b&lt;/DisplayText&gt;&lt;record&gt;&lt;rec-number&gt;1047&lt;/rec-number&gt;&lt;foreign-keys&gt;&lt;key app="EN" db-id="wvvszzd93a0z5wesdfpvdv9z5wrra5p05axp"&gt;1047&lt;/key&gt;&lt;/foreign-keys&gt;&lt;ref-type name="Report"&gt;27&lt;/ref-type&gt;&lt;contributors&gt;&lt;authors&gt;&lt;author&gt;European Commission,&lt;/author&gt;&lt;/authors&gt;&lt;/contributors&gt;&lt;titles&gt;&lt;title&gt;First European survey on language competences. Executive summary&lt;/title&gt;&lt;/titles&gt;&lt;dates&gt;&lt;year&gt;2012&lt;/year&gt;&lt;/dates&gt;&lt;pub-location&gt;Brussels&lt;/pub-location&gt;&lt;publisher&gt;European Commission&lt;/publisher&gt;&lt;urls&gt;&lt;/urls&gt;&lt;/record&gt;&lt;/Cite&gt;&lt;/EndNote&gt;</w:instrText>
        </w:r>
        <w:r w:rsidRPr="004C0771">
          <w:rPr>
            <w:rFonts w:ascii="Times New Roman" w:hAnsi="Times New Roman"/>
            <w:sz w:val="24"/>
            <w:szCs w:val="24"/>
          </w:rPr>
          <w:fldChar w:fldCharType="separate"/>
        </w:r>
        <w:r w:rsidRPr="004C0771">
          <w:rPr>
            <w:rFonts w:ascii="Times New Roman" w:hAnsi="Times New Roman"/>
            <w:sz w:val="24"/>
            <w:szCs w:val="24"/>
          </w:rPr>
          <w:t>European Commission, 2012b</w:t>
        </w:r>
        <w:r w:rsidRPr="004C0771">
          <w:rPr>
            <w:rFonts w:ascii="Times New Roman" w:hAnsi="Times New Roman"/>
            <w:sz w:val="24"/>
            <w:szCs w:val="24"/>
          </w:rPr>
          <w:fldChar w:fldCharType="end"/>
        </w:r>
      </w:hyperlink>
      <w:r w:rsidRPr="004C0771">
        <w:rPr>
          <w:rFonts w:ascii="Times New Roman" w:hAnsi="Times New Roman"/>
          <w:sz w:val="24"/>
          <w:szCs w:val="24"/>
        </w:rPr>
        <w:t>) tested the competence in different foreign languages (mostly English and sometimes French) on a representative sample of 53,000 pupils in the last year of lower secondary education (or ISCED2) or the second year of upper secondary education (or ISCED3) in several European countries. The survey concluded that that ‘language competences provided by educational systems still need to be significantly improved’ (</w:t>
      </w:r>
      <w:hyperlink w:anchor="_ENREF_16" w:tooltip="European Commission, 2012 #1047" w:history="1">
        <w:r w:rsidRPr="004C0771">
          <w:rPr>
            <w:rFonts w:ascii="Times New Roman" w:hAnsi="Times New Roman"/>
            <w:sz w:val="24"/>
            <w:szCs w:val="24"/>
          </w:rPr>
          <w:fldChar w:fldCharType="begin"/>
        </w:r>
        <w:r w:rsidRPr="004C0771">
          <w:rPr>
            <w:rFonts w:ascii="Times New Roman" w:hAnsi="Times New Roman"/>
            <w:sz w:val="24"/>
            <w:szCs w:val="24"/>
          </w:rPr>
          <w:instrText xml:space="preserve"> ADDIN EN.CITE &lt;EndNote&gt;&lt;Cite&gt;&lt;Author&gt;European commission&lt;/Author&gt;&lt;Year&gt;2012&lt;/Year&gt;&lt;RecNum&gt;1047&lt;/RecNum&gt;&lt;Pages&gt;5&lt;/Pages&gt;&lt;DisplayText&gt;European Commission 2012b: 5&lt;/DisplayText&gt;&lt;record&gt;&lt;rec-number&gt;1047&lt;/rec-number&gt;&lt;foreign-keys&gt;&lt;key app="EN" db-id="wvvszzd93a0z5wesdfpvdv9z5wrra5p05axp"&gt;1047&lt;/key&gt;&lt;/foreign-keys&gt;&lt;ref-type name="Report"&gt;27&lt;/ref-type&gt;&lt;contributors&gt;&lt;authors&gt;&lt;author&gt;European Commission,&lt;/author&gt;&lt;/authors&gt;&lt;/contributors&gt;&lt;titles&gt;&lt;title&gt;First European survey on language competences. Executive summary&lt;/title&gt;&lt;/titles&gt;&lt;dates&gt;&lt;year&gt;2012&lt;/year&gt;&lt;/dates&gt;&lt;pub-location&gt;Brussels&lt;/pub-location&gt;&lt;publisher&gt;European Commission&lt;/publisher&gt;&lt;urls&gt;&lt;/urls&gt;&lt;/record&gt;&lt;/Cite&gt;&lt;/EndNote&gt;</w:instrText>
        </w:r>
        <w:r w:rsidRPr="004C0771">
          <w:rPr>
            <w:rFonts w:ascii="Times New Roman" w:hAnsi="Times New Roman"/>
            <w:sz w:val="24"/>
            <w:szCs w:val="24"/>
          </w:rPr>
          <w:fldChar w:fldCharType="separate"/>
        </w:r>
        <w:r w:rsidRPr="004C0771">
          <w:rPr>
            <w:rFonts w:ascii="Times New Roman" w:hAnsi="Times New Roman"/>
            <w:sz w:val="24"/>
            <w:szCs w:val="24"/>
          </w:rPr>
          <w:t>European Commission, 2012b: 5</w:t>
        </w:r>
        <w:r w:rsidRPr="004C0771">
          <w:rPr>
            <w:rFonts w:ascii="Times New Roman" w:hAnsi="Times New Roman"/>
            <w:sz w:val="24"/>
            <w:szCs w:val="24"/>
          </w:rPr>
          <w:fldChar w:fldCharType="end"/>
        </w:r>
      </w:hyperlink>
      <w:r w:rsidRPr="004C0771">
        <w:rPr>
          <w:rFonts w:ascii="Times New Roman" w:hAnsi="Times New Roman"/>
          <w:sz w:val="24"/>
          <w:szCs w:val="24"/>
        </w:rPr>
        <w:t xml:space="preserve">). Just a minority of pupils (28%) reach a level B2 of the CEFR, which is usually the maximum grade of competence targeted at the ISCED3 level. Note that a B2 level can </w:t>
      </w:r>
      <w:proofErr w:type="gramStart"/>
      <w:r w:rsidRPr="004C0771">
        <w:rPr>
          <w:rFonts w:ascii="Times New Roman" w:hAnsi="Times New Roman"/>
          <w:sz w:val="24"/>
          <w:szCs w:val="24"/>
        </w:rPr>
        <w:t>be considered to be</w:t>
      </w:r>
      <w:proofErr w:type="gramEnd"/>
      <w:r w:rsidRPr="004C0771">
        <w:rPr>
          <w:rFonts w:ascii="Times New Roman" w:hAnsi="Times New Roman"/>
          <w:sz w:val="24"/>
          <w:szCs w:val="24"/>
        </w:rPr>
        <w:t xml:space="preserve"> the equivalent of ‘good’ </w:t>
      </w:r>
      <w:r>
        <w:rPr>
          <w:rFonts w:ascii="Times New Roman" w:hAnsi="Times New Roman"/>
          <w:sz w:val="24"/>
          <w:szCs w:val="24"/>
        </w:rPr>
        <w:t>(</w:t>
      </w:r>
      <w:r w:rsidRPr="004C0771">
        <w:rPr>
          <w:rFonts w:ascii="Times New Roman" w:hAnsi="Times New Roman"/>
          <w:sz w:val="24"/>
          <w:szCs w:val="24"/>
        </w:rPr>
        <w:t>and not ‘proficient’</w:t>
      </w:r>
      <w:r>
        <w:rPr>
          <w:rFonts w:ascii="Times New Roman" w:hAnsi="Times New Roman"/>
          <w:sz w:val="24"/>
          <w:szCs w:val="24"/>
        </w:rPr>
        <w:t xml:space="preserve">) </w:t>
      </w:r>
      <w:r w:rsidRPr="004C0771">
        <w:rPr>
          <w:rFonts w:ascii="Times New Roman" w:hAnsi="Times New Roman"/>
          <w:sz w:val="24"/>
          <w:szCs w:val="24"/>
        </w:rPr>
        <w:t xml:space="preserve">in the </w:t>
      </w:r>
      <w:r>
        <w:rPr>
          <w:rFonts w:ascii="Times New Roman" w:hAnsi="Times New Roman"/>
          <w:sz w:val="24"/>
          <w:szCs w:val="24"/>
        </w:rPr>
        <w:t xml:space="preserve">scale used in the </w:t>
      </w:r>
      <w:r w:rsidRPr="004C0771">
        <w:rPr>
          <w:rFonts w:ascii="Times New Roman" w:hAnsi="Times New Roman"/>
          <w:sz w:val="24"/>
          <w:szCs w:val="24"/>
        </w:rPr>
        <w:t>AES.</w:t>
      </w:r>
    </w:p>
    <w:p w14:paraId="69A642DC" w14:textId="382DE0EB" w:rsidR="007F446F" w:rsidRPr="004C0771" w:rsidRDefault="007F446F" w:rsidP="006233DD">
      <w:pPr>
        <w:spacing w:line="480" w:lineRule="auto"/>
        <w:jc w:val="both"/>
        <w:rPr>
          <w:rFonts w:ascii="Times New Roman" w:eastAsia="Times New Roman" w:hAnsi="Times New Roman"/>
          <w:sz w:val="24"/>
          <w:szCs w:val="24"/>
          <w:lang w:eastAsia="it-IT"/>
        </w:rPr>
      </w:pPr>
      <w:r w:rsidRPr="004C0771">
        <w:rPr>
          <w:rFonts w:ascii="Times New Roman" w:eastAsia="Times New Roman" w:hAnsi="Times New Roman"/>
          <w:sz w:val="24"/>
          <w:szCs w:val="24"/>
          <w:lang w:eastAsia="it-IT"/>
        </w:rPr>
        <w:t xml:space="preserve">Third, the development a bilingual education system through new teaching methods such as CLIL — Content and Language Integrated Learning — and CALL — Computer assisted language </w:t>
      </w:r>
      <w:r w:rsidRPr="004C0771">
        <w:rPr>
          <w:rFonts w:ascii="Times New Roman" w:eastAsia="Times New Roman" w:hAnsi="Times New Roman"/>
          <w:sz w:val="24"/>
          <w:szCs w:val="24"/>
          <w:lang w:eastAsia="it-IT"/>
        </w:rPr>
        <w:lastRenderedPageBreak/>
        <w:t xml:space="preserve">learning — (Scott and Beadle </w:t>
      </w:r>
      <w:hyperlink w:anchor="_ENREF_48" w:tooltip="Scott, 2014 #1169" w:history="1">
        <w:r w:rsidRPr="004C0771">
          <w:rPr>
            <w:rFonts w:ascii="Times New Roman" w:eastAsia="Times New Roman" w:hAnsi="Times New Roman"/>
            <w:sz w:val="24"/>
            <w:szCs w:val="24"/>
            <w:lang w:eastAsia="it-IT"/>
          </w:rPr>
          <w:fldChar w:fldCharType="begin"/>
        </w:r>
        <w:r w:rsidRPr="004C0771">
          <w:rPr>
            <w:rFonts w:ascii="Times New Roman" w:eastAsia="Times New Roman" w:hAnsi="Times New Roman"/>
            <w:sz w:val="24"/>
            <w:szCs w:val="24"/>
            <w:lang w:eastAsia="it-IT"/>
          </w:rPr>
          <w:instrText xml:space="preserve"> ADDIN EN.CITE &lt;EndNote&gt;&lt;Cite ExcludeAuth="1"&gt;&lt;Author&gt;Scott&lt;/Author&gt;&lt;Year&gt;2014&lt;/Year&gt;&lt;RecNum&gt;1169&lt;/RecNum&gt;&lt;DisplayText&gt;2014&lt;/DisplayText&gt;&lt;record&gt;&lt;rec-number&gt;1169&lt;/rec-number&gt;&lt;foreign-keys&gt;&lt;key app="EN" db-id="wvvszzd93a0z5wesdfpvdv9z5wrra5p05axp"&gt;1169&lt;/key&gt;&lt;/foreign-keys&gt;&lt;ref-type name="Report"&gt;27&lt;/ref-type&gt;&lt;contributors&gt;&lt;authors&gt;&lt;author&gt;Scott, David&lt;/author&gt;&lt;author&gt;Beadle, Shane&lt;/author&gt;&lt;/authors&gt;&lt;/contributors&gt;&lt;titles&gt;&lt;title&gt;Improving the effectiveness of language learning: CLIL and computer assisted language learning&lt;/title&gt;&lt;/titles&gt;&lt;dates&gt;&lt;year&gt;2014&lt;/year&gt;&lt;/dates&gt;&lt;pub-location&gt;Brussels&lt;/pub-location&gt;&lt;publisher&gt;European Commission&lt;/publisher&gt;&lt;urls&gt;&lt;/urls&gt;&lt;/record&gt;&lt;/Cite&gt;&lt;/EndNote&gt;</w:instrText>
        </w:r>
        <w:r w:rsidRPr="004C0771">
          <w:rPr>
            <w:rFonts w:ascii="Times New Roman" w:eastAsia="Times New Roman" w:hAnsi="Times New Roman"/>
            <w:sz w:val="24"/>
            <w:szCs w:val="24"/>
            <w:lang w:eastAsia="it-IT"/>
          </w:rPr>
          <w:fldChar w:fldCharType="separate"/>
        </w:r>
        <w:r w:rsidRPr="004C0771">
          <w:rPr>
            <w:rFonts w:ascii="Times New Roman" w:eastAsia="Times New Roman" w:hAnsi="Times New Roman"/>
            <w:sz w:val="24"/>
            <w:szCs w:val="24"/>
            <w:lang w:eastAsia="it-IT"/>
          </w:rPr>
          <w:t>2014</w:t>
        </w:r>
        <w:r w:rsidRPr="004C0771">
          <w:rPr>
            <w:rFonts w:ascii="Times New Roman" w:eastAsia="Times New Roman" w:hAnsi="Times New Roman"/>
            <w:sz w:val="24"/>
            <w:szCs w:val="24"/>
            <w:lang w:eastAsia="it-IT"/>
          </w:rPr>
          <w:fldChar w:fldCharType="end"/>
        </w:r>
      </w:hyperlink>
      <w:r w:rsidRPr="004C0771">
        <w:rPr>
          <w:rFonts w:ascii="Times New Roman" w:eastAsia="Times New Roman" w:hAnsi="Times New Roman"/>
          <w:sz w:val="24"/>
          <w:szCs w:val="24"/>
          <w:lang w:eastAsia="it-IT"/>
        </w:rPr>
        <w:t>) requires considerable investments in teacher training. Member States are not necessarily willing to give priority to such investments, especially in Southern Europe where the public sector is subject to fiscal austerity measures. For example, Law N° 107/2015 in Italy introduced CLIL in the public education system, but it specifies that its implementation must take place ‘without draining further resources on public finances’ (Article 1.7).</w:t>
      </w:r>
      <w:r w:rsidRPr="004C0771">
        <w:rPr>
          <w:rStyle w:val="FootnoteReference"/>
          <w:rFonts w:ascii="Times New Roman" w:hAnsi="Times New Roman"/>
          <w:sz w:val="24"/>
          <w:szCs w:val="24"/>
        </w:rPr>
        <w:footnoteReference w:id="10"/>
      </w:r>
    </w:p>
    <w:p w14:paraId="0C869C48" w14:textId="47275912" w:rsidR="0003355E" w:rsidRPr="004C0771" w:rsidRDefault="0003355E" w:rsidP="006233DD">
      <w:pPr>
        <w:spacing w:line="480" w:lineRule="auto"/>
        <w:jc w:val="both"/>
        <w:rPr>
          <w:rFonts w:ascii="Times New Roman" w:eastAsia="Times New Roman" w:hAnsi="Times New Roman"/>
          <w:sz w:val="24"/>
          <w:szCs w:val="24"/>
          <w:lang w:eastAsia="it-IT"/>
        </w:rPr>
      </w:pPr>
      <w:r w:rsidRPr="004C0771">
        <w:rPr>
          <w:rFonts w:ascii="Times New Roman" w:eastAsia="Times New Roman" w:hAnsi="Times New Roman"/>
          <w:sz w:val="24"/>
          <w:szCs w:val="24"/>
          <w:lang w:eastAsia="it-IT"/>
        </w:rPr>
        <w:t xml:space="preserve">Finally, old education problems </w:t>
      </w:r>
      <w:proofErr w:type="gramStart"/>
      <w:r w:rsidRPr="004C0771">
        <w:rPr>
          <w:rFonts w:ascii="Times New Roman" w:eastAsia="Times New Roman" w:hAnsi="Times New Roman"/>
          <w:sz w:val="24"/>
          <w:szCs w:val="24"/>
          <w:lang w:eastAsia="it-IT"/>
        </w:rPr>
        <w:t>persist</w:t>
      </w:r>
      <w:proofErr w:type="gramEnd"/>
      <w:r w:rsidRPr="004C0771">
        <w:rPr>
          <w:rFonts w:ascii="Times New Roman" w:eastAsia="Times New Roman" w:hAnsi="Times New Roman"/>
          <w:sz w:val="24"/>
          <w:szCs w:val="24"/>
          <w:lang w:eastAsia="it-IT"/>
        </w:rPr>
        <w:t xml:space="preserve"> and new problems arise. Almost one fourth of 15-year olds are low performers in reading literacy in their mother tongue, and this share has increased in recent years (</w:t>
      </w:r>
      <w:hyperlink w:anchor="_ENREF_14" w:tooltip="European Commission, 2010 #1167" w:history="1">
        <w:r w:rsidR="0049085B" w:rsidRPr="004C0771">
          <w:rPr>
            <w:rFonts w:ascii="Times New Roman" w:eastAsia="Times New Roman" w:hAnsi="Times New Roman"/>
            <w:sz w:val="24"/>
            <w:szCs w:val="24"/>
            <w:lang w:eastAsia="it-IT"/>
          </w:rPr>
          <w:fldChar w:fldCharType="begin"/>
        </w:r>
        <w:r w:rsidR="0049085B" w:rsidRPr="004C0771">
          <w:rPr>
            <w:rFonts w:ascii="Times New Roman" w:eastAsia="Times New Roman" w:hAnsi="Times New Roman"/>
            <w:sz w:val="24"/>
            <w:szCs w:val="24"/>
            <w:lang w:eastAsia="it-IT"/>
          </w:rPr>
          <w:instrText xml:space="preserve"> ADDIN EN.CITE &lt;EndNote&gt;&lt;Cite&gt;&lt;Author&gt;European Commission&lt;/Author&gt;&lt;Year&gt;2010&lt;/Year&gt;&lt;RecNum&gt;1167&lt;/RecNum&gt;&lt;Pages&gt;3&lt;/Pages&gt;&lt;DisplayText&gt;European Commission 2010b: 3&lt;/DisplayText&gt;&lt;record&gt;&lt;rec-number&gt;1167&lt;/rec-number&gt;&lt;foreign-keys&gt;&lt;key app="EN" db-id="wvvszzd93a0z5wesdfpvdv9z5wrra5p05axp"&gt;1167&lt;/key&gt;&lt;/foreign-keys&gt;&lt;ref-type name="Report"&gt;27&lt;/ref-type&gt;&lt;contributors&gt;&lt;authors&gt;&lt;author&gt;European Commission,&lt;/author&gt;&lt;/authors&gt;&lt;/contributors&gt;&lt;titles&gt;&lt;title&gt;Youth on the Move. An initiative to unleash the potential of young people to achieve smart, sustainable and inclusive growth in the European Union&lt;/title&gt;&lt;/titles&gt;&lt;dates&gt;&lt;year&gt;2010&lt;/year&gt;&lt;/dates&gt;&lt;pub-location&gt;Luxembourg&lt;/pub-location&gt;&lt;publisher&gt;European Commission&lt;/publisher&gt;&lt;urls&gt;&lt;/urls&gt;&lt;/record&gt;&lt;/Cite&gt;&lt;/EndNote&gt;</w:instrText>
        </w:r>
        <w:r w:rsidR="0049085B" w:rsidRPr="004C0771">
          <w:rPr>
            <w:rFonts w:ascii="Times New Roman" w:eastAsia="Times New Roman" w:hAnsi="Times New Roman"/>
            <w:sz w:val="24"/>
            <w:szCs w:val="24"/>
            <w:lang w:eastAsia="it-IT"/>
          </w:rPr>
          <w:fldChar w:fldCharType="separate"/>
        </w:r>
        <w:r w:rsidR="0049085B" w:rsidRPr="004C0771">
          <w:rPr>
            <w:rFonts w:ascii="Times New Roman" w:eastAsia="Times New Roman" w:hAnsi="Times New Roman"/>
            <w:sz w:val="24"/>
            <w:szCs w:val="24"/>
            <w:lang w:eastAsia="it-IT"/>
          </w:rPr>
          <w:t>European Commission</w:t>
        </w:r>
        <w:r w:rsidR="00AB3808" w:rsidRPr="004C0771">
          <w:rPr>
            <w:rFonts w:ascii="Times New Roman" w:eastAsia="Times New Roman" w:hAnsi="Times New Roman"/>
            <w:sz w:val="24"/>
            <w:szCs w:val="24"/>
            <w:lang w:eastAsia="it-IT"/>
          </w:rPr>
          <w:t>,</w:t>
        </w:r>
        <w:r w:rsidR="0049085B" w:rsidRPr="004C0771">
          <w:rPr>
            <w:rFonts w:ascii="Times New Roman" w:eastAsia="Times New Roman" w:hAnsi="Times New Roman"/>
            <w:sz w:val="24"/>
            <w:szCs w:val="24"/>
            <w:lang w:eastAsia="it-IT"/>
          </w:rPr>
          <w:t xml:space="preserve"> 2010b: 3</w:t>
        </w:r>
        <w:r w:rsidR="0049085B" w:rsidRPr="004C0771">
          <w:rPr>
            <w:rFonts w:ascii="Times New Roman" w:eastAsia="Times New Roman" w:hAnsi="Times New Roman"/>
            <w:sz w:val="24"/>
            <w:szCs w:val="24"/>
            <w:lang w:eastAsia="it-IT"/>
          </w:rPr>
          <w:fldChar w:fldCharType="end"/>
        </w:r>
      </w:hyperlink>
      <w:r w:rsidRPr="004C0771">
        <w:rPr>
          <w:rFonts w:ascii="Times New Roman" w:eastAsia="Times New Roman" w:hAnsi="Times New Roman"/>
          <w:sz w:val="24"/>
          <w:szCs w:val="24"/>
          <w:lang w:eastAsia="it-IT"/>
        </w:rPr>
        <w:t xml:space="preserve">). Recent </w:t>
      </w:r>
      <w:r w:rsidR="002C3A60">
        <w:rPr>
          <w:rFonts w:ascii="Times New Roman" w:eastAsia="Times New Roman" w:hAnsi="Times New Roman"/>
          <w:sz w:val="24"/>
          <w:szCs w:val="24"/>
          <w:lang w:eastAsia="it-IT"/>
        </w:rPr>
        <w:t xml:space="preserve">massive </w:t>
      </w:r>
      <w:r w:rsidRPr="004C0771">
        <w:rPr>
          <w:rFonts w:ascii="Times New Roman" w:eastAsia="Times New Roman" w:hAnsi="Times New Roman"/>
          <w:sz w:val="24"/>
          <w:szCs w:val="24"/>
          <w:lang w:eastAsia="it-IT"/>
        </w:rPr>
        <w:t xml:space="preserve">migration flows could add complexity to the current </w:t>
      </w:r>
      <w:r w:rsidR="002C3A60">
        <w:rPr>
          <w:rFonts w:ascii="Times New Roman" w:eastAsia="Times New Roman" w:hAnsi="Times New Roman"/>
          <w:sz w:val="24"/>
          <w:szCs w:val="24"/>
          <w:lang w:eastAsia="it-IT"/>
        </w:rPr>
        <w:t>situation</w:t>
      </w:r>
      <w:r w:rsidRPr="004C0771">
        <w:rPr>
          <w:rFonts w:ascii="Times New Roman" w:eastAsia="Times New Roman" w:hAnsi="Times New Roman"/>
          <w:sz w:val="24"/>
          <w:szCs w:val="24"/>
          <w:lang w:eastAsia="it-IT"/>
        </w:rPr>
        <w:t>, because ‘students with a migrant background score systematically less well than domestic students, notably because of insufficient command of the language of instruction’ (</w:t>
      </w:r>
      <w:hyperlink w:anchor="_ENREF_12" w:tooltip="European Commission, 2008 #1145" w:history="1">
        <w:r w:rsidR="0049085B" w:rsidRPr="004C0771">
          <w:rPr>
            <w:rFonts w:ascii="Times New Roman" w:eastAsia="Times New Roman" w:hAnsi="Times New Roman"/>
            <w:sz w:val="24"/>
            <w:szCs w:val="24"/>
            <w:lang w:eastAsia="it-IT"/>
          </w:rPr>
          <w:fldChar w:fldCharType="begin"/>
        </w:r>
        <w:r w:rsidR="0049085B" w:rsidRPr="004C0771">
          <w:rPr>
            <w:rFonts w:ascii="Times New Roman" w:eastAsia="Times New Roman" w:hAnsi="Times New Roman"/>
            <w:sz w:val="24"/>
            <w:szCs w:val="24"/>
            <w:lang w:eastAsia="it-IT"/>
          </w:rPr>
          <w:instrText xml:space="preserve"> ADDIN EN.CITE &lt;EndNote&gt;&lt;Cite&gt;&lt;Author&gt;European Commission&lt;/Author&gt;&lt;Year&gt;2008&lt;/Year&gt;&lt;RecNum&gt;1145&lt;/RecNum&gt;&lt;Pages&gt;20&lt;/Pages&gt;&lt;DisplayText&gt;European Commission 2008: 20&lt;/DisplayText&gt;&lt;record&gt;&lt;rec-number&gt;1145&lt;/rec-number&gt;&lt;foreign-keys&gt;&lt;key app="EN" db-id="wvvszzd93a0z5wesdfpvdv9z5wrra5p05axp"&gt;1145&lt;/key&gt;&lt;/foreign-keys&gt;&lt;ref-type name="Report"&gt;27&lt;/ref-type&gt;&lt;contributors&gt;&lt;authors&gt;&lt;author&gt;European Commission,&lt;/author&gt;&lt;/authors&gt;&lt;/contributors&gt;&lt;titles&gt;&lt;title&gt;Impact assessment. Accompanying document to the communication &amp;quot;Multilingualism: an asset for Europe and a shared commitment&amp;quot;&lt;/title&gt;&lt;secondary-title&gt;COM(2008) 2444&lt;/secondary-title&gt;&lt;/titles&gt;&lt;dates&gt;&lt;year&gt;2008&lt;/year&gt;&lt;/dates&gt;&lt;pub-location&gt;Brussels&lt;/pub-location&gt;&lt;publisher&gt;European Commission&lt;/publisher&gt;&lt;urls&gt;&lt;/urls&gt;&lt;/record&gt;&lt;/Cite&gt;&lt;/EndNote&gt;</w:instrText>
        </w:r>
        <w:r w:rsidR="0049085B" w:rsidRPr="004C0771">
          <w:rPr>
            <w:rFonts w:ascii="Times New Roman" w:eastAsia="Times New Roman" w:hAnsi="Times New Roman"/>
            <w:sz w:val="24"/>
            <w:szCs w:val="24"/>
            <w:lang w:eastAsia="it-IT"/>
          </w:rPr>
          <w:fldChar w:fldCharType="separate"/>
        </w:r>
        <w:r w:rsidR="0049085B" w:rsidRPr="004C0771">
          <w:rPr>
            <w:rFonts w:ascii="Times New Roman" w:eastAsia="Times New Roman" w:hAnsi="Times New Roman"/>
            <w:sz w:val="24"/>
            <w:szCs w:val="24"/>
            <w:lang w:eastAsia="it-IT"/>
          </w:rPr>
          <w:t>European Commission</w:t>
        </w:r>
        <w:r w:rsidR="00B24813" w:rsidRPr="004C0771">
          <w:rPr>
            <w:rFonts w:ascii="Times New Roman" w:eastAsia="Times New Roman" w:hAnsi="Times New Roman"/>
            <w:sz w:val="24"/>
            <w:szCs w:val="24"/>
            <w:lang w:eastAsia="it-IT"/>
          </w:rPr>
          <w:t>,</w:t>
        </w:r>
        <w:r w:rsidR="0049085B" w:rsidRPr="004C0771">
          <w:rPr>
            <w:rFonts w:ascii="Times New Roman" w:eastAsia="Times New Roman" w:hAnsi="Times New Roman"/>
            <w:sz w:val="24"/>
            <w:szCs w:val="24"/>
            <w:lang w:eastAsia="it-IT"/>
          </w:rPr>
          <w:t xml:space="preserve"> 2008: 20</w:t>
        </w:r>
        <w:r w:rsidR="0049085B" w:rsidRPr="004C0771">
          <w:rPr>
            <w:rFonts w:ascii="Times New Roman" w:eastAsia="Times New Roman" w:hAnsi="Times New Roman"/>
            <w:sz w:val="24"/>
            <w:szCs w:val="24"/>
            <w:lang w:eastAsia="it-IT"/>
          </w:rPr>
          <w:fldChar w:fldCharType="end"/>
        </w:r>
      </w:hyperlink>
      <w:r w:rsidRPr="004C0771">
        <w:rPr>
          <w:rFonts w:ascii="Times New Roman" w:eastAsia="Times New Roman" w:hAnsi="Times New Roman"/>
          <w:sz w:val="24"/>
          <w:szCs w:val="24"/>
          <w:lang w:eastAsia="it-IT"/>
        </w:rPr>
        <w:t xml:space="preserve">). </w:t>
      </w:r>
      <w:r w:rsidR="00471BE9" w:rsidRPr="004C0771">
        <w:rPr>
          <w:rFonts w:ascii="Times New Roman" w:eastAsia="Times New Roman" w:hAnsi="Times New Roman"/>
          <w:sz w:val="24"/>
          <w:szCs w:val="24"/>
          <w:lang w:eastAsia="it-IT"/>
        </w:rPr>
        <w:t>As</w:t>
      </w:r>
      <w:r w:rsidRPr="004C0771">
        <w:rPr>
          <w:rFonts w:ascii="Times New Roman" w:eastAsia="Times New Roman" w:hAnsi="Times New Roman"/>
          <w:sz w:val="24"/>
          <w:szCs w:val="24"/>
          <w:lang w:eastAsia="it-IT"/>
        </w:rPr>
        <w:t xml:space="preserve"> different young </w:t>
      </w:r>
      <w:r w:rsidR="002C3A60">
        <w:rPr>
          <w:rFonts w:ascii="Times New Roman" w:eastAsia="Times New Roman" w:hAnsi="Times New Roman"/>
          <w:sz w:val="24"/>
          <w:szCs w:val="24"/>
          <w:lang w:eastAsia="it-IT"/>
        </w:rPr>
        <w:t>people in Europe</w:t>
      </w:r>
      <w:r w:rsidRPr="004C0771">
        <w:rPr>
          <w:rFonts w:ascii="Times New Roman" w:eastAsia="Times New Roman" w:hAnsi="Times New Roman"/>
          <w:sz w:val="24"/>
          <w:szCs w:val="24"/>
          <w:lang w:eastAsia="it-IT"/>
        </w:rPr>
        <w:t xml:space="preserve"> still experience some difficult</w:t>
      </w:r>
      <w:r w:rsidR="009A6280" w:rsidRPr="004C0771">
        <w:rPr>
          <w:rFonts w:ascii="Times New Roman" w:eastAsia="Times New Roman" w:hAnsi="Times New Roman"/>
          <w:sz w:val="24"/>
          <w:szCs w:val="24"/>
          <w:lang w:eastAsia="it-IT"/>
        </w:rPr>
        <w:t>y</w:t>
      </w:r>
      <w:r w:rsidRPr="004C0771">
        <w:rPr>
          <w:rFonts w:ascii="Times New Roman" w:eastAsia="Times New Roman" w:hAnsi="Times New Roman"/>
          <w:sz w:val="24"/>
          <w:szCs w:val="24"/>
          <w:lang w:eastAsia="it-IT"/>
        </w:rPr>
        <w:t xml:space="preserve"> in reading in their mother tongue or </w:t>
      </w:r>
      <w:r w:rsidR="002C3A60">
        <w:rPr>
          <w:rFonts w:ascii="Times New Roman" w:eastAsia="Times New Roman" w:hAnsi="Times New Roman"/>
          <w:sz w:val="24"/>
          <w:szCs w:val="24"/>
          <w:lang w:eastAsia="it-IT"/>
        </w:rPr>
        <w:t xml:space="preserve">in </w:t>
      </w:r>
      <w:r w:rsidRPr="004C0771">
        <w:rPr>
          <w:rFonts w:ascii="Times New Roman" w:eastAsia="Times New Roman" w:hAnsi="Times New Roman"/>
          <w:sz w:val="24"/>
          <w:szCs w:val="24"/>
          <w:lang w:eastAsia="it-IT"/>
        </w:rPr>
        <w:t xml:space="preserve">developing good skills in the official language of </w:t>
      </w:r>
      <w:r w:rsidR="002C3A60">
        <w:rPr>
          <w:rFonts w:ascii="Times New Roman" w:eastAsia="Times New Roman" w:hAnsi="Times New Roman"/>
          <w:sz w:val="24"/>
          <w:szCs w:val="24"/>
          <w:lang w:eastAsia="it-IT"/>
        </w:rPr>
        <w:t>the</w:t>
      </w:r>
      <w:r w:rsidRPr="004C0771">
        <w:rPr>
          <w:rFonts w:ascii="Times New Roman" w:eastAsia="Times New Roman" w:hAnsi="Times New Roman"/>
          <w:sz w:val="24"/>
          <w:szCs w:val="24"/>
          <w:lang w:eastAsia="it-IT"/>
        </w:rPr>
        <w:t xml:space="preserve"> host country, it is likely that they </w:t>
      </w:r>
      <w:r w:rsidR="00E4478D" w:rsidRPr="004C0771">
        <w:rPr>
          <w:rFonts w:ascii="Times New Roman" w:eastAsia="Times New Roman" w:hAnsi="Times New Roman"/>
          <w:sz w:val="24"/>
          <w:szCs w:val="24"/>
          <w:lang w:eastAsia="it-IT"/>
        </w:rPr>
        <w:t xml:space="preserve">would </w:t>
      </w:r>
      <w:r w:rsidRPr="004C0771">
        <w:rPr>
          <w:rFonts w:ascii="Times New Roman" w:eastAsia="Times New Roman" w:hAnsi="Times New Roman"/>
          <w:sz w:val="24"/>
          <w:szCs w:val="24"/>
          <w:lang w:eastAsia="it-IT"/>
        </w:rPr>
        <w:t xml:space="preserve">have even more </w:t>
      </w:r>
      <w:r w:rsidR="00083069" w:rsidRPr="004C0771">
        <w:rPr>
          <w:rFonts w:ascii="Times New Roman" w:eastAsia="Times New Roman" w:hAnsi="Times New Roman"/>
          <w:sz w:val="24"/>
          <w:szCs w:val="24"/>
          <w:lang w:eastAsia="it-IT"/>
        </w:rPr>
        <w:t xml:space="preserve">serious </w:t>
      </w:r>
      <w:r w:rsidRPr="004C0771">
        <w:rPr>
          <w:rFonts w:ascii="Times New Roman" w:eastAsia="Times New Roman" w:hAnsi="Times New Roman"/>
          <w:sz w:val="24"/>
          <w:szCs w:val="24"/>
          <w:lang w:eastAsia="it-IT"/>
        </w:rPr>
        <w:t>problems in understanding complex texts written (or uttered) in a foreign language.</w:t>
      </w:r>
    </w:p>
    <w:p w14:paraId="232630FA" w14:textId="77DBE799" w:rsidR="00337EC5" w:rsidRPr="004C0771" w:rsidRDefault="002E61A9" w:rsidP="006233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480" w:lineRule="auto"/>
        <w:jc w:val="both"/>
        <w:rPr>
          <w:rFonts w:ascii="Times New Roman" w:hAnsi="Times New Roman"/>
          <w:sz w:val="24"/>
          <w:szCs w:val="24"/>
        </w:rPr>
      </w:pPr>
      <w:r w:rsidRPr="004C0771">
        <w:rPr>
          <w:rFonts w:ascii="Times New Roman" w:hAnsi="Times New Roman"/>
          <w:sz w:val="24"/>
          <w:szCs w:val="24"/>
        </w:rPr>
        <w:t xml:space="preserve">Clearly, budget constraints at the EU level cannot be ignored, and no one expects that every single document be translated into all official languages. Nevertheless, </w:t>
      </w:r>
      <w:r w:rsidR="0050260D" w:rsidRPr="004C0771">
        <w:rPr>
          <w:rFonts w:ascii="Times New Roman" w:hAnsi="Times New Roman"/>
          <w:sz w:val="24"/>
          <w:szCs w:val="24"/>
        </w:rPr>
        <w:t xml:space="preserve">it probably too early to dismiss </w:t>
      </w:r>
      <w:r w:rsidR="00083069" w:rsidRPr="004C0771">
        <w:rPr>
          <w:rFonts w:ascii="Times New Roman" w:hAnsi="Times New Roman"/>
          <w:sz w:val="24"/>
          <w:szCs w:val="24"/>
        </w:rPr>
        <w:t xml:space="preserve">EU </w:t>
      </w:r>
      <w:r w:rsidR="0050260D" w:rsidRPr="004C0771">
        <w:rPr>
          <w:rFonts w:ascii="Times New Roman" w:hAnsi="Times New Roman"/>
          <w:sz w:val="24"/>
          <w:szCs w:val="24"/>
        </w:rPr>
        <w:t xml:space="preserve">translation and interpreting </w:t>
      </w:r>
      <w:r w:rsidR="00641FE8" w:rsidRPr="004C0771">
        <w:rPr>
          <w:rFonts w:ascii="Times New Roman" w:hAnsi="Times New Roman"/>
          <w:sz w:val="24"/>
          <w:szCs w:val="24"/>
        </w:rPr>
        <w:t xml:space="preserve">services </w:t>
      </w:r>
      <w:r w:rsidR="0050260D" w:rsidRPr="004C0771">
        <w:rPr>
          <w:rFonts w:ascii="Times New Roman" w:hAnsi="Times New Roman"/>
          <w:sz w:val="24"/>
          <w:szCs w:val="24"/>
        </w:rPr>
        <w:t>as a luxury good</w:t>
      </w:r>
      <w:r w:rsidR="008D65F6" w:rsidRPr="004C0771">
        <w:rPr>
          <w:rFonts w:ascii="Times New Roman" w:hAnsi="Times New Roman"/>
          <w:sz w:val="24"/>
          <w:szCs w:val="24"/>
        </w:rPr>
        <w:t xml:space="preserve"> altogether</w:t>
      </w:r>
      <w:r w:rsidR="0050260D" w:rsidRPr="004C0771">
        <w:rPr>
          <w:rFonts w:ascii="Times New Roman" w:hAnsi="Times New Roman"/>
          <w:sz w:val="24"/>
          <w:szCs w:val="24"/>
        </w:rPr>
        <w:t xml:space="preserve">. </w:t>
      </w:r>
      <w:r w:rsidR="00E253DF" w:rsidRPr="004C0771">
        <w:rPr>
          <w:rFonts w:ascii="Times New Roman" w:hAnsi="Times New Roman"/>
          <w:sz w:val="24"/>
          <w:szCs w:val="24"/>
        </w:rPr>
        <w:t xml:space="preserve">It is incumbent to policy makers to evaluated trade-offs </w:t>
      </w:r>
      <w:r w:rsidR="004B0C3B" w:rsidRPr="004C0771">
        <w:rPr>
          <w:rFonts w:ascii="Times New Roman" w:hAnsi="Times New Roman"/>
          <w:sz w:val="24"/>
          <w:szCs w:val="24"/>
        </w:rPr>
        <w:t xml:space="preserve">and make decisions. </w:t>
      </w:r>
      <w:r w:rsidR="00326A1E" w:rsidRPr="004C0771">
        <w:rPr>
          <w:rFonts w:ascii="Times New Roman" w:hAnsi="Times New Roman"/>
          <w:sz w:val="24"/>
          <w:szCs w:val="24"/>
        </w:rPr>
        <w:t xml:space="preserve">The article does </w:t>
      </w:r>
      <w:r w:rsidR="0049085B" w:rsidRPr="004C0771">
        <w:rPr>
          <w:rFonts w:ascii="Times New Roman" w:hAnsi="Times New Roman"/>
          <w:sz w:val="24"/>
          <w:szCs w:val="24"/>
        </w:rPr>
        <w:t xml:space="preserve">not </w:t>
      </w:r>
      <w:r w:rsidR="00326A1E" w:rsidRPr="004C0771">
        <w:rPr>
          <w:rFonts w:ascii="Times New Roman" w:hAnsi="Times New Roman"/>
          <w:sz w:val="24"/>
          <w:szCs w:val="24"/>
        </w:rPr>
        <w:t xml:space="preserve">have particular normative implications (not primarily, at least). The analysis is meant to inform EU policy makers about the allocative and distributive effects of EU language policy today and in the foreseeable future, </w:t>
      </w:r>
      <w:r w:rsidR="00326A1E" w:rsidRPr="004C0771">
        <w:rPr>
          <w:rFonts w:ascii="Times New Roman" w:hAnsi="Times New Roman"/>
          <w:sz w:val="24"/>
          <w:szCs w:val="24"/>
        </w:rPr>
        <w:lastRenderedPageBreak/>
        <w:t xml:space="preserve">thereby helping them in making more informed decisions. </w:t>
      </w:r>
      <w:r w:rsidR="00334B68" w:rsidRPr="004C0771">
        <w:rPr>
          <w:rFonts w:ascii="Times New Roman" w:hAnsi="Times New Roman"/>
          <w:sz w:val="24"/>
          <w:szCs w:val="24"/>
        </w:rPr>
        <w:t>It is worth noting</w:t>
      </w:r>
      <w:r w:rsidR="00283E93" w:rsidRPr="004C0771">
        <w:rPr>
          <w:rFonts w:ascii="Times New Roman" w:hAnsi="Times New Roman"/>
          <w:sz w:val="24"/>
          <w:szCs w:val="24"/>
        </w:rPr>
        <w:t xml:space="preserve">, </w:t>
      </w:r>
      <w:r w:rsidR="00471BE9" w:rsidRPr="004C0771">
        <w:rPr>
          <w:rFonts w:ascii="Times New Roman" w:hAnsi="Times New Roman"/>
          <w:sz w:val="24"/>
          <w:szCs w:val="24"/>
        </w:rPr>
        <w:t>however</w:t>
      </w:r>
      <w:r w:rsidR="00283E93" w:rsidRPr="004C0771">
        <w:rPr>
          <w:rFonts w:ascii="Times New Roman" w:hAnsi="Times New Roman"/>
          <w:sz w:val="24"/>
          <w:szCs w:val="24"/>
        </w:rPr>
        <w:t xml:space="preserve">, that the disenfranchisement rate used in this article is admittedly a rough indicator of potential participation in the EU business, as it is based on a simplistic definition of communication as information transfer. It is well known, indeed, that the value attached to languages goes beyond </w:t>
      </w:r>
      <w:r w:rsidR="009A6280" w:rsidRPr="00BF7259">
        <w:rPr>
          <w:rFonts w:ascii="Times New Roman" w:hAnsi="Times New Roman"/>
          <w:sz w:val="24"/>
          <w:szCs w:val="24"/>
          <w:highlight w:val="yellow"/>
        </w:rPr>
        <w:t>its</w:t>
      </w:r>
      <w:r w:rsidR="00283E93" w:rsidRPr="004C0771">
        <w:rPr>
          <w:rFonts w:ascii="Times New Roman" w:hAnsi="Times New Roman"/>
          <w:sz w:val="24"/>
          <w:szCs w:val="24"/>
        </w:rPr>
        <w:t xml:space="preserve"> simple communicative value. There are also symbolic costs </w:t>
      </w:r>
      <w:r w:rsidR="00C572A7" w:rsidRPr="004C0771">
        <w:rPr>
          <w:rFonts w:ascii="Times New Roman" w:hAnsi="Times New Roman"/>
          <w:sz w:val="24"/>
          <w:szCs w:val="24"/>
        </w:rPr>
        <w:t>resulting from</w:t>
      </w:r>
      <w:r w:rsidR="00283E93" w:rsidRPr="004C0771">
        <w:rPr>
          <w:rFonts w:ascii="Times New Roman" w:hAnsi="Times New Roman"/>
          <w:sz w:val="24"/>
          <w:szCs w:val="24"/>
        </w:rPr>
        <w:t xml:space="preserve"> depriving many Europeans of the opportunity to use their native language within the EU</w:t>
      </w:r>
      <w:r w:rsidR="00C572A7" w:rsidRPr="004C0771">
        <w:rPr>
          <w:rFonts w:ascii="Times New Roman" w:hAnsi="Times New Roman"/>
          <w:sz w:val="24"/>
          <w:szCs w:val="24"/>
        </w:rPr>
        <w:t>. Such cost</w:t>
      </w:r>
      <w:r w:rsidR="004B0C3B" w:rsidRPr="004C0771">
        <w:rPr>
          <w:rFonts w:ascii="Times New Roman" w:hAnsi="Times New Roman"/>
          <w:sz w:val="24"/>
          <w:szCs w:val="24"/>
        </w:rPr>
        <w:t>s</w:t>
      </w:r>
      <w:r w:rsidR="00C572A7" w:rsidRPr="004C0771">
        <w:rPr>
          <w:rFonts w:ascii="Times New Roman" w:hAnsi="Times New Roman"/>
          <w:sz w:val="24"/>
          <w:szCs w:val="24"/>
        </w:rPr>
        <w:t xml:space="preserve"> should </w:t>
      </w:r>
      <w:r w:rsidR="004B0C3B" w:rsidRPr="004C0771">
        <w:rPr>
          <w:rFonts w:ascii="Times New Roman" w:hAnsi="Times New Roman"/>
          <w:sz w:val="24"/>
          <w:szCs w:val="24"/>
        </w:rPr>
        <w:t xml:space="preserve">not be neglected </w:t>
      </w:r>
      <w:r w:rsidR="00283E93" w:rsidRPr="004C0771">
        <w:rPr>
          <w:rFonts w:ascii="Times New Roman" w:hAnsi="Times New Roman"/>
          <w:sz w:val="24"/>
          <w:szCs w:val="24"/>
        </w:rPr>
        <w:t xml:space="preserve">in </w:t>
      </w:r>
      <w:r w:rsidR="00471BE9" w:rsidRPr="004C0771">
        <w:rPr>
          <w:rFonts w:ascii="Times New Roman" w:hAnsi="Times New Roman"/>
          <w:sz w:val="24"/>
          <w:szCs w:val="24"/>
        </w:rPr>
        <w:t>LPP</w:t>
      </w:r>
      <w:r w:rsidR="00635C5D" w:rsidRPr="004C0771">
        <w:rPr>
          <w:rFonts w:ascii="Times New Roman" w:hAnsi="Times New Roman"/>
          <w:sz w:val="24"/>
          <w:szCs w:val="24"/>
        </w:rPr>
        <w:t xml:space="preserve"> </w:t>
      </w:r>
      <w:r w:rsidR="00CC62DD" w:rsidRPr="004C0771">
        <w:rPr>
          <w:rFonts w:ascii="Times New Roman" w:hAnsi="Times New Roman"/>
          <w:sz w:val="24"/>
          <w:szCs w:val="24"/>
        </w:rPr>
        <w:t>(Grin and Vaillancourt</w:t>
      </w:r>
      <w:r w:rsidR="00322D90" w:rsidRPr="004C0771">
        <w:rPr>
          <w:rFonts w:ascii="Times New Roman" w:hAnsi="Times New Roman"/>
          <w:sz w:val="24"/>
          <w:szCs w:val="24"/>
        </w:rPr>
        <w:t>,</w:t>
      </w:r>
      <w:r w:rsidR="00CC62DD" w:rsidRPr="004C0771">
        <w:rPr>
          <w:rFonts w:ascii="Times New Roman" w:hAnsi="Times New Roman"/>
          <w:sz w:val="24"/>
          <w:szCs w:val="24"/>
        </w:rPr>
        <w:t xml:space="preserve"> </w:t>
      </w:r>
      <w:hyperlink w:anchor="_ENREF_30" w:tooltip="Grin, 1997 #50" w:history="1">
        <w:r w:rsidR="0049085B" w:rsidRPr="004C0771">
          <w:rPr>
            <w:rFonts w:ascii="Times New Roman" w:hAnsi="Times New Roman"/>
            <w:sz w:val="24"/>
            <w:szCs w:val="24"/>
          </w:rPr>
          <w:fldChar w:fldCharType="begin"/>
        </w:r>
        <w:r w:rsidR="0049085B" w:rsidRPr="004C0771">
          <w:rPr>
            <w:rFonts w:ascii="Times New Roman" w:hAnsi="Times New Roman"/>
            <w:sz w:val="24"/>
            <w:szCs w:val="24"/>
          </w:rPr>
          <w:instrText xml:space="preserve"> ADDIN EN.CITE &lt;EndNote&gt;&lt;Cite ExcludeAuth="1"&gt;&lt;Author&gt;Grin&lt;/Author&gt;&lt;Year&gt;1997&lt;/Year&gt;&lt;RecNum&gt;50&lt;/RecNum&gt;&lt;DisplayText&gt;1997&lt;/DisplayText&gt;&lt;record&gt;&lt;rec-number&gt;50&lt;/rec-number&gt;&lt;foreign-keys&gt;&lt;key app="EN" db-id="wvvszzd93a0z5wesdfpvdv9z5wrra5p05axp"&gt;50&lt;/key&gt;&lt;/foreign-keys&gt;&lt;ref-type name="Journal Article"&gt;17&lt;/ref-type&gt;&lt;contributors&gt;&lt;authors&gt;&lt;author&gt;Grin, François&lt;/author&gt;&lt;author&gt;Vaillancourt, François&lt;/author&gt;&lt;/authors&gt;&lt;/contributors&gt;&lt;titles&gt;&lt;title&gt;The economics of multilingualism: Overview and analytical framework&lt;/title&gt;&lt;secondary-title&gt;Annual Review of Applied Linguistics&lt;/secondary-title&gt;&lt;/titles&gt;&lt;periodical&gt;&lt;full-title&gt;Annual Review of Applied Linguistics&lt;/full-title&gt;&lt;/periodical&gt;&lt;pages&gt;43-65&lt;/pages&gt;&lt;volume&gt;17&lt;/volume&gt;&lt;dates&gt;&lt;year&gt;1997&lt;/year&gt;&lt;/dates&gt;&lt;pub-location&gt;Cambridge (MA)&lt;/pub-location&gt;&lt;publisher&gt;Cambridge University Press&lt;/publisher&gt;&lt;urls&gt;&lt;/urls&gt;&lt;/record&gt;&lt;/Cite&gt;&lt;/EndNote&gt;</w:instrText>
        </w:r>
        <w:r w:rsidR="0049085B" w:rsidRPr="004C0771">
          <w:rPr>
            <w:rFonts w:ascii="Times New Roman" w:hAnsi="Times New Roman"/>
            <w:sz w:val="24"/>
            <w:szCs w:val="24"/>
          </w:rPr>
          <w:fldChar w:fldCharType="separate"/>
        </w:r>
        <w:r w:rsidR="0049085B" w:rsidRPr="004C0771">
          <w:rPr>
            <w:rFonts w:ascii="Times New Roman" w:hAnsi="Times New Roman"/>
            <w:sz w:val="24"/>
            <w:szCs w:val="24"/>
          </w:rPr>
          <w:t>1997</w:t>
        </w:r>
        <w:r w:rsidR="0049085B" w:rsidRPr="004C0771">
          <w:rPr>
            <w:rFonts w:ascii="Times New Roman" w:hAnsi="Times New Roman"/>
            <w:sz w:val="24"/>
            <w:szCs w:val="24"/>
          </w:rPr>
          <w:fldChar w:fldCharType="end"/>
        </w:r>
      </w:hyperlink>
      <w:r w:rsidR="00CC62DD" w:rsidRPr="004C0771">
        <w:rPr>
          <w:rFonts w:ascii="Times New Roman" w:hAnsi="Times New Roman"/>
          <w:sz w:val="24"/>
          <w:szCs w:val="24"/>
        </w:rPr>
        <w:t>)</w:t>
      </w:r>
      <w:r w:rsidR="00283E93" w:rsidRPr="004C0771">
        <w:rPr>
          <w:rFonts w:ascii="Times New Roman" w:hAnsi="Times New Roman"/>
          <w:sz w:val="24"/>
          <w:szCs w:val="24"/>
        </w:rPr>
        <w:t>.</w:t>
      </w:r>
    </w:p>
    <w:p w14:paraId="3C0B962F" w14:textId="002CF2CC" w:rsidR="002D390D" w:rsidRPr="00C2298C" w:rsidRDefault="002D390D" w:rsidP="006233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480" w:lineRule="auto"/>
        <w:jc w:val="both"/>
        <w:rPr>
          <w:rFonts w:ascii="Times New Roman" w:hAnsi="Times New Roman"/>
          <w:b/>
          <w:sz w:val="24"/>
          <w:szCs w:val="24"/>
        </w:rPr>
      </w:pPr>
      <w:r w:rsidRPr="00C2298C">
        <w:rPr>
          <w:rFonts w:ascii="Times New Roman" w:hAnsi="Times New Roman"/>
          <w:b/>
          <w:sz w:val="24"/>
          <w:szCs w:val="24"/>
        </w:rPr>
        <w:t>Funding</w:t>
      </w:r>
    </w:p>
    <w:p w14:paraId="576B3D4C" w14:textId="7BC530CE" w:rsidR="002D390D" w:rsidRPr="004C0771" w:rsidRDefault="002D390D" w:rsidP="002D390D">
      <w:pPr>
        <w:jc w:val="both"/>
        <w:rPr>
          <w:rFonts w:ascii="Times New Roman" w:hAnsi="Times New Roman"/>
          <w:color w:val="000000"/>
          <w:sz w:val="24"/>
          <w:szCs w:val="24"/>
        </w:rPr>
      </w:pPr>
      <w:r w:rsidRPr="004C0771">
        <w:rPr>
          <w:rFonts w:ascii="Times New Roman" w:hAnsi="Times New Roman"/>
          <w:color w:val="000000"/>
          <w:sz w:val="24"/>
          <w:szCs w:val="24"/>
        </w:rPr>
        <w:t>The financial support from the Research Executive Agency of the European Commission (</w:t>
      </w:r>
      <w:r w:rsidRPr="004C0771">
        <w:rPr>
          <w:rFonts w:ascii="Times New Roman" w:hAnsi="Times New Roman"/>
          <w:iCs/>
          <w:color w:val="000000"/>
          <w:sz w:val="24"/>
          <w:szCs w:val="24"/>
        </w:rPr>
        <w:t xml:space="preserve">Project </w:t>
      </w:r>
      <w:r w:rsidRPr="004C0771">
        <w:rPr>
          <w:rFonts w:ascii="Times New Roman" w:hAnsi="Times New Roman"/>
          <w:color w:val="000000"/>
          <w:sz w:val="24"/>
          <w:szCs w:val="24"/>
        </w:rPr>
        <w:t>PIEF-GA-2012-327225)</w:t>
      </w:r>
      <w:r w:rsidR="00471BE9" w:rsidRPr="004C0771">
        <w:rPr>
          <w:rFonts w:ascii="Times New Roman" w:hAnsi="Times New Roman"/>
          <w:color w:val="000000"/>
          <w:sz w:val="24"/>
          <w:szCs w:val="24"/>
        </w:rPr>
        <w:t>,</w:t>
      </w:r>
      <w:r w:rsidRPr="004C0771">
        <w:rPr>
          <w:rFonts w:ascii="Times New Roman" w:hAnsi="Times New Roman"/>
          <w:color w:val="000000"/>
          <w:sz w:val="24"/>
          <w:szCs w:val="24"/>
        </w:rPr>
        <w:t xml:space="preserve"> from the Swiss National Science Foundation (project PBGEP1-136158 and PBGEP1-145655)</w:t>
      </w:r>
      <w:r w:rsidR="00471BE9" w:rsidRPr="004C0771">
        <w:rPr>
          <w:rFonts w:ascii="Times New Roman" w:hAnsi="Times New Roman"/>
          <w:color w:val="000000"/>
          <w:sz w:val="24"/>
          <w:szCs w:val="24"/>
        </w:rPr>
        <w:t>,</w:t>
      </w:r>
      <w:r w:rsidRPr="004C0771">
        <w:rPr>
          <w:rFonts w:ascii="Times New Roman" w:hAnsi="Times New Roman"/>
          <w:color w:val="000000"/>
          <w:sz w:val="24"/>
          <w:szCs w:val="24"/>
        </w:rPr>
        <w:t xml:space="preserve"> and from the </w:t>
      </w:r>
      <w:proofErr w:type="spellStart"/>
      <w:r w:rsidRPr="004C0771">
        <w:rPr>
          <w:rFonts w:ascii="Times New Roman" w:hAnsi="Times New Roman"/>
          <w:color w:val="000000"/>
          <w:sz w:val="24"/>
          <w:szCs w:val="24"/>
        </w:rPr>
        <w:t>Center</w:t>
      </w:r>
      <w:proofErr w:type="spellEnd"/>
      <w:r w:rsidRPr="004C0771">
        <w:rPr>
          <w:rFonts w:ascii="Times New Roman" w:hAnsi="Times New Roman"/>
          <w:color w:val="000000"/>
          <w:sz w:val="24"/>
          <w:szCs w:val="24"/>
        </w:rPr>
        <w:t xml:space="preserve"> for Applied Statistics and </w:t>
      </w:r>
      <w:proofErr w:type="spellStart"/>
      <w:r w:rsidRPr="004C0771">
        <w:rPr>
          <w:rFonts w:ascii="Times New Roman" w:hAnsi="Times New Roman"/>
          <w:color w:val="000000"/>
          <w:sz w:val="24"/>
          <w:szCs w:val="24"/>
        </w:rPr>
        <w:t>Economicss</w:t>
      </w:r>
      <w:proofErr w:type="spellEnd"/>
      <w:r w:rsidRPr="004C0771">
        <w:rPr>
          <w:rFonts w:ascii="Times New Roman" w:hAnsi="Times New Roman"/>
          <w:color w:val="000000"/>
          <w:sz w:val="24"/>
          <w:szCs w:val="24"/>
        </w:rPr>
        <w:t xml:space="preserve"> (C.A.S.E.) is gratefully acknowledged. </w:t>
      </w:r>
    </w:p>
    <w:p w14:paraId="496DA549" w14:textId="3DEDF6E1" w:rsidR="00D00897" w:rsidRPr="004C0771" w:rsidRDefault="002D390D" w:rsidP="006233DD">
      <w:pPr>
        <w:spacing w:line="480" w:lineRule="auto"/>
        <w:rPr>
          <w:rFonts w:ascii="Times New Roman" w:hAnsi="Times New Roman"/>
          <w:b/>
          <w:sz w:val="24"/>
        </w:rPr>
      </w:pPr>
      <w:r w:rsidRPr="00C2298C">
        <w:rPr>
          <w:rFonts w:ascii="Times New Roman" w:hAnsi="Times New Roman"/>
          <w:b/>
          <w:sz w:val="24"/>
        </w:rPr>
        <w:t>Acknowledgments</w:t>
      </w:r>
    </w:p>
    <w:p w14:paraId="3ED69D9E" w14:textId="3DDC3DB1" w:rsidR="007F446F" w:rsidRDefault="002D390D" w:rsidP="002D390D">
      <w:pPr>
        <w:jc w:val="both"/>
        <w:rPr>
          <w:rFonts w:ascii="Times New Roman" w:hAnsi="Times New Roman"/>
          <w:color w:val="000000"/>
          <w:sz w:val="24"/>
          <w:szCs w:val="24"/>
        </w:rPr>
      </w:pPr>
      <w:r w:rsidRPr="004C0771">
        <w:rPr>
          <w:rFonts w:ascii="Times New Roman" w:hAnsi="Times New Roman"/>
          <w:color w:val="000000"/>
          <w:sz w:val="24"/>
          <w:szCs w:val="24"/>
        </w:rPr>
        <w:t xml:space="preserve">The author wishes to thank Bengt-Arne Wickström, François Grin, </w:t>
      </w:r>
      <w:r w:rsidR="008E2256" w:rsidRPr="004C0771">
        <w:rPr>
          <w:rFonts w:ascii="Times New Roman" w:hAnsi="Times New Roman"/>
          <w:color w:val="000000"/>
          <w:sz w:val="24"/>
          <w:szCs w:val="24"/>
        </w:rPr>
        <w:t>François Vaillancourt</w:t>
      </w:r>
      <w:r w:rsidR="008E2256">
        <w:rPr>
          <w:rFonts w:ascii="Times New Roman" w:hAnsi="Times New Roman"/>
          <w:color w:val="000000"/>
          <w:sz w:val="24"/>
          <w:szCs w:val="24"/>
        </w:rPr>
        <w:t xml:space="preserve">, </w:t>
      </w:r>
      <w:r w:rsidR="00EE281D">
        <w:rPr>
          <w:rFonts w:ascii="Times New Roman" w:hAnsi="Times New Roman"/>
          <w:color w:val="000000"/>
          <w:sz w:val="24"/>
          <w:szCs w:val="24"/>
        </w:rPr>
        <w:t xml:space="preserve">Nannette </w:t>
      </w:r>
      <w:proofErr w:type="spellStart"/>
      <w:r w:rsidR="00EE281D">
        <w:rPr>
          <w:rFonts w:ascii="Times New Roman" w:hAnsi="Times New Roman"/>
          <w:color w:val="000000"/>
          <w:sz w:val="24"/>
          <w:szCs w:val="24"/>
        </w:rPr>
        <w:t>Swed</w:t>
      </w:r>
      <w:proofErr w:type="spellEnd"/>
      <w:r w:rsidR="00EE281D">
        <w:rPr>
          <w:rFonts w:ascii="Times New Roman" w:hAnsi="Times New Roman"/>
          <w:color w:val="000000"/>
          <w:sz w:val="24"/>
          <w:szCs w:val="24"/>
        </w:rPr>
        <w:t xml:space="preserve">, Regina </w:t>
      </w:r>
      <w:proofErr w:type="spellStart"/>
      <w:r w:rsidR="00EE281D" w:rsidRPr="00EE281D">
        <w:rPr>
          <w:rFonts w:ascii="Times New Roman" w:hAnsi="Times New Roman"/>
          <w:color w:val="000000"/>
          <w:sz w:val="24"/>
          <w:szCs w:val="24"/>
        </w:rPr>
        <w:t>Kühne</w:t>
      </w:r>
      <w:proofErr w:type="spellEnd"/>
      <w:r w:rsidR="00EE281D">
        <w:rPr>
          <w:rFonts w:ascii="Times New Roman" w:hAnsi="Times New Roman"/>
          <w:color w:val="000000"/>
          <w:sz w:val="24"/>
          <w:szCs w:val="24"/>
        </w:rPr>
        <w:t xml:space="preserve">, </w:t>
      </w:r>
      <w:proofErr w:type="spellStart"/>
      <w:r w:rsidRPr="004C0771">
        <w:rPr>
          <w:rFonts w:ascii="Times New Roman" w:hAnsi="Times New Roman"/>
          <w:color w:val="000000"/>
          <w:sz w:val="24"/>
          <w:szCs w:val="24"/>
        </w:rPr>
        <w:t>Sigbert</w:t>
      </w:r>
      <w:proofErr w:type="spellEnd"/>
      <w:r w:rsidRPr="004C0771">
        <w:rPr>
          <w:rFonts w:ascii="Times New Roman" w:hAnsi="Times New Roman"/>
          <w:color w:val="000000"/>
          <w:sz w:val="24"/>
          <w:szCs w:val="24"/>
        </w:rPr>
        <w:t xml:space="preserve"> </w:t>
      </w:r>
      <w:proofErr w:type="spellStart"/>
      <w:r w:rsidRPr="004C0771">
        <w:rPr>
          <w:rFonts w:ascii="Times New Roman" w:hAnsi="Times New Roman"/>
          <w:color w:val="000000"/>
          <w:sz w:val="24"/>
          <w:szCs w:val="24"/>
        </w:rPr>
        <w:t>Klinke</w:t>
      </w:r>
      <w:proofErr w:type="spellEnd"/>
      <w:r w:rsidRPr="004C0771">
        <w:rPr>
          <w:rFonts w:ascii="Times New Roman" w:hAnsi="Times New Roman"/>
          <w:color w:val="000000"/>
          <w:sz w:val="24"/>
          <w:szCs w:val="24"/>
        </w:rPr>
        <w:t>, Till Burckhardt, and four anonymous reviewers for their valuable comments on an earlier version of this article.</w:t>
      </w:r>
    </w:p>
    <w:p w14:paraId="45378C96" w14:textId="77777777" w:rsidR="007F446F" w:rsidRDefault="007F446F">
      <w:pPr>
        <w:spacing w:after="0" w:line="240" w:lineRule="auto"/>
        <w:rPr>
          <w:rFonts w:ascii="Times New Roman" w:hAnsi="Times New Roman"/>
          <w:color w:val="000000"/>
          <w:sz w:val="24"/>
          <w:szCs w:val="24"/>
        </w:rPr>
      </w:pPr>
      <w:r>
        <w:rPr>
          <w:rFonts w:ascii="Times New Roman" w:hAnsi="Times New Roman"/>
          <w:color w:val="000000"/>
          <w:sz w:val="24"/>
          <w:szCs w:val="24"/>
        </w:rPr>
        <w:br w:type="page"/>
      </w:r>
    </w:p>
    <w:p w14:paraId="5C7EF690" w14:textId="77777777" w:rsidR="007F446F" w:rsidRDefault="007F446F" w:rsidP="007F446F">
      <w:pPr>
        <w:pStyle w:val="Caption"/>
        <w:spacing w:line="360" w:lineRule="auto"/>
        <w:rPr>
          <w:rFonts w:ascii="Times New Roman" w:hAnsi="Times New Roman"/>
          <w:color w:val="auto"/>
          <w:sz w:val="20"/>
          <w:szCs w:val="22"/>
        </w:rPr>
        <w:sectPr w:rsidR="007F446F" w:rsidSect="007F446F">
          <w:pgSz w:w="11906" w:h="16838"/>
          <w:pgMar w:top="1418" w:right="1134" w:bottom="1134" w:left="1134" w:header="709" w:footer="709" w:gutter="0"/>
          <w:cols w:space="708"/>
          <w:docGrid w:linePitch="360"/>
        </w:sectPr>
      </w:pPr>
    </w:p>
    <w:p w14:paraId="7F1935CC" w14:textId="6C859A57" w:rsidR="007F446F" w:rsidRPr="00711FF3" w:rsidRDefault="007F446F" w:rsidP="007F446F">
      <w:pPr>
        <w:pStyle w:val="Caption"/>
        <w:spacing w:line="360" w:lineRule="auto"/>
        <w:rPr>
          <w:rFonts w:ascii="Times New Roman" w:hAnsi="Times New Roman"/>
          <w:color w:val="auto"/>
          <w:sz w:val="20"/>
          <w:szCs w:val="22"/>
        </w:rPr>
      </w:pPr>
      <w:r w:rsidRPr="00711FF3">
        <w:rPr>
          <w:rFonts w:ascii="Times New Roman" w:hAnsi="Times New Roman"/>
          <w:color w:val="auto"/>
          <w:sz w:val="20"/>
          <w:szCs w:val="22"/>
        </w:rPr>
        <w:lastRenderedPageBreak/>
        <w:t>Table 1</w:t>
      </w:r>
      <w:r>
        <w:rPr>
          <w:rFonts w:ascii="Times New Roman" w:hAnsi="Times New Roman"/>
          <w:color w:val="auto"/>
          <w:sz w:val="20"/>
          <w:szCs w:val="22"/>
        </w:rPr>
        <w:t>.</w:t>
      </w:r>
      <w:r w:rsidRPr="00711FF3">
        <w:rPr>
          <w:rFonts w:ascii="Times New Roman" w:hAnsi="Times New Roman"/>
          <w:color w:val="auto"/>
          <w:sz w:val="20"/>
          <w:szCs w:val="22"/>
        </w:rPr>
        <w:t xml:space="preserve"> </w:t>
      </w:r>
      <w:r w:rsidRPr="00711FF3">
        <w:rPr>
          <w:rFonts w:ascii="Times New Roman" w:hAnsi="Times New Roman"/>
          <w:b w:val="0"/>
          <w:color w:val="auto"/>
          <w:sz w:val="20"/>
          <w:szCs w:val="24"/>
        </w:rPr>
        <w:t>Absolute and relative disenfranchisement rates</w:t>
      </w:r>
      <w:r w:rsidRPr="00711FF3">
        <w:rPr>
          <w:rFonts w:ascii="Times New Roman" w:hAnsi="Times New Roman"/>
          <w:b w:val="0"/>
          <w:color w:val="auto"/>
          <w:sz w:val="20"/>
          <w:szCs w:val="22"/>
        </w:rPr>
        <w:t xml:space="preserve"> in the EU, by study. </w:t>
      </w:r>
    </w:p>
    <w:tbl>
      <w:tblPr>
        <w:tblStyle w:val="PlainTable2"/>
        <w:tblW w:w="12672" w:type="dxa"/>
        <w:tblInd w:w="142" w:type="dxa"/>
        <w:tblLayout w:type="fixed"/>
        <w:tblLook w:val="04A0" w:firstRow="1" w:lastRow="0" w:firstColumn="1" w:lastColumn="0" w:noHBand="0" w:noVBand="1"/>
      </w:tblPr>
      <w:tblGrid>
        <w:gridCol w:w="5100"/>
        <w:gridCol w:w="473"/>
        <w:gridCol w:w="711"/>
        <w:gridCol w:w="532"/>
        <w:gridCol w:w="269"/>
        <w:gridCol w:w="452"/>
        <w:gridCol w:w="637"/>
        <w:gridCol w:w="455"/>
        <w:gridCol w:w="322"/>
        <w:gridCol w:w="564"/>
        <w:gridCol w:w="738"/>
        <w:gridCol w:w="236"/>
        <w:gridCol w:w="559"/>
        <w:gridCol w:w="263"/>
        <w:gridCol w:w="679"/>
        <w:gridCol w:w="682"/>
      </w:tblGrid>
      <w:tr w:rsidR="007F446F" w14:paraId="774161CE" w14:textId="77777777" w:rsidTr="001D13CE">
        <w:trPr>
          <w:cnfStyle w:val="100000000000" w:firstRow="1" w:lastRow="0" w:firstColumn="0" w:lastColumn="0" w:oddVBand="0" w:evenVBand="0" w:oddHBand="0" w:evenHBand="0" w:firstRowFirstColumn="0" w:firstRowLastColumn="0" w:lastRowFirstColumn="0" w:lastRowLastColumn="0"/>
          <w:trHeight w:val="141"/>
        </w:trPr>
        <w:tc>
          <w:tcPr>
            <w:cnfStyle w:val="001000000000" w:firstRow="0" w:lastRow="0" w:firstColumn="1" w:lastColumn="0" w:oddVBand="0" w:evenVBand="0" w:oddHBand="0" w:evenHBand="0" w:firstRowFirstColumn="0" w:firstRowLastColumn="0" w:lastRowFirstColumn="0" w:lastRowLastColumn="0"/>
            <w:tcW w:w="0" w:type="dxa"/>
            <w:tcBorders>
              <w:top w:val="single" w:sz="12" w:space="0" w:color="auto"/>
              <w:bottom w:val="nil"/>
            </w:tcBorders>
            <w:hideMark/>
          </w:tcPr>
          <w:p w14:paraId="0531D51D" w14:textId="77777777" w:rsidR="007F446F" w:rsidRDefault="007F446F" w:rsidP="001D13CE">
            <w:pPr>
              <w:keepNext/>
              <w:keepLines/>
              <w:spacing w:after="0" w:line="360" w:lineRule="auto"/>
              <w:jc w:val="right"/>
              <w:rPr>
                <w:rFonts w:ascii="Times New Roman" w:hAnsi="Times New Roman"/>
                <w:b w:val="0"/>
                <w:bCs w:val="0"/>
                <w:sz w:val="20"/>
                <w:szCs w:val="24"/>
              </w:rPr>
            </w:pPr>
            <w:r>
              <w:rPr>
                <w:rFonts w:ascii="Times New Roman" w:hAnsi="Times New Roman"/>
                <w:sz w:val="20"/>
                <w:szCs w:val="24"/>
              </w:rPr>
              <w:t>Language regime</w:t>
            </w:r>
          </w:p>
        </w:tc>
        <w:tc>
          <w:tcPr>
            <w:tcW w:w="0" w:type="dxa"/>
            <w:gridSpan w:val="3"/>
            <w:tcBorders>
              <w:top w:val="single" w:sz="12" w:space="0" w:color="auto"/>
              <w:bottom w:val="nil"/>
            </w:tcBorders>
          </w:tcPr>
          <w:p w14:paraId="63C972B4" w14:textId="77777777" w:rsidR="007F446F" w:rsidRPr="00A92EA7" w:rsidRDefault="007F446F" w:rsidP="001D13CE">
            <w:pPr>
              <w:keepNext/>
              <w:keepLines/>
              <w:spacing w:after="0"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 w:val="20"/>
                <w:szCs w:val="24"/>
              </w:rPr>
            </w:pPr>
            <w:r w:rsidRPr="00A92EA7">
              <w:rPr>
                <w:rFonts w:ascii="Times New Roman" w:hAnsi="Times New Roman"/>
                <w:iCs/>
                <w:sz w:val="20"/>
                <w:szCs w:val="24"/>
              </w:rPr>
              <w:t>Monolingual</w:t>
            </w:r>
          </w:p>
        </w:tc>
        <w:tc>
          <w:tcPr>
            <w:tcW w:w="0" w:type="dxa"/>
            <w:tcBorders>
              <w:top w:val="single" w:sz="12" w:space="0" w:color="auto"/>
              <w:bottom w:val="nil"/>
            </w:tcBorders>
          </w:tcPr>
          <w:p w14:paraId="424253EF" w14:textId="77777777" w:rsidR="007F446F" w:rsidRPr="00A92EA7" w:rsidRDefault="007F446F" w:rsidP="001D13CE">
            <w:pPr>
              <w:keepNext/>
              <w:keepLines/>
              <w:spacing w:after="0"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iCs/>
                <w:sz w:val="20"/>
                <w:szCs w:val="24"/>
              </w:rPr>
            </w:pPr>
          </w:p>
        </w:tc>
        <w:tc>
          <w:tcPr>
            <w:tcW w:w="0" w:type="dxa"/>
            <w:gridSpan w:val="3"/>
            <w:tcBorders>
              <w:top w:val="single" w:sz="12" w:space="0" w:color="auto"/>
              <w:bottom w:val="nil"/>
            </w:tcBorders>
          </w:tcPr>
          <w:p w14:paraId="059ACAEC" w14:textId="77777777" w:rsidR="007F446F" w:rsidRPr="00A92EA7" w:rsidRDefault="007F446F" w:rsidP="001D13CE">
            <w:pPr>
              <w:keepNext/>
              <w:keepLines/>
              <w:spacing w:after="0"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 w:val="20"/>
                <w:szCs w:val="24"/>
              </w:rPr>
            </w:pPr>
            <w:r w:rsidRPr="00A92EA7">
              <w:rPr>
                <w:rFonts w:ascii="Times New Roman" w:hAnsi="Times New Roman"/>
                <w:iCs/>
                <w:sz w:val="20"/>
                <w:szCs w:val="24"/>
              </w:rPr>
              <w:t>Trilingual</w:t>
            </w:r>
          </w:p>
        </w:tc>
        <w:tc>
          <w:tcPr>
            <w:tcW w:w="0" w:type="dxa"/>
            <w:tcBorders>
              <w:top w:val="single" w:sz="12" w:space="0" w:color="auto"/>
              <w:bottom w:val="nil"/>
            </w:tcBorders>
          </w:tcPr>
          <w:p w14:paraId="1E678412" w14:textId="77777777" w:rsidR="007F446F" w:rsidRPr="00A92EA7" w:rsidRDefault="007F446F" w:rsidP="001D13CE">
            <w:pPr>
              <w:keepNext/>
              <w:keepLines/>
              <w:spacing w:after="0"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iCs/>
                <w:sz w:val="20"/>
                <w:szCs w:val="24"/>
              </w:rPr>
            </w:pPr>
          </w:p>
        </w:tc>
        <w:tc>
          <w:tcPr>
            <w:tcW w:w="0" w:type="dxa"/>
            <w:gridSpan w:val="4"/>
            <w:tcBorders>
              <w:top w:val="single" w:sz="12" w:space="0" w:color="auto"/>
              <w:bottom w:val="nil"/>
            </w:tcBorders>
          </w:tcPr>
          <w:p w14:paraId="04427332" w14:textId="77777777" w:rsidR="007F446F" w:rsidRPr="00A92EA7" w:rsidRDefault="007F446F" w:rsidP="001D13CE">
            <w:pPr>
              <w:keepNext/>
              <w:keepLines/>
              <w:spacing w:after="0"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 w:val="20"/>
                <w:szCs w:val="24"/>
              </w:rPr>
            </w:pPr>
            <w:proofErr w:type="spellStart"/>
            <w:r w:rsidRPr="00A92EA7">
              <w:rPr>
                <w:rFonts w:ascii="Times New Roman" w:hAnsi="Times New Roman"/>
                <w:iCs/>
                <w:sz w:val="20"/>
                <w:szCs w:val="24"/>
              </w:rPr>
              <w:t>Hexalingual</w:t>
            </w:r>
            <w:proofErr w:type="spellEnd"/>
          </w:p>
        </w:tc>
        <w:tc>
          <w:tcPr>
            <w:tcW w:w="0" w:type="dxa"/>
            <w:tcBorders>
              <w:top w:val="single" w:sz="12" w:space="0" w:color="auto"/>
              <w:bottom w:val="nil"/>
            </w:tcBorders>
          </w:tcPr>
          <w:p w14:paraId="0449F1AD" w14:textId="77777777" w:rsidR="007F446F" w:rsidRPr="00CD2F9E" w:rsidRDefault="007F446F" w:rsidP="001D13CE">
            <w:pPr>
              <w:keepNext/>
              <w:keepLines/>
              <w:spacing w:after="0"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iCs/>
                <w:color w:val="000000"/>
                <w:sz w:val="20"/>
                <w:szCs w:val="24"/>
              </w:rPr>
            </w:pPr>
          </w:p>
        </w:tc>
        <w:tc>
          <w:tcPr>
            <w:tcW w:w="0" w:type="dxa"/>
            <w:gridSpan w:val="2"/>
            <w:tcBorders>
              <w:top w:val="single" w:sz="12" w:space="0" w:color="auto"/>
              <w:bottom w:val="nil"/>
            </w:tcBorders>
          </w:tcPr>
          <w:p w14:paraId="23C92948" w14:textId="77777777" w:rsidR="007F446F" w:rsidRPr="00CD2F9E" w:rsidRDefault="007F446F" w:rsidP="001D13CE">
            <w:pPr>
              <w:keepNext/>
              <w:keepLines/>
              <w:spacing w:after="0"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iCs/>
                <w:sz w:val="20"/>
                <w:szCs w:val="24"/>
              </w:rPr>
            </w:pPr>
            <w:r w:rsidRPr="00CD2F9E">
              <w:rPr>
                <w:rFonts w:ascii="Times New Roman" w:hAnsi="Times New Roman"/>
                <w:iCs/>
                <w:color w:val="000000"/>
                <w:sz w:val="20"/>
                <w:szCs w:val="24"/>
              </w:rPr>
              <w:t>Multilingual</w:t>
            </w:r>
          </w:p>
        </w:tc>
      </w:tr>
      <w:tr w:rsidR="007F446F" w14:paraId="555B730A" w14:textId="77777777" w:rsidTr="001D13CE">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0" w:type="dxa"/>
            <w:tcBorders>
              <w:top w:val="nil"/>
              <w:bottom w:val="nil"/>
            </w:tcBorders>
            <w:vAlign w:val="center"/>
            <w:hideMark/>
          </w:tcPr>
          <w:p w14:paraId="225213F3" w14:textId="77777777" w:rsidR="007F446F" w:rsidRPr="00A92EA7" w:rsidRDefault="007F446F" w:rsidP="001D13CE">
            <w:pPr>
              <w:keepNext/>
              <w:keepLines/>
              <w:spacing w:after="0" w:line="360" w:lineRule="auto"/>
              <w:jc w:val="right"/>
              <w:rPr>
                <w:rFonts w:ascii="Times New Roman" w:hAnsi="Times New Roman"/>
                <w:i/>
                <w:sz w:val="20"/>
                <w:szCs w:val="24"/>
              </w:rPr>
            </w:pPr>
          </w:p>
        </w:tc>
        <w:tc>
          <w:tcPr>
            <w:tcW w:w="0" w:type="dxa"/>
            <w:tcBorders>
              <w:top w:val="nil"/>
              <w:bottom w:val="nil"/>
            </w:tcBorders>
            <w:hideMark/>
          </w:tcPr>
          <w:p w14:paraId="41D40B59" w14:textId="77777777" w:rsidR="007F446F" w:rsidRPr="00A92EA7" w:rsidRDefault="007F446F" w:rsidP="001D13CE">
            <w:pPr>
              <w:keepNext/>
              <w:keepLines/>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sz w:val="20"/>
                <w:szCs w:val="24"/>
                <w:vertAlign w:val="subscript"/>
              </w:rPr>
            </w:pPr>
            <w:r w:rsidRPr="00A92EA7">
              <w:rPr>
                <w:rFonts w:ascii="Times New Roman" w:hAnsi="Times New Roman"/>
                <w:bCs/>
                <w:i/>
                <w:sz w:val="20"/>
                <w:szCs w:val="24"/>
              </w:rPr>
              <w:t>D</w:t>
            </w:r>
            <w:r w:rsidRPr="00A92EA7">
              <w:rPr>
                <w:rFonts w:ascii="Times New Roman" w:hAnsi="Times New Roman"/>
                <w:bCs/>
                <w:i/>
                <w:sz w:val="20"/>
                <w:szCs w:val="24"/>
                <w:vertAlign w:val="subscript"/>
              </w:rPr>
              <w:t>a</w:t>
            </w:r>
          </w:p>
        </w:tc>
        <w:tc>
          <w:tcPr>
            <w:tcW w:w="0" w:type="dxa"/>
            <w:tcBorders>
              <w:top w:val="nil"/>
              <w:bottom w:val="nil"/>
            </w:tcBorders>
          </w:tcPr>
          <w:p w14:paraId="7EC42667" w14:textId="77777777" w:rsidR="007F446F" w:rsidRPr="00A92EA7" w:rsidRDefault="007F446F" w:rsidP="001D13CE">
            <w:pPr>
              <w:keepNext/>
              <w:keepLines/>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i/>
                <w:sz w:val="20"/>
                <w:szCs w:val="24"/>
              </w:rPr>
            </w:pPr>
            <w:r w:rsidRPr="00A92EA7">
              <w:rPr>
                <w:rFonts w:ascii="Times New Roman" w:hAnsi="Times New Roman"/>
                <w:bCs/>
                <w:i/>
                <w:sz w:val="20"/>
                <w:szCs w:val="24"/>
              </w:rPr>
              <w:t>D</w:t>
            </w:r>
            <w:r w:rsidRPr="00A92EA7">
              <w:rPr>
                <w:rFonts w:ascii="Times New Roman" w:hAnsi="Times New Roman"/>
                <w:bCs/>
                <w:i/>
                <w:sz w:val="20"/>
                <w:szCs w:val="24"/>
                <w:vertAlign w:val="subscript"/>
              </w:rPr>
              <w:t>int</w:t>
            </w:r>
            <w:r w:rsidRPr="00FA0285">
              <w:rPr>
                <w:rFonts w:ascii="Times New Roman" w:hAnsi="Times New Roman"/>
                <w:sz w:val="24"/>
                <w:szCs w:val="24"/>
                <w:vertAlign w:val="superscript"/>
              </w:rPr>
              <w:t>§</w:t>
            </w:r>
          </w:p>
        </w:tc>
        <w:tc>
          <w:tcPr>
            <w:tcW w:w="0" w:type="dxa"/>
            <w:tcBorders>
              <w:top w:val="nil"/>
              <w:bottom w:val="nil"/>
            </w:tcBorders>
            <w:hideMark/>
          </w:tcPr>
          <w:p w14:paraId="46022BCA" w14:textId="77777777" w:rsidR="007F446F" w:rsidRPr="00A92EA7" w:rsidRDefault="007F446F" w:rsidP="001D13CE">
            <w:pPr>
              <w:keepNext/>
              <w:keepLines/>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sz w:val="20"/>
                <w:szCs w:val="24"/>
                <w:vertAlign w:val="superscript"/>
              </w:rPr>
            </w:pPr>
            <w:r w:rsidRPr="00A92EA7">
              <w:rPr>
                <w:rFonts w:ascii="Times New Roman" w:hAnsi="Times New Roman"/>
                <w:bCs/>
                <w:i/>
                <w:sz w:val="20"/>
                <w:szCs w:val="24"/>
              </w:rPr>
              <w:t>D</w:t>
            </w:r>
            <w:r w:rsidRPr="00A92EA7">
              <w:rPr>
                <w:rFonts w:ascii="Times New Roman" w:hAnsi="Times New Roman"/>
                <w:bCs/>
                <w:i/>
                <w:sz w:val="20"/>
                <w:szCs w:val="24"/>
                <w:vertAlign w:val="subscript"/>
              </w:rPr>
              <w:t>r</w:t>
            </w:r>
          </w:p>
        </w:tc>
        <w:tc>
          <w:tcPr>
            <w:tcW w:w="0" w:type="dxa"/>
            <w:tcBorders>
              <w:top w:val="nil"/>
              <w:bottom w:val="nil"/>
            </w:tcBorders>
          </w:tcPr>
          <w:p w14:paraId="5C56AD49" w14:textId="77777777" w:rsidR="007F446F" w:rsidRPr="00A92EA7" w:rsidRDefault="007F446F" w:rsidP="001D13CE">
            <w:pPr>
              <w:keepNext/>
              <w:keepLines/>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i/>
                <w:sz w:val="20"/>
                <w:szCs w:val="24"/>
              </w:rPr>
            </w:pPr>
          </w:p>
        </w:tc>
        <w:tc>
          <w:tcPr>
            <w:tcW w:w="0" w:type="dxa"/>
            <w:tcBorders>
              <w:top w:val="nil"/>
              <w:bottom w:val="nil"/>
            </w:tcBorders>
            <w:hideMark/>
          </w:tcPr>
          <w:p w14:paraId="0442BF9C" w14:textId="77777777" w:rsidR="007F446F" w:rsidRPr="00A92EA7" w:rsidRDefault="007F446F" w:rsidP="001D13CE">
            <w:pPr>
              <w:keepNext/>
              <w:keepLines/>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sz w:val="20"/>
                <w:szCs w:val="24"/>
                <w:vertAlign w:val="subscript"/>
              </w:rPr>
            </w:pPr>
            <w:r w:rsidRPr="00A92EA7">
              <w:rPr>
                <w:rFonts w:ascii="Times New Roman" w:hAnsi="Times New Roman"/>
                <w:bCs/>
                <w:i/>
                <w:sz w:val="20"/>
                <w:szCs w:val="24"/>
              </w:rPr>
              <w:t>D</w:t>
            </w:r>
            <w:r w:rsidRPr="00A92EA7">
              <w:rPr>
                <w:rFonts w:ascii="Times New Roman" w:hAnsi="Times New Roman"/>
                <w:bCs/>
                <w:i/>
                <w:sz w:val="20"/>
                <w:szCs w:val="24"/>
                <w:vertAlign w:val="subscript"/>
              </w:rPr>
              <w:t>a</w:t>
            </w:r>
          </w:p>
        </w:tc>
        <w:tc>
          <w:tcPr>
            <w:tcW w:w="0" w:type="dxa"/>
            <w:tcBorders>
              <w:top w:val="nil"/>
              <w:bottom w:val="nil"/>
            </w:tcBorders>
          </w:tcPr>
          <w:p w14:paraId="0FBD8157" w14:textId="77777777" w:rsidR="007F446F" w:rsidRPr="00A92EA7" w:rsidRDefault="007F446F" w:rsidP="001D13CE">
            <w:pPr>
              <w:keepNext/>
              <w:keepLines/>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i/>
                <w:sz w:val="20"/>
                <w:szCs w:val="24"/>
              </w:rPr>
            </w:pPr>
            <w:r w:rsidRPr="00A92EA7">
              <w:rPr>
                <w:rFonts w:ascii="Times New Roman" w:hAnsi="Times New Roman"/>
                <w:bCs/>
                <w:i/>
                <w:sz w:val="20"/>
                <w:szCs w:val="24"/>
              </w:rPr>
              <w:t>D</w:t>
            </w:r>
            <w:r w:rsidRPr="00A92EA7">
              <w:rPr>
                <w:rFonts w:ascii="Times New Roman" w:hAnsi="Times New Roman"/>
                <w:bCs/>
                <w:i/>
                <w:sz w:val="20"/>
                <w:szCs w:val="24"/>
                <w:vertAlign w:val="subscript"/>
              </w:rPr>
              <w:t>int</w:t>
            </w:r>
            <w:r w:rsidRPr="00FA0285">
              <w:rPr>
                <w:rFonts w:ascii="Times New Roman" w:hAnsi="Times New Roman"/>
                <w:sz w:val="24"/>
                <w:szCs w:val="24"/>
                <w:vertAlign w:val="superscript"/>
              </w:rPr>
              <w:t>§</w:t>
            </w:r>
          </w:p>
        </w:tc>
        <w:tc>
          <w:tcPr>
            <w:tcW w:w="0" w:type="dxa"/>
            <w:tcBorders>
              <w:top w:val="nil"/>
              <w:bottom w:val="nil"/>
            </w:tcBorders>
            <w:hideMark/>
          </w:tcPr>
          <w:p w14:paraId="7417ACE3" w14:textId="77777777" w:rsidR="007F446F" w:rsidRPr="00A92EA7" w:rsidRDefault="007F446F" w:rsidP="001D13CE">
            <w:pPr>
              <w:keepNext/>
              <w:keepLines/>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sz w:val="20"/>
                <w:szCs w:val="24"/>
                <w:vertAlign w:val="superscript"/>
              </w:rPr>
            </w:pPr>
            <w:r w:rsidRPr="00A92EA7">
              <w:rPr>
                <w:rFonts w:ascii="Times New Roman" w:hAnsi="Times New Roman"/>
                <w:bCs/>
                <w:i/>
                <w:sz w:val="20"/>
                <w:szCs w:val="24"/>
              </w:rPr>
              <w:t>D</w:t>
            </w:r>
            <w:r w:rsidRPr="00A92EA7">
              <w:rPr>
                <w:rFonts w:ascii="Times New Roman" w:hAnsi="Times New Roman"/>
                <w:bCs/>
                <w:i/>
                <w:sz w:val="20"/>
                <w:szCs w:val="24"/>
                <w:vertAlign w:val="subscript"/>
              </w:rPr>
              <w:t>r</w:t>
            </w:r>
          </w:p>
        </w:tc>
        <w:tc>
          <w:tcPr>
            <w:tcW w:w="0" w:type="dxa"/>
            <w:tcBorders>
              <w:top w:val="nil"/>
              <w:bottom w:val="nil"/>
            </w:tcBorders>
          </w:tcPr>
          <w:p w14:paraId="4B5068D7" w14:textId="77777777" w:rsidR="007F446F" w:rsidRPr="00A92EA7" w:rsidRDefault="007F446F" w:rsidP="001D13CE">
            <w:pPr>
              <w:keepNext/>
              <w:keepLines/>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i/>
                <w:sz w:val="20"/>
                <w:szCs w:val="24"/>
              </w:rPr>
            </w:pPr>
          </w:p>
        </w:tc>
        <w:tc>
          <w:tcPr>
            <w:tcW w:w="0" w:type="dxa"/>
            <w:tcBorders>
              <w:top w:val="nil"/>
              <w:bottom w:val="nil"/>
            </w:tcBorders>
            <w:hideMark/>
          </w:tcPr>
          <w:p w14:paraId="66D2DAFE" w14:textId="77777777" w:rsidR="007F446F" w:rsidRPr="00A92EA7" w:rsidRDefault="007F446F" w:rsidP="001D13CE">
            <w:pPr>
              <w:keepNext/>
              <w:keepLines/>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sz w:val="20"/>
                <w:szCs w:val="24"/>
                <w:vertAlign w:val="subscript"/>
              </w:rPr>
            </w:pPr>
            <w:r w:rsidRPr="00A92EA7">
              <w:rPr>
                <w:rFonts w:ascii="Times New Roman" w:hAnsi="Times New Roman"/>
                <w:bCs/>
                <w:i/>
                <w:sz w:val="20"/>
                <w:szCs w:val="24"/>
              </w:rPr>
              <w:t>D</w:t>
            </w:r>
            <w:r w:rsidRPr="00A92EA7">
              <w:rPr>
                <w:rFonts w:ascii="Times New Roman" w:hAnsi="Times New Roman"/>
                <w:bCs/>
                <w:i/>
                <w:sz w:val="20"/>
                <w:szCs w:val="24"/>
                <w:vertAlign w:val="subscript"/>
              </w:rPr>
              <w:t>a</w:t>
            </w:r>
          </w:p>
        </w:tc>
        <w:tc>
          <w:tcPr>
            <w:tcW w:w="0" w:type="dxa"/>
            <w:tcBorders>
              <w:top w:val="nil"/>
              <w:bottom w:val="nil"/>
            </w:tcBorders>
          </w:tcPr>
          <w:p w14:paraId="422828C7" w14:textId="77777777" w:rsidR="007F446F" w:rsidRPr="00A92EA7" w:rsidRDefault="007F446F" w:rsidP="001D13CE">
            <w:pPr>
              <w:keepNext/>
              <w:keepLines/>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i/>
                <w:sz w:val="20"/>
                <w:szCs w:val="24"/>
              </w:rPr>
            </w:pPr>
            <w:r w:rsidRPr="00A92EA7">
              <w:rPr>
                <w:rFonts w:ascii="Times New Roman" w:hAnsi="Times New Roman"/>
                <w:bCs/>
                <w:i/>
                <w:sz w:val="20"/>
                <w:szCs w:val="24"/>
              </w:rPr>
              <w:t>D</w:t>
            </w:r>
            <w:r w:rsidRPr="00A92EA7">
              <w:rPr>
                <w:rFonts w:ascii="Times New Roman" w:hAnsi="Times New Roman"/>
                <w:bCs/>
                <w:i/>
                <w:sz w:val="20"/>
                <w:szCs w:val="24"/>
                <w:vertAlign w:val="subscript"/>
              </w:rPr>
              <w:t>int</w:t>
            </w:r>
            <w:r w:rsidRPr="00FA0285">
              <w:rPr>
                <w:rFonts w:ascii="Times New Roman" w:hAnsi="Times New Roman"/>
                <w:sz w:val="24"/>
                <w:szCs w:val="24"/>
                <w:vertAlign w:val="superscript"/>
              </w:rPr>
              <w:t>§</w:t>
            </w:r>
          </w:p>
        </w:tc>
        <w:tc>
          <w:tcPr>
            <w:tcW w:w="0" w:type="dxa"/>
            <w:tcBorders>
              <w:top w:val="nil"/>
              <w:bottom w:val="nil"/>
            </w:tcBorders>
            <w:hideMark/>
          </w:tcPr>
          <w:p w14:paraId="19B1205B" w14:textId="77777777" w:rsidR="007F446F" w:rsidRPr="00A92EA7" w:rsidRDefault="007F446F" w:rsidP="001D13CE">
            <w:pPr>
              <w:keepNext/>
              <w:keepLines/>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sz w:val="20"/>
                <w:szCs w:val="24"/>
                <w:vertAlign w:val="superscript"/>
              </w:rPr>
            </w:pPr>
            <w:r w:rsidRPr="00A92EA7">
              <w:rPr>
                <w:rFonts w:ascii="Times New Roman" w:hAnsi="Times New Roman"/>
                <w:bCs/>
                <w:i/>
                <w:sz w:val="20"/>
                <w:szCs w:val="24"/>
              </w:rPr>
              <w:t>D</w:t>
            </w:r>
            <w:r w:rsidRPr="00A92EA7">
              <w:rPr>
                <w:rFonts w:ascii="Times New Roman" w:hAnsi="Times New Roman"/>
                <w:bCs/>
                <w:i/>
                <w:sz w:val="20"/>
                <w:szCs w:val="24"/>
                <w:vertAlign w:val="subscript"/>
              </w:rPr>
              <w:t>r</w:t>
            </w:r>
          </w:p>
        </w:tc>
        <w:tc>
          <w:tcPr>
            <w:tcW w:w="0" w:type="dxa"/>
            <w:gridSpan w:val="2"/>
            <w:tcBorders>
              <w:top w:val="nil"/>
              <w:bottom w:val="nil"/>
            </w:tcBorders>
          </w:tcPr>
          <w:p w14:paraId="3B32F02B" w14:textId="77777777" w:rsidR="007F446F" w:rsidRPr="00A92EA7" w:rsidRDefault="007F446F" w:rsidP="001D13CE">
            <w:pPr>
              <w:keepNext/>
              <w:keepLines/>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i/>
                <w:sz w:val="20"/>
                <w:szCs w:val="24"/>
              </w:rPr>
            </w:pPr>
          </w:p>
        </w:tc>
        <w:tc>
          <w:tcPr>
            <w:tcW w:w="0" w:type="dxa"/>
            <w:tcBorders>
              <w:top w:val="nil"/>
              <w:bottom w:val="nil"/>
            </w:tcBorders>
          </w:tcPr>
          <w:p w14:paraId="2C346270" w14:textId="77777777" w:rsidR="007F446F" w:rsidRPr="00A92EA7" w:rsidRDefault="007F446F" w:rsidP="001D13CE">
            <w:pPr>
              <w:keepNext/>
              <w:keepLines/>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i/>
                <w:sz w:val="20"/>
                <w:szCs w:val="24"/>
              </w:rPr>
            </w:pPr>
            <w:r w:rsidRPr="00A92EA7">
              <w:rPr>
                <w:rFonts w:ascii="Times New Roman" w:hAnsi="Times New Roman"/>
                <w:bCs/>
                <w:i/>
                <w:sz w:val="20"/>
                <w:szCs w:val="24"/>
              </w:rPr>
              <w:t>D</w:t>
            </w:r>
            <w:r w:rsidRPr="00A92EA7">
              <w:rPr>
                <w:rFonts w:ascii="Times New Roman" w:hAnsi="Times New Roman"/>
                <w:bCs/>
                <w:i/>
                <w:sz w:val="20"/>
                <w:szCs w:val="24"/>
                <w:vertAlign w:val="subscript"/>
              </w:rPr>
              <w:t>a</w:t>
            </w:r>
          </w:p>
        </w:tc>
        <w:tc>
          <w:tcPr>
            <w:tcW w:w="0" w:type="dxa"/>
            <w:tcBorders>
              <w:top w:val="nil"/>
              <w:bottom w:val="nil"/>
            </w:tcBorders>
          </w:tcPr>
          <w:p w14:paraId="70B11ABB" w14:textId="77777777" w:rsidR="007F446F" w:rsidRPr="00A92EA7" w:rsidRDefault="007F446F" w:rsidP="001D13CE">
            <w:pPr>
              <w:keepNext/>
              <w:keepLines/>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i/>
                <w:sz w:val="20"/>
                <w:szCs w:val="24"/>
              </w:rPr>
            </w:pPr>
            <w:r w:rsidRPr="00A92EA7">
              <w:rPr>
                <w:rFonts w:ascii="Times New Roman" w:hAnsi="Times New Roman"/>
                <w:bCs/>
                <w:i/>
                <w:sz w:val="20"/>
                <w:szCs w:val="24"/>
              </w:rPr>
              <w:t>D</w:t>
            </w:r>
            <w:r w:rsidRPr="00A92EA7">
              <w:rPr>
                <w:rFonts w:ascii="Times New Roman" w:hAnsi="Times New Roman"/>
                <w:bCs/>
                <w:i/>
                <w:sz w:val="20"/>
                <w:szCs w:val="24"/>
                <w:vertAlign w:val="subscript"/>
              </w:rPr>
              <w:t>r</w:t>
            </w:r>
          </w:p>
        </w:tc>
      </w:tr>
      <w:tr w:rsidR="007F446F" w:rsidRPr="00944349" w14:paraId="7E3D561A" w14:textId="77777777" w:rsidTr="001D13CE">
        <w:trPr>
          <w:trHeight w:val="563"/>
        </w:trPr>
        <w:tc>
          <w:tcPr>
            <w:cnfStyle w:val="001000000000" w:firstRow="0" w:lastRow="0" w:firstColumn="1" w:lastColumn="0" w:oddVBand="0" w:evenVBand="0" w:oddHBand="0" w:evenHBand="0" w:firstRowFirstColumn="0" w:firstRowLastColumn="0" w:lastRowFirstColumn="0" w:lastRowLastColumn="0"/>
            <w:tcW w:w="0" w:type="dxa"/>
            <w:tcBorders>
              <w:top w:val="single" w:sz="4" w:space="0" w:color="auto"/>
              <w:bottom w:val="nil"/>
            </w:tcBorders>
            <w:hideMark/>
          </w:tcPr>
          <w:p w14:paraId="30593142" w14:textId="77777777" w:rsidR="007F446F" w:rsidRPr="001A2624" w:rsidRDefault="007F446F" w:rsidP="001D13CE">
            <w:pPr>
              <w:spacing w:after="0" w:line="360" w:lineRule="auto"/>
              <w:rPr>
                <w:rFonts w:ascii="Times New Roman" w:hAnsi="Times New Roman"/>
                <w:b w:val="0"/>
                <w:sz w:val="20"/>
                <w:szCs w:val="24"/>
                <w:lang w:val="de-DE"/>
              </w:rPr>
            </w:pPr>
            <w:proofErr w:type="spellStart"/>
            <w:r w:rsidRPr="001A2624">
              <w:rPr>
                <w:rFonts w:ascii="Times New Roman" w:hAnsi="Times New Roman"/>
                <w:b w:val="0"/>
                <w:iCs/>
                <w:sz w:val="20"/>
                <w:szCs w:val="24"/>
                <w:lang w:val="de-DE"/>
              </w:rPr>
              <w:t>Ginsburg</w:t>
            </w:r>
            <w:proofErr w:type="spellEnd"/>
            <w:r w:rsidRPr="001A2624">
              <w:rPr>
                <w:rFonts w:ascii="Times New Roman" w:hAnsi="Times New Roman"/>
                <w:b w:val="0"/>
                <w:iCs/>
                <w:sz w:val="20"/>
                <w:szCs w:val="24"/>
                <w:lang w:val="de-DE"/>
              </w:rPr>
              <w:t xml:space="preserve"> and Weber (2005) – Eurobarometer 2001, EU-15</w:t>
            </w:r>
            <w:r>
              <w:rPr>
                <w:rFonts w:ascii="Times New Roman" w:hAnsi="Times New Roman"/>
                <w:b w:val="0"/>
                <w:iCs/>
                <w:sz w:val="20"/>
                <w:szCs w:val="24"/>
                <w:lang w:val="de-DE"/>
              </w:rPr>
              <w:t xml:space="preserve"> </w:t>
            </w:r>
          </w:p>
        </w:tc>
        <w:tc>
          <w:tcPr>
            <w:tcW w:w="0" w:type="dxa"/>
            <w:tcBorders>
              <w:top w:val="single" w:sz="4" w:space="0" w:color="auto"/>
              <w:bottom w:val="nil"/>
            </w:tcBorders>
          </w:tcPr>
          <w:p w14:paraId="68C376A8" w14:textId="77777777" w:rsidR="007F446F" w:rsidRPr="00944349" w:rsidRDefault="007F446F" w:rsidP="001D13CE">
            <w:pPr>
              <w:keepNext/>
              <w:keepLines/>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4"/>
                <w:lang w:val="de-DE"/>
              </w:rPr>
            </w:pPr>
            <w:r>
              <w:rPr>
                <w:rFonts w:ascii="Times New Roman" w:hAnsi="Times New Roman"/>
                <w:sz w:val="20"/>
                <w:szCs w:val="24"/>
                <w:lang w:val="de-DE"/>
              </w:rPr>
              <w:t>45</w:t>
            </w:r>
          </w:p>
        </w:tc>
        <w:tc>
          <w:tcPr>
            <w:tcW w:w="0" w:type="dxa"/>
            <w:tcBorders>
              <w:top w:val="single" w:sz="4" w:space="0" w:color="auto"/>
              <w:bottom w:val="nil"/>
            </w:tcBorders>
          </w:tcPr>
          <w:p w14:paraId="2DAC0863" w14:textId="77777777" w:rsidR="007F446F" w:rsidRPr="00944349" w:rsidRDefault="007F446F" w:rsidP="001D13CE">
            <w:pPr>
              <w:keepNext/>
              <w:keepLines/>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4"/>
                <w:lang w:val="de-DE"/>
              </w:rPr>
            </w:pPr>
            <w:r>
              <w:rPr>
                <w:rFonts w:ascii="Times New Roman" w:hAnsi="Times New Roman"/>
                <w:sz w:val="20"/>
                <w:szCs w:val="24"/>
                <w:lang w:val="de-DE"/>
              </w:rPr>
              <w:t>-</w:t>
            </w:r>
          </w:p>
        </w:tc>
        <w:tc>
          <w:tcPr>
            <w:tcW w:w="0" w:type="dxa"/>
            <w:tcBorders>
              <w:top w:val="single" w:sz="4" w:space="0" w:color="auto"/>
              <w:bottom w:val="nil"/>
            </w:tcBorders>
          </w:tcPr>
          <w:p w14:paraId="3BCA9362" w14:textId="77777777" w:rsidR="007F446F" w:rsidRPr="00944349" w:rsidRDefault="007F446F" w:rsidP="001D13CE">
            <w:pPr>
              <w:keepNext/>
              <w:keepLines/>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4"/>
                <w:lang w:val="de-DE"/>
              </w:rPr>
            </w:pPr>
            <w:r>
              <w:rPr>
                <w:rFonts w:ascii="Times New Roman" w:hAnsi="Times New Roman"/>
                <w:sz w:val="20"/>
                <w:szCs w:val="24"/>
                <w:lang w:val="de-DE"/>
              </w:rPr>
              <w:t>-</w:t>
            </w:r>
          </w:p>
        </w:tc>
        <w:tc>
          <w:tcPr>
            <w:tcW w:w="0" w:type="dxa"/>
            <w:tcBorders>
              <w:top w:val="single" w:sz="4" w:space="0" w:color="auto"/>
              <w:bottom w:val="nil"/>
            </w:tcBorders>
          </w:tcPr>
          <w:p w14:paraId="6584F323" w14:textId="77777777" w:rsidR="007F446F" w:rsidRDefault="007F446F" w:rsidP="001D13CE">
            <w:pPr>
              <w:keepNext/>
              <w:keepLines/>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4"/>
                <w:lang w:val="de-DE"/>
              </w:rPr>
            </w:pPr>
          </w:p>
        </w:tc>
        <w:tc>
          <w:tcPr>
            <w:tcW w:w="0" w:type="dxa"/>
            <w:tcBorders>
              <w:top w:val="single" w:sz="4" w:space="0" w:color="auto"/>
              <w:bottom w:val="nil"/>
            </w:tcBorders>
          </w:tcPr>
          <w:p w14:paraId="38706C11" w14:textId="77777777" w:rsidR="007F446F" w:rsidRPr="00944349" w:rsidRDefault="007F446F" w:rsidP="001D13CE">
            <w:pPr>
              <w:keepNext/>
              <w:keepLines/>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4"/>
                <w:lang w:val="de-DE"/>
              </w:rPr>
            </w:pPr>
            <w:r>
              <w:rPr>
                <w:rFonts w:ascii="Times New Roman" w:hAnsi="Times New Roman"/>
                <w:sz w:val="20"/>
                <w:szCs w:val="24"/>
                <w:lang w:val="de-DE"/>
              </w:rPr>
              <w:t>19</w:t>
            </w:r>
          </w:p>
        </w:tc>
        <w:tc>
          <w:tcPr>
            <w:tcW w:w="0" w:type="dxa"/>
            <w:tcBorders>
              <w:top w:val="single" w:sz="4" w:space="0" w:color="auto"/>
              <w:bottom w:val="nil"/>
            </w:tcBorders>
          </w:tcPr>
          <w:p w14:paraId="4BEEA6A9" w14:textId="77777777" w:rsidR="007F446F" w:rsidRPr="00944349" w:rsidRDefault="007F446F" w:rsidP="001D13CE">
            <w:pPr>
              <w:keepNext/>
              <w:keepLines/>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4"/>
                <w:lang w:val="de-DE"/>
              </w:rPr>
            </w:pPr>
            <w:r>
              <w:rPr>
                <w:rFonts w:ascii="Times New Roman" w:hAnsi="Times New Roman"/>
                <w:sz w:val="20"/>
                <w:szCs w:val="24"/>
                <w:lang w:val="de-DE"/>
              </w:rPr>
              <w:t>-</w:t>
            </w:r>
          </w:p>
        </w:tc>
        <w:tc>
          <w:tcPr>
            <w:tcW w:w="0" w:type="dxa"/>
            <w:tcBorders>
              <w:top w:val="single" w:sz="4" w:space="0" w:color="auto"/>
              <w:bottom w:val="nil"/>
            </w:tcBorders>
          </w:tcPr>
          <w:p w14:paraId="1D7C7D1C" w14:textId="77777777" w:rsidR="007F446F" w:rsidRPr="00944349" w:rsidRDefault="007F446F" w:rsidP="001D13CE">
            <w:pPr>
              <w:keepNext/>
              <w:keepLines/>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4"/>
                <w:lang w:val="de-DE"/>
              </w:rPr>
            </w:pPr>
            <w:r>
              <w:rPr>
                <w:rFonts w:ascii="Times New Roman" w:hAnsi="Times New Roman"/>
                <w:sz w:val="20"/>
                <w:szCs w:val="24"/>
                <w:lang w:val="de-DE"/>
              </w:rPr>
              <w:t>-</w:t>
            </w:r>
          </w:p>
        </w:tc>
        <w:tc>
          <w:tcPr>
            <w:tcW w:w="0" w:type="dxa"/>
            <w:tcBorders>
              <w:top w:val="single" w:sz="4" w:space="0" w:color="auto"/>
              <w:bottom w:val="nil"/>
            </w:tcBorders>
          </w:tcPr>
          <w:p w14:paraId="4BD85B3C" w14:textId="77777777" w:rsidR="007F446F" w:rsidRDefault="007F446F" w:rsidP="001D13CE">
            <w:pPr>
              <w:keepNext/>
              <w:keepLines/>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4"/>
                <w:lang w:val="de-DE"/>
              </w:rPr>
            </w:pPr>
          </w:p>
        </w:tc>
        <w:tc>
          <w:tcPr>
            <w:tcW w:w="0" w:type="dxa"/>
            <w:tcBorders>
              <w:top w:val="single" w:sz="4" w:space="0" w:color="auto"/>
              <w:bottom w:val="nil"/>
            </w:tcBorders>
          </w:tcPr>
          <w:p w14:paraId="4630F240" w14:textId="77777777" w:rsidR="007F446F" w:rsidRPr="00944349" w:rsidRDefault="007F446F" w:rsidP="001D13CE">
            <w:pPr>
              <w:keepNext/>
              <w:keepLines/>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4"/>
                <w:lang w:val="de-DE"/>
              </w:rPr>
            </w:pPr>
            <w:r>
              <w:rPr>
                <w:rFonts w:ascii="Times New Roman" w:hAnsi="Times New Roman"/>
                <w:sz w:val="20"/>
                <w:szCs w:val="24"/>
                <w:lang w:val="de-DE"/>
              </w:rPr>
              <w:t>4°</w:t>
            </w:r>
          </w:p>
        </w:tc>
        <w:tc>
          <w:tcPr>
            <w:tcW w:w="0" w:type="dxa"/>
            <w:tcBorders>
              <w:top w:val="single" w:sz="4" w:space="0" w:color="auto"/>
              <w:bottom w:val="nil"/>
            </w:tcBorders>
          </w:tcPr>
          <w:p w14:paraId="5ECA58D7" w14:textId="77777777" w:rsidR="007F446F" w:rsidRPr="00944349" w:rsidRDefault="007F446F" w:rsidP="001D13CE">
            <w:pPr>
              <w:keepNext/>
              <w:keepLines/>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4"/>
                <w:lang w:val="de-DE"/>
              </w:rPr>
            </w:pPr>
            <w:r>
              <w:rPr>
                <w:rFonts w:ascii="Times New Roman" w:hAnsi="Times New Roman"/>
                <w:sz w:val="20"/>
                <w:szCs w:val="24"/>
                <w:lang w:val="de-DE"/>
              </w:rPr>
              <w:t>-</w:t>
            </w:r>
          </w:p>
        </w:tc>
        <w:tc>
          <w:tcPr>
            <w:tcW w:w="0" w:type="dxa"/>
            <w:gridSpan w:val="2"/>
            <w:tcBorders>
              <w:top w:val="single" w:sz="4" w:space="0" w:color="auto"/>
              <w:bottom w:val="nil"/>
            </w:tcBorders>
          </w:tcPr>
          <w:p w14:paraId="13BF16E9" w14:textId="77777777" w:rsidR="007F446F" w:rsidRPr="00944349" w:rsidRDefault="007F446F" w:rsidP="001D13CE">
            <w:pPr>
              <w:keepNext/>
              <w:keepLines/>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4"/>
                <w:lang w:val="de-DE"/>
              </w:rPr>
            </w:pPr>
            <w:r>
              <w:rPr>
                <w:rFonts w:ascii="Times New Roman" w:hAnsi="Times New Roman"/>
                <w:sz w:val="20"/>
                <w:szCs w:val="24"/>
                <w:lang w:val="de-DE"/>
              </w:rPr>
              <w:t>-</w:t>
            </w:r>
          </w:p>
        </w:tc>
        <w:tc>
          <w:tcPr>
            <w:tcW w:w="0" w:type="dxa"/>
            <w:tcBorders>
              <w:top w:val="single" w:sz="4" w:space="0" w:color="auto"/>
              <w:bottom w:val="nil"/>
            </w:tcBorders>
          </w:tcPr>
          <w:p w14:paraId="24DEA437" w14:textId="77777777" w:rsidR="007F446F" w:rsidRDefault="007F446F" w:rsidP="001D13CE">
            <w:pPr>
              <w:keepNext/>
              <w:keepLines/>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4"/>
                <w:lang w:val="de-DE"/>
              </w:rPr>
            </w:pPr>
          </w:p>
        </w:tc>
        <w:tc>
          <w:tcPr>
            <w:tcW w:w="0" w:type="dxa"/>
            <w:tcBorders>
              <w:top w:val="single" w:sz="4" w:space="0" w:color="auto"/>
              <w:bottom w:val="nil"/>
            </w:tcBorders>
          </w:tcPr>
          <w:p w14:paraId="0C4E94F8" w14:textId="77777777" w:rsidR="007F446F" w:rsidRDefault="007F446F" w:rsidP="001D13CE">
            <w:pPr>
              <w:keepNext/>
              <w:keepLines/>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4"/>
                <w:lang w:val="de-DE"/>
              </w:rPr>
            </w:pPr>
            <w:r>
              <w:rPr>
                <w:rFonts w:ascii="Times New Roman" w:hAnsi="Times New Roman"/>
                <w:sz w:val="20"/>
                <w:szCs w:val="24"/>
                <w:lang w:val="de-DE"/>
              </w:rPr>
              <w:t>-</w:t>
            </w:r>
          </w:p>
        </w:tc>
        <w:tc>
          <w:tcPr>
            <w:tcW w:w="0" w:type="dxa"/>
            <w:tcBorders>
              <w:top w:val="single" w:sz="4" w:space="0" w:color="auto"/>
              <w:bottom w:val="nil"/>
            </w:tcBorders>
          </w:tcPr>
          <w:p w14:paraId="3DB5B068" w14:textId="77777777" w:rsidR="007F446F" w:rsidRDefault="007F446F" w:rsidP="001D13CE">
            <w:pPr>
              <w:keepNext/>
              <w:keepLines/>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4"/>
                <w:lang w:val="de-DE"/>
              </w:rPr>
            </w:pPr>
            <w:r>
              <w:rPr>
                <w:rFonts w:ascii="Times New Roman" w:hAnsi="Times New Roman"/>
                <w:sz w:val="20"/>
                <w:szCs w:val="24"/>
                <w:lang w:val="de-DE"/>
              </w:rPr>
              <w:t>-</w:t>
            </w:r>
          </w:p>
        </w:tc>
      </w:tr>
      <w:tr w:rsidR="007F446F" w:rsidRPr="00944349" w14:paraId="5DEC9BF9" w14:textId="77777777" w:rsidTr="001D13CE">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5226" w:type="dxa"/>
            <w:tcBorders>
              <w:top w:val="nil"/>
              <w:bottom w:val="nil"/>
            </w:tcBorders>
            <w:hideMark/>
          </w:tcPr>
          <w:p w14:paraId="121D18DC" w14:textId="77777777" w:rsidR="007F446F" w:rsidRPr="001A2624" w:rsidRDefault="007F446F" w:rsidP="001D13CE">
            <w:pPr>
              <w:spacing w:after="0" w:line="360" w:lineRule="auto"/>
              <w:rPr>
                <w:rFonts w:ascii="Times New Roman" w:hAnsi="Times New Roman"/>
                <w:b w:val="0"/>
                <w:sz w:val="20"/>
                <w:szCs w:val="24"/>
                <w:lang w:val="de-DE"/>
              </w:rPr>
            </w:pPr>
            <w:proofErr w:type="spellStart"/>
            <w:r w:rsidRPr="001A2624">
              <w:rPr>
                <w:rFonts w:ascii="Times New Roman" w:hAnsi="Times New Roman"/>
                <w:b w:val="0"/>
                <w:iCs/>
                <w:sz w:val="20"/>
                <w:szCs w:val="24"/>
                <w:lang w:val="de-DE"/>
              </w:rPr>
              <w:t>Firdmuc</w:t>
            </w:r>
            <w:proofErr w:type="spellEnd"/>
            <w:r w:rsidRPr="001A2624">
              <w:rPr>
                <w:rFonts w:ascii="Times New Roman" w:hAnsi="Times New Roman"/>
                <w:b w:val="0"/>
                <w:iCs/>
                <w:sz w:val="20"/>
                <w:szCs w:val="24"/>
                <w:lang w:val="de-DE"/>
              </w:rPr>
              <w:t xml:space="preserve">, </w:t>
            </w:r>
            <w:proofErr w:type="spellStart"/>
            <w:r w:rsidRPr="001A2624">
              <w:rPr>
                <w:rFonts w:ascii="Times New Roman" w:hAnsi="Times New Roman"/>
                <w:b w:val="0"/>
                <w:iCs/>
                <w:sz w:val="20"/>
                <w:szCs w:val="24"/>
                <w:lang w:val="de-DE"/>
              </w:rPr>
              <w:t>Ginsburg</w:t>
            </w:r>
            <w:proofErr w:type="spellEnd"/>
            <w:r w:rsidRPr="001A2624">
              <w:rPr>
                <w:rFonts w:ascii="Times New Roman" w:hAnsi="Times New Roman"/>
                <w:b w:val="0"/>
                <w:iCs/>
                <w:sz w:val="20"/>
                <w:szCs w:val="24"/>
                <w:lang w:val="de-DE"/>
              </w:rPr>
              <w:t xml:space="preserve"> and Weber (2010) – Eurobarometer 2006, EU-27</w:t>
            </w:r>
          </w:p>
        </w:tc>
        <w:tc>
          <w:tcPr>
            <w:tcW w:w="479" w:type="dxa"/>
            <w:tcBorders>
              <w:top w:val="nil"/>
              <w:bottom w:val="nil"/>
            </w:tcBorders>
          </w:tcPr>
          <w:p w14:paraId="014F7BAE" w14:textId="77777777" w:rsidR="007F446F" w:rsidRPr="00944349" w:rsidRDefault="007F446F" w:rsidP="001D13CE">
            <w:pPr>
              <w:keepNext/>
              <w:keepLines/>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4"/>
                <w:lang w:val="de-DE"/>
              </w:rPr>
            </w:pPr>
            <w:r>
              <w:rPr>
                <w:rFonts w:ascii="Times New Roman" w:hAnsi="Times New Roman"/>
                <w:sz w:val="20"/>
                <w:szCs w:val="24"/>
                <w:lang w:val="de-DE"/>
              </w:rPr>
              <w:t>-</w:t>
            </w:r>
          </w:p>
        </w:tc>
        <w:tc>
          <w:tcPr>
            <w:tcW w:w="723" w:type="dxa"/>
            <w:tcBorders>
              <w:top w:val="nil"/>
              <w:bottom w:val="nil"/>
            </w:tcBorders>
          </w:tcPr>
          <w:p w14:paraId="614867D3" w14:textId="77777777" w:rsidR="007F446F" w:rsidRPr="00944349" w:rsidRDefault="007F446F" w:rsidP="001D13CE">
            <w:pPr>
              <w:keepNext/>
              <w:keepLines/>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4"/>
                <w:lang w:val="de-DE"/>
              </w:rPr>
            </w:pPr>
            <w:r>
              <w:rPr>
                <w:rFonts w:ascii="Times New Roman" w:hAnsi="Times New Roman"/>
                <w:sz w:val="20"/>
                <w:szCs w:val="24"/>
                <w:lang w:val="de-DE"/>
              </w:rPr>
              <w:t>62.6</w:t>
            </w:r>
          </w:p>
        </w:tc>
        <w:tc>
          <w:tcPr>
            <w:tcW w:w="540" w:type="dxa"/>
            <w:tcBorders>
              <w:top w:val="nil"/>
              <w:bottom w:val="nil"/>
            </w:tcBorders>
          </w:tcPr>
          <w:p w14:paraId="31C3EA89" w14:textId="77777777" w:rsidR="007F446F" w:rsidRPr="00944349" w:rsidRDefault="007F446F" w:rsidP="001D13CE">
            <w:pPr>
              <w:keepNext/>
              <w:keepLines/>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4"/>
                <w:lang w:val="de-DE"/>
              </w:rPr>
            </w:pPr>
            <w:r>
              <w:rPr>
                <w:rFonts w:ascii="Times New Roman" w:hAnsi="Times New Roman"/>
                <w:sz w:val="20"/>
                <w:szCs w:val="24"/>
                <w:lang w:val="de-DE"/>
              </w:rPr>
              <w:t>-</w:t>
            </w:r>
          </w:p>
        </w:tc>
        <w:tc>
          <w:tcPr>
            <w:tcW w:w="270" w:type="dxa"/>
            <w:tcBorders>
              <w:top w:val="nil"/>
              <w:bottom w:val="nil"/>
            </w:tcBorders>
          </w:tcPr>
          <w:p w14:paraId="440969C1" w14:textId="77777777" w:rsidR="007F446F" w:rsidRDefault="007F446F" w:rsidP="001D13CE">
            <w:pPr>
              <w:keepNext/>
              <w:keepLines/>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4"/>
                <w:lang w:val="de-DE"/>
              </w:rPr>
            </w:pPr>
          </w:p>
        </w:tc>
        <w:tc>
          <w:tcPr>
            <w:tcW w:w="458" w:type="dxa"/>
            <w:tcBorders>
              <w:top w:val="nil"/>
              <w:bottom w:val="nil"/>
            </w:tcBorders>
          </w:tcPr>
          <w:p w14:paraId="382ADEBD" w14:textId="77777777" w:rsidR="007F446F" w:rsidRPr="00944349" w:rsidRDefault="007F446F" w:rsidP="001D13CE">
            <w:pPr>
              <w:keepNext/>
              <w:keepLines/>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4"/>
                <w:lang w:val="de-DE"/>
              </w:rPr>
            </w:pPr>
            <w:r>
              <w:rPr>
                <w:rFonts w:ascii="Times New Roman" w:hAnsi="Times New Roman"/>
                <w:sz w:val="20"/>
                <w:szCs w:val="24"/>
                <w:lang w:val="de-DE"/>
              </w:rPr>
              <w:t>-</w:t>
            </w:r>
          </w:p>
        </w:tc>
        <w:tc>
          <w:tcPr>
            <w:tcW w:w="647" w:type="dxa"/>
            <w:tcBorders>
              <w:top w:val="nil"/>
              <w:bottom w:val="nil"/>
            </w:tcBorders>
          </w:tcPr>
          <w:p w14:paraId="5FAFD964" w14:textId="77777777" w:rsidR="007F446F" w:rsidRPr="00944349" w:rsidRDefault="007F446F" w:rsidP="001D13CE">
            <w:pPr>
              <w:keepNext/>
              <w:keepLines/>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4"/>
                <w:lang w:val="de-DE"/>
              </w:rPr>
            </w:pPr>
            <w:r>
              <w:rPr>
                <w:rFonts w:ascii="Times New Roman" w:hAnsi="Times New Roman"/>
                <w:sz w:val="20"/>
                <w:szCs w:val="24"/>
                <w:lang w:val="de-DE"/>
              </w:rPr>
              <w:t>37.8</w:t>
            </w:r>
          </w:p>
        </w:tc>
        <w:tc>
          <w:tcPr>
            <w:tcW w:w="461" w:type="dxa"/>
            <w:tcBorders>
              <w:top w:val="nil"/>
              <w:bottom w:val="nil"/>
            </w:tcBorders>
          </w:tcPr>
          <w:p w14:paraId="7833BE45" w14:textId="77777777" w:rsidR="007F446F" w:rsidRPr="00944349" w:rsidRDefault="007F446F" w:rsidP="001D13CE">
            <w:pPr>
              <w:keepNext/>
              <w:keepLines/>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4"/>
                <w:lang w:val="de-DE"/>
              </w:rPr>
            </w:pPr>
            <w:r>
              <w:rPr>
                <w:rFonts w:ascii="Times New Roman" w:hAnsi="Times New Roman"/>
                <w:sz w:val="20"/>
                <w:szCs w:val="24"/>
                <w:lang w:val="de-DE"/>
              </w:rPr>
              <w:t>-</w:t>
            </w:r>
          </w:p>
        </w:tc>
        <w:tc>
          <w:tcPr>
            <w:tcW w:w="324" w:type="dxa"/>
            <w:tcBorders>
              <w:top w:val="nil"/>
              <w:bottom w:val="nil"/>
            </w:tcBorders>
          </w:tcPr>
          <w:p w14:paraId="74176150" w14:textId="77777777" w:rsidR="007F446F" w:rsidRDefault="007F446F" w:rsidP="001D13CE">
            <w:pPr>
              <w:keepNext/>
              <w:keepLines/>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4"/>
                <w:lang w:val="de-DE"/>
              </w:rPr>
            </w:pPr>
          </w:p>
        </w:tc>
        <w:tc>
          <w:tcPr>
            <w:tcW w:w="572" w:type="dxa"/>
            <w:tcBorders>
              <w:top w:val="nil"/>
              <w:bottom w:val="nil"/>
            </w:tcBorders>
          </w:tcPr>
          <w:p w14:paraId="3FFD2AD4" w14:textId="77777777" w:rsidR="007F446F" w:rsidRPr="00944349" w:rsidRDefault="007F446F" w:rsidP="001D13CE">
            <w:pPr>
              <w:keepNext/>
              <w:keepLines/>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4"/>
                <w:lang w:val="de-DE"/>
              </w:rPr>
            </w:pPr>
            <w:r>
              <w:rPr>
                <w:rFonts w:ascii="Times New Roman" w:hAnsi="Times New Roman"/>
                <w:sz w:val="20"/>
                <w:szCs w:val="24"/>
                <w:lang w:val="de-DE"/>
              </w:rPr>
              <w:t>-</w:t>
            </w:r>
          </w:p>
        </w:tc>
        <w:tc>
          <w:tcPr>
            <w:tcW w:w="751" w:type="dxa"/>
            <w:tcBorders>
              <w:top w:val="nil"/>
              <w:bottom w:val="nil"/>
            </w:tcBorders>
          </w:tcPr>
          <w:p w14:paraId="6E60EF17" w14:textId="77777777" w:rsidR="007F446F" w:rsidRPr="00944349" w:rsidRDefault="007F446F" w:rsidP="001D13CE">
            <w:pPr>
              <w:keepNext/>
              <w:keepLines/>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4"/>
                <w:lang w:val="de-DE"/>
              </w:rPr>
            </w:pPr>
            <w:r>
              <w:rPr>
                <w:rFonts w:ascii="Times New Roman" w:hAnsi="Times New Roman"/>
                <w:sz w:val="20"/>
                <w:szCs w:val="24"/>
                <w:lang w:val="de-DE"/>
              </w:rPr>
              <w:t>16.4</w:t>
            </w:r>
          </w:p>
        </w:tc>
        <w:tc>
          <w:tcPr>
            <w:tcW w:w="573" w:type="dxa"/>
            <w:gridSpan w:val="2"/>
            <w:tcBorders>
              <w:top w:val="nil"/>
              <w:bottom w:val="nil"/>
            </w:tcBorders>
          </w:tcPr>
          <w:p w14:paraId="17C12AA9" w14:textId="77777777" w:rsidR="007F446F" w:rsidRPr="00944349" w:rsidRDefault="007F446F" w:rsidP="001D13CE">
            <w:pPr>
              <w:keepNext/>
              <w:keepLines/>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4"/>
                <w:lang w:val="de-DE"/>
              </w:rPr>
            </w:pPr>
            <w:r>
              <w:rPr>
                <w:rFonts w:ascii="Times New Roman" w:hAnsi="Times New Roman"/>
                <w:sz w:val="20"/>
                <w:szCs w:val="24"/>
                <w:lang w:val="de-DE"/>
              </w:rPr>
              <w:t>-</w:t>
            </w:r>
          </w:p>
        </w:tc>
        <w:tc>
          <w:tcPr>
            <w:tcW w:w="264" w:type="dxa"/>
            <w:tcBorders>
              <w:top w:val="nil"/>
              <w:bottom w:val="nil"/>
            </w:tcBorders>
          </w:tcPr>
          <w:p w14:paraId="688E5F0C" w14:textId="77777777" w:rsidR="007F446F" w:rsidRDefault="007F446F" w:rsidP="001D13CE">
            <w:pPr>
              <w:keepNext/>
              <w:keepLines/>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4"/>
                <w:lang w:val="de-DE"/>
              </w:rPr>
            </w:pPr>
          </w:p>
        </w:tc>
        <w:tc>
          <w:tcPr>
            <w:tcW w:w="690" w:type="dxa"/>
            <w:tcBorders>
              <w:top w:val="nil"/>
              <w:bottom w:val="nil"/>
            </w:tcBorders>
          </w:tcPr>
          <w:p w14:paraId="38E13E67" w14:textId="77777777" w:rsidR="007F446F" w:rsidRDefault="007F446F" w:rsidP="001D13CE">
            <w:pPr>
              <w:keepNext/>
              <w:keepLines/>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4"/>
                <w:lang w:val="de-DE"/>
              </w:rPr>
            </w:pPr>
            <w:r>
              <w:rPr>
                <w:rFonts w:ascii="Times New Roman" w:hAnsi="Times New Roman"/>
                <w:sz w:val="20"/>
                <w:szCs w:val="24"/>
                <w:lang w:val="de-DE"/>
              </w:rPr>
              <w:t>-</w:t>
            </w:r>
          </w:p>
        </w:tc>
        <w:tc>
          <w:tcPr>
            <w:tcW w:w="694" w:type="dxa"/>
            <w:tcBorders>
              <w:top w:val="nil"/>
              <w:bottom w:val="nil"/>
            </w:tcBorders>
          </w:tcPr>
          <w:p w14:paraId="3423D69A" w14:textId="77777777" w:rsidR="007F446F" w:rsidRDefault="007F446F" w:rsidP="001D13CE">
            <w:pPr>
              <w:keepNext/>
              <w:keepLines/>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4"/>
                <w:lang w:val="de-DE"/>
              </w:rPr>
            </w:pPr>
            <w:r>
              <w:rPr>
                <w:rFonts w:ascii="Times New Roman" w:hAnsi="Times New Roman"/>
                <w:sz w:val="20"/>
                <w:szCs w:val="24"/>
                <w:lang w:val="de-DE"/>
              </w:rPr>
              <w:t>-</w:t>
            </w:r>
          </w:p>
        </w:tc>
      </w:tr>
      <w:tr w:rsidR="007F446F" w14:paraId="10DE681A" w14:textId="77777777" w:rsidTr="001D13CE">
        <w:trPr>
          <w:trHeight w:val="273"/>
        </w:trPr>
        <w:tc>
          <w:tcPr>
            <w:cnfStyle w:val="001000000000" w:firstRow="0" w:lastRow="0" w:firstColumn="1" w:lastColumn="0" w:oddVBand="0" w:evenVBand="0" w:oddHBand="0" w:evenHBand="0" w:firstRowFirstColumn="0" w:firstRowLastColumn="0" w:lastRowFirstColumn="0" w:lastRowLastColumn="0"/>
            <w:tcW w:w="5226" w:type="dxa"/>
            <w:tcBorders>
              <w:top w:val="nil"/>
              <w:bottom w:val="nil"/>
            </w:tcBorders>
            <w:hideMark/>
          </w:tcPr>
          <w:p w14:paraId="59288AFA" w14:textId="77777777" w:rsidR="007F446F" w:rsidRPr="001A2624" w:rsidRDefault="007F446F" w:rsidP="001D13CE">
            <w:pPr>
              <w:spacing w:after="0" w:line="360" w:lineRule="auto"/>
              <w:rPr>
                <w:rFonts w:ascii="Times New Roman" w:hAnsi="Times New Roman"/>
                <w:b w:val="0"/>
                <w:sz w:val="20"/>
                <w:szCs w:val="24"/>
              </w:rPr>
            </w:pPr>
            <w:r w:rsidRPr="001A2624">
              <w:rPr>
                <w:rFonts w:ascii="Times New Roman" w:hAnsi="Times New Roman"/>
                <w:b w:val="0"/>
                <w:iCs/>
                <w:sz w:val="20"/>
                <w:szCs w:val="24"/>
              </w:rPr>
              <w:t>Gazzola and Grin (2013) – Eurobarometer 2012, EU-27</w:t>
            </w:r>
          </w:p>
        </w:tc>
        <w:tc>
          <w:tcPr>
            <w:tcW w:w="479" w:type="dxa"/>
            <w:tcBorders>
              <w:top w:val="nil"/>
              <w:bottom w:val="nil"/>
            </w:tcBorders>
          </w:tcPr>
          <w:p w14:paraId="03688BC4" w14:textId="77777777" w:rsidR="007F446F" w:rsidRDefault="007F446F" w:rsidP="001D13CE">
            <w:pPr>
              <w:keepNext/>
              <w:keepLines/>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4"/>
              </w:rPr>
            </w:pPr>
            <w:r>
              <w:rPr>
                <w:rFonts w:ascii="Times New Roman" w:hAnsi="Times New Roman"/>
                <w:sz w:val="20"/>
                <w:szCs w:val="24"/>
              </w:rPr>
              <w:t>50</w:t>
            </w:r>
          </w:p>
        </w:tc>
        <w:tc>
          <w:tcPr>
            <w:tcW w:w="723" w:type="dxa"/>
            <w:tcBorders>
              <w:top w:val="nil"/>
              <w:bottom w:val="nil"/>
            </w:tcBorders>
          </w:tcPr>
          <w:p w14:paraId="5CC683BE" w14:textId="77777777" w:rsidR="007F446F" w:rsidRDefault="007F446F" w:rsidP="001D13CE">
            <w:pPr>
              <w:keepNext/>
              <w:keepLines/>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4"/>
              </w:rPr>
            </w:pPr>
            <w:r>
              <w:rPr>
                <w:rFonts w:ascii="Times New Roman" w:hAnsi="Times New Roman"/>
                <w:sz w:val="20"/>
                <w:szCs w:val="24"/>
              </w:rPr>
              <w:t>62</w:t>
            </w:r>
          </w:p>
        </w:tc>
        <w:tc>
          <w:tcPr>
            <w:tcW w:w="540" w:type="dxa"/>
            <w:tcBorders>
              <w:top w:val="nil"/>
              <w:bottom w:val="nil"/>
            </w:tcBorders>
          </w:tcPr>
          <w:p w14:paraId="46B8E9F0" w14:textId="77777777" w:rsidR="007F446F" w:rsidRDefault="007F446F" w:rsidP="001D13CE">
            <w:pPr>
              <w:keepNext/>
              <w:keepLines/>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4"/>
              </w:rPr>
            </w:pPr>
            <w:r>
              <w:rPr>
                <w:rFonts w:ascii="Times New Roman" w:hAnsi="Times New Roman"/>
                <w:sz w:val="20"/>
                <w:szCs w:val="24"/>
              </w:rPr>
              <w:t>79</w:t>
            </w:r>
          </w:p>
        </w:tc>
        <w:tc>
          <w:tcPr>
            <w:tcW w:w="270" w:type="dxa"/>
            <w:tcBorders>
              <w:top w:val="nil"/>
              <w:bottom w:val="nil"/>
            </w:tcBorders>
          </w:tcPr>
          <w:p w14:paraId="3EF374D4" w14:textId="77777777" w:rsidR="007F446F" w:rsidRDefault="007F446F" w:rsidP="001D13CE">
            <w:pPr>
              <w:keepNext/>
              <w:keepLines/>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4"/>
                <w:lang w:val="de-DE"/>
              </w:rPr>
            </w:pPr>
          </w:p>
        </w:tc>
        <w:tc>
          <w:tcPr>
            <w:tcW w:w="458" w:type="dxa"/>
            <w:tcBorders>
              <w:top w:val="nil"/>
              <w:bottom w:val="nil"/>
            </w:tcBorders>
          </w:tcPr>
          <w:p w14:paraId="1CD5BE49" w14:textId="77777777" w:rsidR="007F446F" w:rsidRDefault="007F446F" w:rsidP="001D13CE">
            <w:pPr>
              <w:keepNext/>
              <w:keepLines/>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4"/>
              </w:rPr>
            </w:pPr>
            <w:r>
              <w:rPr>
                <w:rFonts w:ascii="Times New Roman" w:hAnsi="Times New Roman"/>
                <w:sz w:val="20"/>
                <w:szCs w:val="24"/>
                <w:lang w:val="de-DE"/>
              </w:rPr>
              <w:t>-</w:t>
            </w:r>
          </w:p>
        </w:tc>
        <w:tc>
          <w:tcPr>
            <w:tcW w:w="647" w:type="dxa"/>
            <w:tcBorders>
              <w:top w:val="nil"/>
              <w:bottom w:val="nil"/>
            </w:tcBorders>
          </w:tcPr>
          <w:p w14:paraId="4EF1C51E" w14:textId="77777777" w:rsidR="007F446F" w:rsidRDefault="007F446F" w:rsidP="001D13CE">
            <w:pPr>
              <w:keepNext/>
              <w:keepLines/>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4"/>
              </w:rPr>
            </w:pPr>
            <w:r>
              <w:rPr>
                <w:rFonts w:ascii="Times New Roman" w:hAnsi="Times New Roman"/>
                <w:sz w:val="20"/>
                <w:szCs w:val="24"/>
                <w:lang w:val="de-DE"/>
              </w:rPr>
              <w:t>-</w:t>
            </w:r>
          </w:p>
        </w:tc>
        <w:tc>
          <w:tcPr>
            <w:tcW w:w="461" w:type="dxa"/>
            <w:tcBorders>
              <w:top w:val="nil"/>
              <w:bottom w:val="nil"/>
            </w:tcBorders>
          </w:tcPr>
          <w:p w14:paraId="2C23FE7E" w14:textId="77777777" w:rsidR="007F446F" w:rsidRDefault="007F446F" w:rsidP="001D13CE">
            <w:pPr>
              <w:keepNext/>
              <w:keepLines/>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4"/>
              </w:rPr>
            </w:pPr>
            <w:r>
              <w:rPr>
                <w:rFonts w:ascii="Times New Roman" w:hAnsi="Times New Roman"/>
                <w:sz w:val="20"/>
                <w:szCs w:val="24"/>
                <w:lang w:val="de-DE"/>
              </w:rPr>
              <w:t>-</w:t>
            </w:r>
          </w:p>
        </w:tc>
        <w:tc>
          <w:tcPr>
            <w:tcW w:w="324" w:type="dxa"/>
            <w:tcBorders>
              <w:top w:val="nil"/>
              <w:bottom w:val="nil"/>
            </w:tcBorders>
          </w:tcPr>
          <w:p w14:paraId="7BE70581" w14:textId="77777777" w:rsidR="007F446F" w:rsidRDefault="007F446F" w:rsidP="001D13CE">
            <w:pPr>
              <w:keepNext/>
              <w:keepLines/>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4"/>
                <w:lang w:val="de-DE"/>
              </w:rPr>
            </w:pPr>
          </w:p>
        </w:tc>
        <w:tc>
          <w:tcPr>
            <w:tcW w:w="572" w:type="dxa"/>
            <w:tcBorders>
              <w:top w:val="nil"/>
              <w:bottom w:val="nil"/>
            </w:tcBorders>
          </w:tcPr>
          <w:p w14:paraId="68CB2EFB" w14:textId="77777777" w:rsidR="007F446F" w:rsidRDefault="007F446F" w:rsidP="001D13CE">
            <w:pPr>
              <w:keepNext/>
              <w:keepLines/>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4"/>
              </w:rPr>
            </w:pPr>
            <w:r>
              <w:rPr>
                <w:rFonts w:ascii="Times New Roman" w:hAnsi="Times New Roman"/>
                <w:sz w:val="20"/>
                <w:szCs w:val="24"/>
                <w:lang w:val="de-DE"/>
              </w:rPr>
              <w:t>-</w:t>
            </w:r>
          </w:p>
        </w:tc>
        <w:tc>
          <w:tcPr>
            <w:tcW w:w="751" w:type="dxa"/>
            <w:tcBorders>
              <w:top w:val="nil"/>
              <w:bottom w:val="nil"/>
            </w:tcBorders>
          </w:tcPr>
          <w:p w14:paraId="55D63C9B" w14:textId="77777777" w:rsidR="007F446F" w:rsidRDefault="007F446F" w:rsidP="001D13CE">
            <w:pPr>
              <w:keepNext/>
              <w:keepLines/>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4"/>
              </w:rPr>
            </w:pPr>
            <w:r>
              <w:rPr>
                <w:rFonts w:ascii="Times New Roman" w:hAnsi="Times New Roman"/>
                <w:sz w:val="20"/>
                <w:szCs w:val="24"/>
                <w:lang w:val="de-DE"/>
              </w:rPr>
              <w:t>-</w:t>
            </w:r>
          </w:p>
        </w:tc>
        <w:tc>
          <w:tcPr>
            <w:tcW w:w="573" w:type="dxa"/>
            <w:gridSpan w:val="2"/>
            <w:tcBorders>
              <w:top w:val="nil"/>
              <w:bottom w:val="nil"/>
            </w:tcBorders>
          </w:tcPr>
          <w:p w14:paraId="16DFF5F4" w14:textId="77777777" w:rsidR="007F446F" w:rsidRDefault="007F446F" w:rsidP="001D13CE">
            <w:pPr>
              <w:keepNext/>
              <w:keepLines/>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4"/>
              </w:rPr>
            </w:pPr>
            <w:r>
              <w:rPr>
                <w:rFonts w:ascii="Times New Roman" w:hAnsi="Times New Roman"/>
                <w:sz w:val="20"/>
                <w:szCs w:val="24"/>
                <w:lang w:val="de-DE"/>
              </w:rPr>
              <w:t>-</w:t>
            </w:r>
          </w:p>
        </w:tc>
        <w:tc>
          <w:tcPr>
            <w:tcW w:w="264" w:type="dxa"/>
            <w:tcBorders>
              <w:top w:val="nil"/>
              <w:bottom w:val="nil"/>
            </w:tcBorders>
          </w:tcPr>
          <w:p w14:paraId="28EB5DD8" w14:textId="77777777" w:rsidR="007F446F" w:rsidRDefault="007F446F" w:rsidP="001D13CE">
            <w:pPr>
              <w:keepNext/>
              <w:keepLines/>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4"/>
                <w:lang w:val="de-DE"/>
              </w:rPr>
            </w:pPr>
          </w:p>
        </w:tc>
        <w:tc>
          <w:tcPr>
            <w:tcW w:w="690" w:type="dxa"/>
            <w:tcBorders>
              <w:top w:val="nil"/>
              <w:bottom w:val="nil"/>
            </w:tcBorders>
          </w:tcPr>
          <w:p w14:paraId="687BF6E4" w14:textId="77777777" w:rsidR="007F446F" w:rsidRDefault="007F446F" w:rsidP="001D13CE">
            <w:pPr>
              <w:keepNext/>
              <w:keepLines/>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4"/>
                <w:lang w:val="de-DE"/>
              </w:rPr>
            </w:pPr>
            <w:r>
              <w:rPr>
                <w:rFonts w:ascii="Times New Roman" w:hAnsi="Times New Roman"/>
                <w:sz w:val="20"/>
                <w:szCs w:val="24"/>
                <w:lang w:val="de-DE"/>
              </w:rPr>
              <w:t>0</w:t>
            </w:r>
          </w:p>
        </w:tc>
        <w:tc>
          <w:tcPr>
            <w:tcW w:w="694" w:type="dxa"/>
            <w:tcBorders>
              <w:top w:val="nil"/>
              <w:bottom w:val="nil"/>
            </w:tcBorders>
          </w:tcPr>
          <w:p w14:paraId="76BB7758" w14:textId="77777777" w:rsidR="007F446F" w:rsidRDefault="007F446F" w:rsidP="001D13CE">
            <w:pPr>
              <w:keepNext/>
              <w:keepLines/>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4"/>
                <w:lang w:val="de-DE"/>
              </w:rPr>
            </w:pPr>
            <w:r>
              <w:rPr>
                <w:rFonts w:ascii="Times New Roman" w:hAnsi="Times New Roman"/>
                <w:sz w:val="20"/>
                <w:szCs w:val="24"/>
                <w:lang w:val="de-DE"/>
              </w:rPr>
              <w:t>-</w:t>
            </w:r>
          </w:p>
        </w:tc>
      </w:tr>
      <w:tr w:rsidR="007F446F" w14:paraId="70BC34B2" w14:textId="77777777" w:rsidTr="001D13CE">
        <w:trPr>
          <w:cnfStyle w:val="000000100000" w:firstRow="0" w:lastRow="0" w:firstColumn="0" w:lastColumn="0" w:oddVBand="0" w:evenVBand="0" w:oddHBand="1" w:evenHBand="0" w:firstRowFirstColumn="0" w:firstRowLastColumn="0" w:lastRowFirstColumn="0" w:lastRowLastColumn="0"/>
          <w:trHeight w:val="483"/>
        </w:trPr>
        <w:tc>
          <w:tcPr>
            <w:cnfStyle w:val="001000000000" w:firstRow="0" w:lastRow="0" w:firstColumn="1" w:lastColumn="0" w:oddVBand="0" w:evenVBand="0" w:oddHBand="0" w:evenHBand="0" w:firstRowFirstColumn="0" w:firstRowLastColumn="0" w:lastRowFirstColumn="0" w:lastRowLastColumn="0"/>
            <w:tcW w:w="5226" w:type="dxa"/>
            <w:tcBorders>
              <w:top w:val="nil"/>
              <w:bottom w:val="nil"/>
            </w:tcBorders>
            <w:hideMark/>
          </w:tcPr>
          <w:p w14:paraId="3F4C6E1C" w14:textId="77777777" w:rsidR="007F446F" w:rsidRPr="001A2624" w:rsidRDefault="007F446F" w:rsidP="001D13CE">
            <w:pPr>
              <w:spacing w:after="0" w:line="360" w:lineRule="auto"/>
              <w:rPr>
                <w:rFonts w:ascii="Times New Roman" w:hAnsi="Times New Roman"/>
                <w:b w:val="0"/>
                <w:sz w:val="20"/>
                <w:szCs w:val="24"/>
              </w:rPr>
            </w:pPr>
            <w:r w:rsidRPr="001A2624">
              <w:rPr>
                <w:rFonts w:ascii="Times New Roman" w:hAnsi="Times New Roman"/>
                <w:b w:val="0"/>
                <w:iCs/>
                <w:sz w:val="20"/>
                <w:szCs w:val="24"/>
              </w:rPr>
              <w:t>Gazzola (2014) – AES 2007, EU-24</w:t>
            </w:r>
          </w:p>
        </w:tc>
        <w:tc>
          <w:tcPr>
            <w:tcW w:w="479" w:type="dxa"/>
            <w:tcBorders>
              <w:top w:val="nil"/>
              <w:bottom w:val="nil"/>
            </w:tcBorders>
          </w:tcPr>
          <w:p w14:paraId="7228F8A4" w14:textId="77777777" w:rsidR="007F446F" w:rsidRDefault="007F446F" w:rsidP="001D13CE">
            <w:pPr>
              <w:keepNext/>
              <w:keepLines/>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4"/>
              </w:rPr>
            </w:pPr>
            <w:r>
              <w:rPr>
                <w:rFonts w:ascii="Times New Roman" w:hAnsi="Times New Roman"/>
                <w:sz w:val="20"/>
                <w:szCs w:val="24"/>
              </w:rPr>
              <w:t>49</w:t>
            </w:r>
          </w:p>
        </w:tc>
        <w:tc>
          <w:tcPr>
            <w:tcW w:w="723" w:type="dxa"/>
            <w:tcBorders>
              <w:top w:val="nil"/>
              <w:bottom w:val="nil"/>
            </w:tcBorders>
          </w:tcPr>
          <w:p w14:paraId="28D7AEEE" w14:textId="77777777" w:rsidR="007F446F" w:rsidRDefault="007F446F" w:rsidP="001D13CE">
            <w:pPr>
              <w:keepNext/>
              <w:keepLines/>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4"/>
              </w:rPr>
            </w:pPr>
            <w:r>
              <w:rPr>
                <w:rFonts w:ascii="Times New Roman" w:hAnsi="Times New Roman"/>
                <w:sz w:val="20"/>
                <w:szCs w:val="24"/>
              </w:rPr>
              <w:t>-</w:t>
            </w:r>
          </w:p>
        </w:tc>
        <w:tc>
          <w:tcPr>
            <w:tcW w:w="540" w:type="dxa"/>
            <w:tcBorders>
              <w:top w:val="nil"/>
              <w:bottom w:val="nil"/>
            </w:tcBorders>
          </w:tcPr>
          <w:p w14:paraId="755EA3F8" w14:textId="77777777" w:rsidR="007F446F" w:rsidRDefault="007F446F" w:rsidP="001D13CE">
            <w:pPr>
              <w:keepNext/>
              <w:keepLines/>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4"/>
              </w:rPr>
            </w:pPr>
            <w:r>
              <w:rPr>
                <w:rFonts w:ascii="Times New Roman" w:hAnsi="Times New Roman"/>
                <w:sz w:val="20"/>
                <w:szCs w:val="24"/>
              </w:rPr>
              <w:t>81</w:t>
            </w:r>
          </w:p>
        </w:tc>
        <w:tc>
          <w:tcPr>
            <w:tcW w:w="270" w:type="dxa"/>
            <w:tcBorders>
              <w:top w:val="nil"/>
              <w:bottom w:val="nil"/>
            </w:tcBorders>
          </w:tcPr>
          <w:p w14:paraId="4AC5542F" w14:textId="77777777" w:rsidR="007F446F" w:rsidRDefault="007F446F" w:rsidP="001D13CE">
            <w:pPr>
              <w:keepNext/>
              <w:keepLines/>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4"/>
              </w:rPr>
            </w:pPr>
          </w:p>
        </w:tc>
        <w:tc>
          <w:tcPr>
            <w:tcW w:w="458" w:type="dxa"/>
            <w:tcBorders>
              <w:top w:val="nil"/>
              <w:bottom w:val="nil"/>
            </w:tcBorders>
          </w:tcPr>
          <w:p w14:paraId="0F3B68EB" w14:textId="77777777" w:rsidR="007F446F" w:rsidRDefault="007F446F" w:rsidP="001D13CE">
            <w:pPr>
              <w:keepNext/>
              <w:keepLines/>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4"/>
              </w:rPr>
            </w:pPr>
            <w:r>
              <w:rPr>
                <w:rFonts w:ascii="Times New Roman" w:hAnsi="Times New Roman"/>
                <w:sz w:val="20"/>
                <w:szCs w:val="24"/>
              </w:rPr>
              <w:t>28</w:t>
            </w:r>
          </w:p>
        </w:tc>
        <w:tc>
          <w:tcPr>
            <w:tcW w:w="647" w:type="dxa"/>
            <w:tcBorders>
              <w:top w:val="nil"/>
              <w:bottom w:val="nil"/>
            </w:tcBorders>
          </w:tcPr>
          <w:p w14:paraId="7534AAAD" w14:textId="77777777" w:rsidR="007F446F" w:rsidRDefault="007F446F" w:rsidP="001D13CE">
            <w:pPr>
              <w:keepNext/>
              <w:keepLines/>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4"/>
              </w:rPr>
            </w:pPr>
            <w:r>
              <w:rPr>
                <w:rFonts w:ascii="Times New Roman" w:hAnsi="Times New Roman"/>
                <w:sz w:val="20"/>
                <w:szCs w:val="24"/>
              </w:rPr>
              <w:t>-</w:t>
            </w:r>
          </w:p>
        </w:tc>
        <w:tc>
          <w:tcPr>
            <w:tcW w:w="461" w:type="dxa"/>
            <w:tcBorders>
              <w:top w:val="nil"/>
              <w:bottom w:val="nil"/>
            </w:tcBorders>
          </w:tcPr>
          <w:p w14:paraId="0084AE9B" w14:textId="77777777" w:rsidR="007F446F" w:rsidRDefault="007F446F" w:rsidP="001D13CE">
            <w:pPr>
              <w:keepNext/>
              <w:keepLines/>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4"/>
              </w:rPr>
            </w:pPr>
            <w:r>
              <w:rPr>
                <w:rFonts w:ascii="Times New Roman" w:hAnsi="Times New Roman"/>
                <w:sz w:val="20"/>
                <w:szCs w:val="24"/>
              </w:rPr>
              <w:t>55</w:t>
            </w:r>
          </w:p>
        </w:tc>
        <w:tc>
          <w:tcPr>
            <w:tcW w:w="324" w:type="dxa"/>
            <w:tcBorders>
              <w:top w:val="nil"/>
              <w:bottom w:val="nil"/>
            </w:tcBorders>
          </w:tcPr>
          <w:p w14:paraId="7D2B183E" w14:textId="77777777" w:rsidR="007F446F" w:rsidRDefault="007F446F" w:rsidP="001D13CE">
            <w:pPr>
              <w:keepNext/>
              <w:keepLines/>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4"/>
              </w:rPr>
            </w:pPr>
          </w:p>
        </w:tc>
        <w:tc>
          <w:tcPr>
            <w:tcW w:w="572" w:type="dxa"/>
            <w:tcBorders>
              <w:top w:val="nil"/>
              <w:bottom w:val="nil"/>
            </w:tcBorders>
          </w:tcPr>
          <w:p w14:paraId="794DFB9B" w14:textId="77777777" w:rsidR="007F446F" w:rsidRDefault="007F446F" w:rsidP="001D13CE">
            <w:pPr>
              <w:keepNext/>
              <w:keepLines/>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4"/>
              </w:rPr>
            </w:pPr>
            <w:r>
              <w:rPr>
                <w:rFonts w:ascii="Times New Roman" w:hAnsi="Times New Roman"/>
                <w:sz w:val="20"/>
                <w:szCs w:val="24"/>
              </w:rPr>
              <w:t>12</w:t>
            </w:r>
          </w:p>
        </w:tc>
        <w:tc>
          <w:tcPr>
            <w:tcW w:w="751" w:type="dxa"/>
            <w:tcBorders>
              <w:top w:val="nil"/>
              <w:bottom w:val="nil"/>
            </w:tcBorders>
          </w:tcPr>
          <w:p w14:paraId="3FBA6311" w14:textId="77777777" w:rsidR="007F446F" w:rsidRDefault="007F446F" w:rsidP="001D13CE">
            <w:pPr>
              <w:keepNext/>
              <w:keepLines/>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4"/>
              </w:rPr>
            </w:pPr>
            <w:r>
              <w:rPr>
                <w:rFonts w:ascii="Times New Roman" w:hAnsi="Times New Roman"/>
                <w:sz w:val="20"/>
                <w:szCs w:val="24"/>
              </w:rPr>
              <w:t>-</w:t>
            </w:r>
          </w:p>
        </w:tc>
        <w:tc>
          <w:tcPr>
            <w:tcW w:w="573" w:type="dxa"/>
            <w:gridSpan w:val="2"/>
            <w:tcBorders>
              <w:top w:val="nil"/>
              <w:bottom w:val="nil"/>
            </w:tcBorders>
          </w:tcPr>
          <w:p w14:paraId="6C776375" w14:textId="77777777" w:rsidR="007F446F" w:rsidRDefault="007F446F" w:rsidP="001D13CE">
            <w:pPr>
              <w:keepNext/>
              <w:keepLines/>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4"/>
              </w:rPr>
            </w:pPr>
            <w:r>
              <w:rPr>
                <w:rFonts w:ascii="Times New Roman" w:hAnsi="Times New Roman"/>
                <w:sz w:val="20"/>
                <w:szCs w:val="24"/>
              </w:rPr>
              <w:t>26</w:t>
            </w:r>
          </w:p>
        </w:tc>
        <w:tc>
          <w:tcPr>
            <w:tcW w:w="264" w:type="dxa"/>
            <w:tcBorders>
              <w:top w:val="nil"/>
              <w:bottom w:val="nil"/>
            </w:tcBorders>
          </w:tcPr>
          <w:p w14:paraId="3B2F6901" w14:textId="77777777" w:rsidR="007F446F" w:rsidRDefault="007F446F" w:rsidP="001D13CE">
            <w:pPr>
              <w:keepNext/>
              <w:keepLines/>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4"/>
              </w:rPr>
            </w:pPr>
          </w:p>
        </w:tc>
        <w:tc>
          <w:tcPr>
            <w:tcW w:w="690" w:type="dxa"/>
            <w:tcBorders>
              <w:top w:val="nil"/>
              <w:bottom w:val="nil"/>
            </w:tcBorders>
          </w:tcPr>
          <w:p w14:paraId="24DC1B9D" w14:textId="77777777" w:rsidR="007F446F" w:rsidRDefault="007F446F" w:rsidP="001D13CE">
            <w:pPr>
              <w:keepNext/>
              <w:keepLines/>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4"/>
              </w:rPr>
            </w:pPr>
            <w:r>
              <w:rPr>
                <w:rFonts w:ascii="Times New Roman" w:hAnsi="Times New Roman"/>
                <w:sz w:val="20"/>
                <w:szCs w:val="24"/>
              </w:rPr>
              <w:t>0</w:t>
            </w:r>
          </w:p>
        </w:tc>
        <w:tc>
          <w:tcPr>
            <w:tcW w:w="694" w:type="dxa"/>
            <w:tcBorders>
              <w:top w:val="nil"/>
              <w:bottom w:val="nil"/>
            </w:tcBorders>
          </w:tcPr>
          <w:p w14:paraId="2B1C1E1E" w14:textId="77777777" w:rsidR="007F446F" w:rsidRDefault="007F446F" w:rsidP="001D13CE">
            <w:pPr>
              <w:keepNext/>
              <w:keepLines/>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4"/>
              </w:rPr>
            </w:pPr>
            <w:r>
              <w:rPr>
                <w:rFonts w:ascii="Times New Roman" w:hAnsi="Times New Roman"/>
                <w:sz w:val="20"/>
                <w:szCs w:val="24"/>
              </w:rPr>
              <w:t>4</w:t>
            </w:r>
          </w:p>
        </w:tc>
      </w:tr>
      <w:tr w:rsidR="007F446F" w14:paraId="6071DB4E" w14:textId="77777777" w:rsidTr="001D13CE">
        <w:trPr>
          <w:trHeight w:val="483"/>
        </w:trPr>
        <w:tc>
          <w:tcPr>
            <w:cnfStyle w:val="001000000000" w:firstRow="0" w:lastRow="0" w:firstColumn="1" w:lastColumn="0" w:oddVBand="0" w:evenVBand="0" w:oddHBand="0" w:evenHBand="0" w:firstRowFirstColumn="0" w:firstRowLastColumn="0" w:lastRowFirstColumn="0" w:lastRowLastColumn="0"/>
            <w:tcW w:w="5226" w:type="dxa"/>
            <w:tcBorders>
              <w:top w:val="nil"/>
              <w:bottom w:val="single" w:sz="12" w:space="0" w:color="auto"/>
            </w:tcBorders>
          </w:tcPr>
          <w:p w14:paraId="7F3E7BA8" w14:textId="77777777" w:rsidR="007F446F" w:rsidRPr="001A2624" w:rsidRDefault="007F446F" w:rsidP="001D13CE">
            <w:pPr>
              <w:spacing w:after="0" w:line="360" w:lineRule="auto"/>
              <w:rPr>
                <w:rFonts w:ascii="Times New Roman" w:hAnsi="Times New Roman"/>
                <w:b w:val="0"/>
                <w:iCs/>
                <w:sz w:val="20"/>
                <w:szCs w:val="24"/>
              </w:rPr>
            </w:pPr>
            <w:r w:rsidRPr="001A2624">
              <w:rPr>
                <w:rFonts w:ascii="Times New Roman" w:hAnsi="Times New Roman"/>
                <w:b w:val="0"/>
                <w:iCs/>
                <w:sz w:val="20"/>
                <w:szCs w:val="24"/>
              </w:rPr>
              <w:t>This study – AES 2011, EU-25</w:t>
            </w:r>
          </w:p>
        </w:tc>
        <w:tc>
          <w:tcPr>
            <w:tcW w:w="479" w:type="dxa"/>
            <w:tcBorders>
              <w:top w:val="nil"/>
              <w:bottom w:val="single" w:sz="12" w:space="0" w:color="auto"/>
            </w:tcBorders>
          </w:tcPr>
          <w:p w14:paraId="1B1AEAEC" w14:textId="77777777" w:rsidR="007F446F" w:rsidRDefault="007F446F" w:rsidP="001D13CE">
            <w:pPr>
              <w:keepNext/>
              <w:keepLines/>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4"/>
              </w:rPr>
            </w:pPr>
            <w:r>
              <w:rPr>
                <w:rFonts w:ascii="Times New Roman" w:hAnsi="Times New Roman"/>
                <w:sz w:val="20"/>
                <w:szCs w:val="24"/>
              </w:rPr>
              <w:t>45</w:t>
            </w:r>
          </w:p>
        </w:tc>
        <w:tc>
          <w:tcPr>
            <w:tcW w:w="723" w:type="dxa"/>
            <w:tcBorders>
              <w:top w:val="nil"/>
              <w:bottom w:val="single" w:sz="12" w:space="0" w:color="auto"/>
            </w:tcBorders>
          </w:tcPr>
          <w:p w14:paraId="72B32231" w14:textId="77777777" w:rsidR="007F446F" w:rsidRDefault="007F446F" w:rsidP="001D13CE">
            <w:pPr>
              <w:keepNext/>
              <w:keepLines/>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4"/>
              </w:rPr>
            </w:pPr>
            <w:r>
              <w:rPr>
                <w:rFonts w:ascii="Times New Roman" w:hAnsi="Times New Roman"/>
                <w:sz w:val="20"/>
                <w:szCs w:val="24"/>
              </w:rPr>
              <w:t>60</w:t>
            </w:r>
          </w:p>
        </w:tc>
        <w:tc>
          <w:tcPr>
            <w:tcW w:w="540" w:type="dxa"/>
            <w:tcBorders>
              <w:top w:val="nil"/>
              <w:bottom w:val="single" w:sz="12" w:space="0" w:color="auto"/>
            </w:tcBorders>
          </w:tcPr>
          <w:p w14:paraId="5D33B66C" w14:textId="77777777" w:rsidR="007F446F" w:rsidRDefault="007F446F" w:rsidP="001D13CE">
            <w:pPr>
              <w:keepNext/>
              <w:keepLines/>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4"/>
              </w:rPr>
            </w:pPr>
            <w:r>
              <w:rPr>
                <w:rFonts w:ascii="Times New Roman" w:hAnsi="Times New Roman"/>
                <w:sz w:val="20"/>
                <w:szCs w:val="24"/>
              </w:rPr>
              <w:t>79</w:t>
            </w:r>
          </w:p>
        </w:tc>
        <w:tc>
          <w:tcPr>
            <w:tcW w:w="270" w:type="dxa"/>
            <w:tcBorders>
              <w:top w:val="nil"/>
              <w:bottom w:val="single" w:sz="12" w:space="0" w:color="auto"/>
            </w:tcBorders>
          </w:tcPr>
          <w:p w14:paraId="23EA3A8F" w14:textId="77777777" w:rsidR="007F446F" w:rsidRDefault="007F446F" w:rsidP="001D13CE">
            <w:pPr>
              <w:keepNext/>
              <w:keepLines/>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4"/>
              </w:rPr>
            </w:pPr>
          </w:p>
        </w:tc>
        <w:tc>
          <w:tcPr>
            <w:tcW w:w="458" w:type="dxa"/>
            <w:tcBorders>
              <w:top w:val="nil"/>
              <w:bottom w:val="single" w:sz="12" w:space="0" w:color="auto"/>
            </w:tcBorders>
          </w:tcPr>
          <w:p w14:paraId="6BD533F2" w14:textId="77777777" w:rsidR="007F446F" w:rsidRDefault="007F446F" w:rsidP="001D13CE">
            <w:pPr>
              <w:keepNext/>
              <w:keepLines/>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4"/>
              </w:rPr>
            </w:pPr>
            <w:r>
              <w:rPr>
                <w:rFonts w:ascii="Times New Roman" w:hAnsi="Times New Roman"/>
                <w:sz w:val="20"/>
                <w:szCs w:val="24"/>
              </w:rPr>
              <w:t>26</w:t>
            </w:r>
          </w:p>
        </w:tc>
        <w:tc>
          <w:tcPr>
            <w:tcW w:w="647" w:type="dxa"/>
            <w:tcBorders>
              <w:top w:val="nil"/>
              <w:bottom w:val="single" w:sz="12" w:space="0" w:color="auto"/>
            </w:tcBorders>
          </w:tcPr>
          <w:p w14:paraId="6D36CD5D" w14:textId="77777777" w:rsidR="007F446F" w:rsidRDefault="007F446F" w:rsidP="001D13CE">
            <w:pPr>
              <w:keepNext/>
              <w:keepLines/>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4"/>
              </w:rPr>
            </w:pPr>
            <w:r>
              <w:rPr>
                <w:rFonts w:ascii="Times New Roman" w:hAnsi="Times New Roman"/>
                <w:sz w:val="20"/>
                <w:szCs w:val="24"/>
              </w:rPr>
              <w:t>36</w:t>
            </w:r>
          </w:p>
        </w:tc>
        <w:tc>
          <w:tcPr>
            <w:tcW w:w="461" w:type="dxa"/>
            <w:tcBorders>
              <w:top w:val="nil"/>
              <w:bottom w:val="single" w:sz="12" w:space="0" w:color="auto"/>
            </w:tcBorders>
          </w:tcPr>
          <w:p w14:paraId="6A714BC3" w14:textId="77777777" w:rsidR="007F446F" w:rsidRDefault="007F446F" w:rsidP="001D13CE">
            <w:pPr>
              <w:keepNext/>
              <w:keepLines/>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4"/>
              </w:rPr>
            </w:pPr>
            <w:r>
              <w:rPr>
                <w:rFonts w:ascii="Times New Roman" w:hAnsi="Times New Roman"/>
                <w:sz w:val="20"/>
                <w:szCs w:val="24"/>
              </w:rPr>
              <w:t>49</w:t>
            </w:r>
          </w:p>
        </w:tc>
        <w:tc>
          <w:tcPr>
            <w:tcW w:w="324" w:type="dxa"/>
            <w:tcBorders>
              <w:top w:val="nil"/>
              <w:bottom w:val="single" w:sz="12" w:space="0" w:color="auto"/>
            </w:tcBorders>
          </w:tcPr>
          <w:p w14:paraId="17747619" w14:textId="77777777" w:rsidR="007F446F" w:rsidRDefault="007F446F" w:rsidP="001D13CE">
            <w:pPr>
              <w:keepNext/>
              <w:keepLines/>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4"/>
              </w:rPr>
            </w:pPr>
          </w:p>
        </w:tc>
        <w:tc>
          <w:tcPr>
            <w:tcW w:w="572" w:type="dxa"/>
            <w:tcBorders>
              <w:top w:val="nil"/>
              <w:bottom w:val="single" w:sz="12" w:space="0" w:color="auto"/>
            </w:tcBorders>
          </w:tcPr>
          <w:p w14:paraId="69E35307" w14:textId="77777777" w:rsidR="007F446F" w:rsidRDefault="007F446F" w:rsidP="001D13CE">
            <w:pPr>
              <w:keepNext/>
              <w:keepLines/>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4"/>
              </w:rPr>
            </w:pPr>
            <w:r>
              <w:rPr>
                <w:rFonts w:ascii="Times New Roman" w:hAnsi="Times New Roman"/>
                <w:sz w:val="20"/>
                <w:szCs w:val="24"/>
              </w:rPr>
              <w:t>8</w:t>
            </w:r>
          </w:p>
        </w:tc>
        <w:tc>
          <w:tcPr>
            <w:tcW w:w="751" w:type="dxa"/>
            <w:tcBorders>
              <w:top w:val="nil"/>
              <w:bottom w:val="single" w:sz="12" w:space="0" w:color="auto"/>
            </w:tcBorders>
          </w:tcPr>
          <w:p w14:paraId="50F52B5A" w14:textId="77777777" w:rsidR="007F446F" w:rsidRDefault="007F446F" w:rsidP="001D13CE">
            <w:pPr>
              <w:keepNext/>
              <w:keepLines/>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4"/>
              </w:rPr>
            </w:pPr>
            <w:r>
              <w:rPr>
                <w:rFonts w:ascii="Times New Roman" w:hAnsi="Times New Roman"/>
                <w:sz w:val="20"/>
                <w:szCs w:val="24"/>
              </w:rPr>
              <w:t>14</w:t>
            </w:r>
          </w:p>
        </w:tc>
        <w:tc>
          <w:tcPr>
            <w:tcW w:w="573" w:type="dxa"/>
            <w:gridSpan w:val="2"/>
            <w:tcBorders>
              <w:top w:val="nil"/>
              <w:bottom w:val="single" w:sz="12" w:space="0" w:color="auto"/>
            </w:tcBorders>
          </w:tcPr>
          <w:p w14:paraId="688D068A" w14:textId="77777777" w:rsidR="007F446F" w:rsidRDefault="007F446F" w:rsidP="001D13CE">
            <w:pPr>
              <w:keepNext/>
              <w:keepLines/>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4"/>
              </w:rPr>
            </w:pPr>
            <w:r>
              <w:rPr>
                <w:rFonts w:ascii="Times New Roman" w:hAnsi="Times New Roman"/>
                <w:sz w:val="20"/>
                <w:szCs w:val="24"/>
              </w:rPr>
              <w:t>19</w:t>
            </w:r>
          </w:p>
        </w:tc>
        <w:tc>
          <w:tcPr>
            <w:tcW w:w="264" w:type="dxa"/>
            <w:tcBorders>
              <w:top w:val="nil"/>
              <w:bottom w:val="single" w:sz="12" w:space="0" w:color="auto"/>
            </w:tcBorders>
          </w:tcPr>
          <w:p w14:paraId="0540DD17" w14:textId="77777777" w:rsidR="007F446F" w:rsidRDefault="007F446F" w:rsidP="001D13CE">
            <w:pPr>
              <w:keepNext/>
              <w:keepLines/>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4"/>
              </w:rPr>
            </w:pPr>
          </w:p>
        </w:tc>
        <w:tc>
          <w:tcPr>
            <w:tcW w:w="690" w:type="dxa"/>
            <w:tcBorders>
              <w:top w:val="nil"/>
              <w:bottom w:val="single" w:sz="12" w:space="0" w:color="auto"/>
            </w:tcBorders>
          </w:tcPr>
          <w:p w14:paraId="246E5F9F" w14:textId="77777777" w:rsidR="007F446F" w:rsidRDefault="007F446F" w:rsidP="001D13CE">
            <w:pPr>
              <w:keepNext/>
              <w:keepLines/>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4"/>
              </w:rPr>
            </w:pPr>
            <w:r>
              <w:rPr>
                <w:rFonts w:ascii="Times New Roman" w:hAnsi="Times New Roman"/>
                <w:sz w:val="20"/>
                <w:szCs w:val="24"/>
              </w:rPr>
              <w:t>0</w:t>
            </w:r>
          </w:p>
        </w:tc>
        <w:tc>
          <w:tcPr>
            <w:tcW w:w="694" w:type="dxa"/>
            <w:tcBorders>
              <w:top w:val="nil"/>
              <w:bottom w:val="single" w:sz="12" w:space="0" w:color="auto"/>
            </w:tcBorders>
          </w:tcPr>
          <w:p w14:paraId="39572D4E" w14:textId="77777777" w:rsidR="007F446F" w:rsidRDefault="007F446F" w:rsidP="001D13CE">
            <w:pPr>
              <w:keepNext/>
              <w:keepLines/>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4"/>
              </w:rPr>
            </w:pPr>
            <w:r>
              <w:rPr>
                <w:rFonts w:ascii="Times New Roman" w:hAnsi="Times New Roman"/>
                <w:sz w:val="20"/>
                <w:szCs w:val="24"/>
              </w:rPr>
              <w:t>4</w:t>
            </w:r>
          </w:p>
        </w:tc>
      </w:tr>
    </w:tbl>
    <w:p w14:paraId="0AF7349A" w14:textId="77777777" w:rsidR="007F446F" w:rsidRDefault="007F446F" w:rsidP="007F446F">
      <w:pPr>
        <w:ind w:left="180" w:right="1417"/>
        <w:jc w:val="both"/>
        <w:rPr>
          <w:rFonts w:ascii="Times New Roman" w:hAnsi="Times New Roman"/>
          <w:i/>
          <w:sz w:val="20"/>
          <w:szCs w:val="20"/>
        </w:rPr>
      </w:pPr>
      <w:r w:rsidRPr="00FA7D57">
        <w:rPr>
          <w:rFonts w:ascii="Times New Roman" w:hAnsi="Times New Roman"/>
          <w:i/>
          <w:sz w:val="20"/>
          <w:szCs w:val="20"/>
        </w:rPr>
        <w:t>Note</w:t>
      </w:r>
      <w:r>
        <w:rPr>
          <w:rFonts w:ascii="Times New Roman" w:hAnsi="Times New Roman"/>
          <w:i/>
          <w:sz w:val="20"/>
          <w:szCs w:val="20"/>
        </w:rPr>
        <w:t>s:</w:t>
      </w:r>
    </w:p>
    <w:p w14:paraId="48A9B5B0" w14:textId="77777777" w:rsidR="007F446F" w:rsidRPr="007B01CF" w:rsidRDefault="007F446F" w:rsidP="007F446F">
      <w:pPr>
        <w:ind w:left="180" w:right="1417"/>
        <w:jc w:val="both"/>
        <w:rPr>
          <w:rFonts w:ascii="Times New Roman" w:hAnsi="Times New Roman"/>
          <w:sz w:val="20"/>
          <w:szCs w:val="20"/>
        </w:rPr>
      </w:pPr>
      <w:r>
        <w:rPr>
          <w:rFonts w:ascii="Times New Roman" w:hAnsi="Times New Roman"/>
          <w:i/>
          <w:sz w:val="20"/>
          <w:szCs w:val="20"/>
        </w:rPr>
        <w:t xml:space="preserve"> </w:t>
      </w:r>
      <w:r w:rsidRPr="007B01CF">
        <w:rPr>
          <w:rFonts w:ascii="Times New Roman" w:hAnsi="Times New Roman"/>
          <w:sz w:val="20"/>
          <w:szCs w:val="20"/>
        </w:rPr>
        <w:t xml:space="preserve">° The sixth language </w:t>
      </w:r>
      <w:r>
        <w:rPr>
          <w:rFonts w:ascii="Times New Roman" w:hAnsi="Times New Roman"/>
          <w:sz w:val="20"/>
          <w:szCs w:val="20"/>
        </w:rPr>
        <w:t>being</w:t>
      </w:r>
      <w:r w:rsidRPr="007B01CF">
        <w:rPr>
          <w:rFonts w:ascii="Times New Roman" w:hAnsi="Times New Roman"/>
          <w:sz w:val="20"/>
          <w:szCs w:val="20"/>
        </w:rPr>
        <w:t xml:space="preserve"> Dutch instead of Polish</w:t>
      </w:r>
      <w:r>
        <w:rPr>
          <w:rFonts w:ascii="Times New Roman" w:hAnsi="Times New Roman"/>
          <w:sz w:val="20"/>
          <w:szCs w:val="20"/>
        </w:rPr>
        <w:t>;</w:t>
      </w:r>
    </w:p>
    <w:p w14:paraId="31ABEE31" w14:textId="77777777" w:rsidR="007F446F" w:rsidRDefault="007F446F" w:rsidP="007F446F">
      <w:pPr>
        <w:ind w:left="180" w:right="1417"/>
        <w:jc w:val="both"/>
        <w:rPr>
          <w:rFonts w:ascii="Times New Roman" w:hAnsi="Times New Roman"/>
          <w:sz w:val="20"/>
          <w:szCs w:val="20"/>
        </w:rPr>
      </w:pPr>
      <w:r w:rsidRPr="007B01CF">
        <w:rPr>
          <w:rFonts w:ascii="Times New Roman" w:hAnsi="Times New Roman"/>
          <w:sz w:val="20"/>
          <w:szCs w:val="20"/>
        </w:rPr>
        <w:t xml:space="preserve">§ To facilitate comparison with </w:t>
      </w:r>
      <w:proofErr w:type="spellStart"/>
      <w:r w:rsidRPr="007B01CF">
        <w:rPr>
          <w:rFonts w:ascii="Times New Roman" w:hAnsi="Times New Roman"/>
          <w:sz w:val="20"/>
          <w:szCs w:val="20"/>
        </w:rPr>
        <w:t>Fidrmuc</w:t>
      </w:r>
      <w:proofErr w:type="spellEnd"/>
      <w:r w:rsidRPr="007B01CF">
        <w:rPr>
          <w:rFonts w:ascii="Times New Roman" w:hAnsi="Times New Roman"/>
          <w:sz w:val="20"/>
          <w:szCs w:val="20"/>
        </w:rPr>
        <w:t xml:space="preserve"> et al. (</w:t>
      </w:r>
      <w:hyperlink w:anchor="_ENREF_19" w:tooltip="Fidrmuc, 2010 #933" w:history="1">
        <w:r w:rsidRPr="007B01CF">
          <w:rPr>
            <w:rFonts w:ascii="Times New Roman" w:hAnsi="Times New Roman"/>
            <w:sz w:val="20"/>
            <w:szCs w:val="20"/>
          </w:rPr>
          <w:fldChar w:fldCharType="begin"/>
        </w:r>
        <w:r w:rsidRPr="007B01CF">
          <w:rPr>
            <w:rFonts w:ascii="Times New Roman" w:hAnsi="Times New Roman"/>
            <w:sz w:val="20"/>
            <w:szCs w:val="20"/>
          </w:rPr>
          <w:instrText xml:space="preserve"> ADDIN EN.CITE &lt;EndNote&gt;&lt;Cite ExcludeAuth="1"&gt;&lt;Author&gt;Fidrmuc&lt;/Author&gt;&lt;Year&gt;2010&lt;/Year&gt;&lt;RecNum&gt;933&lt;/RecNum&gt;&lt;DisplayText&gt;2010&lt;/DisplayText&gt;&lt;record&gt;&lt;rec-number&gt;933&lt;/rec-number&gt;&lt;foreign-keys&gt;&lt;key app="EN" db-id="wvvszzd93a0z5wesdfpvdv9z5wrra5p05axp"&gt;933&lt;/key&gt;&lt;/foreign-keys&gt;&lt;ref-type name="Book Section"&gt;5&lt;/ref-type&gt;&lt;contributors&gt;&lt;authors&gt;&lt;author&gt;Fidrmuc, Jan&lt;/author&gt;&lt;author&gt;Ginsburgh, Victor&lt;/author&gt;&lt;author&gt;Weber, Shlomo&lt;/author&gt;&lt;/authors&gt;&lt;secondary-authors&gt;&lt;author&gt;Hanf, Dominik&lt;/author&gt;&lt;author&gt;Malacek, Klaus&lt;/author&gt;&lt;author&gt;Muir, Elise&lt;/author&gt;&lt;/secondary-authors&gt;&lt;/contributors&gt;&lt;titles&gt;&lt;title&gt;Scenarios beyond unanimity: Could a qualified majority of Member States alleviate the burden of multilingualism in Europe?&lt;/title&gt;&lt;secondary-title&gt;Langues et construction européenne&lt;/secondary-title&gt;&lt;/titles&gt;&lt;pages&gt;259-279&lt;/pages&gt;&lt;dates&gt;&lt;year&gt;2010&lt;/year&gt;&lt;/dates&gt;&lt;pub-location&gt;Brussels&lt;/pub-location&gt;&lt;publisher&gt;Peter Lang&lt;/publisher&gt;&lt;urls&gt;&lt;/urls&gt;&lt;/record&gt;&lt;/Cite&gt;&lt;/EndNote&gt;</w:instrText>
        </w:r>
        <w:r w:rsidRPr="007B01CF">
          <w:rPr>
            <w:rFonts w:ascii="Times New Roman" w:hAnsi="Times New Roman"/>
            <w:sz w:val="20"/>
            <w:szCs w:val="20"/>
          </w:rPr>
          <w:fldChar w:fldCharType="separate"/>
        </w:r>
        <w:r w:rsidRPr="007B01CF">
          <w:rPr>
            <w:rFonts w:ascii="Times New Roman" w:hAnsi="Times New Roman"/>
            <w:noProof/>
            <w:sz w:val="20"/>
            <w:szCs w:val="20"/>
          </w:rPr>
          <w:t>2010</w:t>
        </w:r>
        <w:r w:rsidRPr="007B01CF">
          <w:rPr>
            <w:rFonts w:ascii="Times New Roman" w:hAnsi="Times New Roman"/>
            <w:sz w:val="20"/>
            <w:szCs w:val="20"/>
          </w:rPr>
          <w:fldChar w:fldCharType="end"/>
        </w:r>
      </w:hyperlink>
      <w:r w:rsidRPr="007B01CF">
        <w:rPr>
          <w:rFonts w:ascii="Times New Roman" w:hAnsi="Times New Roman"/>
          <w:sz w:val="20"/>
          <w:szCs w:val="20"/>
        </w:rPr>
        <w:t>) and Gazzola and Grin (</w:t>
      </w:r>
      <w:hyperlink w:anchor="_ENREF_21" w:tooltip="Gazzola, 2013 #880" w:history="1">
        <w:r w:rsidRPr="007B01CF">
          <w:rPr>
            <w:rFonts w:ascii="Times New Roman" w:hAnsi="Times New Roman"/>
            <w:sz w:val="20"/>
            <w:szCs w:val="20"/>
          </w:rPr>
          <w:fldChar w:fldCharType="begin"/>
        </w:r>
        <w:r w:rsidRPr="007B01CF">
          <w:rPr>
            <w:rFonts w:ascii="Times New Roman" w:hAnsi="Times New Roman"/>
            <w:sz w:val="20"/>
            <w:szCs w:val="20"/>
          </w:rPr>
          <w:instrText xml:space="preserve"> ADDIN EN.CITE &lt;EndNote&gt;&lt;Cite ExcludeAuth="1"&gt;&lt;Author&gt;Gazzola&lt;/Author&gt;&lt;Year&gt;2013&lt;/Year&gt;&lt;RecNum&gt;880&lt;/RecNum&gt;&lt;DisplayText&gt;2013&lt;/DisplayText&gt;&lt;record&gt;&lt;rec-number&gt;880&lt;/rec-number&gt;&lt;foreign-keys&gt;&lt;key app="EN" db-id="wvvszzd93a0z5wesdfpvdv9z5wrra5p05axp"&gt;880&lt;/key&gt;&lt;/foreign-keys&gt;&lt;ref-type name="Journal Article"&gt;17&lt;/ref-type&gt;&lt;contributors&gt;&lt;authors&gt;&lt;author&gt;Gazzola, Michele&lt;/author&gt;&lt;author&gt;Grin, François&lt;/author&gt;&lt;/authors&gt;&lt;/contributors&gt;&lt;titles&gt;&lt;title&gt;Is ELF more effective and fair than translation? An evaluation of the EU’s multilingual regime&lt;/title&gt;&lt;secondary-title&gt;International Journal of Applied Linguistics&lt;/secondary-title&gt;&lt;/titles&gt;&lt;periodical&gt;&lt;full-title&gt;International Journal of Applied Linguistics&lt;/full-title&gt;&lt;/periodical&gt;&lt;pages&gt;93-107&lt;/pages&gt;&lt;volume&gt;23&lt;/volume&gt;&lt;number&gt;1&lt;/number&gt;&lt;dates&gt;&lt;year&gt;2013&lt;/year&gt;&lt;/dates&gt;&lt;urls&gt;&lt;/urls&gt;&lt;/record&gt;&lt;/Cite&gt;&lt;/EndNote&gt;</w:instrText>
        </w:r>
        <w:r w:rsidRPr="007B01CF">
          <w:rPr>
            <w:rFonts w:ascii="Times New Roman" w:hAnsi="Times New Roman"/>
            <w:sz w:val="20"/>
            <w:szCs w:val="20"/>
          </w:rPr>
          <w:fldChar w:fldCharType="separate"/>
        </w:r>
        <w:r w:rsidRPr="007B01CF">
          <w:rPr>
            <w:rFonts w:ascii="Times New Roman" w:hAnsi="Times New Roman"/>
            <w:noProof/>
            <w:sz w:val="20"/>
            <w:szCs w:val="20"/>
          </w:rPr>
          <w:t>2013</w:t>
        </w:r>
        <w:r w:rsidRPr="007B01CF">
          <w:rPr>
            <w:rFonts w:ascii="Times New Roman" w:hAnsi="Times New Roman"/>
            <w:sz w:val="20"/>
            <w:szCs w:val="20"/>
          </w:rPr>
          <w:fldChar w:fldCharType="end"/>
        </w:r>
      </w:hyperlink>
      <w:r w:rsidRPr="007B01CF">
        <w:rPr>
          <w:rFonts w:ascii="Times New Roman" w:hAnsi="Times New Roman"/>
          <w:sz w:val="20"/>
          <w:szCs w:val="20"/>
        </w:rPr>
        <w:t xml:space="preserve">), we compute and report the value of a third indicator of linguistic disenfranchisement. </w:t>
      </w:r>
      <w:r>
        <w:rPr>
          <w:rFonts w:ascii="Times New Roman" w:hAnsi="Times New Roman"/>
          <w:sz w:val="20"/>
          <w:szCs w:val="20"/>
        </w:rPr>
        <w:t>I</w:t>
      </w:r>
      <w:r w:rsidRPr="007B01CF">
        <w:rPr>
          <w:rFonts w:ascii="Times New Roman" w:hAnsi="Times New Roman"/>
          <w:sz w:val="20"/>
          <w:szCs w:val="20"/>
        </w:rPr>
        <w:t xml:space="preserve"> have named it ‘intermediate disenfranchisement rate’ (D</w:t>
      </w:r>
      <w:r w:rsidRPr="007B01CF">
        <w:rPr>
          <w:rFonts w:ascii="Times New Roman" w:hAnsi="Times New Roman"/>
          <w:sz w:val="20"/>
          <w:szCs w:val="20"/>
          <w:vertAlign w:val="subscript"/>
        </w:rPr>
        <w:t>int</w:t>
      </w:r>
      <w:r w:rsidRPr="007B01CF">
        <w:rPr>
          <w:rFonts w:ascii="Times New Roman" w:hAnsi="Times New Roman"/>
          <w:sz w:val="20"/>
          <w:szCs w:val="20"/>
        </w:rPr>
        <w:t xml:space="preserve">). </w:t>
      </w:r>
      <w:r>
        <w:rPr>
          <w:rFonts w:ascii="Times New Roman" w:hAnsi="Times New Roman"/>
          <w:sz w:val="20"/>
          <w:szCs w:val="20"/>
        </w:rPr>
        <w:t>This indicator</w:t>
      </w:r>
      <w:r w:rsidRPr="007B01CF">
        <w:rPr>
          <w:rFonts w:ascii="Times New Roman" w:hAnsi="Times New Roman"/>
          <w:sz w:val="20"/>
          <w:szCs w:val="20"/>
        </w:rPr>
        <w:t xml:space="preserve"> is defined</w:t>
      </w:r>
      <w:r>
        <w:rPr>
          <w:rFonts w:ascii="Times New Roman" w:hAnsi="Times New Roman"/>
          <w:sz w:val="20"/>
          <w:szCs w:val="20"/>
        </w:rPr>
        <w:t xml:space="preserve"> as follows:</w:t>
      </w:r>
    </w:p>
    <w:tbl>
      <w:tblPr>
        <w:tblW w:w="4960" w:type="pct"/>
        <w:tblLook w:val="00A0" w:firstRow="1" w:lastRow="0" w:firstColumn="1" w:lastColumn="0" w:noHBand="0" w:noVBand="0"/>
      </w:tblPr>
      <w:tblGrid>
        <w:gridCol w:w="2158"/>
        <w:gridCol w:w="10070"/>
        <w:gridCol w:w="2158"/>
      </w:tblGrid>
      <w:tr w:rsidR="007F446F" w:rsidRPr="00CD3267" w14:paraId="6A74C62B" w14:textId="77777777" w:rsidTr="001D13CE">
        <w:trPr>
          <w:trHeight w:val="282"/>
        </w:trPr>
        <w:tc>
          <w:tcPr>
            <w:tcW w:w="750" w:type="pct"/>
          </w:tcPr>
          <w:p w14:paraId="2BDD8BB1" w14:textId="77777777" w:rsidR="007F446F" w:rsidRPr="00CD3267" w:rsidRDefault="007F446F" w:rsidP="001D13CE">
            <w:pPr>
              <w:pStyle w:val="ParagrapheDoctorat"/>
              <w:spacing w:line="480" w:lineRule="auto"/>
              <w:ind w:firstLine="0"/>
              <w:rPr>
                <w:rFonts w:ascii="Times New Roman" w:hAnsi="Times New Roman"/>
                <w:sz w:val="24"/>
              </w:rPr>
            </w:pPr>
          </w:p>
        </w:tc>
        <w:tc>
          <w:tcPr>
            <w:tcW w:w="3500" w:type="pct"/>
          </w:tcPr>
          <w:p w14:paraId="6D44E07C" w14:textId="77777777" w:rsidR="007F446F" w:rsidRPr="00CD3267" w:rsidRDefault="007F446F" w:rsidP="001D13CE">
            <w:pPr>
              <w:pStyle w:val="ParagrapheDoctorat"/>
              <w:spacing w:line="480" w:lineRule="auto"/>
              <w:jc w:val="left"/>
              <w:rPr>
                <w:rFonts w:ascii="Times New Roman" w:hAnsi="Times New Roman"/>
                <w:sz w:val="24"/>
              </w:rPr>
            </w:pPr>
            <m:oMathPara>
              <m:oMath>
                <m:sSub>
                  <m:sSubPr>
                    <m:ctrlPr>
                      <w:rPr>
                        <w:rFonts w:ascii="Cambria Math" w:hAnsi="Cambria Math"/>
                        <w:i/>
                        <w:szCs w:val="20"/>
                      </w:rPr>
                    </m:ctrlPr>
                  </m:sSubPr>
                  <m:e>
                    <m:r>
                      <w:rPr>
                        <w:rFonts w:ascii="Cambria Math" w:hAnsi="Cambria Math"/>
                        <w:szCs w:val="20"/>
                      </w:rPr>
                      <m:t>D</m:t>
                    </m:r>
                  </m:e>
                  <m:sub>
                    <m:r>
                      <w:rPr>
                        <w:rFonts w:ascii="Cambria Math" w:hAnsi="Cambria Math"/>
                        <w:szCs w:val="20"/>
                      </w:rPr>
                      <m:t>int</m:t>
                    </m:r>
                  </m:sub>
                </m:sSub>
                <m:r>
                  <w:rPr>
                    <w:rFonts w:ascii="Cambria Math" w:hAnsi="Cambria Math"/>
                    <w:szCs w:val="20"/>
                  </w:rPr>
                  <m:t>=1-(NS+</m:t>
                </m:r>
                <m:sSub>
                  <m:sSubPr>
                    <m:ctrlPr>
                      <w:rPr>
                        <w:rFonts w:ascii="Cambria Math" w:hAnsi="Cambria Math"/>
                        <w:i/>
                        <w:szCs w:val="20"/>
                      </w:rPr>
                    </m:ctrlPr>
                  </m:sSubPr>
                  <m:e>
                    <m:r>
                      <w:rPr>
                        <w:rFonts w:ascii="Cambria Math" w:hAnsi="Cambria Math"/>
                        <w:szCs w:val="20"/>
                      </w:rPr>
                      <m:t>NNS</m:t>
                    </m:r>
                  </m:e>
                  <m:sub>
                    <m:r>
                      <w:rPr>
                        <w:rFonts w:ascii="Cambria Math" w:hAnsi="Cambria Math"/>
                        <w:szCs w:val="20"/>
                      </w:rPr>
                      <m:t>p</m:t>
                    </m:r>
                  </m:sub>
                </m:sSub>
                <m:r>
                  <w:rPr>
                    <w:rFonts w:ascii="Cambria Math" w:hAnsi="Cambria Math"/>
                    <w:szCs w:val="20"/>
                  </w:rPr>
                  <m:t>+</m:t>
                </m:r>
                <m:sSub>
                  <m:sSubPr>
                    <m:ctrlPr>
                      <w:rPr>
                        <w:rFonts w:ascii="Cambria Math" w:hAnsi="Cambria Math"/>
                        <w:i/>
                        <w:szCs w:val="20"/>
                      </w:rPr>
                    </m:ctrlPr>
                  </m:sSubPr>
                  <m:e>
                    <m:r>
                      <w:rPr>
                        <w:rFonts w:ascii="Cambria Math" w:hAnsi="Cambria Math"/>
                        <w:szCs w:val="20"/>
                      </w:rPr>
                      <m:t>NNS</m:t>
                    </m:r>
                  </m:e>
                  <m:sub>
                    <m:r>
                      <w:rPr>
                        <w:rFonts w:ascii="Cambria Math" w:hAnsi="Cambria Math"/>
                        <w:szCs w:val="20"/>
                      </w:rPr>
                      <m:t>g</m:t>
                    </m:r>
                  </m:sub>
                </m:sSub>
                <m:r>
                  <w:rPr>
                    <w:rFonts w:ascii="Cambria Math" w:hAnsi="Cambria Math"/>
                    <w:szCs w:val="20"/>
                  </w:rPr>
                  <m:t>)</m:t>
                </m:r>
              </m:oMath>
            </m:oMathPara>
          </w:p>
        </w:tc>
        <w:tc>
          <w:tcPr>
            <w:tcW w:w="750" w:type="pct"/>
          </w:tcPr>
          <w:p w14:paraId="0664F76D" w14:textId="77777777" w:rsidR="007F446F" w:rsidRPr="00BD6B13" w:rsidRDefault="007F446F" w:rsidP="001D13CE">
            <w:pPr>
              <w:pStyle w:val="LgendeDoctorat"/>
              <w:spacing w:line="480" w:lineRule="auto"/>
              <w:rPr>
                <w:rFonts w:ascii="Times New Roman" w:hAnsi="Times New Roman"/>
                <w:b w:val="0"/>
                <w:sz w:val="24"/>
                <w:szCs w:val="24"/>
                <w:lang w:val="fr-CH"/>
              </w:rPr>
            </w:pPr>
            <w:r w:rsidRPr="00BD6B13">
              <w:rPr>
                <w:rFonts w:ascii="Times New Roman" w:hAnsi="Times New Roman"/>
                <w:b w:val="0"/>
                <w:sz w:val="24"/>
                <w:szCs w:val="24"/>
                <w:lang w:val="fr-CH"/>
              </w:rPr>
              <w:t>(</w:t>
            </w:r>
            <w:r>
              <w:rPr>
                <w:rFonts w:ascii="Times New Roman" w:hAnsi="Times New Roman"/>
                <w:b w:val="0"/>
                <w:sz w:val="24"/>
                <w:szCs w:val="24"/>
              </w:rPr>
              <w:t>3</w:t>
            </w:r>
            <w:r w:rsidRPr="00BD6B13">
              <w:rPr>
                <w:rFonts w:ascii="Times New Roman" w:hAnsi="Times New Roman"/>
                <w:b w:val="0"/>
                <w:sz w:val="24"/>
                <w:szCs w:val="24"/>
                <w:lang w:val="fr-CH"/>
              </w:rPr>
              <w:t>)</w:t>
            </w:r>
          </w:p>
        </w:tc>
      </w:tr>
    </w:tbl>
    <w:p w14:paraId="1CE35AF5" w14:textId="77777777" w:rsidR="007F446F" w:rsidRDefault="007F446F" w:rsidP="007F446F">
      <w:pPr>
        <w:ind w:left="180" w:right="1417"/>
        <w:jc w:val="both"/>
        <w:rPr>
          <w:rFonts w:ascii="Times New Roman" w:hAnsi="Times New Roman"/>
          <w:sz w:val="20"/>
          <w:szCs w:val="20"/>
        </w:rPr>
      </w:pPr>
      <w:r>
        <w:rPr>
          <w:rFonts w:ascii="Times New Roman" w:hAnsi="Times New Roman"/>
          <w:sz w:val="20"/>
          <w:szCs w:val="20"/>
        </w:rPr>
        <w:t xml:space="preserve"> </w:t>
      </w:r>
      <w:r w:rsidRPr="007B01CF">
        <w:rPr>
          <w:rFonts w:ascii="Times New Roman" w:hAnsi="Times New Roman"/>
          <w:sz w:val="20"/>
          <w:szCs w:val="20"/>
        </w:rPr>
        <w:t xml:space="preserve">, where </w:t>
      </w:r>
      <w:proofErr w:type="spellStart"/>
      <w:r w:rsidRPr="007B01CF">
        <w:rPr>
          <w:rFonts w:ascii="Times New Roman" w:hAnsi="Times New Roman"/>
          <w:sz w:val="20"/>
          <w:szCs w:val="20"/>
        </w:rPr>
        <w:t>NNS</w:t>
      </w:r>
      <w:r w:rsidRPr="007B01CF">
        <w:rPr>
          <w:rFonts w:ascii="Times New Roman" w:hAnsi="Times New Roman"/>
          <w:sz w:val="20"/>
          <w:szCs w:val="20"/>
          <w:vertAlign w:val="subscript"/>
        </w:rPr>
        <w:t>g</w:t>
      </w:r>
      <w:proofErr w:type="spellEnd"/>
      <w:r w:rsidRPr="007B01CF">
        <w:rPr>
          <w:rFonts w:ascii="Times New Roman" w:hAnsi="Times New Roman"/>
          <w:sz w:val="20"/>
          <w:szCs w:val="20"/>
        </w:rPr>
        <w:t xml:space="preserve"> is the percentage of non-native speakers of the official languages declaring a ‘good’ level of knowledge of at least one official language as a first or second foreign language. This indicator, nevertheless, is not used in this article.</w:t>
      </w:r>
    </w:p>
    <w:p w14:paraId="2E8CC00D" w14:textId="20675A58" w:rsidR="007F446F" w:rsidRDefault="007F446F" w:rsidP="007F446F">
      <w:pPr>
        <w:ind w:left="180" w:right="1417"/>
        <w:jc w:val="both"/>
      </w:pPr>
      <w:r w:rsidRPr="00803E13">
        <w:rPr>
          <w:rFonts w:ascii="Times New Roman" w:hAnsi="Times New Roman"/>
          <w:sz w:val="20"/>
        </w:rPr>
        <w:t xml:space="preserve">Data </w:t>
      </w:r>
      <w:r>
        <w:rPr>
          <w:rFonts w:ascii="Times New Roman" w:hAnsi="Times New Roman"/>
          <w:sz w:val="20"/>
        </w:rPr>
        <w:t xml:space="preserve">are reported in </w:t>
      </w:r>
      <w:r w:rsidRPr="00803E13">
        <w:rPr>
          <w:rFonts w:ascii="Times New Roman" w:hAnsi="Times New Roman"/>
          <w:sz w:val="20"/>
        </w:rPr>
        <w:t>percentage</w:t>
      </w:r>
      <w:r>
        <w:rPr>
          <w:rFonts w:ascii="Times New Roman" w:hAnsi="Times New Roman"/>
          <w:sz w:val="20"/>
        </w:rPr>
        <w:t>s.</w:t>
      </w:r>
    </w:p>
    <w:p w14:paraId="68B0824B" w14:textId="77777777" w:rsidR="007F446F" w:rsidRDefault="007F446F" w:rsidP="007F446F">
      <w:pPr>
        <w:ind w:left="180" w:right="1417"/>
        <w:jc w:val="both"/>
      </w:pPr>
    </w:p>
    <w:p w14:paraId="568373B3" w14:textId="77777777" w:rsidR="007F446F" w:rsidRDefault="007F446F" w:rsidP="007F446F">
      <w:pPr>
        <w:ind w:left="180" w:right="1417"/>
        <w:jc w:val="both"/>
      </w:pPr>
    </w:p>
    <w:p w14:paraId="0BFA8EEB" w14:textId="77777777" w:rsidR="007F446F" w:rsidRDefault="007F446F" w:rsidP="007F446F">
      <w:pPr>
        <w:ind w:left="180" w:right="1417"/>
        <w:jc w:val="both"/>
      </w:pPr>
    </w:p>
    <w:p w14:paraId="26498EA3" w14:textId="77777777" w:rsidR="007F446F" w:rsidRDefault="007F446F" w:rsidP="007F446F">
      <w:pPr>
        <w:ind w:left="180" w:right="1417"/>
        <w:jc w:val="both"/>
        <w:sectPr w:rsidR="007F446F" w:rsidSect="007F446F">
          <w:pgSz w:w="16838" w:h="11906" w:orient="landscape"/>
          <w:pgMar w:top="1134" w:right="1418" w:bottom="1134" w:left="1134" w:header="709" w:footer="709" w:gutter="0"/>
          <w:cols w:space="708"/>
          <w:docGrid w:linePitch="360"/>
        </w:sectPr>
      </w:pPr>
    </w:p>
    <w:p w14:paraId="6EF1BEB5" w14:textId="77777777" w:rsidR="007F446F" w:rsidRPr="00803E13" w:rsidRDefault="007F446F" w:rsidP="007F446F">
      <w:pPr>
        <w:pStyle w:val="Caption"/>
        <w:spacing w:line="360" w:lineRule="auto"/>
        <w:rPr>
          <w:rFonts w:ascii="Times New Roman" w:hAnsi="Times New Roman"/>
          <w:color w:val="auto"/>
          <w:sz w:val="20"/>
          <w:szCs w:val="22"/>
        </w:rPr>
      </w:pPr>
      <w:r w:rsidRPr="00803E13">
        <w:rPr>
          <w:rFonts w:ascii="Times New Roman" w:hAnsi="Times New Roman"/>
          <w:color w:val="auto"/>
          <w:sz w:val="20"/>
          <w:szCs w:val="22"/>
        </w:rPr>
        <w:lastRenderedPageBreak/>
        <w:t>Table 2</w:t>
      </w:r>
      <w:r>
        <w:rPr>
          <w:rFonts w:ascii="Times New Roman" w:hAnsi="Times New Roman"/>
          <w:color w:val="auto"/>
          <w:sz w:val="20"/>
          <w:szCs w:val="22"/>
        </w:rPr>
        <w:t>.</w:t>
      </w:r>
      <w:r w:rsidRPr="00803E13">
        <w:rPr>
          <w:rFonts w:ascii="Times New Roman" w:hAnsi="Times New Roman"/>
          <w:b w:val="0"/>
          <w:color w:val="auto"/>
          <w:sz w:val="20"/>
          <w:szCs w:val="22"/>
        </w:rPr>
        <w:t xml:space="preserve"> Absolute and relative disenfranchisement rates, by country. </w:t>
      </w:r>
    </w:p>
    <w:tbl>
      <w:tblPr>
        <w:tblW w:w="0" w:type="auto"/>
        <w:jc w:val="center"/>
        <w:tblBorders>
          <w:top w:val="single" w:sz="8" w:space="0" w:color="000000"/>
          <w:bottom w:val="single" w:sz="8" w:space="0" w:color="000000"/>
        </w:tblBorders>
        <w:tblLayout w:type="fixed"/>
        <w:tblLook w:val="04A0" w:firstRow="1" w:lastRow="0" w:firstColumn="1" w:lastColumn="0" w:noHBand="0" w:noVBand="1"/>
      </w:tblPr>
      <w:tblGrid>
        <w:gridCol w:w="2239"/>
        <w:gridCol w:w="881"/>
        <w:gridCol w:w="930"/>
        <w:gridCol w:w="771"/>
        <w:gridCol w:w="881"/>
        <w:gridCol w:w="15"/>
        <w:gridCol w:w="866"/>
        <w:gridCol w:w="869"/>
        <w:gridCol w:w="12"/>
        <w:gridCol w:w="881"/>
        <w:gridCol w:w="882"/>
      </w:tblGrid>
      <w:tr w:rsidR="007F446F" w14:paraId="541FD793" w14:textId="77777777" w:rsidTr="001D13CE">
        <w:trPr>
          <w:trHeight w:val="246"/>
          <w:jc w:val="center"/>
        </w:trPr>
        <w:tc>
          <w:tcPr>
            <w:tcW w:w="2239" w:type="dxa"/>
            <w:tcBorders>
              <w:top w:val="single" w:sz="8" w:space="0" w:color="000000"/>
              <w:left w:val="nil"/>
              <w:bottom w:val="nil"/>
              <w:right w:val="nil"/>
            </w:tcBorders>
            <w:hideMark/>
          </w:tcPr>
          <w:p w14:paraId="4B2E0822" w14:textId="77777777" w:rsidR="007F446F" w:rsidRDefault="007F446F" w:rsidP="001D13CE">
            <w:pPr>
              <w:keepNext/>
              <w:keepLines/>
              <w:spacing w:after="0" w:line="360" w:lineRule="auto"/>
              <w:jc w:val="right"/>
              <w:rPr>
                <w:rFonts w:ascii="Times New Roman" w:hAnsi="Times New Roman"/>
                <w:b/>
                <w:bCs/>
                <w:sz w:val="20"/>
                <w:szCs w:val="24"/>
              </w:rPr>
            </w:pPr>
            <w:r>
              <w:rPr>
                <w:rFonts w:ascii="Times New Roman" w:hAnsi="Times New Roman"/>
                <w:b/>
                <w:bCs/>
                <w:sz w:val="20"/>
                <w:szCs w:val="24"/>
              </w:rPr>
              <w:t>Language regime</w:t>
            </w:r>
          </w:p>
        </w:tc>
        <w:tc>
          <w:tcPr>
            <w:tcW w:w="1811" w:type="dxa"/>
            <w:gridSpan w:val="2"/>
            <w:tcBorders>
              <w:top w:val="single" w:sz="8" w:space="0" w:color="000000"/>
              <w:left w:val="nil"/>
              <w:bottom w:val="nil"/>
              <w:right w:val="nil"/>
            </w:tcBorders>
            <w:hideMark/>
          </w:tcPr>
          <w:p w14:paraId="3FFAED39" w14:textId="77777777" w:rsidR="007F446F" w:rsidRDefault="007F446F" w:rsidP="001D13CE">
            <w:pPr>
              <w:keepNext/>
              <w:keepLines/>
              <w:spacing w:after="0" w:line="360" w:lineRule="auto"/>
              <w:jc w:val="center"/>
              <w:rPr>
                <w:rFonts w:ascii="Times New Roman" w:hAnsi="Times New Roman"/>
                <w:b/>
                <w:bCs/>
                <w:i/>
                <w:sz w:val="20"/>
                <w:szCs w:val="24"/>
              </w:rPr>
            </w:pPr>
            <w:r>
              <w:rPr>
                <w:rFonts w:ascii="Times New Roman" w:hAnsi="Times New Roman"/>
                <w:i/>
                <w:iCs/>
                <w:sz w:val="20"/>
                <w:szCs w:val="24"/>
              </w:rPr>
              <w:t>Monolingual</w:t>
            </w:r>
          </w:p>
        </w:tc>
        <w:tc>
          <w:tcPr>
            <w:tcW w:w="1667" w:type="dxa"/>
            <w:gridSpan w:val="3"/>
            <w:tcBorders>
              <w:top w:val="single" w:sz="8" w:space="0" w:color="000000"/>
              <w:left w:val="nil"/>
              <w:bottom w:val="nil"/>
              <w:right w:val="nil"/>
            </w:tcBorders>
            <w:hideMark/>
          </w:tcPr>
          <w:p w14:paraId="186B7AA0" w14:textId="77777777" w:rsidR="007F446F" w:rsidRDefault="007F446F" w:rsidP="001D13CE">
            <w:pPr>
              <w:keepNext/>
              <w:keepLines/>
              <w:spacing w:after="0" w:line="360" w:lineRule="auto"/>
              <w:jc w:val="center"/>
              <w:rPr>
                <w:rFonts w:ascii="Times New Roman" w:hAnsi="Times New Roman"/>
                <w:b/>
                <w:bCs/>
                <w:i/>
                <w:sz w:val="20"/>
                <w:szCs w:val="24"/>
              </w:rPr>
            </w:pPr>
            <w:r>
              <w:rPr>
                <w:rFonts w:ascii="Times New Roman" w:hAnsi="Times New Roman"/>
                <w:i/>
                <w:iCs/>
                <w:sz w:val="20"/>
                <w:szCs w:val="24"/>
              </w:rPr>
              <w:t>Trilingual</w:t>
            </w:r>
          </w:p>
        </w:tc>
        <w:tc>
          <w:tcPr>
            <w:tcW w:w="1735" w:type="dxa"/>
            <w:gridSpan w:val="2"/>
            <w:tcBorders>
              <w:top w:val="single" w:sz="8" w:space="0" w:color="000000"/>
              <w:left w:val="nil"/>
              <w:bottom w:val="nil"/>
              <w:right w:val="nil"/>
            </w:tcBorders>
            <w:hideMark/>
          </w:tcPr>
          <w:p w14:paraId="6E4C1A93" w14:textId="77777777" w:rsidR="007F446F" w:rsidRDefault="007F446F" w:rsidP="001D13CE">
            <w:pPr>
              <w:keepNext/>
              <w:keepLines/>
              <w:spacing w:after="0" w:line="360" w:lineRule="auto"/>
              <w:jc w:val="center"/>
              <w:rPr>
                <w:rFonts w:ascii="Times New Roman" w:hAnsi="Times New Roman"/>
                <w:b/>
                <w:bCs/>
                <w:i/>
                <w:sz w:val="20"/>
                <w:szCs w:val="24"/>
              </w:rPr>
            </w:pPr>
            <w:proofErr w:type="spellStart"/>
            <w:r>
              <w:rPr>
                <w:rFonts w:ascii="Times New Roman" w:hAnsi="Times New Roman"/>
                <w:i/>
                <w:iCs/>
                <w:sz w:val="20"/>
                <w:szCs w:val="24"/>
              </w:rPr>
              <w:t>Hexalingual</w:t>
            </w:r>
            <w:proofErr w:type="spellEnd"/>
          </w:p>
        </w:tc>
        <w:tc>
          <w:tcPr>
            <w:tcW w:w="1775" w:type="dxa"/>
            <w:gridSpan w:val="3"/>
            <w:tcBorders>
              <w:top w:val="single" w:sz="8" w:space="0" w:color="000000"/>
              <w:left w:val="nil"/>
              <w:bottom w:val="nil"/>
              <w:right w:val="nil"/>
            </w:tcBorders>
            <w:hideMark/>
          </w:tcPr>
          <w:p w14:paraId="78A45A0F" w14:textId="77777777" w:rsidR="007F446F" w:rsidRDefault="007F446F" w:rsidP="001D13CE">
            <w:pPr>
              <w:keepNext/>
              <w:keepLines/>
              <w:spacing w:after="0" w:line="360" w:lineRule="auto"/>
              <w:jc w:val="center"/>
              <w:rPr>
                <w:rFonts w:ascii="Times New Roman" w:hAnsi="Times New Roman"/>
                <w:i/>
                <w:iCs/>
                <w:sz w:val="20"/>
                <w:szCs w:val="24"/>
              </w:rPr>
            </w:pPr>
            <w:r>
              <w:rPr>
                <w:rFonts w:ascii="Times New Roman" w:hAnsi="Times New Roman"/>
                <w:i/>
                <w:iCs/>
                <w:sz w:val="20"/>
                <w:szCs w:val="24"/>
              </w:rPr>
              <w:t>Multilingual</w:t>
            </w:r>
          </w:p>
        </w:tc>
      </w:tr>
      <w:tr w:rsidR="007F446F" w14:paraId="5B34C5F7" w14:textId="77777777" w:rsidTr="001D13CE">
        <w:trPr>
          <w:trHeight w:val="338"/>
          <w:jc w:val="center"/>
        </w:trPr>
        <w:tc>
          <w:tcPr>
            <w:tcW w:w="2239" w:type="dxa"/>
            <w:tcBorders>
              <w:top w:val="nil"/>
              <w:left w:val="nil"/>
              <w:bottom w:val="single" w:sz="4" w:space="0" w:color="auto"/>
              <w:right w:val="nil"/>
            </w:tcBorders>
            <w:hideMark/>
          </w:tcPr>
          <w:p w14:paraId="649E126B" w14:textId="77777777" w:rsidR="007F446F" w:rsidRDefault="007F446F" w:rsidP="001D13CE">
            <w:pPr>
              <w:keepNext/>
              <w:keepLines/>
              <w:spacing w:after="0" w:line="360" w:lineRule="auto"/>
              <w:rPr>
                <w:rFonts w:ascii="Times New Roman" w:hAnsi="Times New Roman"/>
                <w:sz w:val="20"/>
                <w:szCs w:val="24"/>
              </w:rPr>
            </w:pPr>
          </w:p>
        </w:tc>
        <w:tc>
          <w:tcPr>
            <w:tcW w:w="881" w:type="dxa"/>
            <w:tcBorders>
              <w:top w:val="nil"/>
              <w:left w:val="nil"/>
              <w:bottom w:val="single" w:sz="4" w:space="0" w:color="auto"/>
              <w:right w:val="nil"/>
            </w:tcBorders>
            <w:vAlign w:val="center"/>
            <w:hideMark/>
          </w:tcPr>
          <w:p w14:paraId="1F3581EB" w14:textId="77777777" w:rsidR="007F446F" w:rsidRDefault="007F446F" w:rsidP="001D13CE">
            <w:pPr>
              <w:keepNext/>
              <w:keepLines/>
              <w:spacing w:after="0" w:line="360" w:lineRule="auto"/>
              <w:jc w:val="center"/>
              <w:rPr>
                <w:rFonts w:ascii="Times New Roman" w:hAnsi="Times New Roman"/>
                <w:i/>
                <w:sz w:val="20"/>
                <w:szCs w:val="24"/>
                <w:vertAlign w:val="subscript"/>
              </w:rPr>
            </w:pPr>
            <w:r>
              <w:rPr>
                <w:rFonts w:ascii="Times New Roman" w:hAnsi="Times New Roman"/>
                <w:b/>
                <w:bCs/>
                <w:i/>
                <w:sz w:val="20"/>
                <w:szCs w:val="24"/>
              </w:rPr>
              <w:t>D</w:t>
            </w:r>
            <w:r>
              <w:rPr>
                <w:rFonts w:ascii="Times New Roman" w:hAnsi="Times New Roman"/>
                <w:b/>
                <w:bCs/>
                <w:i/>
                <w:sz w:val="20"/>
                <w:szCs w:val="24"/>
                <w:vertAlign w:val="subscript"/>
              </w:rPr>
              <w:t>a</w:t>
            </w:r>
          </w:p>
        </w:tc>
        <w:tc>
          <w:tcPr>
            <w:tcW w:w="930" w:type="dxa"/>
            <w:tcBorders>
              <w:top w:val="nil"/>
              <w:left w:val="nil"/>
              <w:bottom w:val="single" w:sz="4" w:space="0" w:color="auto"/>
              <w:right w:val="nil"/>
            </w:tcBorders>
            <w:vAlign w:val="center"/>
            <w:hideMark/>
          </w:tcPr>
          <w:p w14:paraId="62C5CF30" w14:textId="77777777" w:rsidR="007F446F" w:rsidRDefault="007F446F" w:rsidP="001D13CE">
            <w:pPr>
              <w:keepNext/>
              <w:keepLines/>
              <w:spacing w:after="0" w:line="360" w:lineRule="auto"/>
              <w:jc w:val="center"/>
              <w:rPr>
                <w:rFonts w:ascii="Times New Roman" w:hAnsi="Times New Roman"/>
                <w:i/>
                <w:sz w:val="20"/>
                <w:szCs w:val="24"/>
                <w:vertAlign w:val="superscript"/>
              </w:rPr>
            </w:pPr>
            <w:r>
              <w:rPr>
                <w:rFonts w:ascii="Times New Roman" w:hAnsi="Times New Roman"/>
                <w:b/>
                <w:bCs/>
                <w:i/>
                <w:sz w:val="20"/>
                <w:szCs w:val="24"/>
              </w:rPr>
              <w:t>D</w:t>
            </w:r>
            <w:r>
              <w:rPr>
                <w:rFonts w:ascii="Times New Roman" w:hAnsi="Times New Roman"/>
                <w:b/>
                <w:bCs/>
                <w:i/>
                <w:sz w:val="20"/>
                <w:szCs w:val="24"/>
                <w:vertAlign w:val="subscript"/>
              </w:rPr>
              <w:t>r</w:t>
            </w:r>
          </w:p>
        </w:tc>
        <w:tc>
          <w:tcPr>
            <w:tcW w:w="771" w:type="dxa"/>
            <w:tcBorders>
              <w:top w:val="nil"/>
              <w:left w:val="nil"/>
              <w:bottom w:val="single" w:sz="4" w:space="0" w:color="auto"/>
              <w:right w:val="nil"/>
            </w:tcBorders>
            <w:vAlign w:val="center"/>
            <w:hideMark/>
          </w:tcPr>
          <w:p w14:paraId="59AA54D4" w14:textId="77777777" w:rsidR="007F446F" w:rsidRDefault="007F446F" w:rsidP="001D13CE">
            <w:pPr>
              <w:keepNext/>
              <w:keepLines/>
              <w:spacing w:after="0" w:line="360" w:lineRule="auto"/>
              <w:jc w:val="center"/>
              <w:rPr>
                <w:rFonts w:ascii="Times New Roman" w:hAnsi="Times New Roman"/>
                <w:i/>
                <w:sz w:val="20"/>
                <w:szCs w:val="24"/>
                <w:vertAlign w:val="subscript"/>
              </w:rPr>
            </w:pPr>
            <w:r>
              <w:rPr>
                <w:rFonts w:ascii="Times New Roman" w:hAnsi="Times New Roman"/>
                <w:b/>
                <w:bCs/>
                <w:i/>
                <w:sz w:val="20"/>
                <w:szCs w:val="24"/>
              </w:rPr>
              <w:t>D</w:t>
            </w:r>
            <w:r>
              <w:rPr>
                <w:rFonts w:ascii="Times New Roman" w:hAnsi="Times New Roman"/>
                <w:b/>
                <w:bCs/>
                <w:i/>
                <w:sz w:val="20"/>
                <w:szCs w:val="24"/>
                <w:vertAlign w:val="subscript"/>
              </w:rPr>
              <w:t>a</w:t>
            </w:r>
          </w:p>
        </w:tc>
        <w:tc>
          <w:tcPr>
            <w:tcW w:w="881" w:type="dxa"/>
            <w:tcBorders>
              <w:top w:val="nil"/>
              <w:left w:val="nil"/>
              <w:bottom w:val="single" w:sz="4" w:space="0" w:color="auto"/>
              <w:right w:val="nil"/>
            </w:tcBorders>
            <w:vAlign w:val="center"/>
            <w:hideMark/>
          </w:tcPr>
          <w:p w14:paraId="76853489" w14:textId="77777777" w:rsidR="007F446F" w:rsidRDefault="007F446F" w:rsidP="001D13CE">
            <w:pPr>
              <w:keepNext/>
              <w:keepLines/>
              <w:spacing w:after="0" w:line="360" w:lineRule="auto"/>
              <w:jc w:val="center"/>
              <w:rPr>
                <w:rFonts w:ascii="Times New Roman" w:hAnsi="Times New Roman"/>
                <w:i/>
                <w:sz w:val="20"/>
                <w:szCs w:val="24"/>
                <w:vertAlign w:val="superscript"/>
              </w:rPr>
            </w:pPr>
            <w:r>
              <w:rPr>
                <w:rFonts w:ascii="Times New Roman" w:hAnsi="Times New Roman"/>
                <w:b/>
                <w:bCs/>
                <w:i/>
                <w:sz w:val="20"/>
                <w:szCs w:val="24"/>
              </w:rPr>
              <w:t>D</w:t>
            </w:r>
            <w:r>
              <w:rPr>
                <w:rFonts w:ascii="Times New Roman" w:hAnsi="Times New Roman"/>
                <w:b/>
                <w:bCs/>
                <w:i/>
                <w:sz w:val="20"/>
                <w:szCs w:val="24"/>
                <w:vertAlign w:val="subscript"/>
              </w:rPr>
              <w:t>r</w:t>
            </w:r>
          </w:p>
        </w:tc>
        <w:tc>
          <w:tcPr>
            <w:tcW w:w="881" w:type="dxa"/>
            <w:gridSpan w:val="2"/>
            <w:tcBorders>
              <w:top w:val="nil"/>
              <w:left w:val="nil"/>
              <w:bottom w:val="single" w:sz="4" w:space="0" w:color="auto"/>
              <w:right w:val="nil"/>
            </w:tcBorders>
            <w:vAlign w:val="center"/>
            <w:hideMark/>
          </w:tcPr>
          <w:p w14:paraId="6F3D5EB5" w14:textId="77777777" w:rsidR="007F446F" w:rsidRDefault="007F446F" w:rsidP="001D13CE">
            <w:pPr>
              <w:keepNext/>
              <w:keepLines/>
              <w:spacing w:after="0" w:line="360" w:lineRule="auto"/>
              <w:jc w:val="center"/>
              <w:rPr>
                <w:rFonts w:ascii="Times New Roman" w:hAnsi="Times New Roman"/>
                <w:i/>
                <w:sz w:val="20"/>
                <w:szCs w:val="24"/>
                <w:vertAlign w:val="subscript"/>
              </w:rPr>
            </w:pPr>
            <w:r>
              <w:rPr>
                <w:rFonts w:ascii="Times New Roman" w:hAnsi="Times New Roman"/>
                <w:b/>
                <w:bCs/>
                <w:i/>
                <w:sz w:val="20"/>
                <w:szCs w:val="24"/>
              </w:rPr>
              <w:t>D</w:t>
            </w:r>
            <w:r>
              <w:rPr>
                <w:rFonts w:ascii="Times New Roman" w:hAnsi="Times New Roman"/>
                <w:b/>
                <w:bCs/>
                <w:i/>
                <w:sz w:val="20"/>
                <w:szCs w:val="24"/>
                <w:vertAlign w:val="subscript"/>
              </w:rPr>
              <w:t>a</w:t>
            </w:r>
          </w:p>
        </w:tc>
        <w:tc>
          <w:tcPr>
            <w:tcW w:w="881" w:type="dxa"/>
            <w:gridSpan w:val="2"/>
            <w:tcBorders>
              <w:top w:val="nil"/>
              <w:left w:val="nil"/>
              <w:bottom w:val="single" w:sz="4" w:space="0" w:color="auto"/>
              <w:right w:val="nil"/>
            </w:tcBorders>
            <w:vAlign w:val="center"/>
            <w:hideMark/>
          </w:tcPr>
          <w:p w14:paraId="2067382C" w14:textId="77777777" w:rsidR="007F446F" w:rsidRDefault="007F446F" w:rsidP="001D13CE">
            <w:pPr>
              <w:keepNext/>
              <w:keepLines/>
              <w:spacing w:after="0" w:line="360" w:lineRule="auto"/>
              <w:jc w:val="center"/>
              <w:rPr>
                <w:rFonts w:ascii="Times New Roman" w:hAnsi="Times New Roman"/>
                <w:i/>
                <w:sz w:val="20"/>
                <w:szCs w:val="24"/>
                <w:vertAlign w:val="superscript"/>
              </w:rPr>
            </w:pPr>
            <w:r>
              <w:rPr>
                <w:rFonts w:ascii="Times New Roman" w:hAnsi="Times New Roman"/>
                <w:b/>
                <w:bCs/>
                <w:i/>
                <w:sz w:val="20"/>
                <w:szCs w:val="24"/>
              </w:rPr>
              <w:t>D</w:t>
            </w:r>
            <w:r>
              <w:rPr>
                <w:rFonts w:ascii="Times New Roman" w:hAnsi="Times New Roman"/>
                <w:b/>
                <w:bCs/>
                <w:i/>
                <w:sz w:val="20"/>
                <w:szCs w:val="24"/>
                <w:vertAlign w:val="subscript"/>
              </w:rPr>
              <w:t>r</w:t>
            </w:r>
          </w:p>
        </w:tc>
        <w:tc>
          <w:tcPr>
            <w:tcW w:w="881" w:type="dxa"/>
            <w:tcBorders>
              <w:top w:val="nil"/>
              <w:left w:val="nil"/>
              <w:bottom w:val="single" w:sz="4" w:space="0" w:color="auto"/>
              <w:right w:val="nil"/>
            </w:tcBorders>
            <w:vAlign w:val="center"/>
            <w:hideMark/>
          </w:tcPr>
          <w:p w14:paraId="32E2B18C" w14:textId="77777777" w:rsidR="007F446F" w:rsidRDefault="007F446F" w:rsidP="001D13CE">
            <w:pPr>
              <w:keepNext/>
              <w:keepLines/>
              <w:spacing w:after="0" w:line="360" w:lineRule="auto"/>
              <w:jc w:val="center"/>
              <w:rPr>
                <w:rFonts w:ascii="Times New Roman" w:hAnsi="Times New Roman"/>
                <w:i/>
                <w:sz w:val="20"/>
                <w:szCs w:val="24"/>
                <w:vertAlign w:val="subscript"/>
              </w:rPr>
            </w:pPr>
            <w:r>
              <w:rPr>
                <w:rFonts w:ascii="Times New Roman" w:hAnsi="Times New Roman"/>
                <w:b/>
                <w:bCs/>
                <w:i/>
                <w:sz w:val="20"/>
                <w:szCs w:val="24"/>
              </w:rPr>
              <w:t>D</w:t>
            </w:r>
            <w:r>
              <w:rPr>
                <w:rFonts w:ascii="Times New Roman" w:hAnsi="Times New Roman"/>
                <w:b/>
                <w:bCs/>
                <w:i/>
                <w:sz w:val="20"/>
                <w:szCs w:val="24"/>
                <w:vertAlign w:val="subscript"/>
              </w:rPr>
              <w:t>a</w:t>
            </w:r>
          </w:p>
        </w:tc>
        <w:tc>
          <w:tcPr>
            <w:tcW w:w="882" w:type="dxa"/>
            <w:tcBorders>
              <w:top w:val="nil"/>
              <w:left w:val="nil"/>
              <w:bottom w:val="single" w:sz="4" w:space="0" w:color="auto"/>
              <w:right w:val="nil"/>
            </w:tcBorders>
            <w:vAlign w:val="center"/>
            <w:hideMark/>
          </w:tcPr>
          <w:p w14:paraId="3DC21F3A" w14:textId="77777777" w:rsidR="007F446F" w:rsidRDefault="007F446F" w:rsidP="001D13CE">
            <w:pPr>
              <w:keepNext/>
              <w:keepLines/>
              <w:spacing w:after="0" w:line="360" w:lineRule="auto"/>
              <w:jc w:val="center"/>
              <w:rPr>
                <w:rFonts w:ascii="Times New Roman" w:hAnsi="Times New Roman"/>
                <w:i/>
                <w:sz w:val="20"/>
                <w:szCs w:val="24"/>
                <w:vertAlign w:val="superscript"/>
              </w:rPr>
            </w:pPr>
            <w:r>
              <w:rPr>
                <w:rFonts w:ascii="Times New Roman" w:hAnsi="Times New Roman"/>
                <w:b/>
                <w:bCs/>
                <w:i/>
                <w:sz w:val="20"/>
                <w:szCs w:val="24"/>
              </w:rPr>
              <w:t>D</w:t>
            </w:r>
            <w:r>
              <w:rPr>
                <w:rFonts w:ascii="Times New Roman" w:hAnsi="Times New Roman"/>
                <w:b/>
                <w:bCs/>
                <w:i/>
                <w:sz w:val="20"/>
                <w:szCs w:val="24"/>
                <w:vertAlign w:val="subscript"/>
              </w:rPr>
              <w:t>r</w:t>
            </w:r>
          </w:p>
        </w:tc>
      </w:tr>
      <w:tr w:rsidR="007F446F" w14:paraId="70FE900F" w14:textId="77777777" w:rsidTr="001D13CE">
        <w:trPr>
          <w:trHeight w:val="370"/>
          <w:jc w:val="center"/>
        </w:trPr>
        <w:tc>
          <w:tcPr>
            <w:tcW w:w="2239" w:type="dxa"/>
            <w:tcBorders>
              <w:top w:val="single" w:sz="4" w:space="0" w:color="auto"/>
              <w:left w:val="nil"/>
              <w:bottom w:val="nil"/>
              <w:right w:val="nil"/>
            </w:tcBorders>
            <w:vAlign w:val="center"/>
            <w:hideMark/>
          </w:tcPr>
          <w:p w14:paraId="129B8307" w14:textId="77777777" w:rsidR="007F446F" w:rsidRDefault="007F446F" w:rsidP="001D13CE">
            <w:pPr>
              <w:spacing w:after="0" w:line="360" w:lineRule="auto"/>
              <w:rPr>
                <w:rFonts w:ascii="Times New Roman" w:hAnsi="Times New Roman"/>
                <w:sz w:val="20"/>
                <w:szCs w:val="24"/>
              </w:rPr>
            </w:pPr>
            <w:r>
              <w:rPr>
                <w:rFonts w:ascii="Times New Roman" w:hAnsi="Times New Roman"/>
                <w:iCs/>
                <w:sz w:val="20"/>
                <w:szCs w:val="24"/>
              </w:rPr>
              <w:t>Austria</w:t>
            </w:r>
          </w:p>
        </w:tc>
        <w:tc>
          <w:tcPr>
            <w:tcW w:w="881" w:type="dxa"/>
            <w:tcBorders>
              <w:top w:val="single" w:sz="4" w:space="0" w:color="auto"/>
              <w:left w:val="nil"/>
              <w:bottom w:val="nil"/>
              <w:right w:val="nil"/>
            </w:tcBorders>
            <w:vAlign w:val="center"/>
            <w:hideMark/>
          </w:tcPr>
          <w:p w14:paraId="72FE6567" w14:textId="77777777" w:rsidR="007F446F" w:rsidRDefault="007F446F" w:rsidP="001D13CE">
            <w:pPr>
              <w:keepNext/>
              <w:keepLines/>
              <w:spacing w:after="0" w:line="360" w:lineRule="auto"/>
              <w:jc w:val="center"/>
              <w:rPr>
                <w:rFonts w:ascii="Times New Roman" w:hAnsi="Times New Roman"/>
                <w:sz w:val="20"/>
                <w:szCs w:val="24"/>
              </w:rPr>
            </w:pPr>
            <w:r>
              <w:rPr>
                <w:rFonts w:ascii="Times New Roman" w:hAnsi="Times New Roman"/>
                <w:sz w:val="20"/>
                <w:szCs w:val="24"/>
              </w:rPr>
              <w:t>33</w:t>
            </w:r>
          </w:p>
        </w:tc>
        <w:tc>
          <w:tcPr>
            <w:tcW w:w="930" w:type="dxa"/>
            <w:tcBorders>
              <w:top w:val="single" w:sz="4" w:space="0" w:color="auto"/>
              <w:left w:val="nil"/>
              <w:bottom w:val="nil"/>
              <w:right w:val="nil"/>
            </w:tcBorders>
            <w:vAlign w:val="center"/>
            <w:hideMark/>
          </w:tcPr>
          <w:p w14:paraId="248513A9" w14:textId="77777777" w:rsidR="007F446F" w:rsidRDefault="007F446F" w:rsidP="001D13CE">
            <w:pPr>
              <w:keepNext/>
              <w:keepLines/>
              <w:spacing w:after="0" w:line="360" w:lineRule="auto"/>
              <w:jc w:val="center"/>
              <w:rPr>
                <w:rFonts w:ascii="Times New Roman" w:hAnsi="Times New Roman"/>
                <w:sz w:val="20"/>
                <w:szCs w:val="24"/>
              </w:rPr>
            </w:pPr>
            <w:r>
              <w:rPr>
                <w:rFonts w:ascii="Times New Roman" w:hAnsi="Times New Roman"/>
                <w:sz w:val="20"/>
                <w:szCs w:val="24"/>
              </w:rPr>
              <w:t>82</w:t>
            </w:r>
          </w:p>
        </w:tc>
        <w:tc>
          <w:tcPr>
            <w:tcW w:w="771" w:type="dxa"/>
            <w:tcBorders>
              <w:top w:val="single" w:sz="4" w:space="0" w:color="auto"/>
              <w:left w:val="nil"/>
              <w:bottom w:val="nil"/>
              <w:right w:val="nil"/>
            </w:tcBorders>
            <w:vAlign w:val="center"/>
            <w:hideMark/>
          </w:tcPr>
          <w:p w14:paraId="204FFBF6" w14:textId="77777777" w:rsidR="007F446F" w:rsidRDefault="007F446F" w:rsidP="001D13CE">
            <w:pPr>
              <w:keepNext/>
              <w:keepLines/>
              <w:spacing w:after="0" w:line="360" w:lineRule="auto"/>
              <w:jc w:val="center"/>
              <w:rPr>
                <w:rFonts w:ascii="Times New Roman" w:hAnsi="Times New Roman"/>
                <w:sz w:val="20"/>
                <w:szCs w:val="24"/>
              </w:rPr>
            </w:pPr>
            <w:r>
              <w:rPr>
                <w:rFonts w:ascii="Times New Roman" w:hAnsi="Times New Roman"/>
                <w:sz w:val="20"/>
                <w:szCs w:val="24"/>
              </w:rPr>
              <w:t>0</w:t>
            </w:r>
          </w:p>
        </w:tc>
        <w:tc>
          <w:tcPr>
            <w:tcW w:w="881" w:type="dxa"/>
            <w:tcBorders>
              <w:top w:val="single" w:sz="4" w:space="0" w:color="auto"/>
              <w:left w:val="nil"/>
              <w:bottom w:val="nil"/>
              <w:right w:val="nil"/>
            </w:tcBorders>
            <w:vAlign w:val="center"/>
            <w:hideMark/>
          </w:tcPr>
          <w:p w14:paraId="3781BD5F" w14:textId="77777777" w:rsidR="007F446F" w:rsidRDefault="007F446F" w:rsidP="001D13CE">
            <w:pPr>
              <w:keepNext/>
              <w:keepLines/>
              <w:spacing w:after="0" w:line="360" w:lineRule="auto"/>
              <w:jc w:val="center"/>
              <w:rPr>
                <w:rFonts w:ascii="Times New Roman" w:hAnsi="Times New Roman"/>
                <w:sz w:val="20"/>
                <w:szCs w:val="24"/>
              </w:rPr>
            </w:pPr>
            <w:r>
              <w:rPr>
                <w:rFonts w:ascii="Times New Roman" w:hAnsi="Times New Roman"/>
                <w:sz w:val="20"/>
                <w:szCs w:val="24"/>
              </w:rPr>
              <w:t>7</w:t>
            </w:r>
          </w:p>
        </w:tc>
        <w:tc>
          <w:tcPr>
            <w:tcW w:w="881" w:type="dxa"/>
            <w:gridSpan w:val="2"/>
            <w:tcBorders>
              <w:top w:val="single" w:sz="4" w:space="0" w:color="auto"/>
              <w:left w:val="nil"/>
              <w:bottom w:val="nil"/>
              <w:right w:val="nil"/>
            </w:tcBorders>
            <w:vAlign w:val="center"/>
            <w:hideMark/>
          </w:tcPr>
          <w:p w14:paraId="074AB76A" w14:textId="77777777" w:rsidR="007F446F" w:rsidRDefault="007F446F" w:rsidP="001D13CE">
            <w:pPr>
              <w:keepNext/>
              <w:keepLines/>
              <w:spacing w:after="0" w:line="360" w:lineRule="auto"/>
              <w:jc w:val="center"/>
              <w:rPr>
                <w:rFonts w:ascii="Times New Roman" w:hAnsi="Times New Roman"/>
                <w:sz w:val="20"/>
                <w:szCs w:val="24"/>
              </w:rPr>
            </w:pPr>
            <w:r>
              <w:rPr>
                <w:rFonts w:ascii="Times New Roman" w:hAnsi="Times New Roman"/>
                <w:sz w:val="20"/>
                <w:szCs w:val="24"/>
              </w:rPr>
              <w:t>0</w:t>
            </w:r>
          </w:p>
        </w:tc>
        <w:tc>
          <w:tcPr>
            <w:tcW w:w="881" w:type="dxa"/>
            <w:gridSpan w:val="2"/>
            <w:tcBorders>
              <w:top w:val="single" w:sz="4" w:space="0" w:color="auto"/>
              <w:left w:val="nil"/>
              <w:bottom w:val="nil"/>
              <w:right w:val="nil"/>
            </w:tcBorders>
            <w:vAlign w:val="center"/>
            <w:hideMark/>
          </w:tcPr>
          <w:p w14:paraId="586AFF13" w14:textId="77777777" w:rsidR="007F446F" w:rsidRDefault="007F446F" w:rsidP="001D13CE">
            <w:pPr>
              <w:keepNext/>
              <w:keepLines/>
              <w:spacing w:after="0" w:line="360" w:lineRule="auto"/>
              <w:jc w:val="center"/>
              <w:rPr>
                <w:rFonts w:ascii="Times New Roman" w:hAnsi="Times New Roman"/>
                <w:sz w:val="20"/>
                <w:szCs w:val="24"/>
              </w:rPr>
            </w:pPr>
            <w:r>
              <w:rPr>
                <w:rFonts w:ascii="Times New Roman" w:hAnsi="Times New Roman"/>
                <w:sz w:val="20"/>
                <w:szCs w:val="24"/>
              </w:rPr>
              <w:t>6</w:t>
            </w:r>
          </w:p>
        </w:tc>
        <w:tc>
          <w:tcPr>
            <w:tcW w:w="881" w:type="dxa"/>
            <w:tcBorders>
              <w:top w:val="single" w:sz="4" w:space="0" w:color="auto"/>
              <w:left w:val="nil"/>
              <w:bottom w:val="nil"/>
              <w:right w:val="nil"/>
            </w:tcBorders>
            <w:vAlign w:val="center"/>
            <w:hideMark/>
          </w:tcPr>
          <w:p w14:paraId="1BC86421" w14:textId="77777777" w:rsidR="007F446F" w:rsidRDefault="007F446F" w:rsidP="001D13CE">
            <w:pPr>
              <w:keepNext/>
              <w:keepLines/>
              <w:spacing w:after="0" w:line="360" w:lineRule="auto"/>
              <w:jc w:val="center"/>
              <w:rPr>
                <w:rFonts w:ascii="Times New Roman" w:hAnsi="Times New Roman"/>
                <w:sz w:val="20"/>
                <w:szCs w:val="24"/>
              </w:rPr>
            </w:pPr>
            <w:r>
              <w:rPr>
                <w:rFonts w:ascii="Times New Roman" w:hAnsi="Times New Roman"/>
                <w:sz w:val="20"/>
                <w:szCs w:val="24"/>
              </w:rPr>
              <w:t>0</w:t>
            </w:r>
          </w:p>
        </w:tc>
        <w:tc>
          <w:tcPr>
            <w:tcW w:w="882" w:type="dxa"/>
            <w:tcBorders>
              <w:top w:val="single" w:sz="4" w:space="0" w:color="auto"/>
              <w:left w:val="nil"/>
              <w:bottom w:val="nil"/>
              <w:right w:val="nil"/>
            </w:tcBorders>
            <w:vAlign w:val="center"/>
            <w:hideMark/>
          </w:tcPr>
          <w:p w14:paraId="71B612DD" w14:textId="77777777" w:rsidR="007F446F" w:rsidRDefault="007F446F" w:rsidP="001D13CE">
            <w:pPr>
              <w:keepNext/>
              <w:keepLines/>
              <w:spacing w:after="0" w:line="360" w:lineRule="auto"/>
              <w:jc w:val="center"/>
              <w:rPr>
                <w:rFonts w:ascii="Times New Roman" w:hAnsi="Times New Roman"/>
                <w:sz w:val="20"/>
                <w:szCs w:val="24"/>
              </w:rPr>
            </w:pPr>
            <w:r>
              <w:rPr>
                <w:rFonts w:ascii="Times New Roman" w:hAnsi="Times New Roman"/>
                <w:sz w:val="20"/>
                <w:szCs w:val="24"/>
              </w:rPr>
              <w:t>6</w:t>
            </w:r>
          </w:p>
        </w:tc>
      </w:tr>
      <w:tr w:rsidR="007F446F" w14:paraId="7022144C" w14:textId="77777777" w:rsidTr="001D13CE">
        <w:trPr>
          <w:trHeight w:val="148"/>
          <w:jc w:val="center"/>
        </w:trPr>
        <w:tc>
          <w:tcPr>
            <w:tcW w:w="2239" w:type="dxa"/>
            <w:tcBorders>
              <w:top w:val="nil"/>
              <w:left w:val="nil"/>
              <w:bottom w:val="nil"/>
              <w:right w:val="nil"/>
            </w:tcBorders>
            <w:vAlign w:val="center"/>
            <w:hideMark/>
          </w:tcPr>
          <w:p w14:paraId="70E97F51" w14:textId="77777777" w:rsidR="007F446F" w:rsidRDefault="007F446F" w:rsidP="001D13CE">
            <w:pPr>
              <w:spacing w:after="0" w:line="360" w:lineRule="auto"/>
              <w:rPr>
                <w:rFonts w:ascii="Times New Roman" w:hAnsi="Times New Roman"/>
                <w:sz w:val="20"/>
                <w:szCs w:val="24"/>
              </w:rPr>
            </w:pPr>
            <w:r>
              <w:rPr>
                <w:rFonts w:ascii="Times New Roman" w:hAnsi="Times New Roman"/>
                <w:iCs/>
                <w:sz w:val="20"/>
                <w:szCs w:val="24"/>
              </w:rPr>
              <w:t>Belgium</w:t>
            </w:r>
          </w:p>
        </w:tc>
        <w:tc>
          <w:tcPr>
            <w:tcW w:w="881" w:type="dxa"/>
            <w:tcBorders>
              <w:top w:val="nil"/>
              <w:left w:val="nil"/>
              <w:bottom w:val="nil"/>
              <w:right w:val="nil"/>
            </w:tcBorders>
            <w:vAlign w:val="center"/>
            <w:hideMark/>
          </w:tcPr>
          <w:p w14:paraId="48C6279C" w14:textId="77777777" w:rsidR="007F446F" w:rsidRDefault="007F446F" w:rsidP="001D13CE">
            <w:pPr>
              <w:keepNext/>
              <w:keepLines/>
              <w:spacing w:after="0" w:line="360" w:lineRule="auto"/>
              <w:jc w:val="center"/>
              <w:rPr>
                <w:rFonts w:ascii="Times New Roman" w:hAnsi="Times New Roman"/>
                <w:sz w:val="20"/>
                <w:szCs w:val="24"/>
              </w:rPr>
            </w:pPr>
            <w:r>
              <w:rPr>
                <w:rFonts w:ascii="Times New Roman" w:hAnsi="Times New Roman"/>
                <w:sz w:val="20"/>
                <w:szCs w:val="24"/>
              </w:rPr>
              <w:t>51</w:t>
            </w:r>
          </w:p>
        </w:tc>
        <w:tc>
          <w:tcPr>
            <w:tcW w:w="930" w:type="dxa"/>
            <w:tcBorders>
              <w:top w:val="nil"/>
              <w:left w:val="nil"/>
              <w:bottom w:val="nil"/>
              <w:right w:val="nil"/>
            </w:tcBorders>
            <w:vAlign w:val="center"/>
            <w:hideMark/>
          </w:tcPr>
          <w:p w14:paraId="74EA55C6" w14:textId="77777777" w:rsidR="007F446F" w:rsidRDefault="007F446F" w:rsidP="001D13CE">
            <w:pPr>
              <w:keepNext/>
              <w:keepLines/>
              <w:spacing w:after="0" w:line="360" w:lineRule="auto"/>
              <w:jc w:val="center"/>
              <w:rPr>
                <w:rFonts w:ascii="Times New Roman" w:hAnsi="Times New Roman"/>
                <w:sz w:val="20"/>
                <w:szCs w:val="24"/>
              </w:rPr>
            </w:pPr>
            <w:r>
              <w:rPr>
                <w:rFonts w:ascii="Times New Roman" w:hAnsi="Times New Roman"/>
                <w:sz w:val="20"/>
                <w:szCs w:val="24"/>
              </w:rPr>
              <w:t>87</w:t>
            </w:r>
          </w:p>
        </w:tc>
        <w:tc>
          <w:tcPr>
            <w:tcW w:w="771" w:type="dxa"/>
            <w:tcBorders>
              <w:top w:val="nil"/>
              <w:left w:val="nil"/>
              <w:bottom w:val="nil"/>
              <w:right w:val="nil"/>
            </w:tcBorders>
            <w:vAlign w:val="center"/>
            <w:hideMark/>
          </w:tcPr>
          <w:p w14:paraId="5CE97F6B" w14:textId="77777777" w:rsidR="007F446F" w:rsidRDefault="007F446F" w:rsidP="001D13CE">
            <w:pPr>
              <w:keepNext/>
              <w:keepLines/>
              <w:spacing w:after="0" w:line="360" w:lineRule="auto"/>
              <w:jc w:val="center"/>
              <w:rPr>
                <w:rFonts w:ascii="Times New Roman" w:hAnsi="Times New Roman"/>
                <w:sz w:val="20"/>
                <w:szCs w:val="24"/>
              </w:rPr>
            </w:pPr>
            <w:r>
              <w:rPr>
                <w:rFonts w:ascii="Times New Roman" w:hAnsi="Times New Roman"/>
                <w:sz w:val="20"/>
                <w:szCs w:val="24"/>
              </w:rPr>
              <w:t>22</w:t>
            </w:r>
          </w:p>
        </w:tc>
        <w:tc>
          <w:tcPr>
            <w:tcW w:w="881" w:type="dxa"/>
            <w:tcBorders>
              <w:top w:val="nil"/>
              <w:left w:val="nil"/>
              <w:bottom w:val="nil"/>
              <w:right w:val="nil"/>
            </w:tcBorders>
            <w:vAlign w:val="center"/>
            <w:hideMark/>
          </w:tcPr>
          <w:p w14:paraId="04CA1AB2" w14:textId="77777777" w:rsidR="007F446F" w:rsidRDefault="007F446F" w:rsidP="001D13CE">
            <w:pPr>
              <w:keepNext/>
              <w:keepLines/>
              <w:spacing w:after="0" w:line="360" w:lineRule="auto"/>
              <w:jc w:val="center"/>
              <w:rPr>
                <w:rFonts w:ascii="Times New Roman" w:hAnsi="Times New Roman"/>
                <w:sz w:val="20"/>
                <w:szCs w:val="24"/>
              </w:rPr>
            </w:pPr>
            <w:r>
              <w:rPr>
                <w:rFonts w:ascii="Times New Roman" w:hAnsi="Times New Roman"/>
                <w:sz w:val="20"/>
                <w:szCs w:val="24"/>
              </w:rPr>
              <w:t>47</w:t>
            </w:r>
          </w:p>
        </w:tc>
        <w:tc>
          <w:tcPr>
            <w:tcW w:w="881" w:type="dxa"/>
            <w:gridSpan w:val="2"/>
            <w:tcBorders>
              <w:top w:val="nil"/>
              <w:left w:val="nil"/>
              <w:bottom w:val="nil"/>
              <w:right w:val="nil"/>
            </w:tcBorders>
            <w:vAlign w:val="center"/>
            <w:hideMark/>
          </w:tcPr>
          <w:p w14:paraId="586EC494" w14:textId="77777777" w:rsidR="007F446F" w:rsidRDefault="007F446F" w:rsidP="001D13CE">
            <w:pPr>
              <w:keepNext/>
              <w:keepLines/>
              <w:spacing w:after="0" w:line="360" w:lineRule="auto"/>
              <w:jc w:val="center"/>
              <w:rPr>
                <w:rFonts w:ascii="Times New Roman" w:hAnsi="Times New Roman"/>
                <w:sz w:val="20"/>
                <w:szCs w:val="24"/>
              </w:rPr>
            </w:pPr>
            <w:r>
              <w:rPr>
                <w:rFonts w:ascii="Times New Roman" w:hAnsi="Times New Roman"/>
                <w:sz w:val="20"/>
                <w:szCs w:val="24"/>
              </w:rPr>
              <w:t>21</w:t>
            </w:r>
          </w:p>
        </w:tc>
        <w:tc>
          <w:tcPr>
            <w:tcW w:w="881" w:type="dxa"/>
            <w:gridSpan w:val="2"/>
            <w:tcBorders>
              <w:top w:val="nil"/>
              <w:left w:val="nil"/>
              <w:bottom w:val="nil"/>
              <w:right w:val="nil"/>
            </w:tcBorders>
            <w:vAlign w:val="center"/>
            <w:hideMark/>
          </w:tcPr>
          <w:p w14:paraId="2C783829" w14:textId="77777777" w:rsidR="007F446F" w:rsidRDefault="007F446F" w:rsidP="001D13CE">
            <w:pPr>
              <w:keepNext/>
              <w:keepLines/>
              <w:spacing w:after="0" w:line="360" w:lineRule="auto"/>
              <w:jc w:val="center"/>
              <w:rPr>
                <w:rFonts w:ascii="Times New Roman" w:hAnsi="Times New Roman"/>
                <w:sz w:val="20"/>
                <w:szCs w:val="24"/>
              </w:rPr>
            </w:pPr>
            <w:r>
              <w:rPr>
                <w:rFonts w:ascii="Times New Roman" w:hAnsi="Times New Roman"/>
                <w:sz w:val="20"/>
                <w:szCs w:val="24"/>
              </w:rPr>
              <w:t>46</w:t>
            </w:r>
          </w:p>
        </w:tc>
        <w:tc>
          <w:tcPr>
            <w:tcW w:w="881" w:type="dxa"/>
            <w:tcBorders>
              <w:top w:val="nil"/>
              <w:left w:val="nil"/>
              <w:bottom w:val="nil"/>
              <w:right w:val="nil"/>
            </w:tcBorders>
            <w:vAlign w:val="center"/>
            <w:hideMark/>
          </w:tcPr>
          <w:p w14:paraId="1B0F40EF" w14:textId="77777777" w:rsidR="007F446F" w:rsidRDefault="007F446F" w:rsidP="001D13CE">
            <w:pPr>
              <w:keepNext/>
              <w:keepLines/>
              <w:spacing w:after="0" w:line="360" w:lineRule="auto"/>
              <w:jc w:val="center"/>
              <w:rPr>
                <w:rFonts w:ascii="Times New Roman" w:hAnsi="Times New Roman"/>
                <w:sz w:val="20"/>
                <w:szCs w:val="24"/>
              </w:rPr>
            </w:pPr>
            <w:r>
              <w:rPr>
                <w:rFonts w:ascii="Times New Roman" w:hAnsi="Times New Roman"/>
                <w:sz w:val="20"/>
                <w:szCs w:val="24"/>
              </w:rPr>
              <w:t>1</w:t>
            </w:r>
          </w:p>
        </w:tc>
        <w:tc>
          <w:tcPr>
            <w:tcW w:w="882" w:type="dxa"/>
            <w:tcBorders>
              <w:top w:val="nil"/>
              <w:left w:val="nil"/>
              <w:bottom w:val="nil"/>
              <w:right w:val="nil"/>
            </w:tcBorders>
            <w:vAlign w:val="center"/>
            <w:hideMark/>
          </w:tcPr>
          <w:p w14:paraId="333AC19B" w14:textId="77777777" w:rsidR="007F446F" w:rsidRDefault="007F446F" w:rsidP="001D13CE">
            <w:pPr>
              <w:keepNext/>
              <w:keepLines/>
              <w:spacing w:after="0" w:line="360" w:lineRule="auto"/>
              <w:jc w:val="center"/>
              <w:rPr>
                <w:rFonts w:ascii="Times New Roman" w:hAnsi="Times New Roman"/>
                <w:sz w:val="20"/>
                <w:szCs w:val="24"/>
              </w:rPr>
            </w:pPr>
            <w:r>
              <w:rPr>
                <w:rFonts w:ascii="Times New Roman" w:hAnsi="Times New Roman"/>
                <w:sz w:val="20"/>
                <w:szCs w:val="24"/>
              </w:rPr>
              <w:t>4</w:t>
            </w:r>
          </w:p>
        </w:tc>
      </w:tr>
      <w:tr w:rsidR="007F446F" w14:paraId="4F50E00F" w14:textId="77777777" w:rsidTr="001D13CE">
        <w:trPr>
          <w:trHeight w:val="180"/>
          <w:jc w:val="center"/>
        </w:trPr>
        <w:tc>
          <w:tcPr>
            <w:tcW w:w="2239" w:type="dxa"/>
            <w:tcBorders>
              <w:top w:val="nil"/>
              <w:left w:val="nil"/>
              <w:bottom w:val="nil"/>
              <w:right w:val="nil"/>
            </w:tcBorders>
            <w:vAlign w:val="center"/>
            <w:hideMark/>
          </w:tcPr>
          <w:p w14:paraId="6671A244" w14:textId="77777777" w:rsidR="007F446F" w:rsidRDefault="007F446F" w:rsidP="001D13CE">
            <w:pPr>
              <w:spacing w:after="0" w:line="360" w:lineRule="auto"/>
              <w:rPr>
                <w:rFonts w:ascii="Times New Roman" w:hAnsi="Times New Roman"/>
                <w:sz w:val="20"/>
                <w:szCs w:val="24"/>
              </w:rPr>
            </w:pPr>
            <w:r>
              <w:rPr>
                <w:rFonts w:ascii="Times New Roman" w:hAnsi="Times New Roman"/>
                <w:bCs/>
                <w:iCs/>
                <w:sz w:val="20"/>
                <w:szCs w:val="24"/>
              </w:rPr>
              <w:t>Bulgaria</w:t>
            </w:r>
          </w:p>
        </w:tc>
        <w:tc>
          <w:tcPr>
            <w:tcW w:w="881" w:type="dxa"/>
            <w:tcBorders>
              <w:top w:val="nil"/>
              <w:left w:val="nil"/>
              <w:bottom w:val="nil"/>
              <w:right w:val="nil"/>
            </w:tcBorders>
            <w:vAlign w:val="center"/>
            <w:hideMark/>
          </w:tcPr>
          <w:p w14:paraId="306AF1E1" w14:textId="77777777" w:rsidR="007F446F" w:rsidRDefault="007F446F" w:rsidP="001D13CE">
            <w:pPr>
              <w:keepNext/>
              <w:keepLines/>
              <w:spacing w:after="0" w:line="360" w:lineRule="auto"/>
              <w:jc w:val="center"/>
              <w:rPr>
                <w:rFonts w:ascii="Times New Roman" w:hAnsi="Times New Roman"/>
                <w:sz w:val="20"/>
                <w:szCs w:val="24"/>
              </w:rPr>
            </w:pPr>
            <w:r>
              <w:rPr>
                <w:rFonts w:ascii="Times New Roman" w:hAnsi="Times New Roman"/>
                <w:sz w:val="20"/>
                <w:szCs w:val="24"/>
              </w:rPr>
              <w:t>77</w:t>
            </w:r>
          </w:p>
        </w:tc>
        <w:tc>
          <w:tcPr>
            <w:tcW w:w="930" w:type="dxa"/>
            <w:tcBorders>
              <w:top w:val="nil"/>
              <w:left w:val="nil"/>
              <w:bottom w:val="nil"/>
              <w:right w:val="nil"/>
            </w:tcBorders>
            <w:vAlign w:val="center"/>
            <w:hideMark/>
          </w:tcPr>
          <w:p w14:paraId="11CE2327" w14:textId="77777777" w:rsidR="007F446F" w:rsidRDefault="007F446F" w:rsidP="001D13CE">
            <w:pPr>
              <w:keepNext/>
              <w:keepLines/>
              <w:spacing w:after="0" w:line="360" w:lineRule="auto"/>
              <w:jc w:val="center"/>
              <w:rPr>
                <w:rFonts w:ascii="Times New Roman" w:hAnsi="Times New Roman"/>
                <w:sz w:val="20"/>
                <w:szCs w:val="24"/>
              </w:rPr>
            </w:pPr>
            <w:r>
              <w:rPr>
                <w:rFonts w:ascii="Times New Roman" w:hAnsi="Times New Roman"/>
                <w:sz w:val="20"/>
                <w:szCs w:val="24"/>
              </w:rPr>
              <w:t>95</w:t>
            </w:r>
          </w:p>
        </w:tc>
        <w:tc>
          <w:tcPr>
            <w:tcW w:w="771" w:type="dxa"/>
            <w:tcBorders>
              <w:top w:val="nil"/>
              <w:left w:val="nil"/>
              <w:bottom w:val="nil"/>
              <w:right w:val="nil"/>
            </w:tcBorders>
            <w:vAlign w:val="center"/>
            <w:hideMark/>
          </w:tcPr>
          <w:p w14:paraId="2C273D8D" w14:textId="77777777" w:rsidR="007F446F" w:rsidRDefault="007F446F" w:rsidP="001D13CE">
            <w:pPr>
              <w:keepNext/>
              <w:keepLines/>
              <w:spacing w:after="0" w:line="360" w:lineRule="auto"/>
              <w:jc w:val="center"/>
              <w:rPr>
                <w:rFonts w:ascii="Times New Roman" w:hAnsi="Times New Roman"/>
                <w:sz w:val="20"/>
                <w:szCs w:val="24"/>
              </w:rPr>
            </w:pPr>
            <w:r>
              <w:rPr>
                <w:rFonts w:ascii="Times New Roman" w:hAnsi="Times New Roman"/>
                <w:sz w:val="20"/>
                <w:szCs w:val="24"/>
              </w:rPr>
              <w:t>72</w:t>
            </w:r>
          </w:p>
        </w:tc>
        <w:tc>
          <w:tcPr>
            <w:tcW w:w="881" w:type="dxa"/>
            <w:tcBorders>
              <w:top w:val="nil"/>
              <w:left w:val="nil"/>
              <w:bottom w:val="nil"/>
              <w:right w:val="nil"/>
            </w:tcBorders>
            <w:vAlign w:val="center"/>
            <w:hideMark/>
          </w:tcPr>
          <w:p w14:paraId="78710E67" w14:textId="77777777" w:rsidR="007F446F" w:rsidRDefault="007F446F" w:rsidP="001D13CE">
            <w:pPr>
              <w:keepNext/>
              <w:keepLines/>
              <w:spacing w:after="0" w:line="360" w:lineRule="auto"/>
              <w:jc w:val="center"/>
              <w:rPr>
                <w:rFonts w:ascii="Times New Roman" w:hAnsi="Times New Roman"/>
                <w:sz w:val="20"/>
                <w:szCs w:val="24"/>
              </w:rPr>
            </w:pPr>
            <w:r>
              <w:rPr>
                <w:rFonts w:ascii="Times New Roman" w:hAnsi="Times New Roman"/>
                <w:sz w:val="20"/>
                <w:szCs w:val="24"/>
              </w:rPr>
              <w:t>94</w:t>
            </w:r>
          </w:p>
        </w:tc>
        <w:tc>
          <w:tcPr>
            <w:tcW w:w="881" w:type="dxa"/>
            <w:gridSpan w:val="2"/>
            <w:tcBorders>
              <w:top w:val="nil"/>
              <w:left w:val="nil"/>
              <w:bottom w:val="nil"/>
              <w:right w:val="nil"/>
            </w:tcBorders>
            <w:vAlign w:val="center"/>
            <w:hideMark/>
          </w:tcPr>
          <w:p w14:paraId="244290DD" w14:textId="77777777" w:rsidR="007F446F" w:rsidRDefault="007F446F" w:rsidP="001D13CE">
            <w:pPr>
              <w:keepNext/>
              <w:keepLines/>
              <w:spacing w:after="0" w:line="360" w:lineRule="auto"/>
              <w:jc w:val="center"/>
              <w:rPr>
                <w:rFonts w:ascii="Times New Roman" w:hAnsi="Times New Roman"/>
                <w:sz w:val="20"/>
                <w:szCs w:val="24"/>
              </w:rPr>
            </w:pPr>
            <w:r>
              <w:rPr>
                <w:rFonts w:ascii="Times New Roman" w:hAnsi="Times New Roman"/>
                <w:sz w:val="20"/>
                <w:szCs w:val="24"/>
              </w:rPr>
              <w:t>71</w:t>
            </w:r>
          </w:p>
        </w:tc>
        <w:tc>
          <w:tcPr>
            <w:tcW w:w="881" w:type="dxa"/>
            <w:gridSpan w:val="2"/>
            <w:tcBorders>
              <w:top w:val="nil"/>
              <w:left w:val="nil"/>
              <w:bottom w:val="nil"/>
              <w:right w:val="nil"/>
            </w:tcBorders>
            <w:vAlign w:val="center"/>
            <w:hideMark/>
          </w:tcPr>
          <w:p w14:paraId="28BC231D" w14:textId="77777777" w:rsidR="007F446F" w:rsidRDefault="007F446F" w:rsidP="001D13CE">
            <w:pPr>
              <w:keepNext/>
              <w:keepLines/>
              <w:spacing w:after="0" w:line="360" w:lineRule="auto"/>
              <w:jc w:val="center"/>
              <w:rPr>
                <w:rFonts w:ascii="Times New Roman" w:hAnsi="Times New Roman"/>
                <w:sz w:val="20"/>
                <w:szCs w:val="24"/>
              </w:rPr>
            </w:pPr>
            <w:r>
              <w:rPr>
                <w:rFonts w:ascii="Times New Roman" w:hAnsi="Times New Roman"/>
                <w:sz w:val="20"/>
                <w:szCs w:val="24"/>
              </w:rPr>
              <w:t>94</w:t>
            </w:r>
          </w:p>
        </w:tc>
        <w:tc>
          <w:tcPr>
            <w:tcW w:w="881" w:type="dxa"/>
            <w:tcBorders>
              <w:top w:val="nil"/>
              <w:left w:val="nil"/>
              <w:bottom w:val="nil"/>
              <w:right w:val="nil"/>
            </w:tcBorders>
            <w:vAlign w:val="center"/>
            <w:hideMark/>
          </w:tcPr>
          <w:p w14:paraId="549BC52F" w14:textId="77777777" w:rsidR="007F446F" w:rsidRDefault="007F446F" w:rsidP="001D13CE">
            <w:pPr>
              <w:keepNext/>
              <w:keepLines/>
              <w:spacing w:after="0" w:line="360" w:lineRule="auto"/>
              <w:jc w:val="center"/>
              <w:rPr>
                <w:rFonts w:ascii="Times New Roman" w:hAnsi="Times New Roman"/>
                <w:sz w:val="20"/>
                <w:szCs w:val="24"/>
              </w:rPr>
            </w:pPr>
            <w:r>
              <w:rPr>
                <w:rFonts w:ascii="Times New Roman" w:hAnsi="Times New Roman"/>
                <w:sz w:val="20"/>
                <w:szCs w:val="24"/>
              </w:rPr>
              <w:t>8</w:t>
            </w:r>
          </w:p>
        </w:tc>
        <w:tc>
          <w:tcPr>
            <w:tcW w:w="882" w:type="dxa"/>
            <w:tcBorders>
              <w:top w:val="nil"/>
              <w:left w:val="nil"/>
              <w:bottom w:val="nil"/>
              <w:right w:val="nil"/>
            </w:tcBorders>
            <w:vAlign w:val="center"/>
            <w:hideMark/>
          </w:tcPr>
          <w:p w14:paraId="76E87802" w14:textId="77777777" w:rsidR="007F446F" w:rsidRDefault="007F446F" w:rsidP="001D13CE">
            <w:pPr>
              <w:keepNext/>
              <w:keepLines/>
              <w:spacing w:after="0" w:line="360" w:lineRule="auto"/>
              <w:jc w:val="center"/>
              <w:rPr>
                <w:rFonts w:ascii="Times New Roman" w:hAnsi="Times New Roman"/>
                <w:sz w:val="20"/>
                <w:szCs w:val="24"/>
              </w:rPr>
            </w:pPr>
            <w:r>
              <w:rPr>
                <w:rFonts w:ascii="Times New Roman" w:hAnsi="Times New Roman"/>
                <w:sz w:val="20"/>
                <w:szCs w:val="24"/>
              </w:rPr>
              <w:t>8</w:t>
            </w:r>
          </w:p>
        </w:tc>
      </w:tr>
      <w:tr w:rsidR="007F446F" w14:paraId="3808F9BD" w14:textId="77777777" w:rsidTr="001D13CE">
        <w:trPr>
          <w:trHeight w:val="318"/>
          <w:jc w:val="center"/>
        </w:trPr>
        <w:tc>
          <w:tcPr>
            <w:tcW w:w="2239" w:type="dxa"/>
            <w:tcBorders>
              <w:top w:val="nil"/>
              <w:left w:val="nil"/>
              <w:bottom w:val="nil"/>
              <w:right w:val="nil"/>
            </w:tcBorders>
            <w:vAlign w:val="center"/>
            <w:hideMark/>
          </w:tcPr>
          <w:p w14:paraId="6CB078B0" w14:textId="77777777" w:rsidR="007F446F" w:rsidRDefault="007F446F" w:rsidP="001D13CE">
            <w:pPr>
              <w:spacing w:after="0" w:line="360" w:lineRule="auto"/>
              <w:rPr>
                <w:rFonts w:ascii="Times New Roman" w:hAnsi="Times New Roman"/>
                <w:sz w:val="20"/>
                <w:szCs w:val="24"/>
              </w:rPr>
            </w:pPr>
            <w:r>
              <w:rPr>
                <w:rFonts w:ascii="Times New Roman" w:hAnsi="Times New Roman"/>
                <w:iCs/>
                <w:sz w:val="20"/>
                <w:szCs w:val="24"/>
              </w:rPr>
              <w:t>Cyprus</w:t>
            </w:r>
          </w:p>
        </w:tc>
        <w:tc>
          <w:tcPr>
            <w:tcW w:w="881" w:type="dxa"/>
            <w:tcBorders>
              <w:top w:val="nil"/>
              <w:left w:val="nil"/>
              <w:bottom w:val="nil"/>
              <w:right w:val="nil"/>
            </w:tcBorders>
            <w:vAlign w:val="center"/>
            <w:hideMark/>
          </w:tcPr>
          <w:p w14:paraId="4912DE97" w14:textId="77777777" w:rsidR="007F446F" w:rsidRDefault="007F446F" w:rsidP="001D13CE">
            <w:pPr>
              <w:keepNext/>
              <w:keepLines/>
              <w:spacing w:after="0" w:line="360" w:lineRule="auto"/>
              <w:jc w:val="center"/>
              <w:rPr>
                <w:rFonts w:ascii="Times New Roman" w:hAnsi="Times New Roman"/>
                <w:sz w:val="20"/>
                <w:szCs w:val="24"/>
              </w:rPr>
            </w:pPr>
            <w:r>
              <w:rPr>
                <w:rFonts w:ascii="Times New Roman" w:hAnsi="Times New Roman"/>
                <w:sz w:val="20"/>
                <w:szCs w:val="24"/>
              </w:rPr>
              <w:t>20</w:t>
            </w:r>
          </w:p>
        </w:tc>
        <w:tc>
          <w:tcPr>
            <w:tcW w:w="930" w:type="dxa"/>
            <w:tcBorders>
              <w:top w:val="nil"/>
              <w:left w:val="nil"/>
              <w:bottom w:val="nil"/>
              <w:right w:val="nil"/>
            </w:tcBorders>
            <w:vAlign w:val="center"/>
            <w:hideMark/>
          </w:tcPr>
          <w:p w14:paraId="73F21AFF" w14:textId="77777777" w:rsidR="007F446F" w:rsidRDefault="007F446F" w:rsidP="001D13CE">
            <w:pPr>
              <w:keepNext/>
              <w:keepLines/>
              <w:spacing w:after="0" w:line="360" w:lineRule="auto"/>
              <w:jc w:val="center"/>
              <w:rPr>
                <w:rFonts w:ascii="Times New Roman" w:hAnsi="Times New Roman"/>
                <w:sz w:val="20"/>
                <w:szCs w:val="24"/>
              </w:rPr>
            </w:pPr>
            <w:r>
              <w:rPr>
                <w:rFonts w:ascii="Times New Roman" w:hAnsi="Times New Roman"/>
                <w:sz w:val="20"/>
                <w:szCs w:val="24"/>
              </w:rPr>
              <w:t>65</w:t>
            </w:r>
          </w:p>
        </w:tc>
        <w:tc>
          <w:tcPr>
            <w:tcW w:w="771" w:type="dxa"/>
            <w:tcBorders>
              <w:top w:val="nil"/>
              <w:left w:val="nil"/>
              <w:bottom w:val="nil"/>
              <w:right w:val="nil"/>
            </w:tcBorders>
            <w:vAlign w:val="center"/>
            <w:hideMark/>
          </w:tcPr>
          <w:p w14:paraId="2A02A82B" w14:textId="77777777" w:rsidR="007F446F" w:rsidRDefault="007F446F" w:rsidP="001D13CE">
            <w:pPr>
              <w:keepNext/>
              <w:keepLines/>
              <w:spacing w:after="0" w:line="360" w:lineRule="auto"/>
              <w:jc w:val="center"/>
              <w:rPr>
                <w:rFonts w:ascii="Times New Roman" w:hAnsi="Times New Roman"/>
                <w:sz w:val="20"/>
                <w:szCs w:val="24"/>
              </w:rPr>
            </w:pPr>
            <w:r>
              <w:rPr>
                <w:rFonts w:ascii="Times New Roman" w:hAnsi="Times New Roman"/>
                <w:sz w:val="20"/>
                <w:szCs w:val="24"/>
              </w:rPr>
              <w:t>20</w:t>
            </w:r>
          </w:p>
        </w:tc>
        <w:tc>
          <w:tcPr>
            <w:tcW w:w="881" w:type="dxa"/>
            <w:tcBorders>
              <w:top w:val="nil"/>
              <w:left w:val="nil"/>
              <w:bottom w:val="nil"/>
              <w:right w:val="nil"/>
            </w:tcBorders>
            <w:vAlign w:val="center"/>
            <w:hideMark/>
          </w:tcPr>
          <w:p w14:paraId="42FA3317" w14:textId="77777777" w:rsidR="007F446F" w:rsidRDefault="007F446F" w:rsidP="001D13CE">
            <w:pPr>
              <w:keepNext/>
              <w:keepLines/>
              <w:spacing w:after="0" w:line="360" w:lineRule="auto"/>
              <w:jc w:val="center"/>
              <w:rPr>
                <w:rFonts w:ascii="Times New Roman" w:hAnsi="Times New Roman"/>
                <w:sz w:val="20"/>
                <w:szCs w:val="24"/>
              </w:rPr>
            </w:pPr>
            <w:r>
              <w:rPr>
                <w:rFonts w:ascii="Times New Roman" w:hAnsi="Times New Roman"/>
                <w:sz w:val="20"/>
                <w:szCs w:val="24"/>
              </w:rPr>
              <w:t>64</w:t>
            </w:r>
          </w:p>
        </w:tc>
        <w:tc>
          <w:tcPr>
            <w:tcW w:w="881" w:type="dxa"/>
            <w:gridSpan w:val="2"/>
            <w:tcBorders>
              <w:top w:val="nil"/>
              <w:left w:val="nil"/>
              <w:bottom w:val="nil"/>
              <w:right w:val="nil"/>
            </w:tcBorders>
            <w:vAlign w:val="center"/>
            <w:hideMark/>
          </w:tcPr>
          <w:p w14:paraId="1386DF69" w14:textId="77777777" w:rsidR="007F446F" w:rsidRDefault="007F446F" w:rsidP="001D13CE">
            <w:pPr>
              <w:keepNext/>
              <w:keepLines/>
              <w:spacing w:after="0" w:line="360" w:lineRule="auto"/>
              <w:jc w:val="center"/>
              <w:rPr>
                <w:rFonts w:ascii="Times New Roman" w:hAnsi="Times New Roman"/>
                <w:sz w:val="20"/>
                <w:szCs w:val="24"/>
              </w:rPr>
            </w:pPr>
            <w:r>
              <w:rPr>
                <w:rFonts w:ascii="Times New Roman" w:hAnsi="Times New Roman"/>
                <w:sz w:val="20"/>
                <w:szCs w:val="24"/>
              </w:rPr>
              <w:t>20</w:t>
            </w:r>
          </w:p>
        </w:tc>
        <w:tc>
          <w:tcPr>
            <w:tcW w:w="881" w:type="dxa"/>
            <w:gridSpan w:val="2"/>
            <w:tcBorders>
              <w:top w:val="nil"/>
              <w:left w:val="nil"/>
              <w:bottom w:val="nil"/>
              <w:right w:val="nil"/>
            </w:tcBorders>
            <w:vAlign w:val="center"/>
            <w:hideMark/>
          </w:tcPr>
          <w:p w14:paraId="383581C2" w14:textId="77777777" w:rsidR="007F446F" w:rsidRDefault="007F446F" w:rsidP="001D13CE">
            <w:pPr>
              <w:keepNext/>
              <w:keepLines/>
              <w:spacing w:after="0" w:line="360" w:lineRule="auto"/>
              <w:jc w:val="center"/>
              <w:rPr>
                <w:rFonts w:ascii="Times New Roman" w:hAnsi="Times New Roman"/>
                <w:sz w:val="20"/>
                <w:szCs w:val="24"/>
              </w:rPr>
            </w:pPr>
            <w:r>
              <w:rPr>
                <w:rFonts w:ascii="Times New Roman" w:hAnsi="Times New Roman"/>
                <w:sz w:val="20"/>
                <w:szCs w:val="24"/>
              </w:rPr>
              <w:t>64</w:t>
            </w:r>
          </w:p>
        </w:tc>
        <w:tc>
          <w:tcPr>
            <w:tcW w:w="881" w:type="dxa"/>
            <w:tcBorders>
              <w:top w:val="nil"/>
              <w:left w:val="nil"/>
              <w:bottom w:val="nil"/>
              <w:right w:val="nil"/>
            </w:tcBorders>
            <w:vAlign w:val="center"/>
            <w:hideMark/>
          </w:tcPr>
          <w:p w14:paraId="77BFB54F" w14:textId="77777777" w:rsidR="007F446F" w:rsidRDefault="007F446F" w:rsidP="001D13CE">
            <w:pPr>
              <w:keepNext/>
              <w:keepLines/>
              <w:spacing w:after="0" w:line="360" w:lineRule="auto"/>
              <w:jc w:val="center"/>
              <w:rPr>
                <w:rFonts w:ascii="Times New Roman" w:hAnsi="Times New Roman"/>
                <w:sz w:val="20"/>
                <w:szCs w:val="24"/>
              </w:rPr>
            </w:pPr>
            <w:r>
              <w:rPr>
                <w:rFonts w:ascii="Times New Roman" w:hAnsi="Times New Roman"/>
                <w:sz w:val="20"/>
                <w:szCs w:val="24"/>
              </w:rPr>
              <w:t>0</w:t>
            </w:r>
          </w:p>
        </w:tc>
        <w:tc>
          <w:tcPr>
            <w:tcW w:w="882" w:type="dxa"/>
            <w:tcBorders>
              <w:top w:val="nil"/>
              <w:left w:val="nil"/>
              <w:bottom w:val="nil"/>
              <w:right w:val="nil"/>
            </w:tcBorders>
            <w:vAlign w:val="center"/>
            <w:hideMark/>
          </w:tcPr>
          <w:p w14:paraId="109B7CA1" w14:textId="77777777" w:rsidR="007F446F" w:rsidRDefault="007F446F" w:rsidP="001D13CE">
            <w:pPr>
              <w:keepNext/>
              <w:keepLines/>
              <w:spacing w:after="0" w:line="360" w:lineRule="auto"/>
              <w:jc w:val="center"/>
              <w:rPr>
                <w:rFonts w:ascii="Times New Roman" w:hAnsi="Times New Roman"/>
                <w:sz w:val="20"/>
                <w:szCs w:val="24"/>
              </w:rPr>
            </w:pPr>
            <w:r>
              <w:rPr>
                <w:rFonts w:ascii="Times New Roman" w:hAnsi="Times New Roman"/>
                <w:sz w:val="20"/>
                <w:szCs w:val="24"/>
              </w:rPr>
              <w:t>11</w:t>
            </w:r>
          </w:p>
        </w:tc>
      </w:tr>
      <w:tr w:rsidR="007F446F" w14:paraId="3E200AA1" w14:textId="77777777" w:rsidTr="001D13CE">
        <w:trPr>
          <w:trHeight w:val="318"/>
          <w:jc w:val="center"/>
        </w:trPr>
        <w:tc>
          <w:tcPr>
            <w:tcW w:w="2239" w:type="dxa"/>
            <w:tcBorders>
              <w:top w:val="nil"/>
              <w:left w:val="nil"/>
              <w:bottom w:val="nil"/>
              <w:right w:val="nil"/>
            </w:tcBorders>
            <w:vAlign w:val="center"/>
            <w:hideMark/>
          </w:tcPr>
          <w:p w14:paraId="4B61ABEA" w14:textId="77777777" w:rsidR="007F446F" w:rsidRDefault="007F446F" w:rsidP="001D13CE">
            <w:pPr>
              <w:spacing w:after="0" w:line="360" w:lineRule="auto"/>
              <w:rPr>
                <w:rFonts w:ascii="Times New Roman" w:hAnsi="Times New Roman"/>
                <w:sz w:val="20"/>
                <w:szCs w:val="24"/>
              </w:rPr>
            </w:pPr>
            <w:r>
              <w:rPr>
                <w:rFonts w:ascii="Times New Roman" w:hAnsi="Times New Roman"/>
                <w:iCs/>
                <w:sz w:val="20"/>
                <w:szCs w:val="24"/>
              </w:rPr>
              <w:t>Czech Rep.</w:t>
            </w:r>
          </w:p>
        </w:tc>
        <w:tc>
          <w:tcPr>
            <w:tcW w:w="881" w:type="dxa"/>
            <w:tcBorders>
              <w:top w:val="nil"/>
              <w:left w:val="nil"/>
              <w:bottom w:val="nil"/>
              <w:right w:val="nil"/>
            </w:tcBorders>
            <w:vAlign w:val="center"/>
            <w:hideMark/>
          </w:tcPr>
          <w:p w14:paraId="7D0D0B31" w14:textId="77777777" w:rsidR="007F446F" w:rsidRDefault="007F446F" w:rsidP="001D13CE">
            <w:pPr>
              <w:keepNext/>
              <w:keepLines/>
              <w:spacing w:after="0" w:line="360" w:lineRule="auto"/>
              <w:jc w:val="center"/>
              <w:rPr>
                <w:rFonts w:ascii="Times New Roman" w:hAnsi="Times New Roman"/>
                <w:sz w:val="20"/>
                <w:szCs w:val="24"/>
              </w:rPr>
            </w:pPr>
            <w:r>
              <w:rPr>
                <w:rFonts w:ascii="Times New Roman" w:hAnsi="Times New Roman"/>
                <w:sz w:val="20"/>
                <w:szCs w:val="24"/>
              </w:rPr>
              <w:t>64</w:t>
            </w:r>
          </w:p>
        </w:tc>
        <w:tc>
          <w:tcPr>
            <w:tcW w:w="930" w:type="dxa"/>
            <w:tcBorders>
              <w:top w:val="nil"/>
              <w:left w:val="nil"/>
              <w:bottom w:val="nil"/>
              <w:right w:val="nil"/>
            </w:tcBorders>
            <w:vAlign w:val="center"/>
            <w:hideMark/>
          </w:tcPr>
          <w:p w14:paraId="7873592C" w14:textId="77777777" w:rsidR="007F446F" w:rsidRDefault="007F446F" w:rsidP="001D13CE">
            <w:pPr>
              <w:keepNext/>
              <w:keepLines/>
              <w:spacing w:after="0" w:line="360" w:lineRule="auto"/>
              <w:jc w:val="center"/>
              <w:rPr>
                <w:rFonts w:ascii="Times New Roman" w:hAnsi="Times New Roman"/>
                <w:sz w:val="20"/>
                <w:szCs w:val="24"/>
              </w:rPr>
            </w:pPr>
            <w:r>
              <w:rPr>
                <w:rFonts w:ascii="Times New Roman" w:hAnsi="Times New Roman"/>
                <w:sz w:val="20"/>
                <w:szCs w:val="24"/>
              </w:rPr>
              <w:t>92</w:t>
            </w:r>
          </w:p>
        </w:tc>
        <w:tc>
          <w:tcPr>
            <w:tcW w:w="771" w:type="dxa"/>
            <w:tcBorders>
              <w:top w:val="nil"/>
              <w:left w:val="nil"/>
              <w:bottom w:val="nil"/>
              <w:right w:val="nil"/>
            </w:tcBorders>
            <w:vAlign w:val="center"/>
            <w:hideMark/>
          </w:tcPr>
          <w:p w14:paraId="7C30EF48" w14:textId="77777777" w:rsidR="007F446F" w:rsidRDefault="007F446F" w:rsidP="001D13CE">
            <w:pPr>
              <w:keepNext/>
              <w:keepLines/>
              <w:spacing w:after="0" w:line="360" w:lineRule="auto"/>
              <w:jc w:val="center"/>
              <w:rPr>
                <w:rFonts w:ascii="Times New Roman" w:hAnsi="Times New Roman"/>
                <w:sz w:val="20"/>
                <w:szCs w:val="24"/>
              </w:rPr>
            </w:pPr>
            <w:r>
              <w:rPr>
                <w:rFonts w:ascii="Times New Roman" w:hAnsi="Times New Roman"/>
                <w:sz w:val="20"/>
                <w:szCs w:val="24"/>
              </w:rPr>
              <w:t>46</w:t>
            </w:r>
          </w:p>
        </w:tc>
        <w:tc>
          <w:tcPr>
            <w:tcW w:w="881" w:type="dxa"/>
            <w:tcBorders>
              <w:top w:val="nil"/>
              <w:left w:val="nil"/>
              <w:bottom w:val="nil"/>
              <w:right w:val="nil"/>
            </w:tcBorders>
            <w:vAlign w:val="center"/>
            <w:hideMark/>
          </w:tcPr>
          <w:p w14:paraId="7C58988F" w14:textId="77777777" w:rsidR="007F446F" w:rsidRDefault="007F446F" w:rsidP="001D13CE">
            <w:pPr>
              <w:keepNext/>
              <w:keepLines/>
              <w:spacing w:after="0" w:line="360" w:lineRule="auto"/>
              <w:jc w:val="center"/>
              <w:rPr>
                <w:rFonts w:ascii="Times New Roman" w:hAnsi="Times New Roman"/>
                <w:sz w:val="20"/>
                <w:szCs w:val="24"/>
              </w:rPr>
            </w:pPr>
            <w:r>
              <w:rPr>
                <w:rFonts w:ascii="Times New Roman" w:hAnsi="Times New Roman"/>
                <w:sz w:val="20"/>
                <w:szCs w:val="24"/>
              </w:rPr>
              <w:t>90</w:t>
            </w:r>
          </w:p>
        </w:tc>
        <w:tc>
          <w:tcPr>
            <w:tcW w:w="881" w:type="dxa"/>
            <w:gridSpan w:val="2"/>
            <w:tcBorders>
              <w:top w:val="nil"/>
              <w:left w:val="nil"/>
              <w:bottom w:val="nil"/>
              <w:right w:val="nil"/>
            </w:tcBorders>
            <w:vAlign w:val="center"/>
            <w:hideMark/>
          </w:tcPr>
          <w:p w14:paraId="6DE1AC71" w14:textId="77777777" w:rsidR="007F446F" w:rsidRDefault="007F446F" w:rsidP="001D13CE">
            <w:pPr>
              <w:keepNext/>
              <w:keepLines/>
              <w:spacing w:after="0" w:line="360" w:lineRule="auto"/>
              <w:jc w:val="center"/>
              <w:rPr>
                <w:rFonts w:ascii="Times New Roman" w:hAnsi="Times New Roman"/>
                <w:sz w:val="20"/>
                <w:szCs w:val="24"/>
              </w:rPr>
            </w:pPr>
            <w:r>
              <w:rPr>
                <w:rFonts w:ascii="Times New Roman" w:hAnsi="Times New Roman"/>
                <w:sz w:val="20"/>
                <w:szCs w:val="24"/>
              </w:rPr>
              <w:t>45</w:t>
            </w:r>
          </w:p>
        </w:tc>
        <w:tc>
          <w:tcPr>
            <w:tcW w:w="881" w:type="dxa"/>
            <w:gridSpan w:val="2"/>
            <w:tcBorders>
              <w:top w:val="nil"/>
              <w:left w:val="nil"/>
              <w:bottom w:val="nil"/>
              <w:right w:val="nil"/>
            </w:tcBorders>
            <w:vAlign w:val="center"/>
            <w:hideMark/>
          </w:tcPr>
          <w:p w14:paraId="05A16D0E" w14:textId="77777777" w:rsidR="007F446F" w:rsidRDefault="007F446F" w:rsidP="001D13CE">
            <w:pPr>
              <w:keepNext/>
              <w:keepLines/>
              <w:spacing w:after="0" w:line="360" w:lineRule="auto"/>
              <w:jc w:val="center"/>
              <w:rPr>
                <w:rFonts w:ascii="Times New Roman" w:hAnsi="Times New Roman"/>
                <w:sz w:val="20"/>
                <w:szCs w:val="24"/>
              </w:rPr>
            </w:pPr>
            <w:r>
              <w:rPr>
                <w:rFonts w:ascii="Times New Roman" w:hAnsi="Times New Roman"/>
                <w:sz w:val="20"/>
                <w:szCs w:val="24"/>
              </w:rPr>
              <w:t>90</w:t>
            </w:r>
          </w:p>
        </w:tc>
        <w:tc>
          <w:tcPr>
            <w:tcW w:w="881" w:type="dxa"/>
            <w:tcBorders>
              <w:top w:val="nil"/>
              <w:left w:val="nil"/>
              <w:bottom w:val="nil"/>
              <w:right w:val="nil"/>
            </w:tcBorders>
            <w:vAlign w:val="center"/>
            <w:hideMark/>
          </w:tcPr>
          <w:p w14:paraId="1CE16B42" w14:textId="77777777" w:rsidR="007F446F" w:rsidRDefault="007F446F" w:rsidP="001D13CE">
            <w:pPr>
              <w:keepNext/>
              <w:keepLines/>
              <w:spacing w:after="0" w:line="360" w:lineRule="auto"/>
              <w:jc w:val="center"/>
              <w:rPr>
                <w:rFonts w:ascii="Times New Roman" w:hAnsi="Times New Roman"/>
                <w:sz w:val="20"/>
                <w:szCs w:val="24"/>
              </w:rPr>
            </w:pPr>
            <w:r>
              <w:rPr>
                <w:rFonts w:ascii="Times New Roman" w:hAnsi="Times New Roman"/>
                <w:sz w:val="20"/>
                <w:szCs w:val="24"/>
              </w:rPr>
              <w:t>0</w:t>
            </w:r>
          </w:p>
        </w:tc>
        <w:tc>
          <w:tcPr>
            <w:tcW w:w="882" w:type="dxa"/>
            <w:tcBorders>
              <w:top w:val="nil"/>
              <w:left w:val="nil"/>
              <w:bottom w:val="nil"/>
              <w:right w:val="nil"/>
            </w:tcBorders>
            <w:vAlign w:val="center"/>
            <w:hideMark/>
          </w:tcPr>
          <w:p w14:paraId="0EDC8D29" w14:textId="77777777" w:rsidR="007F446F" w:rsidRDefault="007F446F" w:rsidP="001D13CE">
            <w:pPr>
              <w:keepNext/>
              <w:keepLines/>
              <w:spacing w:after="0" w:line="360" w:lineRule="auto"/>
              <w:jc w:val="center"/>
              <w:rPr>
                <w:rFonts w:ascii="Times New Roman" w:hAnsi="Times New Roman"/>
                <w:sz w:val="20"/>
                <w:szCs w:val="24"/>
              </w:rPr>
            </w:pPr>
            <w:r>
              <w:rPr>
                <w:rFonts w:ascii="Times New Roman" w:hAnsi="Times New Roman"/>
                <w:sz w:val="20"/>
                <w:szCs w:val="24"/>
              </w:rPr>
              <w:t>1</w:t>
            </w:r>
          </w:p>
        </w:tc>
      </w:tr>
      <w:tr w:rsidR="007F446F" w14:paraId="04B1FA2D" w14:textId="77777777" w:rsidTr="001D13CE">
        <w:trPr>
          <w:trHeight w:val="318"/>
          <w:jc w:val="center"/>
        </w:trPr>
        <w:tc>
          <w:tcPr>
            <w:tcW w:w="2239" w:type="dxa"/>
            <w:tcBorders>
              <w:top w:val="nil"/>
              <w:left w:val="nil"/>
              <w:bottom w:val="nil"/>
              <w:right w:val="nil"/>
            </w:tcBorders>
            <w:vAlign w:val="center"/>
            <w:hideMark/>
          </w:tcPr>
          <w:p w14:paraId="6E4486D2" w14:textId="77777777" w:rsidR="007F446F" w:rsidRDefault="007F446F" w:rsidP="001D13CE">
            <w:pPr>
              <w:spacing w:after="0" w:line="360" w:lineRule="auto"/>
              <w:rPr>
                <w:rFonts w:ascii="Times New Roman" w:hAnsi="Times New Roman"/>
                <w:sz w:val="20"/>
                <w:szCs w:val="24"/>
              </w:rPr>
            </w:pPr>
            <w:r>
              <w:rPr>
                <w:rFonts w:ascii="Times New Roman" w:hAnsi="Times New Roman"/>
                <w:iCs/>
                <w:sz w:val="20"/>
                <w:szCs w:val="24"/>
              </w:rPr>
              <w:t>Denmark</w:t>
            </w:r>
          </w:p>
        </w:tc>
        <w:tc>
          <w:tcPr>
            <w:tcW w:w="881" w:type="dxa"/>
            <w:tcBorders>
              <w:top w:val="nil"/>
              <w:left w:val="nil"/>
              <w:bottom w:val="nil"/>
              <w:right w:val="nil"/>
            </w:tcBorders>
            <w:vAlign w:val="center"/>
            <w:hideMark/>
          </w:tcPr>
          <w:p w14:paraId="55F5194E" w14:textId="77777777" w:rsidR="007F446F" w:rsidRDefault="007F446F" w:rsidP="001D13CE">
            <w:pPr>
              <w:keepNext/>
              <w:keepLines/>
              <w:spacing w:after="0" w:line="360" w:lineRule="auto"/>
              <w:jc w:val="center"/>
              <w:rPr>
                <w:rFonts w:ascii="Times New Roman" w:hAnsi="Times New Roman"/>
                <w:sz w:val="20"/>
                <w:szCs w:val="24"/>
              </w:rPr>
            </w:pPr>
            <w:r>
              <w:rPr>
                <w:rFonts w:ascii="Times New Roman" w:hAnsi="Times New Roman"/>
                <w:sz w:val="20"/>
                <w:szCs w:val="24"/>
              </w:rPr>
              <w:t>9</w:t>
            </w:r>
          </w:p>
        </w:tc>
        <w:tc>
          <w:tcPr>
            <w:tcW w:w="930" w:type="dxa"/>
            <w:tcBorders>
              <w:top w:val="nil"/>
              <w:left w:val="nil"/>
              <w:bottom w:val="nil"/>
              <w:right w:val="nil"/>
            </w:tcBorders>
            <w:vAlign w:val="center"/>
            <w:hideMark/>
          </w:tcPr>
          <w:p w14:paraId="36D89848" w14:textId="77777777" w:rsidR="007F446F" w:rsidRDefault="007F446F" w:rsidP="001D13CE">
            <w:pPr>
              <w:keepNext/>
              <w:keepLines/>
              <w:spacing w:after="0" w:line="360" w:lineRule="auto"/>
              <w:jc w:val="center"/>
              <w:rPr>
                <w:rFonts w:ascii="Times New Roman" w:hAnsi="Times New Roman"/>
                <w:sz w:val="20"/>
                <w:szCs w:val="24"/>
              </w:rPr>
            </w:pPr>
            <w:r>
              <w:rPr>
                <w:rFonts w:ascii="Times New Roman" w:hAnsi="Times New Roman"/>
                <w:sz w:val="20"/>
                <w:szCs w:val="24"/>
              </w:rPr>
              <w:t>66</w:t>
            </w:r>
          </w:p>
        </w:tc>
        <w:tc>
          <w:tcPr>
            <w:tcW w:w="771" w:type="dxa"/>
            <w:tcBorders>
              <w:top w:val="nil"/>
              <w:left w:val="nil"/>
              <w:bottom w:val="nil"/>
              <w:right w:val="nil"/>
            </w:tcBorders>
            <w:vAlign w:val="center"/>
            <w:hideMark/>
          </w:tcPr>
          <w:p w14:paraId="2E56DEEB" w14:textId="77777777" w:rsidR="007F446F" w:rsidRDefault="007F446F" w:rsidP="001D13CE">
            <w:pPr>
              <w:keepNext/>
              <w:keepLines/>
              <w:spacing w:after="0" w:line="360" w:lineRule="auto"/>
              <w:jc w:val="center"/>
              <w:rPr>
                <w:rFonts w:ascii="Times New Roman" w:hAnsi="Times New Roman"/>
                <w:sz w:val="20"/>
                <w:szCs w:val="24"/>
              </w:rPr>
            </w:pPr>
            <w:r>
              <w:rPr>
                <w:rFonts w:ascii="Times New Roman" w:hAnsi="Times New Roman"/>
                <w:sz w:val="20"/>
                <w:szCs w:val="24"/>
              </w:rPr>
              <w:t>8</w:t>
            </w:r>
          </w:p>
        </w:tc>
        <w:tc>
          <w:tcPr>
            <w:tcW w:w="881" w:type="dxa"/>
            <w:tcBorders>
              <w:top w:val="nil"/>
              <w:left w:val="nil"/>
              <w:bottom w:val="nil"/>
              <w:right w:val="nil"/>
            </w:tcBorders>
            <w:vAlign w:val="center"/>
            <w:hideMark/>
          </w:tcPr>
          <w:p w14:paraId="55B2B244" w14:textId="77777777" w:rsidR="007F446F" w:rsidRDefault="007F446F" w:rsidP="001D13CE">
            <w:pPr>
              <w:keepNext/>
              <w:keepLines/>
              <w:spacing w:after="0" w:line="360" w:lineRule="auto"/>
              <w:jc w:val="center"/>
              <w:rPr>
                <w:rFonts w:ascii="Times New Roman" w:hAnsi="Times New Roman"/>
                <w:sz w:val="20"/>
                <w:szCs w:val="24"/>
              </w:rPr>
            </w:pPr>
            <w:r>
              <w:rPr>
                <w:rFonts w:ascii="Times New Roman" w:hAnsi="Times New Roman"/>
                <w:sz w:val="20"/>
                <w:szCs w:val="24"/>
              </w:rPr>
              <w:t>64</w:t>
            </w:r>
          </w:p>
        </w:tc>
        <w:tc>
          <w:tcPr>
            <w:tcW w:w="881" w:type="dxa"/>
            <w:gridSpan w:val="2"/>
            <w:tcBorders>
              <w:top w:val="nil"/>
              <w:left w:val="nil"/>
              <w:bottom w:val="nil"/>
              <w:right w:val="nil"/>
            </w:tcBorders>
            <w:vAlign w:val="center"/>
            <w:hideMark/>
          </w:tcPr>
          <w:p w14:paraId="436DACD3" w14:textId="77777777" w:rsidR="007F446F" w:rsidRDefault="007F446F" w:rsidP="001D13CE">
            <w:pPr>
              <w:keepNext/>
              <w:keepLines/>
              <w:spacing w:after="0" w:line="360" w:lineRule="auto"/>
              <w:jc w:val="center"/>
              <w:rPr>
                <w:rFonts w:ascii="Times New Roman" w:hAnsi="Times New Roman"/>
                <w:sz w:val="20"/>
                <w:szCs w:val="24"/>
              </w:rPr>
            </w:pPr>
            <w:r>
              <w:rPr>
                <w:rFonts w:ascii="Times New Roman" w:hAnsi="Times New Roman"/>
                <w:sz w:val="20"/>
                <w:szCs w:val="24"/>
              </w:rPr>
              <w:t>8</w:t>
            </w:r>
          </w:p>
        </w:tc>
        <w:tc>
          <w:tcPr>
            <w:tcW w:w="881" w:type="dxa"/>
            <w:gridSpan w:val="2"/>
            <w:tcBorders>
              <w:top w:val="nil"/>
              <w:left w:val="nil"/>
              <w:bottom w:val="nil"/>
              <w:right w:val="nil"/>
            </w:tcBorders>
            <w:vAlign w:val="center"/>
            <w:hideMark/>
          </w:tcPr>
          <w:p w14:paraId="618BF77D" w14:textId="77777777" w:rsidR="007F446F" w:rsidRDefault="007F446F" w:rsidP="001D13CE">
            <w:pPr>
              <w:keepNext/>
              <w:keepLines/>
              <w:spacing w:after="0" w:line="360" w:lineRule="auto"/>
              <w:jc w:val="center"/>
              <w:rPr>
                <w:rFonts w:ascii="Times New Roman" w:hAnsi="Times New Roman"/>
                <w:sz w:val="20"/>
                <w:szCs w:val="24"/>
              </w:rPr>
            </w:pPr>
            <w:r>
              <w:rPr>
                <w:rFonts w:ascii="Times New Roman" w:hAnsi="Times New Roman"/>
                <w:sz w:val="20"/>
                <w:szCs w:val="24"/>
              </w:rPr>
              <w:t>63</w:t>
            </w:r>
          </w:p>
        </w:tc>
        <w:tc>
          <w:tcPr>
            <w:tcW w:w="881" w:type="dxa"/>
            <w:tcBorders>
              <w:top w:val="nil"/>
              <w:left w:val="nil"/>
              <w:bottom w:val="nil"/>
              <w:right w:val="nil"/>
            </w:tcBorders>
            <w:vAlign w:val="center"/>
            <w:hideMark/>
          </w:tcPr>
          <w:p w14:paraId="51A25246" w14:textId="77777777" w:rsidR="007F446F" w:rsidRDefault="007F446F" w:rsidP="001D13CE">
            <w:pPr>
              <w:keepNext/>
              <w:keepLines/>
              <w:spacing w:after="0" w:line="360" w:lineRule="auto"/>
              <w:jc w:val="center"/>
              <w:rPr>
                <w:rFonts w:ascii="Times New Roman" w:hAnsi="Times New Roman"/>
                <w:sz w:val="20"/>
                <w:szCs w:val="24"/>
              </w:rPr>
            </w:pPr>
            <w:r>
              <w:rPr>
                <w:rFonts w:ascii="Times New Roman" w:hAnsi="Times New Roman"/>
                <w:sz w:val="20"/>
                <w:szCs w:val="24"/>
              </w:rPr>
              <w:t>0</w:t>
            </w:r>
          </w:p>
        </w:tc>
        <w:tc>
          <w:tcPr>
            <w:tcW w:w="882" w:type="dxa"/>
            <w:tcBorders>
              <w:top w:val="nil"/>
              <w:left w:val="nil"/>
              <w:bottom w:val="nil"/>
              <w:right w:val="nil"/>
            </w:tcBorders>
            <w:vAlign w:val="center"/>
            <w:hideMark/>
          </w:tcPr>
          <w:p w14:paraId="5B3B156E" w14:textId="77777777" w:rsidR="007F446F" w:rsidRDefault="007F446F" w:rsidP="001D13CE">
            <w:pPr>
              <w:keepNext/>
              <w:keepLines/>
              <w:spacing w:after="0" w:line="360" w:lineRule="auto"/>
              <w:jc w:val="center"/>
              <w:rPr>
                <w:rFonts w:ascii="Times New Roman" w:hAnsi="Times New Roman"/>
                <w:sz w:val="20"/>
                <w:szCs w:val="24"/>
              </w:rPr>
            </w:pPr>
            <w:r>
              <w:rPr>
                <w:rFonts w:ascii="Times New Roman" w:hAnsi="Times New Roman"/>
                <w:sz w:val="20"/>
                <w:szCs w:val="24"/>
              </w:rPr>
              <w:t>3</w:t>
            </w:r>
          </w:p>
        </w:tc>
      </w:tr>
      <w:tr w:rsidR="007F446F" w14:paraId="2E05D1A1" w14:textId="77777777" w:rsidTr="001D13CE">
        <w:trPr>
          <w:trHeight w:val="318"/>
          <w:jc w:val="center"/>
        </w:trPr>
        <w:tc>
          <w:tcPr>
            <w:tcW w:w="2239" w:type="dxa"/>
            <w:tcBorders>
              <w:top w:val="nil"/>
              <w:left w:val="nil"/>
              <w:bottom w:val="nil"/>
              <w:right w:val="nil"/>
            </w:tcBorders>
            <w:vAlign w:val="center"/>
            <w:hideMark/>
          </w:tcPr>
          <w:p w14:paraId="3AD74253" w14:textId="77777777" w:rsidR="007F446F" w:rsidRDefault="007F446F" w:rsidP="001D13CE">
            <w:pPr>
              <w:spacing w:after="0" w:line="360" w:lineRule="auto"/>
              <w:rPr>
                <w:rFonts w:ascii="Times New Roman" w:hAnsi="Times New Roman"/>
                <w:sz w:val="20"/>
                <w:szCs w:val="24"/>
              </w:rPr>
            </w:pPr>
            <w:r>
              <w:rPr>
                <w:rFonts w:ascii="Times New Roman" w:hAnsi="Times New Roman"/>
                <w:iCs/>
                <w:sz w:val="20"/>
                <w:szCs w:val="24"/>
              </w:rPr>
              <w:t>Estonia</w:t>
            </w:r>
          </w:p>
        </w:tc>
        <w:tc>
          <w:tcPr>
            <w:tcW w:w="881" w:type="dxa"/>
            <w:tcBorders>
              <w:top w:val="nil"/>
              <w:left w:val="nil"/>
              <w:bottom w:val="nil"/>
              <w:right w:val="nil"/>
            </w:tcBorders>
            <w:vAlign w:val="center"/>
            <w:hideMark/>
          </w:tcPr>
          <w:p w14:paraId="6F1849E8" w14:textId="77777777" w:rsidR="007F446F" w:rsidRDefault="007F446F" w:rsidP="001D13CE">
            <w:pPr>
              <w:keepNext/>
              <w:keepLines/>
              <w:spacing w:after="0" w:line="360" w:lineRule="auto"/>
              <w:jc w:val="center"/>
              <w:rPr>
                <w:rFonts w:ascii="Times New Roman" w:hAnsi="Times New Roman"/>
                <w:sz w:val="20"/>
                <w:szCs w:val="24"/>
              </w:rPr>
            </w:pPr>
            <w:r>
              <w:rPr>
                <w:rFonts w:ascii="Times New Roman" w:hAnsi="Times New Roman"/>
                <w:sz w:val="20"/>
                <w:szCs w:val="24"/>
              </w:rPr>
              <w:t>42</w:t>
            </w:r>
          </w:p>
        </w:tc>
        <w:tc>
          <w:tcPr>
            <w:tcW w:w="930" w:type="dxa"/>
            <w:tcBorders>
              <w:top w:val="nil"/>
              <w:left w:val="nil"/>
              <w:bottom w:val="nil"/>
              <w:right w:val="nil"/>
            </w:tcBorders>
            <w:vAlign w:val="center"/>
            <w:hideMark/>
          </w:tcPr>
          <w:p w14:paraId="11D84EBB" w14:textId="77777777" w:rsidR="007F446F" w:rsidRDefault="007F446F" w:rsidP="001D13CE">
            <w:pPr>
              <w:keepNext/>
              <w:keepLines/>
              <w:spacing w:after="0" w:line="360" w:lineRule="auto"/>
              <w:jc w:val="center"/>
              <w:rPr>
                <w:rFonts w:ascii="Times New Roman" w:hAnsi="Times New Roman"/>
                <w:sz w:val="20"/>
                <w:szCs w:val="24"/>
              </w:rPr>
            </w:pPr>
            <w:r>
              <w:rPr>
                <w:rFonts w:ascii="Times New Roman" w:hAnsi="Times New Roman"/>
                <w:sz w:val="20"/>
                <w:szCs w:val="24"/>
              </w:rPr>
              <w:t>88</w:t>
            </w:r>
          </w:p>
        </w:tc>
        <w:tc>
          <w:tcPr>
            <w:tcW w:w="771" w:type="dxa"/>
            <w:tcBorders>
              <w:top w:val="nil"/>
              <w:left w:val="nil"/>
              <w:bottom w:val="nil"/>
              <w:right w:val="nil"/>
            </w:tcBorders>
            <w:vAlign w:val="center"/>
            <w:hideMark/>
          </w:tcPr>
          <w:p w14:paraId="325122BE" w14:textId="77777777" w:rsidR="007F446F" w:rsidRDefault="007F446F" w:rsidP="001D13CE">
            <w:pPr>
              <w:keepNext/>
              <w:keepLines/>
              <w:spacing w:after="0" w:line="360" w:lineRule="auto"/>
              <w:jc w:val="center"/>
              <w:rPr>
                <w:rFonts w:ascii="Times New Roman" w:hAnsi="Times New Roman"/>
                <w:sz w:val="20"/>
                <w:szCs w:val="24"/>
              </w:rPr>
            </w:pPr>
            <w:r>
              <w:rPr>
                <w:rFonts w:ascii="Times New Roman" w:hAnsi="Times New Roman"/>
                <w:sz w:val="20"/>
                <w:szCs w:val="24"/>
              </w:rPr>
              <w:t>36</w:t>
            </w:r>
          </w:p>
        </w:tc>
        <w:tc>
          <w:tcPr>
            <w:tcW w:w="881" w:type="dxa"/>
            <w:tcBorders>
              <w:top w:val="nil"/>
              <w:left w:val="nil"/>
              <w:bottom w:val="nil"/>
              <w:right w:val="nil"/>
            </w:tcBorders>
            <w:vAlign w:val="center"/>
            <w:hideMark/>
          </w:tcPr>
          <w:p w14:paraId="6DAE9F73" w14:textId="77777777" w:rsidR="007F446F" w:rsidRDefault="007F446F" w:rsidP="001D13CE">
            <w:pPr>
              <w:keepNext/>
              <w:keepLines/>
              <w:spacing w:after="0" w:line="360" w:lineRule="auto"/>
              <w:jc w:val="center"/>
              <w:rPr>
                <w:rFonts w:ascii="Times New Roman" w:hAnsi="Times New Roman"/>
                <w:sz w:val="20"/>
                <w:szCs w:val="24"/>
              </w:rPr>
            </w:pPr>
            <w:r>
              <w:rPr>
                <w:rFonts w:ascii="Times New Roman" w:hAnsi="Times New Roman"/>
                <w:sz w:val="20"/>
                <w:szCs w:val="24"/>
              </w:rPr>
              <w:t>87</w:t>
            </w:r>
          </w:p>
        </w:tc>
        <w:tc>
          <w:tcPr>
            <w:tcW w:w="881" w:type="dxa"/>
            <w:gridSpan w:val="2"/>
            <w:tcBorders>
              <w:top w:val="nil"/>
              <w:left w:val="nil"/>
              <w:bottom w:val="nil"/>
              <w:right w:val="nil"/>
            </w:tcBorders>
            <w:vAlign w:val="center"/>
            <w:hideMark/>
          </w:tcPr>
          <w:p w14:paraId="5F27E31B" w14:textId="77777777" w:rsidR="007F446F" w:rsidRDefault="007F446F" w:rsidP="001D13CE">
            <w:pPr>
              <w:keepNext/>
              <w:keepLines/>
              <w:spacing w:after="0" w:line="360" w:lineRule="auto"/>
              <w:jc w:val="center"/>
              <w:rPr>
                <w:rFonts w:ascii="Times New Roman" w:hAnsi="Times New Roman"/>
                <w:sz w:val="20"/>
                <w:szCs w:val="24"/>
              </w:rPr>
            </w:pPr>
            <w:r>
              <w:rPr>
                <w:rFonts w:ascii="Times New Roman" w:hAnsi="Times New Roman"/>
                <w:sz w:val="20"/>
                <w:szCs w:val="24"/>
              </w:rPr>
              <w:t>36</w:t>
            </w:r>
          </w:p>
        </w:tc>
        <w:tc>
          <w:tcPr>
            <w:tcW w:w="881" w:type="dxa"/>
            <w:gridSpan w:val="2"/>
            <w:tcBorders>
              <w:top w:val="nil"/>
              <w:left w:val="nil"/>
              <w:bottom w:val="nil"/>
              <w:right w:val="nil"/>
            </w:tcBorders>
            <w:vAlign w:val="center"/>
            <w:hideMark/>
          </w:tcPr>
          <w:p w14:paraId="1840650B" w14:textId="77777777" w:rsidR="007F446F" w:rsidRDefault="007F446F" w:rsidP="001D13CE">
            <w:pPr>
              <w:keepNext/>
              <w:keepLines/>
              <w:spacing w:after="0" w:line="360" w:lineRule="auto"/>
              <w:jc w:val="center"/>
              <w:rPr>
                <w:rFonts w:ascii="Times New Roman" w:hAnsi="Times New Roman"/>
                <w:sz w:val="20"/>
                <w:szCs w:val="24"/>
              </w:rPr>
            </w:pPr>
            <w:r>
              <w:rPr>
                <w:rFonts w:ascii="Times New Roman" w:hAnsi="Times New Roman"/>
                <w:sz w:val="20"/>
                <w:szCs w:val="24"/>
              </w:rPr>
              <w:t>87</w:t>
            </w:r>
          </w:p>
        </w:tc>
        <w:tc>
          <w:tcPr>
            <w:tcW w:w="881" w:type="dxa"/>
            <w:tcBorders>
              <w:top w:val="nil"/>
              <w:left w:val="nil"/>
              <w:bottom w:val="nil"/>
              <w:right w:val="nil"/>
            </w:tcBorders>
            <w:vAlign w:val="center"/>
            <w:hideMark/>
          </w:tcPr>
          <w:p w14:paraId="79710F7D" w14:textId="77777777" w:rsidR="007F446F" w:rsidRDefault="007F446F" w:rsidP="001D13CE">
            <w:pPr>
              <w:keepNext/>
              <w:keepLines/>
              <w:spacing w:after="0" w:line="360" w:lineRule="auto"/>
              <w:jc w:val="center"/>
              <w:rPr>
                <w:rFonts w:ascii="Times New Roman" w:hAnsi="Times New Roman"/>
                <w:sz w:val="20"/>
                <w:szCs w:val="24"/>
              </w:rPr>
            </w:pPr>
            <w:r>
              <w:rPr>
                <w:rFonts w:ascii="Times New Roman" w:hAnsi="Times New Roman"/>
                <w:sz w:val="20"/>
                <w:szCs w:val="24"/>
              </w:rPr>
              <w:t>10</w:t>
            </w:r>
          </w:p>
        </w:tc>
        <w:tc>
          <w:tcPr>
            <w:tcW w:w="882" w:type="dxa"/>
            <w:tcBorders>
              <w:top w:val="nil"/>
              <w:left w:val="nil"/>
              <w:bottom w:val="nil"/>
              <w:right w:val="nil"/>
            </w:tcBorders>
            <w:vAlign w:val="center"/>
            <w:hideMark/>
          </w:tcPr>
          <w:p w14:paraId="016C2CF8" w14:textId="77777777" w:rsidR="007F446F" w:rsidRDefault="007F446F" w:rsidP="001D13CE">
            <w:pPr>
              <w:keepNext/>
              <w:keepLines/>
              <w:spacing w:after="0" w:line="360" w:lineRule="auto"/>
              <w:jc w:val="center"/>
              <w:rPr>
                <w:rFonts w:ascii="Times New Roman" w:hAnsi="Times New Roman"/>
                <w:sz w:val="20"/>
                <w:szCs w:val="24"/>
              </w:rPr>
            </w:pPr>
            <w:r>
              <w:rPr>
                <w:rFonts w:ascii="Times New Roman" w:hAnsi="Times New Roman"/>
                <w:sz w:val="20"/>
                <w:szCs w:val="24"/>
              </w:rPr>
              <w:t>26</w:t>
            </w:r>
          </w:p>
        </w:tc>
      </w:tr>
      <w:tr w:rsidR="007F446F" w14:paraId="7A25ACF4" w14:textId="77777777" w:rsidTr="001D13CE">
        <w:trPr>
          <w:trHeight w:val="318"/>
          <w:jc w:val="center"/>
        </w:trPr>
        <w:tc>
          <w:tcPr>
            <w:tcW w:w="2239" w:type="dxa"/>
            <w:tcBorders>
              <w:top w:val="nil"/>
              <w:left w:val="nil"/>
              <w:bottom w:val="nil"/>
              <w:right w:val="nil"/>
            </w:tcBorders>
            <w:vAlign w:val="center"/>
            <w:hideMark/>
          </w:tcPr>
          <w:p w14:paraId="3047D56C" w14:textId="77777777" w:rsidR="007F446F" w:rsidRDefault="007F446F" w:rsidP="001D13CE">
            <w:pPr>
              <w:spacing w:after="0" w:line="360" w:lineRule="auto"/>
              <w:rPr>
                <w:rFonts w:ascii="Times New Roman" w:hAnsi="Times New Roman"/>
                <w:sz w:val="20"/>
                <w:szCs w:val="24"/>
              </w:rPr>
            </w:pPr>
            <w:r>
              <w:rPr>
                <w:rFonts w:ascii="Times New Roman" w:hAnsi="Times New Roman"/>
                <w:iCs/>
                <w:sz w:val="20"/>
                <w:szCs w:val="24"/>
              </w:rPr>
              <w:t>Finland</w:t>
            </w:r>
          </w:p>
        </w:tc>
        <w:tc>
          <w:tcPr>
            <w:tcW w:w="881" w:type="dxa"/>
            <w:tcBorders>
              <w:top w:val="nil"/>
              <w:left w:val="nil"/>
              <w:bottom w:val="nil"/>
              <w:right w:val="nil"/>
            </w:tcBorders>
            <w:vAlign w:val="center"/>
            <w:hideMark/>
          </w:tcPr>
          <w:p w14:paraId="4ED35D99" w14:textId="77777777" w:rsidR="007F446F" w:rsidRDefault="007F446F" w:rsidP="001D13CE">
            <w:pPr>
              <w:keepNext/>
              <w:keepLines/>
              <w:spacing w:after="0" w:line="360" w:lineRule="auto"/>
              <w:jc w:val="center"/>
              <w:rPr>
                <w:rFonts w:ascii="Times New Roman" w:hAnsi="Times New Roman"/>
                <w:sz w:val="20"/>
                <w:szCs w:val="24"/>
              </w:rPr>
            </w:pPr>
            <w:r>
              <w:rPr>
                <w:rFonts w:ascii="Times New Roman" w:hAnsi="Times New Roman"/>
                <w:sz w:val="20"/>
                <w:szCs w:val="24"/>
              </w:rPr>
              <w:t>11</w:t>
            </w:r>
          </w:p>
        </w:tc>
        <w:tc>
          <w:tcPr>
            <w:tcW w:w="930" w:type="dxa"/>
            <w:tcBorders>
              <w:top w:val="nil"/>
              <w:left w:val="nil"/>
              <w:bottom w:val="nil"/>
              <w:right w:val="nil"/>
            </w:tcBorders>
            <w:vAlign w:val="center"/>
            <w:hideMark/>
          </w:tcPr>
          <w:p w14:paraId="1DBA921C" w14:textId="77777777" w:rsidR="007F446F" w:rsidRDefault="007F446F" w:rsidP="001D13CE">
            <w:pPr>
              <w:keepNext/>
              <w:keepLines/>
              <w:spacing w:after="0" w:line="360" w:lineRule="auto"/>
              <w:jc w:val="center"/>
              <w:rPr>
                <w:rFonts w:ascii="Times New Roman" w:hAnsi="Times New Roman"/>
                <w:sz w:val="20"/>
                <w:szCs w:val="24"/>
              </w:rPr>
            </w:pPr>
            <w:r>
              <w:rPr>
                <w:rFonts w:ascii="Times New Roman" w:hAnsi="Times New Roman"/>
                <w:sz w:val="20"/>
                <w:szCs w:val="24"/>
              </w:rPr>
              <w:t>74</w:t>
            </w:r>
          </w:p>
        </w:tc>
        <w:tc>
          <w:tcPr>
            <w:tcW w:w="771" w:type="dxa"/>
            <w:tcBorders>
              <w:top w:val="nil"/>
              <w:left w:val="nil"/>
              <w:bottom w:val="nil"/>
              <w:right w:val="nil"/>
            </w:tcBorders>
            <w:vAlign w:val="center"/>
            <w:hideMark/>
          </w:tcPr>
          <w:p w14:paraId="1983FDF6" w14:textId="77777777" w:rsidR="007F446F" w:rsidRDefault="007F446F" w:rsidP="001D13CE">
            <w:pPr>
              <w:keepNext/>
              <w:keepLines/>
              <w:spacing w:after="0" w:line="360" w:lineRule="auto"/>
              <w:jc w:val="center"/>
              <w:rPr>
                <w:rFonts w:ascii="Times New Roman" w:hAnsi="Times New Roman"/>
                <w:sz w:val="20"/>
                <w:szCs w:val="24"/>
              </w:rPr>
            </w:pPr>
            <w:r>
              <w:rPr>
                <w:rFonts w:ascii="Times New Roman" w:hAnsi="Times New Roman"/>
                <w:sz w:val="20"/>
                <w:szCs w:val="24"/>
              </w:rPr>
              <w:t>10</w:t>
            </w:r>
          </w:p>
        </w:tc>
        <w:tc>
          <w:tcPr>
            <w:tcW w:w="881" w:type="dxa"/>
            <w:tcBorders>
              <w:top w:val="nil"/>
              <w:left w:val="nil"/>
              <w:bottom w:val="nil"/>
              <w:right w:val="nil"/>
            </w:tcBorders>
            <w:vAlign w:val="center"/>
            <w:hideMark/>
          </w:tcPr>
          <w:p w14:paraId="77B28C46" w14:textId="77777777" w:rsidR="007F446F" w:rsidRDefault="007F446F" w:rsidP="001D13CE">
            <w:pPr>
              <w:keepNext/>
              <w:keepLines/>
              <w:spacing w:after="0" w:line="360" w:lineRule="auto"/>
              <w:jc w:val="center"/>
              <w:rPr>
                <w:rFonts w:ascii="Times New Roman" w:hAnsi="Times New Roman"/>
                <w:sz w:val="20"/>
                <w:szCs w:val="24"/>
              </w:rPr>
            </w:pPr>
            <w:r>
              <w:rPr>
                <w:rFonts w:ascii="Times New Roman" w:hAnsi="Times New Roman"/>
                <w:sz w:val="20"/>
                <w:szCs w:val="24"/>
              </w:rPr>
              <w:t>73</w:t>
            </w:r>
          </w:p>
        </w:tc>
        <w:tc>
          <w:tcPr>
            <w:tcW w:w="881" w:type="dxa"/>
            <w:gridSpan w:val="2"/>
            <w:tcBorders>
              <w:top w:val="nil"/>
              <w:left w:val="nil"/>
              <w:bottom w:val="nil"/>
              <w:right w:val="nil"/>
            </w:tcBorders>
            <w:vAlign w:val="center"/>
            <w:hideMark/>
          </w:tcPr>
          <w:p w14:paraId="17BC4554" w14:textId="77777777" w:rsidR="007F446F" w:rsidRDefault="007F446F" w:rsidP="001D13CE">
            <w:pPr>
              <w:keepNext/>
              <w:keepLines/>
              <w:spacing w:after="0" w:line="360" w:lineRule="auto"/>
              <w:jc w:val="center"/>
              <w:rPr>
                <w:rFonts w:ascii="Times New Roman" w:hAnsi="Times New Roman"/>
                <w:sz w:val="20"/>
                <w:szCs w:val="24"/>
              </w:rPr>
            </w:pPr>
            <w:r>
              <w:rPr>
                <w:rFonts w:ascii="Times New Roman" w:hAnsi="Times New Roman"/>
                <w:sz w:val="20"/>
                <w:szCs w:val="24"/>
              </w:rPr>
              <w:t>10</w:t>
            </w:r>
          </w:p>
        </w:tc>
        <w:tc>
          <w:tcPr>
            <w:tcW w:w="881" w:type="dxa"/>
            <w:gridSpan w:val="2"/>
            <w:tcBorders>
              <w:top w:val="nil"/>
              <w:left w:val="nil"/>
              <w:bottom w:val="nil"/>
              <w:right w:val="nil"/>
            </w:tcBorders>
            <w:vAlign w:val="center"/>
            <w:hideMark/>
          </w:tcPr>
          <w:p w14:paraId="2CBC7092" w14:textId="77777777" w:rsidR="007F446F" w:rsidRDefault="007F446F" w:rsidP="001D13CE">
            <w:pPr>
              <w:keepNext/>
              <w:keepLines/>
              <w:spacing w:after="0" w:line="360" w:lineRule="auto"/>
              <w:jc w:val="center"/>
              <w:rPr>
                <w:rFonts w:ascii="Times New Roman" w:hAnsi="Times New Roman"/>
                <w:sz w:val="20"/>
                <w:szCs w:val="24"/>
              </w:rPr>
            </w:pPr>
            <w:r>
              <w:rPr>
                <w:rFonts w:ascii="Times New Roman" w:hAnsi="Times New Roman"/>
                <w:sz w:val="20"/>
                <w:szCs w:val="24"/>
              </w:rPr>
              <w:t>73</w:t>
            </w:r>
          </w:p>
        </w:tc>
        <w:tc>
          <w:tcPr>
            <w:tcW w:w="881" w:type="dxa"/>
            <w:tcBorders>
              <w:top w:val="nil"/>
              <w:left w:val="nil"/>
              <w:bottom w:val="nil"/>
              <w:right w:val="nil"/>
            </w:tcBorders>
            <w:vAlign w:val="center"/>
            <w:hideMark/>
          </w:tcPr>
          <w:p w14:paraId="54376EB3" w14:textId="77777777" w:rsidR="007F446F" w:rsidRDefault="007F446F" w:rsidP="001D13CE">
            <w:pPr>
              <w:keepNext/>
              <w:keepLines/>
              <w:spacing w:after="0" w:line="360" w:lineRule="auto"/>
              <w:jc w:val="center"/>
              <w:rPr>
                <w:rFonts w:ascii="Times New Roman" w:hAnsi="Times New Roman"/>
                <w:sz w:val="20"/>
                <w:szCs w:val="24"/>
              </w:rPr>
            </w:pPr>
            <w:r>
              <w:rPr>
                <w:rFonts w:ascii="Times New Roman" w:hAnsi="Times New Roman"/>
                <w:sz w:val="20"/>
                <w:szCs w:val="24"/>
              </w:rPr>
              <w:t>0</w:t>
            </w:r>
          </w:p>
        </w:tc>
        <w:tc>
          <w:tcPr>
            <w:tcW w:w="882" w:type="dxa"/>
            <w:tcBorders>
              <w:top w:val="nil"/>
              <w:left w:val="nil"/>
              <w:bottom w:val="nil"/>
              <w:right w:val="nil"/>
            </w:tcBorders>
            <w:vAlign w:val="center"/>
            <w:hideMark/>
          </w:tcPr>
          <w:p w14:paraId="6D9EA4D0" w14:textId="77777777" w:rsidR="007F446F" w:rsidRDefault="007F446F" w:rsidP="001D13CE">
            <w:pPr>
              <w:keepNext/>
              <w:keepLines/>
              <w:spacing w:after="0" w:line="360" w:lineRule="auto"/>
              <w:jc w:val="center"/>
              <w:rPr>
                <w:rFonts w:ascii="Times New Roman" w:hAnsi="Times New Roman"/>
                <w:sz w:val="20"/>
                <w:szCs w:val="24"/>
              </w:rPr>
            </w:pPr>
            <w:r>
              <w:rPr>
                <w:rFonts w:ascii="Times New Roman" w:hAnsi="Times New Roman"/>
                <w:sz w:val="20"/>
                <w:szCs w:val="24"/>
              </w:rPr>
              <w:t>2</w:t>
            </w:r>
          </w:p>
        </w:tc>
      </w:tr>
      <w:tr w:rsidR="007F446F" w14:paraId="491A5323" w14:textId="77777777" w:rsidTr="001D13CE">
        <w:trPr>
          <w:trHeight w:val="318"/>
          <w:jc w:val="center"/>
        </w:trPr>
        <w:tc>
          <w:tcPr>
            <w:tcW w:w="2239" w:type="dxa"/>
            <w:tcBorders>
              <w:top w:val="nil"/>
              <w:left w:val="nil"/>
              <w:bottom w:val="nil"/>
              <w:right w:val="nil"/>
            </w:tcBorders>
            <w:vAlign w:val="center"/>
            <w:hideMark/>
          </w:tcPr>
          <w:p w14:paraId="12691457" w14:textId="77777777" w:rsidR="007F446F" w:rsidRDefault="007F446F" w:rsidP="001D13CE">
            <w:pPr>
              <w:spacing w:after="0" w:line="360" w:lineRule="auto"/>
              <w:rPr>
                <w:rFonts w:ascii="Times New Roman" w:hAnsi="Times New Roman"/>
                <w:sz w:val="20"/>
                <w:szCs w:val="24"/>
              </w:rPr>
            </w:pPr>
            <w:r>
              <w:rPr>
                <w:rFonts w:ascii="Times New Roman" w:hAnsi="Times New Roman"/>
                <w:iCs/>
                <w:sz w:val="20"/>
                <w:szCs w:val="24"/>
              </w:rPr>
              <w:t>France</w:t>
            </w:r>
          </w:p>
        </w:tc>
        <w:tc>
          <w:tcPr>
            <w:tcW w:w="881" w:type="dxa"/>
            <w:tcBorders>
              <w:top w:val="nil"/>
              <w:left w:val="nil"/>
              <w:bottom w:val="nil"/>
              <w:right w:val="nil"/>
            </w:tcBorders>
            <w:vAlign w:val="center"/>
            <w:hideMark/>
          </w:tcPr>
          <w:p w14:paraId="643DFF48" w14:textId="77777777" w:rsidR="007F446F" w:rsidRDefault="007F446F" w:rsidP="001D13CE">
            <w:pPr>
              <w:keepNext/>
              <w:keepLines/>
              <w:spacing w:after="0" w:line="360" w:lineRule="auto"/>
              <w:jc w:val="center"/>
              <w:rPr>
                <w:rFonts w:ascii="Times New Roman" w:hAnsi="Times New Roman"/>
                <w:sz w:val="20"/>
                <w:szCs w:val="24"/>
              </w:rPr>
            </w:pPr>
            <w:r>
              <w:rPr>
                <w:rFonts w:ascii="Times New Roman" w:hAnsi="Times New Roman"/>
                <w:sz w:val="20"/>
                <w:szCs w:val="24"/>
              </w:rPr>
              <w:t>52</w:t>
            </w:r>
          </w:p>
        </w:tc>
        <w:tc>
          <w:tcPr>
            <w:tcW w:w="930" w:type="dxa"/>
            <w:tcBorders>
              <w:top w:val="nil"/>
              <w:left w:val="nil"/>
              <w:bottom w:val="nil"/>
              <w:right w:val="nil"/>
            </w:tcBorders>
            <w:vAlign w:val="center"/>
            <w:hideMark/>
          </w:tcPr>
          <w:p w14:paraId="39775768" w14:textId="77777777" w:rsidR="007F446F" w:rsidRDefault="007F446F" w:rsidP="001D13CE">
            <w:pPr>
              <w:keepNext/>
              <w:keepLines/>
              <w:spacing w:after="0" w:line="360" w:lineRule="auto"/>
              <w:jc w:val="center"/>
              <w:rPr>
                <w:rFonts w:ascii="Times New Roman" w:hAnsi="Times New Roman"/>
                <w:sz w:val="20"/>
                <w:szCs w:val="24"/>
              </w:rPr>
            </w:pPr>
            <w:r>
              <w:rPr>
                <w:rFonts w:ascii="Times New Roman" w:hAnsi="Times New Roman"/>
                <w:sz w:val="20"/>
                <w:szCs w:val="24"/>
              </w:rPr>
              <w:t>93</w:t>
            </w:r>
          </w:p>
        </w:tc>
        <w:tc>
          <w:tcPr>
            <w:tcW w:w="771" w:type="dxa"/>
            <w:tcBorders>
              <w:top w:val="nil"/>
              <w:left w:val="nil"/>
              <w:bottom w:val="nil"/>
              <w:right w:val="nil"/>
            </w:tcBorders>
            <w:vAlign w:val="center"/>
            <w:hideMark/>
          </w:tcPr>
          <w:p w14:paraId="3260F9FD" w14:textId="77777777" w:rsidR="007F446F" w:rsidRDefault="007F446F" w:rsidP="001D13CE">
            <w:pPr>
              <w:keepNext/>
              <w:keepLines/>
              <w:spacing w:after="0" w:line="360" w:lineRule="auto"/>
              <w:jc w:val="center"/>
              <w:rPr>
                <w:rFonts w:ascii="Times New Roman" w:hAnsi="Times New Roman"/>
                <w:sz w:val="20"/>
                <w:szCs w:val="24"/>
              </w:rPr>
            </w:pPr>
            <w:r>
              <w:rPr>
                <w:rFonts w:ascii="Times New Roman" w:hAnsi="Times New Roman"/>
                <w:sz w:val="20"/>
                <w:szCs w:val="24"/>
              </w:rPr>
              <w:t>1</w:t>
            </w:r>
          </w:p>
        </w:tc>
        <w:tc>
          <w:tcPr>
            <w:tcW w:w="881" w:type="dxa"/>
            <w:tcBorders>
              <w:top w:val="nil"/>
              <w:left w:val="nil"/>
              <w:bottom w:val="nil"/>
              <w:right w:val="nil"/>
            </w:tcBorders>
            <w:vAlign w:val="center"/>
            <w:hideMark/>
          </w:tcPr>
          <w:p w14:paraId="4D632425" w14:textId="77777777" w:rsidR="007F446F" w:rsidRDefault="007F446F" w:rsidP="001D13CE">
            <w:pPr>
              <w:keepNext/>
              <w:keepLines/>
              <w:spacing w:after="0" w:line="360" w:lineRule="auto"/>
              <w:jc w:val="center"/>
              <w:rPr>
                <w:rFonts w:ascii="Times New Roman" w:hAnsi="Times New Roman"/>
                <w:sz w:val="20"/>
                <w:szCs w:val="24"/>
                <w:highlight w:val="yellow"/>
              </w:rPr>
            </w:pPr>
            <w:r>
              <w:rPr>
                <w:rFonts w:ascii="Times New Roman" w:hAnsi="Times New Roman"/>
                <w:sz w:val="20"/>
                <w:szCs w:val="24"/>
              </w:rPr>
              <w:t>5</w:t>
            </w:r>
          </w:p>
        </w:tc>
        <w:tc>
          <w:tcPr>
            <w:tcW w:w="881" w:type="dxa"/>
            <w:gridSpan w:val="2"/>
            <w:tcBorders>
              <w:top w:val="nil"/>
              <w:left w:val="nil"/>
              <w:bottom w:val="nil"/>
              <w:right w:val="nil"/>
            </w:tcBorders>
            <w:vAlign w:val="center"/>
            <w:hideMark/>
          </w:tcPr>
          <w:p w14:paraId="6F6E72FC" w14:textId="77777777" w:rsidR="007F446F" w:rsidRDefault="007F446F" w:rsidP="001D13CE">
            <w:pPr>
              <w:keepNext/>
              <w:keepLines/>
              <w:spacing w:after="0" w:line="360" w:lineRule="auto"/>
              <w:jc w:val="center"/>
              <w:rPr>
                <w:rFonts w:ascii="Times New Roman" w:hAnsi="Times New Roman"/>
                <w:sz w:val="20"/>
                <w:szCs w:val="24"/>
              </w:rPr>
            </w:pPr>
            <w:r>
              <w:rPr>
                <w:rFonts w:ascii="Times New Roman" w:hAnsi="Times New Roman"/>
                <w:sz w:val="20"/>
                <w:szCs w:val="24"/>
              </w:rPr>
              <w:t>1</w:t>
            </w:r>
          </w:p>
        </w:tc>
        <w:tc>
          <w:tcPr>
            <w:tcW w:w="881" w:type="dxa"/>
            <w:gridSpan w:val="2"/>
            <w:tcBorders>
              <w:top w:val="nil"/>
              <w:left w:val="nil"/>
              <w:bottom w:val="nil"/>
              <w:right w:val="nil"/>
            </w:tcBorders>
            <w:vAlign w:val="center"/>
            <w:hideMark/>
          </w:tcPr>
          <w:p w14:paraId="7B3E1BB0" w14:textId="77777777" w:rsidR="007F446F" w:rsidRDefault="007F446F" w:rsidP="001D13CE">
            <w:pPr>
              <w:keepNext/>
              <w:keepLines/>
              <w:spacing w:after="0" w:line="360" w:lineRule="auto"/>
              <w:jc w:val="center"/>
              <w:rPr>
                <w:rFonts w:ascii="Times New Roman" w:hAnsi="Times New Roman"/>
                <w:sz w:val="20"/>
                <w:szCs w:val="24"/>
              </w:rPr>
            </w:pPr>
            <w:r>
              <w:rPr>
                <w:rFonts w:ascii="Times New Roman" w:hAnsi="Times New Roman"/>
                <w:sz w:val="20"/>
                <w:szCs w:val="24"/>
              </w:rPr>
              <w:t>5</w:t>
            </w:r>
          </w:p>
        </w:tc>
        <w:tc>
          <w:tcPr>
            <w:tcW w:w="881" w:type="dxa"/>
            <w:tcBorders>
              <w:top w:val="nil"/>
              <w:left w:val="nil"/>
              <w:bottom w:val="nil"/>
              <w:right w:val="nil"/>
            </w:tcBorders>
            <w:vAlign w:val="center"/>
            <w:hideMark/>
          </w:tcPr>
          <w:p w14:paraId="18B92FBE" w14:textId="77777777" w:rsidR="007F446F" w:rsidRDefault="007F446F" w:rsidP="001D13CE">
            <w:pPr>
              <w:keepNext/>
              <w:keepLines/>
              <w:spacing w:after="0" w:line="360" w:lineRule="auto"/>
              <w:jc w:val="center"/>
              <w:rPr>
                <w:rFonts w:ascii="Times New Roman" w:hAnsi="Times New Roman"/>
                <w:sz w:val="20"/>
                <w:szCs w:val="24"/>
              </w:rPr>
            </w:pPr>
            <w:r>
              <w:rPr>
                <w:rFonts w:ascii="Times New Roman" w:hAnsi="Times New Roman"/>
                <w:sz w:val="20"/>
                <w:szCs w:val="24"/>
              </w:rPr>
              <w:t>1</w:t>
            </w:r>
          </w:p>
        </w:tc>
        <w:tc>
          <w:tcPr>
            <w:tcW w:w="882" w:type="dxa"/>
            <w:tcBorders>
              <w:top w:val="nil"/>
              <w:left w:val="nil"/>
              <w:bottom w:val="nil"/>
              <w:right w:val="nil"/>
            </w:tcBorders>
            <w:vAlign w:val="center"/>
            <w:hideMark/>
          </w:tcPr>
          <w:p w14:paraId="136948CB" w14:textId="77777777" w:rsidR="007F446F" w:rsidRDefault="007F446F" w:rsidP="001D13CE">
            <w:pPr>
              <w:keepNext/>
              <w:keepLines/>
              <w:spacing w:after="0" w:line="360" w:lineRule="auto"/>
              <w:jc w:val="center"/>
              <w:rPr>
                <w:rFonts w:ascii="Times New Roman" w:hAnsi="Times New Roman"/>
                <w:sz w:val="20"/>
                <w:szCs w:val="24"/>
              </w:rPr>
            </w:pPr>
            <w:r>
              <w:rPr>
                <w:rFonts w:ascii="Times New Roman" w:hAnsi="Times New Roman"/>
                <w:sz w:val="20"/>
                <w:szCs w:val="24"/>
              </w:rPr>
              <w:t>4</w:t>
            </w:r>
          </w:p>
        </w:tc>
      </w:tr>
      <w:tr w:rsidR="007F446F" w14:paraId="2BC1E432" w14:textId="77777777" w:rsidTr="001D13CE">
        <w:trPr>
          <w:trHeight w:val="318"/>
          <w:jc w:val="center"/>
        </w:trPr>
        <w:tc>
          <w:tcPr>
            <w:tcW w:w="2239" w:type="dxa"/>
            <w:tcBorders>
              <w:top w:val="nil"/>
              <w:left w:val="nil"/>
              <w:bottom w:val="nil"/>
              <w:right w:val="nil"/>
            </w:tcBorders>
            <w:vAlign w:val="center"/>
            <w:hideMark/>
          </w:tcPr>
          <w:p w14:paraId="11F432D2" w14:textId="77777777" w:rsidR="007F446F" w:rsidRDefault="007F446F" w:rsidP="001D13CE">
            <w:pPr>
              <w:spacing w:after="0" w:line="360" w:lineRule="auto"/>
              <w:rPr>
                <w:rFonts w:ascii="Times New Roman" w:hAnsi="Times New Roman"/>
                <w:sz w:val="20"/>
                <w:szCs w:val="24"/>
              </w:rPr>
            </w:pPr>
            <w:r>
              <w:rPr>
                <w:rFonts w:ascii="Times New Roman" w:hAnsi="Times New Roman"/>
                <w:iCs/>
                <w:sz w:val="20"/>
                <w:szCs w:val="24"/>
              </w:rPr>
              <w:t>Germany</w:t>
            </w:r>
          </w:p>
        </w:tc>
        <w:tc>
          <w:tcPr>
            <w:tcW w:w="881" w:type="dxa"/>
            <w:tcBorders>
              <w:top w:val="nil"/>
              <w:left w:val="nil"/>
              <w:bottom w:val="nil"/>
              <w:right w:val="nil"/>
            </w:tcBorders>
            <w:vAlign w:val="center"/>
            <w:hideMark/>
          </w:tcPr>
          <w:p w14:paraId="604E523E" w14:textId="77777777" w:rsidR="007F446F" w:rsidRDefault="007F446F" w:rsidP="001D13CE">
            <w:pPr>
              <w:keepNext/>
              <w:keepLines/>
              <w:spacing w:after="0" w:line="360" w:lineRule="auto"/>
              <w:jc w:val="center"/>
              <w:rPr>
                <w:rFonts w:ascii="Times New Roman" w:hAnsi="Times New Roman"/>
                <w:sz w:val="20"/>
                <w:szCs w:val="24"/>
              </w:rPr>
            </w:pPr>
            <w:r>
              <w:rPr>
                <w:rFonts w:ascii="Times New Roman" w:hAnsi="Times New Roman"/>
                <w:sz w:val="20"/>
                <w:szCs w:val="24"/>
              </w:rPr>
              <w:t>34</w:t>
            </w:r>
          </w:p>
        </w:tc>
        <w:tc>
          <w:tcPr>
            <w:tcW w:w="930" w:type="dxa"/>
            <w:tcBorders>
              <w:top w:val="nil"/>
              <w:left w:val="nil"/>
              <w:bottom w:val="nil"/>
              <w:right w:val="nil"/>
            </w:tcBorders>
            <w:vAlign w:val="center"/>
            <w:hideMark/>
          </w:tcPr>
          <w:p w14:paraId="37B5F7F4" w14:textId="77777777" w:rsidR="007F446F" w:rsidRDefault="007F446F" w:rsidP="001D13CE">
            <w:pPr>
              <w:keepNext/>
              <w:keepLines/>
              <w:spacing w:after="0" w:line="360" w:lineRule="auto"/>
              <w:jc w:val="center"/>
              <w:rPr>
                <w:rFonts w:ascii="Times New Roman" w:hAnsi="Times New Roman"/>
                <w:sz w:val="20"/>
                <w:szCs w:val="24"/>
              </w:rPr>
            </w:pPr>
            <w:r>
              <w:rPr>
                <w:rFonts w:ascii="Times New Roman" w:hAnsi="Times New Roman"/>
                <w:sz w:val="20"/>
                <w:szCs w:val="24"/>
              </w:rPr>
              <w:t>89</w:t>
            </w:r>
          </w:p>
        </w:tc>
        <w:tc>
          <w:tcPr>
            <w:tcW w:w="771" w:type="dxa"/>
            <w:tcBorders>
              <w:top w:val="nil"/>
              <w:left w:val="nil"/>
              <w:bottom w:val="nil"/>
              <w:right w:val="nil"/>
            </w:tcBorders>
            <w:vAlign w:val="center"/>
            <w:hideMark/>
          </w:tcPr>
          <w:p w14:paraId="5AF626E7" w14:textId="77777777" w:rsidR="007F446F" w:rsidRDefault="007F446F" w:rsidP="001D13CE">
            <w:pPr>
              <w:keepNext/>
              <w:keepLines/>
              <w:spacing w:after="0" w:line="360" w:lineRule="auto"/>
              <w:jc w:val="center"/>
              <w:rPr>
                <w:rFonts w:ascii="Times New Roman" w:hAnsi="Times New Roman"/>
                <w:sz w:val="20"/>
                <w:szCs w:val="24"/>
              </w:rPr>
            </w:pPr>
            <w:r>
              <w:rPr>
                <w:rFonts w:ascii="Times New Roman" w:hAnsi="Times New Roman"/>
                <w:sz w:val="20"/>
                <w:szCs w:val="24"/>
              </w:rPr>
              <w:t>0</w:t>
            </w:r>
          </w:p>
        </w:tc>
        <w:tc>
          <w:tcPr>
            <w:tcW w:w="881" w:type="dxa"/>
            <w:tcBorders>
              <w:top w:val="nil"/>
              <w:left w:val="nil"/>
              <w:bottom w:val="nil"/>
              <w:right w:val="nil"/>
            </w:tcBorders>
            <w:vAlign w:val="center"/>
            <w:hideMark/>
          </w:tcPr>
          <w:p w14:paraId="303F4EE6" w14:textId="77777777" w:rsidR="007F446F" w:rsidRDefault="007F446F" w:rsidP="001D13CE">
            <w:pPr>
              <w:keepNext/>
              <w:keepLines/>
              <w:spacing w:after="0" w:line="360" w:lineRule="auto"/>
              <w:jc w:val="center"/>
              <w:rPr>
                <w:rFonts w:ascii="Times New Roman" w:hAnsi="Times New Roman"/>
                <w:sz w:val="20"/>
                <w:szCs w:val="24"/>
                <w:highlight w:val="yellow"/>
              </w:rPr>
            </w:pPr>
            <w:r>
              <w:rPr>
                <w:rFonts w:ascii="Times New Roman" w:hAnsi="Times New Roman"/>
                <w:sz w:val="20"/>
                <w:szCs w:val="24"/>
              </w:rPr>
              <w:t>6</w:t>
            </w:r>
          </w:p>
        </w:tc>
        <w:tc>
          <w:tcPr>
            <w:tcW w:w="881" w:type="dxa"/>
            <w:gridSpan w:val="2"/>
            <w:tcBorders>
              <w:top w:val="nil"/>
              <w:left w:val="nil"/>
              <w:bottom w:val="nil"/>
              <w:right w:val="nil"/>
            </w:tcBorders>
            <w:vAlign w:val="center"/>
            <w:hideMark/>
          </w:tcPr>
          <w:p w14:paraId="07C2A560" w14:textId="77777777" w:rsidR="007F446F" w:rsidRDefault="007F446F" w:rsidP="001D13CE">
            <w:pPr>
              <w:keepNext/>
              <w:keepLines/>
              <w:spacing w:after="0" w:line="360" w:lineRule="auto"/>
              <w:jc w:val="center"/>
              <w:rPr>
                <w:rFonts w:ascii="Times New Roman" w:hAnsi="Times New Roman"/>
                <w:sz w:val="20"/>
                <w:szCs w:val="24"/>
              </w:rPr>
            </w:pPr>
            <w:r>
              <w:rPr>
                <w:rFonts w:ascii="Times New Roman" w:hAnsi="Times New Roman"/>
                <w:sz w:val="20"/>
                <w:szCs w:val="24"/>
              </w:rPr>
              <w:t>0</w:t>
            </w:r>
          </w:p>
        </w:tc>
        <w:tc>
          <w:tcPr>
            <w:tcW w:w="881" w:type="dxa"/>
            <w:gridSpan w:val="2"/>
            <w:tcBorders>
              <w:top w:val="nil"/>
              <w:left w:val="nil"/>
              <w:bottom w:val="nil"/>
              <w:right w:val="nil"/>
            </w:tcBorders>
            <w:vAlign w:val="center"/>
            <w:hideMark/>
          </w:tcPr>
          <w:p w14:paraId="514F02DB" w14:textId="77777777" w:rsidR="007F446F" w:rsidRDefault="007F446F" w:rsidP="001D13CE">
            <w:pPr>
              <w:keepNext/>
              <w:keepLines/>
              <w:spacing w:after="0" w:line="360" w:lineRule="auto"/>
              <w:jc w:val="center"/>
              <w:rPr>
                <w:rFonts w:ascii="Times New Roman" w:hAnsi="Times New Roman"/>
                <w:sz w:val="20"/>
                <w:szCs w:val="24"/>
              </w:rPr>
            </w:pPr>
            <w:r>
              <w:rPr>
                <w:rFonts w:ascii="Times New Roman" w:hAnsi="Times New Roman"/>
                <w:sz w:val="20"/>
                <w:szCs w:val="24"/>
              </w:rPr>
              <w:t>5</w:t>
            </w:r>
          </w:p>
        </w:tc>
        <w:tc>
          <w:tcPr>
            <w:tcW w:w="881" w:type="dxa"/>
            <w:tcBorders>
              <w:top w:val="nil"/>
              <w:left w:val="nil"/>
              <w:bottom w:val="nil"/>
              <w:right w:val="nil"/>
            </w:tcBorders>
            <w:vAlign w:val="center"/>
            <w:hideMark/>
          </w:tcPr>
          <w:p w14:paraId="5F2D6120" w14:textId="77777777" w:rsidR="007F446F" w:rsidRDefault="007F446F" w:rsidP="001D13CE">
            <w:pPr>
              <w:keepNext/>
              <w:keepLines/>
              <w:spacing w:after="0" w:line="360" w:lineRule="auto"/>
              <w:jc w:val="center"/>
              <w:rPr>
                <w:rFonts w:ascii="Times New Roman" w:hAnsi="Times New Roman"/>
                <w:sz w:val="20"/>
                <w:szCs w:val="24"/>
              </w:rPr>
            </w:pPr>
            <w:r>
              <w:rPr>
                <w:rFonts w:ascii="Times New Roman" w:hAnsi="Times New Roman"/>
                <w:sz w:val="20"/>
                <w:szCs w:val="24"/>
              </w:rPr>
              <w:t>0</w:t>
            </w:r>
          </w:p>
        </w:tc>
        <w:tc>
          <w:tcPr>
            <w:tcW w:w="882" w:type="dxa"/>
            <w:tcBorders>
              <w:top w:val="nil"/>
              <w:left w:val="nil"/>
              <w:bottom w:val="nil"/>
              <w:right w:val="nil"/>
            </w:tcBorders>
            <w:vAlign w:val="center"/>
            <w:hideMark/>
          </w:tcPr>
          <w:p w14:paraId="6AF3F319" w14:textId="77777777" w:rsidR="007F446F" w:rsidRDefault="007F446F" w:rsidP="001D13CE">
            <w:pPr>
              <w:keepNext/>
              <w:keepLines/>
              <w:spacing w:after="0" w:line="360" w:lineRule="auto"/>
              <w:jc w:val="center"/>
              <w:rPr>
                <w:rFonts w:ascii="Times New Roman" w:hAnsi="Times New Roman"/>
                <w:sz w:val="20"/>
                <w:szCs w:val="24"/>
              </w:rPr>
            </w:pPr>
            <w:r>
              <w:rPr>
                <w:rFonts w:ascii="Times New Roman" w:hAnsi="Times New Roman"/>
                <w:sz w:val="20"/>
                <w:szCs w:val="24"/>
              </w:rPr>
              <w:t>5</w:t>
            </w:r>
          </w:p>
        </w:tc>
      </w:tr>
      <w:tr w:rsidR="007F446F" w14:paraId="3FDC9864" w14:textId="77777777" w:rsidTr="001D13CE">
        <w:trPr>
          <w:trHeight w:val="318"/>
          <w:jc w:val="center"/>
        </w:trPr>
        <w:tc>
          <w:tcPr>
            <w:tcW w:w="2239" w:type="dxa"/>
            <w:tcBorders>
              <w:top w:val="nil"/>
              <w:left w:val="nil"/>
              <w:bottom w:val="nil"/>
              <w:right w:val="nil"/>
            </w:tcBorders>
            <w:vAlign w:val="center"/>
            <w:hideMark/>
          </w:tcPr>
          <w:p w14:paraId="485C0B09" w14:textId="77777777" w:rsidR="007F446F" w:rsidRDefault="007F446F" w:rsidP="001D13CE">
            <w:pPr>
              <w:spacing w:after="0" w:line="360" w:lineRule="auto"/>
              <w:rPr>
                <w:rFonts w:ascii="Times New Roman" w:hAnsi="Times New Roman"/>
                <w:sz w:val="20"/>
                <w:szCs w:val="24"/>
              </w:rPr>
            </w:pPr>
            <w:r>
              <w:rPr>
                <w:rFonts w:ascii="Times New Roman" w:hAnsi="Times New Roman"/>
                <w:bCs/>
                <w:iCs/>
                <w:sz w:val="20"/>
                <w:szCs w:val="24"/>
              </w:rPr>
              <w:t>Greece</w:t>
            </w:r>
          </w:p>
        </w:tc>
        <w:tc>
          <w:tcPr>
            <w:tcW w:w="881" w:type="dxa"/>
            <w:tcBorders>
              <w:top w:val="nil"/>
              <w:left w:val="nil"/>
              <w:bottom w:val="nil"/>
              <w:right w:val="nil"/>
            </w:tcBorders>
            <w:vAlign w:val="center"/>
            <w:hideMark/>
          </w:tcPr>
          <w:p w14:paraId="0E202CF1" w14:textId="77777777" w:rsidR="007F446F" w:rsidRDefault="007F446F" w:rsidP="001D13CE">
            <w:pPr>
              <w:keepNext/>
              <w:keepLines/>
              <w:spacing w:after="0" w:line="360" w:lineRule="auto"/>
              <w:jc w:val="center"/>
              <w:rPr>
                <w:rFonts w:ascii="Times New Roman" w:hAnsi="Times New Roman"/>
                <w:sz w:val="20"/>
                <w:szCs w:val="24"/>
              </w:rPr>
            </w:pPr>
            <w:r>
              <w:rPr>
                <w:rFonts w:ascii="Times New Roman" w:hAnsi="Times New Roman"/>
                <w:sz w:val="20"/>
                <w:szCs w:val="24"/>
              </w:rPr>
              <w:t>48</w:t>
            </w:r>
          </w:p>
        </w:tc>
        <w:tc>
          <w:tcPr>
            <w:tcW w:w="930" w:type="dxa"/>
            <w:tcBorders>
              <w:top w:val="nil"/>
              <w:left w:val="nil"/>
              <w:bottom w:val="nil"/>
              <w:right w:val="nil"/>
            </w:tcBorders>
            <w:vAlign w:val="center"/>
            <w:hideMark/>
          </w:tcPr>
          <w:p w14:paraId="0368D6C5" w14:textId="77777777" w:rsidR="007F446F" w:rsidRDefault="007F446F" w:rsidP="001D13CE">
            <w:pPr>
              <w:keepNext/>
              <w:keepLines/>
              <w:spacing w:after="0" w:line="360" w:lineRule="auto"/>
              <w:jc w:val="center"/>
              <w:rPr>
                <w:rFonts w:ascii="Times New Roman" w:hAnsi="Times New Roman"/>
                <w:sz w:val="20"/>
                <w:szCs w:val="24"/>
              </w:rPr>
            </w:pPr>
            <w:r>
              <w:rPr>
                <w:rFonts w:ascii="Times New Roman" w:hAnsi="Times New Roman"/>
                <w:sz w:val="20"/>
                <w:szCs w:val="24"/>
              </w:rPr>
              <w:t>89</w:t>
            </w:r>
          </w:p>
        </w:tc>
        <w:tc>
          <w:tcPr>
            <w:tcW w:w="771" w:type="dxa"/>
            <w:tcBorders>
              <w:top w:val="nil"/>
              <w:left w:val="nil"/>
              <w:bottom w:val="nil"/>
              <w:right w:val="nil"/>
            </w:tcBorders>
            <w:vAlign w:val="center"/>
            <w:hideMark/>
          </w:tcPr>
          <w:p w14:paraId="68040666" w14:textId="77777777" w:rsidR="007F446F" w:rsidRDefault="007F446F" w:rsidP="001D13CE">
            <w:pPr>
              <w:keepNext/>
              <w:keepLines/>
              <w:spacing w:after="0" w:line="360" w:lineRule="auto"/>
              <w:jc w:val="center"/>
              <w:rPr>
                <w:rFonts w:ascii="Times New Roman" w:hAnsi="Times New Roman"/>
                <w:sz w:val="20"/>
                <w:szCs w:val="24"/>
              </w:rPr>
            </w:pPr>
            <w:r>
              <w:rPr>
                <w:rFonts w:ascii="Times New Roman" w:hAnsi="Times New Roman"/>
                <w:sz w:val="20"/>
                <w:szCs w:val="24"/>
              </w:rPr>
              <w:t>46</w:t>
            </w:r>
          </w:p>
        </w:tc>
        <w:tc>
          <w:tcPr>
            <w:tcW w:w="881" w:type="dxa"/>
            <w:tcBorders>
              <w:top w:val="nil"/>
              <w:left w:val="nil"/>
              <w:bottom w:val="nil"/>
              <w:right w:val="nil"/>
            </w:tcBorders>
            <w:vAlign w:val="center"/>
            <w:hideMark/>
          </w:tcPr>
          <w:p w14:paraId="7D767827" w14:textId="77777777" w:rsidR="007F446F" w:rsidRDefault="007F446F" w:rsidP="001D13CE">
            <w:pPr>
              <w:keepNext/>
              <w:keepLines/>
              <w:spacing w:after="0" w:line="360" w:lineRule="auto"/>
              <w:jc w:val="center"/>
              <w:rPr>
                <w:rFonts w:ascii="Times New Roman" w:hAnsi="Times New Roman"/>
                <w:sz w:val="20"/>
                <w:szCs w:val="24"/>
              </w:rPr>
            </w:pPr>
            <w:r>
              <w:rPr>
                <w:rFonts w:ascii="Times New Roman" w:hAnsi="Times New Roman"/>
                <w:sz w:val="20"/>
                <w:szCs w:val="24"/>
              </w:rPr>
              <w:t>88</w:t>
            </w:r>
          </w:p>
        </w:tc>
        <w:tc>
          <w:tcPr>
            <w:tcW w:w="881" w:type="dxa"/>
            <w:gridSpan w:val="2"/>
            <w:tcBorders>
              <w:top w:val="nil"/>
              <w:left w:val="nil"/>
              <w:bottom w:val="nil"/>
              <w:right w:val="nil"/>
            </w:tcBorders>
            <w:vAlign w:val="center"/>
            <w:hideMark/>
          </w:tcPr>
          <w:p w14:paraId="44EC6F19" w14:textId="77777777" w:rsidR="007F446F" w:rsidRDefault="007F446F" w:rsidP="001D13CE">
            <w:pPr>
              <w:keepNext/>
              <w:keepLines/>
              <w:spacing w:after="0" w:line="360" w:lineRule="auto"/>
              <w:jc w:val="center"/>
              <w:rPr>
                <w:rFonts w:ascii="Times New Roman" w:hAnsi="Times New Roman"/>
                <w:sz w:val="20"/>
                <w:szCs w:val="24"/>
              </w:rPr>
            </w:pPr>
            <w:r>
              <w:rPr>
                <w:rFonts w:ascii="Times New Roman" w:hAnsi="Times New Roman"/>
                <w:sz w:val="20"/>
                <w:szCs w:val="24"/>
              </w:rPr>
              <w:t>46</w:t>
            </w:r>
          </w:p>
        </w:tc>
        <w:tc>
          <w:tcPr>
            <w:tcW w:w="881" w:type="dxa"/>
            <w:gridSpan w:val="2"/>
            <w:tcBorders>
              <w:top w:val="nil"/>
              <w:left w:val="nil"/>
              <w:bottom w:val="nil"/>
              <w:right w:val="nil"/>
            </w:tcBorders>
            <w:vAlign w:val="center"/>
            <w:hideMark/>
          </w:tcPr>
          <w:p w14:paraId="3D6EE088" w14:textId="77777777" w:rsidR="007F446F" w:rsidRDefault="007F446F" w:rsidP="001D13CE">
            <w:pPr>
              <w:keepNext/>
              <w:keepLines/>
              <w:spacing w:after="0" w:line="360" w:lineRule="auto"/>
              <w:jc w:val="center"/>
              <w:rPr>
                <w:rFonts w:ascii="Times New Roman" w:hAnsi="Times New Roman"/>
                <w:sz w:val="20"/>
                <w:szCs w:val="24"/>
              </w:rPr>
            </w:pPr>
            <w:r>
              <w:rPr>
                <w:rFonts w:ascii="Times New Roman" w:hAnsi="Times New Roman"/>
                <w:sz w:val="20"/>
                <w:szCs w:val="24"/>
              </w:rPr>
              <w:t>88</w:t>
            </w:r>
          </w:p>
        </w:tc>
        <w:tc>
          <w:tcPr>
            <w:tcW w:w="881" w:type="dxa"/>
            <w:tcBorders>
              <w:top w:val="nil"/>
              <w:left w:val="nil"/>
              <w:bottom w:val="nil"/>
              <w:right w:val="nil"/>
            </w:tcBorders>
            <w:vAlign w:val="center"/>
            <w:hideMark/>
          </w:tcPr>
          <w:p w14:paraId="61A8A210" w14:textId="77777777" w:rsidR="007F446F" w:rsidRDefault="007F446F" w:rsidP="001D13CE">
            <w:pPr>
              <w:keepNext/>
              <w:keepLines/>
              <w:spacing w:after="0" w:line="360" w:lineRule="auto"/>
              <w:jc w:val="center"/>
              <w:rPr>
                <w:rFonts w:ascii="Times New Roman" w:hAnsi="Times New Roman"/>
                <w:sz w:val="20"/>
                <w:szCs w:val="24"/>
              </w:rPr>
            </w:pPr>
            <w:r>
              <w:rPr>
                <w:rFonts w:ascii="Times New Roman" w:hAnsi="Times New Roman"/>
                <w:sz w:val="20"/>
                <w:szCs w:val="24"/>
              </w:rPr>
              <w:t>1</w:t>
            </w:r>
          </w:p>
        </w:tc>
        <w:tc>
          <w:tcPr>
            <w:tcW w:w="882" w:type="dxa"/>
            <w:tcBorders>
              <w:top w:val="nil"/>
              <w:left w:val="nil"/>
              <w:bottom w:val="nil"/>
              <w:right w:val="nil"/>
            </w:tcBorders>
            <w:vAlign w:val="center"/>
            <w:hideMark/>
          </w:tcPr>
          <w:p w14:paraId="1D5E25CB" w14:textId="77777777" w:rsidR="007F446F" w:rsidRDefault="007F446F" w:rsidP="001D13CE">
            <w:pPr>
              <w:keepNext/>
              <w:keepLines/>
              <w:spacing w:after="0" w:line="360" w:lineRule="auto"/>
              <w:jc w:val="center"/>
              <w:rPr>
                <w:rFonts w:ascii="Times New Roman" w:hAnsi="Times New Roman"/>
                <w:sz w:val="20"/>
                <w:szCs w:val="24"/>
              </w:rPr>
            </w:pPr>
            <w:r>
              <w:rPr>
                <w:rFonts w:ascii="Times New Roman" w:hAnsi="Times New Roman"/>
                <w:sz w:val="20"/>
                <w:szCs w:val="24"/>
              </w:rPr>
              <w:t>6</w:t>
            </w:r>
          </w:p>
        </w:tc>
      </w:tr>
      <w:tr w:rsidR="007F446F" w14:paraId="77CA3309" w14:textId="77777777" w:rsidTr="001D13CE">
        <w:trPr>
          <w:trHeight w:val="200"/>
          <w:jc w:val="center"/>
        </w:trPr>
        <w:tc>
          <w:tcPr>
            <w:tcW w:w="2239" w:type="dxa"/>
            <w:tcBorders>
              <w:top w:val="nil"/>
              <w:left w:val="nil"/>
              <w:bottom w:val="nil"/>
              <w:right w:val="nil"/>
            </w:tcBorders>
            <w:vAlign w:val="center"/>
            <w:hideMark/>
          </w:tcPr>
          <w:p w14:paraId="0CCEFE49" w14:textId="77777777" w:rsidR="007F446F" w:rsidRDefault="007F446F" w:rsidP="001D13CE">
            <w:pPr>
              <w:spacing w:after="0" w:line="360" w:lineRule="auto"/>
              <w:rPr>
                <w:rFonts w:ascii="Times New Roman" w:hAnsi="Times New Roman"/>
                <w:sz w:val="20"/>
                <w:szCs w:val="24"/>
              </w:rPr>
            </w:pPr>
            <w:r>
              <w:rPr>
                <w:rFonts w:ascii="Times New Roman" w:hAnsi="Times New Roman"/>
                <w:bCs/>
                <w:iCs/>
                <w:sz w:val="20"/>
                <w:szCs w:val="24"/>
              </w:rPr>
              <w:t>Hungary</w:t>
            </w:r>
          </w:p>
        </w:tc>
        <w:tc>
          <w:tcPr>
            <w:tcW w:w="881" w:type="dxa"/>
            <w:tcBorders>
              <w:top w:val="nil"/>
              <w:left w:val="nil"/>
              <w:bottom w:val="nil"/>
              <w:right w:val="nil"/>
            </w:tcBorders>
            <w:vAlign w:val="center"/>
            <w:hideMark/>
          </w:tcPr>
          <w:p w14:paraId="7BFDF4B5" w14:textId="77777777" w:rsidR="007F446F" w:rsidRDefault="007F446F" w:rsidP="001D13CE">
            <w:pPr>
              <w:keepNext/>
              <w:keepLines/>
              <w:spacing w:after="0" w:line="360" w:lineRule="auto"/>
              <w:jc w:val="center"/>
              <w:rPr>
                <w:rFonts w:ascii="Times New Roman" w:hAnsi="Times New Roman"/>
                <w:sz w:val="20"/>
                <w:szCs w:val="24"/>
              </w:rPr>
            </w:pPr>
            <w:r>
              <w:rPr>
                <w:rFonts w:ascii="Times New Roman" w:hAnsi="Times New Roman"/>
                <w:sz w:val="20"/>
                <w:szCs w:val="24"/>
              </w:rPr>
              <w:t>76</w:t>
            </w:r>
          </w:p>
        </w:tc>
        <w:tc>
          <w:tcPr>
            <w:tcW w:w="930" w:type="dxa"/>
            <w:tcBorders>
              <w:top w:val="nil"/>
              <w:left w:val="nil"/>
              <w:bottom w:val="nil"/>
              <w:right w:val="nil"/>
            </w:tcBorders>
            <w:vAlign w:val="center"/>
            <w:hideMark/>
          </w:tcPr>
          <w:p w14:paraId="58A1BAD0" w14:textId="77777777" w:rsidR="007F446F" w:rsidRDefault="007F446F" w:rsidP="001D13CE">
            <w:pPr>
              <w:keepNext/>
              <w:keepLines/>
              <w:spacing w:after="0" w:line="360" w:lineRule="auto"/>
              <w:jc w:val="center"/>
              <w:rPr>
                <w:rFonts w:ascii="Times New Roman" w:hAnsi="Times New Roman"/>
                <w:sz w:val="20"/>
                <w:szCs w:val="24"/>
              </w:rPr>
            </w:pPr>
            <w:r>
              <w:rPr>
                <w:rFonts w:ascii="Times New Roman" w:hAnsi="Times New Roman"/>
                <w:sz w:val="20"/>
                <w:szCs w:val="24"/>
              </w:rPr>
              <w:t>94</w:t>
            </w:r>
          </w:p>
        </w:tc>
        <w:tc>
          <w:tcPr>
            <w:tcW w:w="771" w:type="dxa"/>
            <w:tcBorders>
              <w:top w:val="nil"/>
              <w:left w:val="nil"/>
              <w:bottom w:val="nil"/>
              <w:right w:val="nil"/>
            </w:tcBorders>
            <w:vAlign w:val="center"/>
            <w:hideMark/>
          </w:tcPr>
          <w:p w14:paraId="4F88AF87" w14:textId="77777777" w:rsidR="007F446F" w:rsidRDefault="007F446F" w:rsidP="001D13CE">
            <w:pPr>
              <w:keepNext/>
              <w:keepLines/>
              <w:spacing w:after="0" w:line="360" w:lineRule="auto"/>
              <w:jc w:val="center"/>
              <w:rPr>
                <w:rFonts w:ascii="Times New Roman" w:hAnsi="Times New Roman"/>
                <w:sz w:val="20"/>
                <w:szCs w:val="24"/>
              </w:rPr>
            </w:pPr>
            <w:r>
              <w:rPr>
                <w:rFonts w:ascii="Times New Roman" w:hAnsi="Times New Roman"/>
                <w:sz w:val="20"/>
                <w:szCs w:val="24"/>
              </w:rPr>
              <w:t>66</w:t>
            </w:r>
          </w:p>
        </w:tc>
        <w:tc>
          <w:tcPr>
            <w:tcW w:w="881" w:type="dxa"/>
            <w:tcBorders>
              <w:top w:val="nil"/>
              <w:left w:val="nil"/>
              <w:bottom w:val="nil"/>
              <w:right w:val="nil"/>
            </w:tcBorders>
            <w:vAlign w:val="center"/>
            <w:hideMark/>
          </w:tcPr>
          <w:p w14:paraId="49C2B272" w14:textId="77777777" w:rsidR="007F446F" w:rsidRDefault="007F446F" w:rsidP="001D13CE">
            <w:pPr>
              <w:keepNext/>
              <w:keepLines/>
              <w:spacing w:after="0" w:line="360" w:lineRule="auto"/>
              <w:jc w:val="center"/>
              <w:rPr>
                <w:rFonts w:ascii="Times New Roman" w:hAnsi="Times New Roman"/>
                <w:sz w:val="20"/>
                <w:szCs w:val="24"/>
              </w:rPr>
            </w:pPr>
            <w:r>
              <w:rPr>
                <w:rFonts w:ascii="Times New Roman" w:hAnsi="Times New Roman"/>
                <w:sz w:val="20"/>
                <w:szCs w:val="24"/>
              </w:rPr>
              <w:t>92</w:t>
            </w:r>
          </w:p>
        </w:tc>
        <w:tc>
          <w:tcPr>
            <w:tcW w:w="881" w:type="dxa"/>
            <w:gridSpan w:val="2"/>
            <w:tcBorders>
              <w:top w:val="nil"/>
              <w:left w:val="nil"/>
              <w:bottom w:val="nil"/>
              <w:right w:val="nil"/>
            </w:tcBorders>
            <w:vAlign w:val="center"/>
            <w:hideMark/>
          </w:tcPr>
          <w:p w14:paraId="4D44A88A" w14:textId="77777777" w:rsidR="007F446F" w:rsidRDefault="007F446F" w:rsidP="001D13CE">
            <w:pPr>
              <w:keepNext/>
              <w:keepLines/>
              <w:spacing w:after="0" w:line="360" w:lineRule="auto"/>
              <w:jc w:val="center"/>
              <w:rPr>
                <w:rFonts w:ascii="Times New Roman" w:hAnsi="Times New Roman"/>
                <w:sz w:val="20"/>
                <w:szCs w:val="24"/>
              </w:rPr>
            </w:pPr>
            <w:r>
              <w:rPr>
                <w:rFonts w:ascii="Times New Roman" w:hAnsi="Times New Roman"/>
                <w:sz w:val="20"/>
                <w:szCs w:val="24"/>
              </w:rPr>
              <w:t>66</w:t>
            </w:r>
          </w:p>
        </w:tc>
        <w:tc>
          <w:tcPr>
            <w:tcW w:w="881" w:type="dxa"/>
            <w:gridSpan w:val="2"/>
            <w:tcBorders>
              <w:top w:val="nil"/>
              <w:left w:val="nil"/>
              <w:bottom w:val="nil"/>
              <w:right w:val="nil"/>
            </w:tcBorders>
            <w:vAlign w:val="center"/>
            <w:hideMark/>
          </w:tcPr>
          <w:p w14:paraId="5E0289E7" w14:textId="77777777" w:rsidR="007F446F" w:rsidRDefault="007F446F" w:rsidP="001D13CE">
            <w:pPr>
              <w:keepNext/>
              <w:keepLines/>
              <w:spacing w:after="0" w:line="360" w:lineRule="auto"/>
              <w:jc w:val="center"/>
              <w:rPr>
                <w:rFonts w:ascii="Times New Roman" w:hAnsi="Times New Roman"/>
                <w:sz w:val="20"/>
                <w:szCs w:val="24"/>
              </w:rPr>
            </w:pPr>
            <w:r>
              <w:rPr>
                <w:rFonts w:ascii="Times New Roman" w:hAnsi="Times New Roman"/>
                <w:sz w:val="20"/>
                <w:szCs w:val="24"/>
              </w:rPr>
              <w:t>92</w:t>
            </w:r>
          </w:p>
        </w:tc>
        <w:tc>
          <w:tcPr>
            <w:tcW w:w="881" w:type="dxa"/>
            <w:tcBorders>
              <w:top w:val="nil"/>
              <w:left w:val="nil"/>
              <w:bottom w:val="nil"/>
              <w:right w:val="nil"/>
            </w:tcBorders>
            <w:vAlign w:val="center"/>
            <w:hideMark/>
          </w:tcPr>
          <w:p w14:paraId="22713F9B" w14:textId="77777777" w:rsidR="007F446F" w:rsidRDefault="007F446F" w:rsidP="001D13CE">
            <w:pPr>
              <w:keepNext/>
              <w:keepLines/>
              <w:spacing w:after="0" w:line="360" w:lineRule="auto"/>
              <w:jc w:val="center"/>
              <w:rPr>
                <w:rFonts w:ascii="Times New Roman" w:hAnsi="Times New Roman"/>
                <w:sz w:val="20"/>
                <w:szCs w:val="24"/>
              </w:rPr>
            </w:pPr>
            <w:r>
              <w:rPr>
                <w:rFonts w:ascii="Times New Roman" w:hAnsi="Times New Roman"/>
                <w:sz w:val="20"/>
                <w:szCs w:val="24"/>
              </w:rPr>
              <w:t>0</w:t>
            </w:r>
          </w:p>
        </w:tc>
        <w:tc>
          <w:tcPr>
            <w:tcW w:w="882" w:type="dxa"/>
            <w:tcBorders>
              <w:top w:val="nil"/>
              <w:left w:val="nil"/>
              <w:bottom w:val="nil"/>
              <w:right w:val="nil"/>
            </w:tcBorders>
            <w:vAlign w:val="center"/>
            <w:hideMark/>
          </w:tcPr>
          <w:p w14:paraId="6DA1EB3B" w14:textId="77777777" w:rsidR="007F446F" w:rsidRDefault="007F446F" w:rsidP="001D13CE">
            <w:pPr>
              <w:keepNext/>
              <w:keepLines/>
              <w:spacing w:after="0" w:line="360" w:lineRule="auto"/>
              <w:jc w:val="center"/>
              <w:rPr>
                <w:rFonts w:ascii="Times New Roman" w:hAnsi="Times New Roman"/>
                <w:sz w:val="20"/>
                <w:szCs w:val="24"/>
              </w:rPr>
            </w:pPr>
            <w:r>
              <w:rPr>
                <w:rFonts w:ascii="Times New Roman" w:hAnsi="Times New Roman"/>
                <w:sz w:val="20"/>
                <w:szCs w:val="24"/>
              </w:rPr>
              <w:t>0</w:t>
            </w:r>
          </w:p>
        </w:tc>
      </w:tr>
      <w:tr w:rsidR="007F446F" w14:paraId="3EF9EEFB" w14:textId="77777777" w:rsidTr="001D13CE">
        <w:trPr>
          <w:trHeight w:val="318"/>
          <w:jc w:val="center"/>
        </w:trPr>
        <w:tc>
          <w:tcPr>
            <w:tcW w:w="2239" w:type="dxa"/>
            <w:tcBorders>
              <w:top w:val="nil"/>
              <w:left w:val="nil"/>
              <w:bottom w:val="nil"/>
              <w:right w:val="nil"/>
            </w:tcBorders>
            <w:vAlign w:val="center"/>
            <w:hideMark/>
          </w:tcPr>
          <w:p w14:paraId="2314E32C" w14:textId="77777777" w:rsidR="007F446F" w:rsidRDefault="007F446F" w:rsidP="001D13CE">
            <w:pPr>
              <w:spacing w:after="0" w:line="360" w:lineRule="auto"/>
              <w:rPr>
                <w:rFonts w:ascii="Times New Roman" w:hAnsi="Times New Roman"/>
                <w:iCs/>
                <w:sz w:val="20"/>
                <w:szCs w:val="24"/>
              </w:rPr>
            </w:pPr>
            <w:r>
              <w:rPr>
                <w:rFonts w:ascii="Times New Roman" w:hAnsi="Times New Roman"/>
                <w:iCs/>
                <w:sz w:val="20"/>
                <w:szCs w:val="24"/>
              </w:rPr>
              <w:t>Ireland</w:t>
            </w:r>
            <w:r w:rsidRPr="00803E13">
              <w:rPr>
                <w:rFonts w:ascii="Times New Roman" w:hAnsi="Times New Roman"/>
                <w:iCs/>
                <w:sz w:val="20"/>
                <w:szCs w:val="24"/>
                <w:vertAlign w:val="superscript"/>
              </w:rPr>
              <w:t>§</w:t>
            </w:r>
          </w:p>
        </w:tc>
        <w:tc>
          <w:tcPr>
            <w:tcW w:w="881" w:type="dxa"/>
            <w:tcBorders>
              <w:top w:val="nil"/>
              <w:left w:val="nil"/>
              <w:bottom w:val="nil"/>
              <w:right w:val="nil"/>
            </w:tcBorders>
            <w:vAlign w:val="center"/>
            <w:hideMark/>
          </w:tcPr>
          <w:p w14:paraId="735BCF0C" w14:textId="77777777" w:rsidR="007F446F" w:rsidRDefault="007F446F" w:rsidP="001D13CE">
            <w:pPr>
              <w:keepNext/>
              <w:keepLines/>
              <w:spacing w:after="0" w:line="360" w:lineRule="auto"/>
              <w:jc w:val="center"/>
              <w:rPr>
                <w:rFonts w:ascii="Times New Roman" w:hAnsi="Times New Roman"/>
                <w:sz w:val="20"/>
                <w:szCs w:val="24"/>
              </w:rPr>
            </w:pPr>
            <w:r>
              <w:rPr>
                <w:rFonts w:ascii="Times New Roman" w:hAnsi="Times New Roman"/>
                <w:sz w:val="20"/>
                <w:szCs w:val="24"/>
              </w:rPr>
              <w:t>0</w:t>
            </w:r>
          </w:p>
        </w:tc>
        <w:tc>
          <w:tcPr>
            <w:tcW w:w="930" w:type="dxa"/>
            <w:tcBorders>
              <w:top w:val="nil"/>
              <w:left w:val="nil"/>
              <w:bottom w:val="nil"/>
              <w:right w:val="nil"/>
            </w:tcBorders>
            <w:vAlign w:val="center"/>
            <w:hideMark/>
          </w:tcPr>
          <w:p w14:paraId="2422E4D0" w14:textId="77777777" w:rsidR="007F446F" w:rsidRDefault="007F446F" w:rsidP="001D13CE">
            <w:pPr>
              <w:keepNext/>
              <w:keepLines/>
              <w:spacing w:after="0" w:line="360" w:lineRule="auto"/>
              <w:jc w:val="center"/>
              <w:rPr>
                <w:rFonts w:ascii="Times New Roman" w:hAnsi="Times New Roman"/>
                <w:sz w:val="20"/>
                <w:szCs w:val="24"/>
              </w:rPr>
            </w:pPr>
            <w:r>
              <w:rPr>
                <w:rFonts w:ascii="Times New Roman" w:hAnsi="Times New Roman"/>
                <w:sz w:val="20"/>
                <w:szCs w:val="24"/>
              </w:rPr>
              <w:t>0</w:t>
            </w:r>
          </w:p>
        </w:tc>
        <w:tc>
          <w:tcPr>
            <w:tcW w:w="771" w:type="dxa"/>
            <w:tcBorders>
              <w:top w:val="nil"/>
              <w:left w:val="nil"/>
              <w:bottom w:val="nil"/>
              <w:right w:val="nil"/>
            </w:tcBorders>
            <w:vAlign w:val="center"/>
            <w:hideMark/>
          </w:tcPr>
          <w:p w14:paraId="69B0D74D" w14:textId="77777777" w:rsidR="007F446F" w:rsidRDefault="007F446F" w:rsidP="001D13CE">
            <w:pPr>
              <w:keepNext/>
              <w:keepLines/>
              <w:spacing w:after="0" w:line="360" w:lineRule="auto"/>
              <w:jc w:val="center"/>
              <w:rPr>
                <w:rFonts w:ascii="Times New Roman" w:hAnsi="Times New Roman"/>
                <w:sz w:val="20"/>
                <w:szCs w:val="24"/>
              </w:rPr>
            </w:pPr>
            <w:r>
              <w:rPr>
                <w:rFonts w:ascii="Times New Roman" w:hAnsi="Times New Roman"/>
                <w:sz w:val="20"/>
                <w:szCs w:val="24"/>
              </w:rPr>
              <w:t>0</w:t>
            </w:r>
          </w:p>
        </w:tc>
        <w:tc>
          <w:tcPr>
            <w:tcW w:w="881" w:type="dxa"/>
            <w:tcBorders>
              <w:top w:val="nil"/>
              <w:left w:val="nil"/>
              <w:bottom w:val="nil"/>
              <w:right w:val="nil"/>
            </w:tcBorders>
            <w:vAlign w:val="center"/>
            <w:hideMark/>
          </w:tcPr>
          <w:p w14:paraId="404099B6" w14:textId="77777777" w:rsidR="007F446F" w:rsidRDefault="007F446F" w:rsidP="001D13CE">
            <w:pPr>
              <w:keepNext/>
              <w:keepLines/>
              <w:spacing w:after="0" w:line="360" w:lineRule="auto"/>
              <w:jc w:val="center"/>
              <w:rPr>
                <w:rFonts w:ascii="Times New Roman" w:hAnsi="Times New Roman"/>
                <w:sz w:val="20"/>
                <w:szCs w:val="24"/>
              </w:rPr>
            </w:pPr>
            <w:r>
              <w:rPr>
                <w:rFonts w:ascii="Times New Roman" w:hAnsi="Times New Roman"/>
                <w:sz w:val="20"/>
                <w:szCs w:val="24"/>
              </w:rPr>
              <w:t>0</w:t>
            </w:r>
          </w:p>
        </w:tc>
        <w:tc>
          <w:tcPr>
            <w:tcW w:w="881" w:type="dxa"/>
            <w:gridSpan w:val="2"/>
            <w:tcBorders>
              <w:top w:val="nil"/>
              <w:left w:val="nil"/>
              <w:bottom w:val="nil"/>
              <w:right w:val="nil"/>
            </w:tcBorders>
            <w:vAlign w:val="center"/>
            <w:hideMark/>
          </w:tcPr>
          <w:p w14:paraId="0955B4CF" w14:textId="77777777" w:rsidR="007F446F" w:rsidRDefault="007F446F" w:rsidP="001D13CE">
            <w:pPr>
              <w:keepNext/>
              <w:keepLines/>
              <w:spacing w:after="0" w:line="360" w:lineRule="auto"/>
              <w:jc w:val="center"/>
              <w:rPr>
                <w:rFonts w:ascii="Times New Roman" w:hAnsi="Times New Roman"/>
                <w:sz w:val="20"/>
                <w:szCs w:val="24"/>
              </w:rPr>
            </w:pPr>
            <w:r>
              <w:rPr>
                <w:rFonts w:ascii="Times New Roman" w:hAnsi="Times New Roman"/>
                <w:sz w:val="20"/>
                <w:szCs w:val="24"/>
              </w:rPr>
              <w:t>0</w:t>
            </w:r>
          </w:p>
        </w:tc>
        <w:tc>
          <w:tcPr>
            <w:tcW w:w="881" w:type="dxa"/>
            <w:gridSpan w:val="2"/>
            <w:tcBorders>
              <w:top w:val="nil"/>
              <w:left w:val="nil"/>
              <w:bottom w:val="nil"/>
              <w:right w:val="nil"/>
            </w:tcBorders>
            <w:vAlign w:val="center"/>
            <w:hideMark/>
          </w:tcPr>
          <w:p w14:paraId="38062CEF" w14:textId="77777777" w:rsidR="007F446F" w:rsidRDefault="007F446F" w:rsidP="001D13CE">
            <w:pPr>
              <w:keepNext/>
              <w:keepLines/>
              <w:spacing w:after="0" w:line="360" w:lineRule="auto"/>
              <w:jc w:val="center"/>
              <w:rPr>
                <w:rFonts w:ascii="Times New Roman" w:hAnsi="Times New Roman"/>
                <w:sz w:val="20"/>
                <w:szCs w:val="24"/>
              </w:rPr>
            </w:pPr>
            <w:r>
              <w:rPr>
                <w:rFonts w:ascii="Times New Roman" w:hAnsi="Times New Roman"/>
                <w:sz w:val="20"/>
                <w:szCs w:val="24"/>
              </w:rPr>
              <w:t>0</w:t>
            </w:r>
          </w:p>
        </w:tc>
        <w:tc>
          <w:tcPr>
            <w:tcW w:w="881" w:type="dxa"/>
            <w:tcBorders>
              <w:top w:val="nil"/>
              <w:left w:val="nil"/>
              <w:bottom w:val="nil"/>
              <w:right w:val="nil"/>
            </w:tcBorders>
            <w:vAlign w:val="center"/>
            <w:hideMark/>
          </w:tcPr>
          <w:p w14:paraId="5FF6AE74" w14:textId="77777777" w:rsidR="007F446F" w:rsidRDefault="007F446F" w:rsidP="001D13CE">
            <w:pPr>
              <w:keepNext/>
              <w:keepLines/>
              <w:spacing w:after="0" w:line="360" w:lineRule="auto"/>
              <w:jc w:val="center"/>
              <w:rPr>
                <w:rFonts w:ascii="Times New Roman" w:hAnsi="Times New Roman"/>
                <w:sz w:val="20"/>
                <w:szCs w:val="24"/>
              </w:rPr>
            </w:pPr>
            <w:r>
              <w:rPr>
                <w:rFonts w:ascii="Times New Roman" w:hAnsi="Times New Roman"/>
                <w:sz w:val="20"/>
                <w:szCs w:val="24"/>
              </w:rPr>
              <w:t>0</w:t>
            </w:r>
          </w:p>
        </w:tc>
        <w:tc>
          <w:tcPr>
            <w:tcW w:w="882" w:type="dxa"/>
            <w:tcBorders>
              <w:top w:val="nil"/>
              <w:left w:val="nil"/>
              <w:bottom w:val="nil"/>
              <w:right w:val="nil"/>
            </w:tcBorders>
            <w:vAlign w:val="center"/>
            <w:hideMark/>
          </w:tcPr>
          <w:p w14:paraId="158F8BFC" w14:textId="77777777" w:rsidR="007F446F" w:rsidRDefault="007F446F" w:rsidP="001D13CE">
            <w:pPr>
              <w:keepNext/>
              <w:keepLines/>
              <w:spacing w:after="0" w:line="360" w:lineRule="auto"/>
              <w:jc w:val="center"/>
              <w:rPr>
                <w:rFonts w:ascii="Times New Roman" w:hAnsi="Times New Roman"/>
                <w:sz w:val="20"/>
                <w:szCs w:val="24"/>
              </w:rPr>
            </w:pPr>
            <w:r>
              <w:rPr>
                <w:rFonts w:ascii="Times New Roman" w:hAnsi="Times New Roman"/>
                <w:sz w:val="20"/>
                <w:szCs w:val="24"/>
              </w:rPr>
              <w:t>0</w:t>
            </w:r>
          </w:p>
        </w:tc>
      </w:tr>
      <w:tr w:rsidR="007F446F" w14:paraId="11F96C10" w14:textId="77777777" w:rsidTr="001D13CE">
        <w:trPr>
          <w:trHeight w:val="318"/>
          <w:jc w:val="center"/>
        </w:trPr>
        <w:tc>
          <w:tcPr>
            <w:tcW w:w="2239" w:type="dxa"/>
            <w:tcBorders>
              <w:top w:val="nil"/>
              <w:left w:val="nil"/>
              <w:bottom w:val="nil"/>
              <w:right w:val="nil"/>
            </w:tcBorders>
            <w:vAlign w:val="center"/>
            <w:hideMark/>
          </w:tcPr>
          <w:p w14:paraId="1551E203" w14:textId="77777777" w:rsidR="007F446F" w:rsidRDefault="007F446F" w:rsidP="001D13CE">
            <w:pPr>
              <w:spacing w:after="0" w:line="360" w:lineRule="auto"/>
              <w:rPr>
                <w:rFonts w:ascii="Times New Roman" w:hAnsi="Times New Roman"/>
                <w:sz w:val="20"/>
                <w:szCs w:val="24"/>
              </w:rPr>
            </w:pPr>
            <w:r>
              <w:rPr>
                <w:rFonts w:ascii="Times New Roman" w:hAnsi="Times New Roman"/>
                <w:iCs/>
                <w:sz w:val="20"/>
                <w:szCs w:val="24"/>
              </w:rPr>
              <w:t>Italy</w:t>
            </w:r>
          </w:p>
        </w:tc>
        <w:tc>
          <w:tcPr>
            <w:tcW w:w="881" w:type="dxa"/>
            <w:tcBorders>
              <w:top w:val="nil"/>
              <w:left w:val="nil"/>
              <w:bottom w:val="nil"/>
              <w:right w:val="nil"/>
            </w:tcBorders>
            <w:vAlign w:val="center"/>
            <w:hideMark/>
          </w:tcPr>
          <w:p w14:paraId="015843DE" w14:textId="77777777" w:rsidR="007F446F" w:rsidRDefault="007F446F" w:rsidP="001D13CE">
            <w:pPr>
              <w:keepNext/>
              <w:keepLines/>
              <w:spacing w:after="0" w:line="360" w:lineRule="auto"/>
              <w:jc w:val="center"/>
              <w:rPr>
                <w:rFonts w:ascii="Times New Roman" w:hAnsi="Times New Roman"/>
                <w:sz w:val="20"/>
                <w:szCs w:val="24"/>
              </w:rPr>
            </w:pPr>
            <w:r>
              <w:rPr>
                <w:rFonts w:ascii="Times New Roman" w:hAnsi="Times New Roman"/>
                <w:sz w:val="20"/>
                <w:szCs w:val="24"/>
              </w:rPr>
              <w:t>55</w:t>
            </w:r>
          </w:p>
        </w:tc>
        <w:tc>
          <w:tcPr>
            <w:tcW w:w="930" w:type="dxa"/>
            <w:tcBorders>
              <w:top w:val="nil"/>
              <w:left w:val="nil"/>
              <w:bottom w:val="nil"/>
              <w:right w:val="nil"/>
            </w:tcBorders>
            <w:vAlign w:val="center"/>
            <w:hideMark/>
          </w:tcPr>
          <w:p w14:paraId="323046A9" w14:textId="77777777" w:rsidR="007F446F" w:rsidRDefault="007F446F" w:rsidP="001D13CE">
            <w:pPr>
              <w:keepNext/>
              <w:keepLines/>
              <w:spacing w:after="0" w:line="360" w:lineRule="auto"/>
              <w:jc w:val="center"/>
              <w:rPr>
                <w:rFonts w:ascii="Times New Roman" w:hAnsi="Times New Roman"/>
                <w:sz w:val="20"/>
                <w:szCs w:val="24"/>
              </w:rPr>
            </w:pPr>
            <w:r>
              <w:rPr>
                <w:rFonts w:ascii="Times New Roman" w:hAnsi="Times New Roman"/>
                <w:sz w:val="20"/>
                <w:szCs w:val="24"/>
              </w:rPr>
              <w:t>95</w:t>
            </w:r>
          </w:p>
        </w:tc>
        <w:tc>
          <w:tcPr>
            <w:tcW w:w="771" w:type="dxa"/>
            <w:tcBorders>
              <w:top w:val="nil"/>
              <w:left w:val="nil"/>
              <w:bottom w:val="nil"/>
              <w:right w:val="nil"/>
            </w:tcBorders>
            <w:vAlign w:val="center"/>
            <w:hideMark/>
          </w:tcPr>
          <w:p w14:paraId="01137EEA" w14:textId="77777777" w:rsidR="007F446F" w:rsidRDefault="007F446F" w:rsidP="001D13CE">
            <w:pPr>
              <w:keepNext/>
              <w:keepLines/>
              <w:spacing w:after="0" w:line="360" w:lineRule="auto"/>
              <w:jc w:val="center"/>
              <w:rPr>
                <w:rFonts w:ascii="Times New Roman" w:hAnsi="Times New Roman"/>
                <w:sz w:val="20"/>
                <w:szCs w:val="24"/>
              </w:rPr>
            </w:pPr>
            <w:r>
              <w:rPr>
                <w:rFonts w:ascii="Times New Roman" w:hAnsi="Times New Roman"/>
                <w:sz w:val="20"/>
                <w:szCs w:val="24"/>
              </w:rPr>
              <w:t>43</w:t>
            </w:r>
          </w:p>
        </w:tc>
        <w:tc>
          <w:tcPr>
            <w:tcW w:w="881" w:type="dxa"/>
            <w:tcBorders>
              <w:top w:val="nil"/>
              <w:left w:val="nil"/>
              <w:bottom w:val="nil"/>
              <w:right w:val="nil"/>
            </w:tcBorders>
            <w:vAlign w:val="center"/>
            <w:hideMark/>
          </w:tcPr>
          <w:p w14:paraId="63F89ADA" w14:textId="77777777" w:rsidR="007F446F" w:rsidRDefault="007F446F" w:rsidP="001D13CE">
            <w:pPr>
              <w:keepNext/>
              <w:keepLines/>
              <w:spacing w:after="0" w:line="360" w:lineRule="auto"/>
              <w:jc w:val="center"/>
              <w:rPr>
                <w:rFonts w:ascii="Times New Roman" w:hAnsi="Times New Roman"/>
                <w:sz w:val="20"/>
                <w:szCs w:val="24"/>
              </w:rPr>
            </w:pPr>
            <w:r>
              <w:rPr>
                <w:rFonts w:ascii="Times New Roman" w:hAnsi="Times New Roman"/>
                <w:sz w:val="20"/>
                <w:szCs w:val="24"/>
              </w:rPr>
              <w:t>92</w:t>
            </w:r>
          </w:p>
        </w:tc>
        <w:tc>
          <w:tcPr>
            <w:tcW w:w="881" w:type="dxa"/>
            <w:gridSpan w:val="2"/>
            <w:tcBorders>
              <w:top w:val="nil"/>
              <w:left w:val="nil"/>
              <w:bottom w:val="nil"/>
              <w:right w:val="nil"/>
            </w:tcBorders>
            <w:vAlign w:val="center"/>
            <w:hideMark/>
          </w:tcPr>
          <w:p w14:paraId="53599C76" w14:textId="77777777" w:rsidR="007F446F" w:rsidRDefault="007F446F" w:rsidP="001D13CE">
            <w:pPr>
              <w:keepNext/>
              <w:keepLines/>
              <w:spacing w:after="0" w:line="360" w:lineRule="auto"/>
              <w:jc w:val="center"/>
              <w:rPr>
                <w:rFonts w:ascii="Times New Roman" w:hAnsi="Times New Roman"/>
                <w:sz w:val="20"/>
                <w:szCs w:val="24"/>
              </w:rPr>
            </w:pPr>
            <w:r>
              <w:rPr>
                <w:rFonts w:ascii="Times New Roman" w:hAnsi="Times New Roman"/>
                <w:sz w:val="20"/>
                <w:szCs w:val="24"/>
              </w:rPr>
              <w:t>0</w:t>
            </w:r>
          </w:p>
        </w:tc>
        <w:tc>
          <w:tcPr>
            <w:tcW w:w="881" w:type="dxa"/>
            <w:gridSpan w:val="2"/>
            <w:tcBorders>
              <w:top w:val="nil"/>
              <w:left w:val="nil"/>
              <w:bottom w:val="nil"/>
              <w:right w:val="nil"/>
            </w:tcBorders>
            <w:vAlign w:val="center"/>
            <w:hideMark/>
          </w:tcPr>
          <w:p w14:paraId="2FD440D9" w14:textId="77777777" w:rsidR="007F446F" w:rsidRDefault="007F446F" w:rsidP="001D13CE">
            <w:pPr>
              <w:keepNext/>
              <w:keepLines/>
              <w:spacing w:after="0" w:line="360" w:lineRule="auto"/>
              <w:jc w:val="center"/>
              <w:rPr>
                <w:rFonts w:ascii="Times New Roman" w:hAnsi="Times New Roman"/>
                <w:sz w:val="20"/>
                <w:szCs w:val="24"/>
              </w:rPr>
            </w:pPr>
            <w:r>
              <w:rPr>
                <w:rFonts w:ascii="Times New Roman" w:hAnsi="Times New Roman"/>
                <w:sz w:val="20"/>
                <w:szCs w:val="24"/>
              </w:rPr>
              <w:t>3</w:t>
            </w:r>
          </w:p>
        </w:tc>
        <w:tc>
          <w:tcPr>
            <w:tcW w:w="881" w:type="dxa"/>
            <w:tcBorders>
              <w:top w:val="nil"/>
              <w:left w:val="nil"/>
              <w:bottom w:val="nil"/>
              <w:right w:val="nil"/>
            </w:tcBorders>
            <w:vAlign w:val="center"/>
            <w:hideMark/>
          </w:tcPr>
          <w:p w14:paraId="7CC88079" w14:textId="77777777" w:rsidR="007F446F" w:rsidRDefault="007F446F" w:rsidP="001D13CE">
            <w:pPr>
              <w:keepNext/>
              <w:keepLines/>
              <w:spacing w:after="0" w:line="360" w:lineRule="auto"/>
              <w:jc w:val="center"/>
              <w:rPr>
                <w:rFonts w:ascii="Times New Roman" w:hAnsi="Times New Roman"/>
                <w:sz w:val="20"/>
                <w:szCs w:val="24"/>
              </w:rPr>
            </w:pPr>
            <w:r>
              <w:rPr>
                <w:rFonts w:ascii="Times New Roman" w:hAnsi="Times New Roman"/>
                <w:sz w:val="20"/>
                <w:szCs w:val="24"/>
              </w:rPr>
              <w:t>0</w:t>
            </w:r>
          </w:p>
        </w:tc>
        <w:tc>
          <w:tcPr>
            <w:tcW w:w="882" w:type="dxa"/>
            <w:tcBorders>
              <w:top w:val="nil"/>
              <w:left w:val="nil"/>
              <w:bottom w:val="nil"/>
              <w:right w:val="nil"/>
            </w:tcBorders>
            <w:vAlign w:val="center"/>
            <w:hideMark/>
          </w:tcPr>
          <w:p w14:paraId="32F59247" w14:textId="77777777" w:rsidR="007F446F" w:rsidRDefault="007F446F" w:rsidP="001D13CE">
            <w:pPr>
              <w:keepNext/>
              <w:keepLines/>
              <w:spacing w:after="0" w:line="360" w:lineRule="auto"/>
              <w:jc w:val="center"/>
              <w:rPr>
                <w:rFonts w:ascii="Times New Roman" w:hAnsi="Times New Roman"/>
                <w:sz w:val="20"/>
                <w:szCs w:val="24"/>
              </w:rPr>
            </w:pPr>
            <w:r>
              <w:rPr>
                <w:rFonts w:ascii="Times New Roman" w:hAnsi="Times New Roman"/>
                <w:sz w:val="20"/>
                <w:szCs w:val="24"/>
              </w:rPr>
              <w:t>3</w:t>
            </w:r>
          </w:p>
        </w:tc>
      </w:tr>
      <w:tr w:rsidR="007F446F" w14:paraId="4CCC4479" w14:textId="77777777" w:rsidTr="001D13CE">
        <w:trPr>
          <w:trHeight w:val="318"/>
          <w:jc w:val="center"/>
        </w:trPr>
        <w:tc>
          <w:tcPr>
            <w:tcW w:w="2239" w:type="dxa"/>
            <w:tcBorders>
              <w:top w:val="nil"/>
              <w:left w:val="nil"/>
              <w:bottom w:val="nil"/>
              <w:right w:val="nil"/>
            </w:tcBorders>
            <w:vAlign w:val="center"/>
            <w:hideMark/>
          </w:tcPr>
          <w:p w14:paraId="28B3531E" w14:textId="77777777" w:rsidR="007F446F" w:rsidRDefault="007F446F" w:rsidP="001D13CE">
            <w:pPr>
              <w:spacing w:after="0" w:line="360" w:lineRule="auto"/>
              <w:rPr>
                <w:rFonts w:ascii="Times New Roman" w:hAnsi="Times New Roman"/>
                <w:sz w:val="20"/>
                <w:szCs w:val="24"/>
              </w:rPr>
            </w:pPr>
            <w:r>
              <w:rPr>
                <w:rFonts w:ascii="Times New Roman" w:hAnsi="Times New Roman"/>
                <w:iCs/>
                <w:sz w:val="20"/>
                <w:szCs w:val="24"/>
              </w:rPr>
              <w:t>Latvia</w:t>
            </w:r>
          </w:p>
        </w:tc>
        <w:tc>
          <w:tcPr>
            <w:tcW w:w="881" w:type="dxa"/>
            <w:tcBorders>
              <w:top w:val="nil"/>
              <w:left w:val="nil"/>
              <w:bottom w:val="nil"/>
              <w:right w:val="nil"/>
            </w:tcBorders>
            <w:vAlign w:val="center"/>
            <w:hideMark/>
          </w:tcPr>
          <w:p w14:paraId="02886D4F" w14:textId="77777777" w:rsidR="007F446F" w:rsidRDefault="007F446F" w:rsidP="001D13CE">
            <w:pPr>
              <w:keepNext/>
              <w:keepLines/>
              <w:spacing w:after="0" w:line="360" w:lineRule="auto"/>
              <w:jc w:val="center"/>
              <w:rPr>
                <w:rFonts w:ascii="Times New Roman" w:hAnsi="Times New Roman"/>
                <w:sz w:val="20"/>
                <w:szCs w:val="24"/>
              </w:rPr>
            </w:pPr>
            <w:r>
              <w:rPr>
                <w:rFonts w:ascii="Times New Roman" w:hAnsi="Times New Roman"/>
                <w:sz w:val="20"/>
                <w:szCs w:val="24"/>
              </w:rPr>
              <w:t>51</w:t>
            </w:r>
          </w:p>
        </w:tc>
        <w:tc>
          <w:tcPr>
            <w:tcW w:w="930" w:type="dxa"/>
            <w:tcBorders>
              <w:top w:val="nil"/>
              <w:left w:val="nil"/>
              <w:bottom w:val="nil"/>
              <w:right w:val="nil"/>
            </w:tcBorders>
            <w:vAlign w:val="center"/>
            <w:hideMark/>
          </w:tcPr>
          <w:p w14:paraId="46D62725" w14:textId="77777777" w:rsidR="007F446F" w:rsidRDefault="007F446F" w:rsidP="001D13CE">
            <w:pPr>
              <w:keepNext/>
              <w:keepLines/>
              <w:spacing w:after="0" w:line="360" w:lineRule="auto"/>
              <w:jc w:val="center"/>
              <w:rPr>
                <w:rFonts w:ascii="Times New Roman" w:hAnsi="Times New Roman"/>
                <w:sz w:val="20"/>
                <w:szCs w:val="24"/>
              </w:rPr>
            </w:pPr>
            <w:r>
              <w:rPr>
                <w:rFonts w:ascii="Times New Roman" w:hAnsi="Times New Roman"/>
                <w:sz w:val="20"/>
                <w:szCs w:val="24"/>
              </w:rPr>
              <w:t>92</w:t>
            </w:r>
          </w:p>
        </w:tc>
        <w:tc>
          <w:tcPr>
            <w:tcW w:w="771" w:type="dxa"/>
            <w:tcBorders>
              <w:top w:val="nil"/>
              <w:left w:val="nil"/>
              <w:bottom w:val="nil"/>
              <w:right w:val="nil"/>
            </w:tcBorders>
            <w:vAlign w:val="center"/>
            <w:hideMark/>
          </w:tcPr>
          <w:p w14:paraId="20A8A02B" w14:textId="77777777" w:rsidR="007F446F" w:rsidRDefault="007F446F" w:rsidP="001D13CE">
            <w:pPr>
              <w:keepNext/>
              <w:keepLines/>
              <w:spacing w:after="0" w:line="360" w:lineRule="auto"/>
              <w:jc w:val="center"/>
              <w:rPr>
                <w:rFonts w:ascii="Times New Roman" w:hAnsi="Times New Roman"/>
                <w:sz w:val="20"/>
                <w:szCs w:val="24"/>
              </w:rPr>
            </w:pPr>
            <w:r>
              <w:rPr>
                <w:rFonts w:ascii="Times New Roman" w:hAnsi="Times New Roman"/>
                <w:sz w:val="20"/>
                <w:szCs w:val="24"/>
              </w:rPr>
              <w:t>41</w:t>
            </w:r>
          </w:p>
        </w:tc>
        <w:tc>
          <w:tcPr>
            <w:tcW w:w="881" w:type="dxa"/>
            <w:tcBorders>
              <w:top w:val="nil"/>
              <w:left w:val="nil"/>
              <w:bottom w:val="nil"/>
              <w:right w:val="nil"/>
            </w:tcBorders>
            <w:vAlign w:val="center"/>
            <w:hideMark/>
          </w:tcPr>
          <w:p w14:paraId="0015676B" w14:textId="77777777" w:rsidR="007F446F" w:rsidRDefault="007F446F" w:rsidP="001D13CE">
            <w:pPr>
              <w:keepNext/>
              <w:keepLines/>
              <w:spacing w:after="0" w:line="360" w:lineRule="auto"/>
              <w:jc w:val="center"/>
              <w:rPr>
                <w:rFonts w:ascii="Times New Roman" w:hAnsi="Times New Roman"/>
                <w:sz w:val="20"/>
                <w:szCs w:val="24"/>
              </w:rPr>
            </w:pPr>
            <w:r>
              <w:rPr>
                <w:rFonts w:ascii="Times New Roman" w:hAnsi="Times New Roman"/>
                <w:sz w:val="20"/>
                <w:szCs w:val="24"/>
              </w:rPr>
              <w:t>91</w:t>
            </w:r>
          </w:p>
        </w:tc>
        <w:tc>
          <w:tcPr>
            <w:tcW w:w="881" w:type="dxa"/>
            <w:gridSpan w:val="2"/>
            <w:tcBorders>
              <w:top w:val="nil"/>
              <w:left w:val="nil"/>
              <w:bottom w:val="nil"/>
              <w:right w:val="nil"/>
            </w:tcBorders>
            <w:vAlign w:val="center"/>
            <w:hideMark/>
          </w:tcPr>
          <w:p w14:paraId="502D2686" w14:textId="77777777" w:rsidR="007F446F" w:rsidRDefault="007F446F" w:rsidP="001D13CE">
            <w:pPr>
              <w:keepNext/>
              <w:keepLines/>
              <w:spacing w:after="0" w:line="360" w:lineRule="auto"/>
              <w:jc w:val="center"/>
              <w:rPr>
                <w:rFonts w:ascii="Times New Roman" w:hAnsi="Times New Roman"/>
                <w:sz w:val="20"/>
                <w:szCs w:val="24"/>
              </w:rPr>
            </w:pPr>
            <w:r>
              <w:rPr>
                <w:rFonts w:ascii="Times New Roman" w:hAnsi="Times New Roman"/>
                <w:sz w:val="20"/>
                <w:szCs w:val="24"/>
              </w:rPr>
              <w:t>40</w:t>
            </w:r>
          </w:p>
        </w:tc>
        <w:tc>
          <w:tcPr>
            <w:tcW w:w="881" w:type="dxa"/>
            <w:gridSpan w:val="2"/>
            <w:tcBorders>
              <w:top w:val="nil"/>
              <w:left w:val="nil"/>
              <w:bottom w:val="nil"/>
              <w:right w:val="nil"/>
            </w:tcBorders>
            <w:vAlign w:val="center"/>
            <w:hideMark/>
          </w:tcPr>
          <w:p w14:paraId="6F2BB46D" w14:textId="77777777" w:rsidR="007F446F" w:rsidRDefault="007F446F" w:rsidP="001D13CE">
            <w:pPr>
              <w:keepNext/>
              <w:keepLines/>
              <w:spacing w:after="0" w:line="360" w:lineRule="auto"/>
              <w:jc w:val="center"/>
              <w:rPr>
                <w:rFonts w:ascii="Times New Roman" w:hAnsi="Times New Roman"/>
                <w:sz w:val="20"/>
                <w:szCs w:val="24"/>
              </w:rPr>
            </w:pPr>
            <w:r>
              <w:rPr>
                <w:rFonts w:ascii="Times New Roman" w:hAnsi="Times New Roman"/>
                <w:sz w:val="20"/>
                <w:szCs w:val="24"/>
              </w:rPr>
              <w:t>91</w:t>
            </w:r>
          </w:p>
        </w:tc>
        <w:tc>
          <w:tcPr>
            <w:tcW w:w="881" w:type="dxa"/>
            <w:tcBorders>
              <w:top w:val="nil"/>
              <w:left w:val="nil"/>
              <w:bottom w:val="nil"/>
              <w:right w:val="nil"/>
            </w:tcBorders>
            <w:vAlign w:val="center"/>
            <w:hideMark/>
          </w:tcPr>
          <w:p w14:paraId="7AB5A797" w14:textId="77777777" w:rsidR="007F446F" w:rsidRDefault="007F446F" w:rsidP="001D13CE">
            <w:pPr>
              <w:keepNext/>
              <w:keepLines/>
              <w:spacing w:after="0" w:line="360" w:lineRule="auto"/>
              <w:jc w:val="center"/>
              <w:rPr>
                <w:rFonts w:ascii="Times New Roman" w:hAnsi="Times New Roman"/>
                <w:sz w:val="20"/>
                <w:szCs w:val="24"/>
              </w:rPr>
            </w:pPr>
            <w:r>
              <w:rPr>
                <w:rFonts w:ascii="Times New Roman" w:hAnsi="Times New Roman"/>
                <w:sz w:val="20"/>
                <w:szCs w:val="24"/>
              </w:rPr>
              <w:t>3</w:t>
            </w:r>
          </w:p>
        </w:tc>
        <w:tc>
          <w:tcPr>
            <w:tcW w:w="882" w:type="dxa"/>
            <w:tcBorders>
              <w:top w:val="nil"/>
              <w:left w:val="nil"/>
              <w:bottom w:val="nil"/>
              <w:right w:val="nil"/>
            </w:tcBorders>
            <w:vAlign w:val="center"/>
            <w:hideMark/>
          </w:tcPr>
          <w:p w14:paraId="25EB3E93" w14:textId="77777777" w:rsidR="007F446F" w:rsidRDefault="007F446F" w:rsidP="001D13CE">
            <w:pPr>
              <w:keepNext/>
              <w:keepLines/>
              <w:spacing w:after="0" w:line="360" w:lineRule="auto"/>
              <w:jc w:val="center"/>
              <w:rPr>
                <w:rFonts w:ascii="Times New Roman" w:hAnsi="Times New Roman"/>
                <w:sz w:val="20"/>
                <w:szCs w:val="24"/>
              </w:rPr>
            </w:pPr>
            <w:r>
              <w:rPr>
                <w:rFonts w:ascii="Times New Roman" w:hAnsi="Times New Roman"/>
                <w:sz w:val="20"/>
                <w:szCs w:val="24"/>
              </w:rPr>
              <w:t>36</w:t>
            </w:r>
          </w:p>
        </w:tc>
      </w:tr>
      <w:tr w:rsidR="007F446F" w14:paraId="74382A90" w14:textId="77777777" w:rsidTr="001D13CE">
        <w:trPr>
          <w:trHeight w:val="318"/>
          <w:jc w:val="center"/>
        </w:trPr>
        <w:tc>
          <w:tcPr>
            <w:tcW w:w="2239" w:type="dxa"/>
            <w:tcBorders>
              <w:top w:val="nil"/>
              <w:left w:val="nil"/>
              <w:bottom w:val="nil"/>
              <w:right w:val="nil"/>
            </w:tcBorders>
            <w:vAlign w:val="center"/>
            <w:hideMark/>
          </w:tcPr>
          <w:p w14:paraId="536BC334" w14:textId="77777777" w:rsidR="007F446F" w:rsidRDefault="007F446F" w:rsidP="001D13CE">
            <w:pPr>
              <w:spacing w:after="0" w:line="360" w:lineRule="auto"/>
              <w:rPr>
                <w:rFonts w:ascii="Times New Roman" w:hAnsi="Times New Roman"/>
                <w:sz w:val="20"/>
                <w:szCs w:val="24"/>
              </w:rPr>
            </w:pPr>
            <w:r>
              <w:rPr>
                <w:rFonts w:ascii="Times New Roman" w:hAnsi="Times New Roman"/>
                <w:iCs/>
                <w:sz w:val="20"/>
                <w:szCs w:val="24"/>
              </w:rPr>
              <w:t>Lithuania</w:t>
            </w:r>
          </w:p>
        </w:tc>
        <w:tc>
          <w:tcPr>
            <w:tcW w:w="881" w:type="dxa"/>
            <w:tcBorders>
              <w:top w:val="nil"/>
              <w:left w:val="nil"/>
              <w:bottom w:val="nil"/>
              <w:right w:val="nil"/>
            </w:tcBorders>
            <w:vAlign w:val="center"/>
            <w:hideMark/>
          </w:tcPr>
          <w:p w14:paraId="682C7549" w14:textId="77777777" w:rsidR="007F446F" w:rsidRDefault="007F446F" w:rsidP="001D13CE">
            <w:pPr>
              <w:keepNext/>
              <w:keepLines/>
              <w:spacing w:after="0" w:line="360" w:lineRule="auto"/>
              <w:jc w:val="center"/>
              <w:rPr>
                <w:rFonts w:ascii="Times New Roman" w:hAnsi="Times New Roman"/>
                <w:sz w:val="20"/>
                <w:szCs w:val="24"/>
              </w:rPr>
            </w:pPr>
            <w:r>
              <w:rPr>
                <w:rFonts w:ascii="Times New Roman" w:hAnsi="Times New Roman"/>
                <w:sz w:val="20"/>
                <w:szCs w:val="24"/>
              </w:rPr>
              <w:t>63</w:t>
            </w:r>
          </w:p>
        </w:tc>
        <w:tc>
          <w:tcPr>
            <w:tcW w:w="930" w:type="dxa"/>
            <w:tcBorders>
              <w:top w:val="nil"/>
              <w:left w:val="nil"/>
              <w:bottom w:val="nil"/>
              <w:right w:val="nil"/>
            </w:tcBorders>
            <w:vAlign w:val="center"/>
            <w:hideMark/>
          </w:tcPr>
          <w:p w14:paraId="0C9C51BB" w14:textId="77777777" w:rsidR="007F446F" w:rsidRDefault="007F446F" w:rsidP="001D13CE">
            <w:pPr>
              <w:keepNext/>
              <w:keepLines/>
              <w:spacing w:after="0" w:line="360" w:lineRule="auto"/>
              <w:jc w:val="center"/>
              <w:rPr>
                <w:rFonts w:ascii="Times New Roman" w:hAnsi="Times New Roman"/>
                <w:sz w:val="20"/>
                <w:szCs w:val="24"/>
              </w:rPr>
            </w:pPr>
            <w:r>
              <w:rPr>
                <w:rFonts w:ascii="Times New Roman" w:hAnsi="Times New Roman"/>
                <w:sz w:val="20"/>
                <w:szCs w:val="24"/>
              </w:rPr>
              <w:t>93</w:t>
            </w:r>
          </w:p>
        </w:tc>
        <w:tc>
          <w:tcPr>
            <w:tcW w:w="771" w:type="dxa"/>
            <w:tcBorders>
              <w:top w:val="nil"/>
              <w:left w:val="nil"/>
              <w:bottom w:val="nil"/>
              <w:right w:val="nil"/>
            </w:tcBorders>
            <w:vAlign w:val="center"/>
            <w:hideMark/>
          </w:tcPr>
          <w:p w14:paraId="63F82F19" w14:textId="77777777" w:rsidR="007F446F" w:rsidRDefault="007F446F" w:rsidP="001D13CE">
            <w:pPr>
              <w:keepNext/>
              <w:keepLines/>
              <w:spacing w:after="0" w:line="360" w:lineRule="auto"/>
              <w:jc w:val="center"/>
              <w:rPr>
                <w:rFonts w:ascii="Times New Roman" w:hAnsi="Times New Roman"/>
                <w:sz w:val="20"/>
                <w:szCs w:val="24"/>
              </w:rPr>
            </w:pPr>
            <w:r>
              <w:rPr>
                <w:rFonts w:ascii="Times New Roman" w:hAnsi="Times New Roman"/>
                <w:sz w:val="20"/>
                <w:szCs w:val="24"/>
              </w:rPr>
              <w:t>52</w:t>
            </w:r>
          </w:p>
        </w:tc>
        <w:tc>
          <w:tcPr>
            <w:tcW w:w="881" w:type="dxa"/>
            <w:tcBorders>
              <w:top w:val="nil"/>
              <w:left w:val="nil"/>
              <w:bottom w:val="nil"/>
              <w:right w:val="nil"/>
            </w:tcBorders>
            <w:vAlign w:val="center"/>
            <w:hideMark/>
          </w:tcPr>
          <w:p w14:paraId="4333CCD1" w14:textId="77777777" w:rsidR="007F446F" w:rsidRDefault="007F446F" w:rsidP="001D13CE">
            <w:pPr>
              <w:keepNext/>
              <w:keepLines/>
              <w:spacing w:after="0" w:line="360" w:lineRule="auto"/>
              <w:jc w:val="center"/>
              <w:rPr>
                <w:rFonts w:ascii="Times New Roman" w:hAnsi="Times New Roman"/>
                <w:sz w:val="20"/>
                <w:szCs w:val="24"/>
              </w:rPr>
            </w:pPr>
            <w:r>
              <w:rPr>
                <w:rFonts w:ascii="Times New Roman" w:hAnsi="Times New Roman"/>
                <w:sz w:val="20"/>
                <w:szCs w:val="24"/>
              </w:rPr>
              <w:t>92</w:t>
            </w:r>
          </w:p>
        </w:tc>
        <w:tc>
          <w:tcPr>
            <w:tcW w:w="881" w:type="dxa"/>
            <w:gridSpan w:val="2"/>
            <w:tcBorders>
              <w:top w:val="nil"/>
              <w:left w:val="nil"/>
              <w:bottom w:val="nil"/>
              <w:right w:val="nil"/>
            </w:tcBorders>
            <w:vAlign w:val="center"/>
            <w:hideMark/>
          </w:tcPr>
          <w:p w14:paraId="354535A2" w14:textId="77777777" w:rsidR="007F446F" w:rsidRDefault="007F446F" w:rsidP="001D13CE">
            <w:pPr>
              <w:keepNext/>
              <w:keepLines/>
              <w:spacing w:after="0" w:line="360" w:lineRule="auto"/>
              <w:jc w:val="center"/>
              <w:rPr>
                <w:rFonts w:ascii="Times New Roman" w:hAnsi="Times New Roman"/>
                <w:sz w:val="20"/>
                <w:szCs w:val="24"/>
              </w:rPr>
            </w:pPr>
            <w:r>
              <w:rPr>
                <w:rFonts w:ascii="Times New Roman" w:hAnsi="Times New Roman"/>
                <w:sz w:val="20"/>
                <w:szCs w:val="24"/>
              </w:rPr>
              <w:t>41</w:t>
            </w:r>
          </w:p>
        </w:tc>
        <w:tc>
          <w:tcPr>
            <w:tcW w:w="881" w:type="dxa"/>
            <w:gridSpan w:val="2"/>
            <w:tcBorders>
              <w:top w:val="nil"/>
              <w:left w:val="nil"/>
              <w:bottom w:val="nil"/>
              <w:right w:val="nil"/>
            </w:tcBorders>
            <w:vAlign w:val="center"/>
            <w:hideMark/>
          </w:tcPr>
          <w:p w14:paraId="3B275B2C" w14:textId="77777777" w:rsidR="007F446F" w:rsidRDefault="007F446F" w:rsidP="001D13CE">
            <w:pPr>
              <w:keepNext/>
              <w:keepLines/>
              <w:spacing w:after="0" w:line="360" w:lineRule="auto"/>
              <w:jc w:val="center"/>
              <w:rPr>
                <w:rFonts w:ascii="Times New Roman" w:hAnsi="Times New Roman"/>
                <w:sz w:val="20"/>
                <w:szCs w:val="24"/>
              </w:rPr>
            </w:pPr>
            <w:r>
              <w:rPr>
                <w:rFonts w:ascii="Times New Roman" w:hAnsi="Times New Roman"/>
                <w:sz w:val="20"/>
                <w:szCs w:val="24"/>
              </w:rPr>
              <w:t>85</w:t>
            </w:r>
          </w:p>
        </w:tc>
        <w:tc>
          <w:tcPr>
            <w:tcW w:w="881" w:type="dxa"/>
            <w:tcBorders>
              <w:top w:val="nil"/>
              <w:left w:val="nil"/>
              <w:bottom w:val="nil"/>
              <w:right w:val="nil"/>
            </w:tcBorders>
            <w:vAlign w:val="center"/>
            <w:hideMark/>
          </w:tcPr>
          <w:p w14:paraId="6FE18039" w14:textId="77777777" w:rsidR="007F446F" w:rsidRDefault="007F446F" w:rsidP="001D13CE">
            <w:pPr>
              <w:keepNext/>
              <w:keepLines/>
              <w:spacing w:after="0" w:line="360" w:lineRule="auto"/>
              <w:jc w:val="center"/>
              <w:rPr>
                <w:rFonts w:ascii="Times New Roman" w:hAnsi="Times New Roman"/>
                <w:sz w:val="20"/>
                <w:szCs w:val="24"/>
              </w:rPr>
            </w:pPr>
            <w:r>
              <w:rPr>
                <w:rFonts w:ascii="Times New Roman" w:hAnsi="Times New Roman"/>
                <w:sz w:val="20"/>
                <w:szCs w:val="24"/>
              </w:rPr>
              <w:t>0</w:t>
            </w:r>
          </w:p>
        </w:tc>
        <w:tc>
          <w:tcPr>
            <w:tcW w:w="882" w:type="dxa"/>
            <w:tcBorders>
              <w:top w:val="nil"/>
              <w:left w:val="nil"/>
              <w:bottom w:val="nil"/>
              <w:right w:val="nil"/>
            </w:tcBorders>
            <w:vAlign w:val="center"/>
            <w:hideMark/>
          </w:tcPr>
          <w:p w14:paraId="3900F15C" w14:textId="77777777" w:rsidR="007F446F" w:rsidRDefault="007F446F" w:rsidP="001D13CE">
            <w:pPr>
              <w:keepNext/>
              <w:keepLines/>
              <w:spacing w:after="0" w:line="360" w:lineRule="auto"/>
              <w:jc w:val="center"/>
              <w:rPr>
                <w:rFonts w:ascii="Times New Roman" w:hAnsi="Times New Roman"/>
                <w:sz w:val="20"/>
                <w:szCs w:val="24"/>
              </w:rPr>
            </w:pPr>
            <w:r>
              <w:rPr>
                <w:rFonts w:ascii="Times New Roman" w:hAnsi="Times New Roman"/>
                <w:sz w:val="20"/>
                <w:szCs w:val="24"/>
              </w:rPr>
              <w:t>9</w:t>
            </w:r>
          </w:p>
        </w:tc>
      </w:tr>
      <w:tr w:rsidR="007F446F" w14:paraId="46C928DF" w14:textId="77777777" w:rsidTr="001D13CE">
        <w:trPr>
          <w:trHeight w:val="318"/>
          <w:jc w:val="center"/>
        </w:trPr>
        <w:tc>
          <w:tcPr>
            <w:tcW w:w="2239" w:type="dxa"/>
            <w:tcBorders>
              <w:top w:val="nil"/>
              <w:left w:val="nil"/>
              <w:bottom w:val="nil"/>
              <w:right w:val="nil"/>
            </w:tcBorders>
            <w:vAlign w:val="center"/>
            <w:hideMark/>
          </w:tcPr>
          <w:p w14:paraId="29C5D5D8" w14:textId="77777777" w:rsidR="007F446F" w:rsidRDefault="007F446F" w:rsidP="001D13CE">
            <w:pPr>
              <w:spacing w:after="0" w:line="360" w:lineRule="auto"/>
              <w:rPr>
                <w:rFonts w:ascii="Times New Roman" w:hAnsi="Times New Roman"/>
                <w:bCs/>
                <w:iCs/>
                <w:sz w:val="20"/>
                <w:szCs w:val="24"/>
              </w:rPr>
            </w:pPr>
            <w:r>
              <w:rPr>
                <w:rFonts w:ascii="Times New Roman" w:hAnsi="Times New Roman"/>
                <w:bCs/>
                <w:iCs/>
                <w:sz w:val="20"/>
                <w:szCs w:val="24"/>
              </w:rPr>
              <w:t>Luxembourg</w:t>
            </w:r>
          </w:p>
        </w:tc>
        <w:tc>
          <w:tcPr>
            <w:tcW w:w="881" w:type="dxa"/>
            <w:tcBorders>
              <w:top w:val="nil"/>
              <w:left w:val="nil"/>
              <w:bottom w:val="nil"/>
              <w:right w:val="nil"/>
            </w:tcBorders>
            <w:vAlign w:val="center"/>
            <w:hideMark/>
          </w:tcPr>
          <w:p w14:paraId="25A978F1" w14:textId="77777777" w:rsidR="007F446F" w:rsidRDefault="007F446F" w:rsidP="001D13CE">
            <w:pPr>
              <w:keepNext/>
              <w:keepLines/>
              <w:spacing w:after="0" w:line="360" w:lineRule="auto"/>
              <w:jc w:val="center"/>
              <w:rPr>
                <w:rFonts w:ascii="Times New Roman" w:hAnsi="Times New Roman"/>
                <w:sz w:val="20"/>
                <w:szCs w:val="24"/>
              </w:rPr>
            </w:pPr>
            <w:r>
              <w:rPr>
                <w:rFonts w:ascii="Times New Roman" w:hAnsi="Times New Roman"/>
                <w:sz w:val="20"/>
                <w:szCs w:val="24"/>
              </w:rPr>
              <w:t>14</w:t>
            </w:r>
          </w:p>
        </w:tc>
        <w:tc>
          <w:tcPr>
            <w:tcW w:w="930" w:type="dxa"/>
            <w:tcBorders>
              <w:top w:val="nil"/>
              <w:left w:val="nil"/>
              <w:bottom w:val="nil"/>
              <w:right w:val="nil"/>
            </w:tcBorders>
            <w:vAlign w:val="center"/>
            <w:hideMark/>
          </w:tcPr>
          <w:p w14:paraId="7191753D" w14:textId="77777777" w:rsidR="007F446F" w:rsidRDefault="007F446F" w:rsidP="001D13CE">
            <w:pPr>
              <w:keepNext/>
              <w:keepLines/>
              <w:spacing w:after="0" w:line="360" w:lineRule="auto"/>
              <w:jc w:val="center"/>
              <w:rPr>
                <w:rFonts w:ascii="Times New Roman" w:hAnsi="Times New Roman"/>
                <w:sz w:val="20"/>
                <w:szCs w:val="24"/>
              </w:rPr>
            </w:pPr>
            <w:r>
              <w:rPr>
                <w:rFonts w:ascii="Times New Roman" w:hAnsi="Times New Roman"/>
                <w:sz w:val="20"/>
                <w:szCs w:val="24"/>
              </w:rPr>
              <w:t>84</w:t>
            </w:r>
          </w:p>
        </w:tc>
        <w:tc>
          <w:tcPr>
            <w:tcW w:w="771" w:type="dxa"/>
            <w:tcBorders>
              <w:top w:val="nil"/>
              <w:left w:val="nil"/>
              <w:bottom w:val="nil"/>
              <w:right w:val="nil"/>
            </w:tcBorders>
            <w:vAlign w:val="center"/>
            <w:hideMark/>
          </w:tcPr>
          <w:p w14:paraId="744B8E22" w14:textId="77777777" w:rsidR="007F446F" w:rsidRDefault="007F446F" w:rsidP="001D13CE">
            <w:pPr>
              <w:keepNext/>
              <w:keepLines/>
              <w:spacing w:after="0" w:line="360" w:lineRule="auto"/>
              <w:jc w:val="center"/>
              <w:rPr>
                <w:rFonts w:ascii="Times New Roman" w:hAnsi="Times New Roman"/>
                <w:sz w:val="20"/>
                <w:szCs w:val="24"/>
              </w:rPr>
            </w:pPr>
            <w:r>
              <w:rPr>
                <w:rFonts w:ascii="Times New Roman" w:hAnsi="Times New Roman"/>
                <w:sz w:val="20"/>
                <w:szCs w:val="24"/>
              </w:rPr>
              <w:t>2</w:t>
            </w:r>
          </w:p>
        </w:tc>
        <w:tc>
          <w:tcPr>
            <w:tcW w:w="881" w:type="dxa"/>
            <w:tcBorders>
              <w:top w:val="nil"/>
              <w:left w:val="nil"/>
              <w:bottom w:val="nil"/>
              <w:right w:val="nil"/>
            </w:tcBorders>
            <w:vAlign w:val="center"/>
            <w:hideMark/>
          </w:tcPr>
          <w:p w14:paraId="11989AA0" w14:textId="77777777" w:rsidR="007F446F" w:rsidRDefault="007F446F" w:rsidP="001D13CE">
            <w:pPr>
              <w:keepNext/>
              <w:keepLines/>
              <w:spacing w:after="0" w:line="360" w:lineRule="auto"/>
              <w:jc w:val="center"/>
              <w:rPr>
                <w:rFonts w:ascii="Times New Roman" w:hAnsi="Times New Roman"/>
                <w:sz w:val="20"/>
                <w:szCs w:val="24"/>
              </w:rPr>
            </w:pPr>
            <w:r>
              <w:rPr>
                <w:rFonts w:ascii="Times New Roman" w:hAnsi="Times New Roman"/>
                <w:sz w:val="20"/>
                <w:szCs w:val="24"/>
              </w:rPr>
              <w:t>11</w:t>
            </w:r>
          </w:p>
        </w:tc>
        <w:tc>
          <w:tcPr>
            <w:tcW w:w="881" w:type="dxa"/>
            <w:gridSpan w:val="2"/>
            <w:tcBorders>
              <w:top w:val="nil"/>
              <w:left w:val="nil"/>
              <w:bottom w:val="nil"/>
              <w:right w:val="nil"/>
            </w:tcBorders>
            <w:vAlign w:val="center"/>
            <w:hideMark/>
          </w:tcPr>
          <w:p w14:paraId="2670B1BC" w14:textId="77777777" w:rsidR="007F446F" w:rsidRDefault="007F446F" w:rsidP="001D13CE">
            <w:pPr>
              <w:keepNext/>
              <w:keepLines/>
              <w:spacing w:after="0" w:line="360" w:lineRule="auto"/>
              <w:jc w:val="center"/>
              <w:rPr>
                <w:rFonts w:ascii="Times New Roman" w:hAnsi="Times New Roman"/>
                <w:sz w:val="20"/>
                <w:szCs w:val="24"/>
              </w:rPr>
            </w:pPr>
            <w:r>
              <w:rPr>
                <w:rFonts w:ascii="Times New Roman" w:hAnsi="Times New Roman"/>
                <w:sz w:val="20"/>
                <w:szCs w:val="24"/>
              </w:rPr>
              <w:t>2</w:t>
            </w:r>
          </w:p>
        </w:tc>
        <w:tc>
          <w:tcPr>
            <w:tcW w:w="881" w:type="dxa"/>
            <w:gridSpan w:val="2"/>
            <w:tcBorders>
              <w:top w:val="nil"/>
              <w:left w:val="nil"/>
              <w:bottom w:val="nil"/>
              <w:right w:val="nil"/>
            </w:tcBorders>
            <w:vAlign w:val="center"/>
            <w:hideMark/>
          </w:tcPr>
          <w:p w14:paraId="4C5F4952" w14:textId="77777777" w:rsidR="007F446F" w:rsidRDefault="007F446F" w:rsidP="001D13CE">
            <w:pPr>
              <w:keepNext/>
              <w:keepLines/>
              <w:spacing w:after="0" w:line="360" w:lineRule="auto"/>
              <w:jc w:val="center"/>
              <w:rPr>
                <w:rFonts w:ascii="Times New Roman" w:hAnsi="Times New Roman"/>
                <w:sz w:val="20"/>
                <w:szCs w:val="24"/>
              </w:rPr>
            </w:pPr>
            <w:r>
              <w:rPr>
                <w:rFonts w:ascii="Times New Roman" w:hAnsi="Times New Roman"/>
                <w:sz w:val="20"/>
                <w:szCs w:val="24"/>
              </w:rPr>
              <w:t>10</w:t>
            </w:r>
          </w:p>
        </w:tc>
        <w:tc>
          <w:tcPr>
            <w:tcW w:w="881" w:type="dxa"/>
            <w:tcBorders>
              <w:top w:val="nil"/>
              <w:left w:val="nil"/>
              <w:bottom w:val="nil"/>
              <w:right w:val="nil"/>
            </w:tcBorders>
            <w:vAlign w:val="center"/>
            <w:hideMark/>
          </w:tcPr>
          <w:p w14:paraId="7E8CA853" w14:textId="77777777" w:rsidR="007F446F" w:rsidRDefault="007F446F" w:rsidP="001D13CE">
            <w:pPr>
              <w:keepNext/>
              <w:keepLines/>
              <w:spacing w:after="0" w:line="360" w:lineRule="auto"/>
              <w:jc w:val="center"/>
              <w:rPr>
                <w:rFonts w:ascii="Times New Roman" w:hAnsi="Times New Roman"/>
                <w:sz w:val="20"/>
                <w:szCs w:val="24"/>
              </w:rPr>
            </w:pPr>
            <w:r>
              <w:rPr>
                <w:rFonts w:ascii="Times New Roman" w:hAnsi="Times New Roman"/>
                <w:sz w:val="20"/>
                <w:szCs w:val="24"/>
              </w:rPr>
              <w:t>2</w:t>
            </w:r>
          </w:p>
        </w:tc>
        <w:tc>
          <w:tcPr>
            <w:tcW w:w="882" w:type="dxa"/>
            <w:tcBorders>
              <w:top w:val="nil"/>
              <w:left w:val="nil"/>
              <w:bottom w:val="nil"/>
              <w:right w:val="nil"/>
            </w:tcBorders>
            <w:vAlign w:val="center"/>
            <w:hideMark/>
          </w:tcPr>
          <w:p w14:paraId="75227AAD" w14:textId="77777777" w:rsidR="007F446F" w:rsidRDefault="007F446F" w:rsidP="001D13CE">
            <w:pPr>
              <w:keepNext/>
              <w:keepLines/>
              <w:spacing w:after="0" w:line="360" w:lineRule="auto"/>
              <w:jc w:val="center"/>
              <w:rPr>
                <w:rFonts w:ascii="Times New Roman" w:hAnsi="Times New Roman"/>
                <w:sz w:val="20"/>
                <w:szCs w:val="24"/>
              </w:rPr>
            </w:pPr>
            <w:r>
              <w:rPr>
                <w:rFonts w:ascii="Times New Roman" w:hAnsi="Times New Roman"/>
                <w:sz w:val="20"/>
                <w:szCs w:val="24"/>
              </w:rPr>
              <w:t>9</w:t>
            </w:r>
          </w:p>
        </w:tc>
      </w:tr>
      <w:tr w:rsidR="007F446F" w14:paraId="773C60D3" w14:textId="77777777" w:rsidTr="001D13CE">
        <w:trPr>
          <w:trHeight w:val="318"/>
          <w:jc w:val="center"/>
        </w:trPr>
        <w:tc>
          <w:tcPr>
            <w:tcW w:w="2239" w:type="dxa"/>
            <w:tcBorders>
              <w:top w:val="nil"/>
              <w:left w:val="nil"/>
              <w:bottom w:val="nil"/>
              <w:right w:val="nil"/>
            </w:tcBorders>
            <w:vAlign w:val="center"/>
            <w:hideMark/>
          </w:tcPr>
          <w:p w14:paraId="2E31CDC0" w14:textId="77777777" w:rsidR="007F446F" w:rsidRDefault="007F446F" w:rsidP="001D13CE">
            <w:pPr>
              <w:spacing w:after="0" w:line="360" w:lineRule="auto"/>
              <w:rPr>
                <w:rFonts w:ascii="Times New Roman" w:hAnsi="Times New Roman"/>
                <w:bCs/>
                <w:iCs/>
                <w:sz w:val="20"/>
                <w:szCs w:val="24"/>
              </w:rPr>
            </w:pPr>
            <w:r>
              <w:rPr>
                <w:rFonts w:ascii="Times New Roman" w:hAnsi="Times New Roman"/>
                <w:bCs/>
                <w:iCs/>
                <w:sz w:val="20"/>
                <w:szCs w:val="24"/>
              </w:rPr>
              <w:t>Malta</w:t>
            </w:r>
          </w:p>
        </w:tc>
        <w:tc>
          <w:tcPr>
            <w:tcW w:w="881" w:type="dxa"/>
            <w:tcBorders>
              <w:top w:val="nil"/>
              <w:left w:val="nil"/>
              <w:bottom w:val="nil"/>
              <w:right w:val="nil"/>
            </w:tcBorders>
            <w:vAlign w:val="center"/>
            <w:hideMark/>
          </w:tcPr>
          <w:p w14:paraId="47AF1751" w14:textId="77777777" w:rsidR="007F446F" w:rsidRDefault="007F446F" w:rsidP="001D13CE">
            <w:pPr>
              <w:keepNext/>
              <w:keepLines/>
              <w:spacing w:after="0" w:line="360" w:lineRule="auto"/>
              <w:jc w:val="center"/>
              <w:rPr>
                <w:rFonts w:ascii="Times New Roman" w:hAnsi="Times New Roman"/>
                <w:sz w:val="20"/>
                <w:szCs w:val="24"/>
              </w:rPr>
            </w:pPr>
            <w:r>
              <w:rPr>
                <w:rFonts w:ascii="Times New Roman" w:hAnsi="Times New Roman"/>
                <w:sz w:val="20"/>
                <w:szCs w:val="24"/>
              </w:rPr>
              <w:t>11</w:t>
            </w:r>
          </w:p>
        </w:tc>
        <w:tc>
          <w:tcPr>
            <w:tcW w:w="930" w:type="dxa"/>
            <w:tcBorders>
              <w:top w:val="nil"/>
              <w:left w:val="nil"/>
              <w:bottom w:val="nil"/>
              <w:right w:val="nil"/>
            </w:tcBorders>
            <w:vAlign w:val="center"/>
            <w:hideMark/>
          </w:tcPr>
          <w:p w14:paraId="231E4CBA" w14:textId="77777777" w:rsidR="007F446F" w:rsidRDefault="007F446F" w:rsidP="001D13CE">
            <w:pPr>
              <w:keepNext/>
              <w:keepLines/>
              <w:spacing w:after="0" w:line="360" w:lineRule="auto"/>
              <w:jc w:val="center"/>
              <w:rPr>
                <w:rFonts w:ascii="Times New Roman" w:hAnsi="Times New Roman"/>
                <w:sz w:val="20"/>
                <w:szCs w:val="24"/>
              </w:rPr>
            </w:pPr>
            <w:r>
              <w:rPr>
                <w:rFonts w:ascii="Times New Roman" w:hAnsi="Times New Roman"/>
                <w:sz w:val="20"/>
                <w:szCs w:val="24"/>
              </w:rPr>
              <w:t>50</w:t>
            </w:r>
          </w:p>
        </w:tc>
        <w:tc>
          <w:tcPr>
            <w:tcW w:w="771" w:type="dxa"/>
            <w:tcBorders>
              <w:top w:val="nil"/>
              <w:left w:val="nil"/>
              <w:bottom w:val="nil"/>
              <w:right w:val="nil"/>
            </w:tcBorders>
            <w:vAlign w:val="center"/>
            <w:hideMark/>
          </w:tcPr>
          <w:p w14:paraId="5C724E4A" w14:textId="77777777" w:rsidR="007F446F" w:rsidRDefault="007F446F" w:rsidP="001D13CE">
            <w:pPr>
              <w:keepNext/>
              <w:keepLines/>
              <w:spacing w:after="0" w:line="360" w:lineRule="auto"/>
              <w:jc w:val="center"/>
              <w:rPr>
                <w:rFonts w:ascii="Times New Roman" w:hAnsi="Times New Roman"/>
                <w:sz w:val="20"/>
                <w:szCs w:val="24"/>
              </w:rPr>
            </w:pPr>
            <w:r>
              <w:rPr>
                <w:rFonts w:ascii="Times New Roman" w:hAnsi="Times New Roman"/>
                <w:sz w:val="20"/>
                <w:szCs w:val="24"/>
              </w:rPr>
              <w:t>11</w:t>
            </w:r>
          </w:p>
        </w:tc>
        <w:tc>
          <w:tcPr>
            <w:tcW w:w="881" w:type="dxa"/>
            <w:tcBorders>
              <w:top w:val="nil"/>
              <w:left w:val="nil"/>
              <w:bottom w:val="nil"/>
              <w:right w:val="nil"/>
            </w:tcBorders>
            <w:vAlign w:val="center"/>
            <w:hideMark/>
          </w:tcPr>
          <w:p w14:paraId="28325B1B" w14:textId="77777777" w:rsidR="007F446F" w:rsidRDefault="007F446F" w:rsidP="001D13CE">
            <w:pPr>
              <w:keepNext/>
              <w:keepLines/>
              <w:spacing w:after="0" w:line="360" w:lineRule="auto"/>
              <w:jc w:val="center"/>
              <w:rPr>
                <w:rFonts w:ascii="Times New Roman" w:hAnsi="Times New Roman"/>
                <w:sz w:val="20"/>
                <w:szCs w:val="24"/>
              </w:rPr>
            </w:pPr>
            <w:r>
              <w:rPr>
                <w:rFonts w:ascii="Times New Roman" w:hAnsi="Times New Roman"/>
                <w:sz w:val="20"/>
                <w:szCs w:val="24"/>
              </w:rPr>
              <w:t>49</w:t>
            </w:r>
          </w:p>
        </w:tc>
        <w:tc>
          <w:tcPr>
            <w:tcW w:w="881" w:type="dxa"/>
            <w:gridSpan w:val="2"/>
            <w:tcBorders>
              <w:top w:val="nil"/>
              <w:left w:val="nil"/>
              <w:bottom w:val="nil"/>
              <w:right w:val="nil"/>
            </w:tcBorders>
            <w:vAlign w:val="center"/>
            <w:hideMark/>
          </w:tcPr>
          <w:p w14:paraId="2EDDD5B4" w14:textId="77777777" w:rsidR="007F446F" w:rsidRDefault="007F446F" w:rsidP="001D13CE">
            <w:pPr>
              <w:keepNext/>
              <w:keepLines/>
              <w:spacing w:after="0" w:line="360" w:lineRule="auto"/>
              <w:jc w:val="center"/>
              <w:rPr>
                <w:rFonts w:ascii="Times New Roman" w:hAnsi="Times New Roman"/>
                <w:sz w:val="20"/>
                <w:szCs w:val="24"/>
              </w:rPr>
            </w:pPr>
            <w:r>
              <w:rPr>
                <w:rFonts w:ascii="Times New Roman" w:hAnsi="Times New Roman"/>
                <w:sz w:val="20"/>
                <w:szCs w:val="24"/>
              </w:rPr>
              <w:t>10</w:t>
            </w:r>
          </w:p>
        </w:tc>
        <w:tc>
          <w:tcPr>
            <w:tcW w:w="881" w:type="dxa"/>
            <w:gridSpan w:val="2"/>
            <w:tcBorders>
              <w:top w:val="nil"/>
              <w:left w:val="nil"/>
              <w:bottom w:val="nil"/>
              <w:right w:val="nil"/>
            </w:tcBorders>
            <w:vAlign w:val="center"/>
            <w:hideMark/>
          </w:tcPr>
          <w:p w14:paraId="0F5C2B64" w14:textId="77777777" w:rsidR="007F446F" w:rsidRDefault="007F446F" w:rsidP="001D13CE">
            <w:pPr>
              <w:keepNext/>
              <w:keepLines/>
              <w:spacing w:after="0" w:line="360" w:lineRule="auto"/>
              <w:jc w:val="center"/>
              <w:rPr>
                <w:rFonts w:ascii="Times New Roman" w:hAnsi="Times New Roman"/>
                <w:sz w:val="20"/>
                <w:szCs w:val="24"/>
              </w:rPr>
            </w:pPr>
            <w:r>
              <w:rPr>
                <w:rFonts w:ascii="Times New Roman" w:hAnsi="Times New Roman"/>
                <w:sz w:val="20"/>
                <w:szCs w:val="24"/>
              </w:rPr>
              <w:t>48</w:t>
            </w:r>
          </w:p>
        </w:tc>
        <w:tc>
          <w:tcPr>
            <w:tcW w:w="881" w:type="dxa"/>
            <w:tcBorders>
              <w:top w:val="nil"/>
              <w:left w:val="nil"/>
              <w:bottom w:val="nil"/>
              <w:right w:val="nil"/>
            </w:tcBorders>
            <w:vAlign w:val="center"/>
            <w:hideMark/>
          </w:tcPr>
          <w:p w14:paraId="5DF95C5D" w14:textId="77777777" w:rsidR="007F446F" w:rsidRDefault="007F446F" w:rsidP="001D13CE">
            <w:pPr>
              <w:keepNext/>
              <w:keepLines/>
              <w:spacing w:after="0" w:line="360" w:lineRule="auto"/>
              <w:jc w:val="center"/>
              <w:rPr>
                <w:rFonts w:ascii="Times New Roman" w:hAnsi="Times New Roman"/>
                <w:sz w:val="20"/>
                <w:szCs w:val="24"/>
              </w:rPr>
            </w:pPr>
            <w:r>
              <w:rPr>
                <w:rFonts w:ascii="Times New Roman" w:hAnsi="Times New Roman"/>
                <w:sz w:val="20"/>
                <w:szCs w:val="24"/>
              </w:rPr>
              <w:t>0</w:t>
            </w:r>
          </w:p>
        </w:tc>
        <w:tc>
          <w:tcPr>
            <w:tcW w:w="882" w:type="dxa"/>
            <w:tcBorders>
              <w:top w:val="nil"/>
              <w:left w:val="nil"/>
              <w:bottom w:val="nil"/>
              <w:right w:val="nil"/>
            </w:tcBorders>
            <w:vAlign w:val="center"/>
            <w:hideMark/>
          </w:tcPr>
          <w:p w14:paraId="42594F1A" w14:textId="77777777" w:rsidR="007F446F" w:rsidRDefault="007F446F" w:rsidP="001D13CE">
            <w:pPr>
              <w:keepNext/>
              <w:keepLines/>
              <w:spacing w:after="0" w:line="360" w:lineRule="auto"/>
              <w:jc w:val="center"/>
              <w:rPr>
                <w:rFonts w:ascii="Times New Roman" w:hAnsi="Times New Roman"/>
                <w:sz w:val="20"/>
                <w:szCs w:val="24"/>
              </w:rPr>
            </w:pPr>
            <w:r>
              <w:rPr>
                <w:rFonts w:ascii="Times New Roman" w:hAnsi="Times New Roman"/>
                <w:sz w:val="20"/>
                <w:szCs w:val="24"/>
              </w:rPr>
              <w:t>0</w:t>
            </w:r>
          </w:p>
        </w:tc>
      </w:tr>
      <w:tr w:rsidR="007F446F" w14:paraId="0836A211" w14:textId="77777777" w:rsidTr="001D13CE">
        <w:trPr>
          <w:trHeight w:val="318"/>
          <w:jc w:val="center"/>
        </w:trPr>
        <w:tc>
          <w:tcPr>
            <w:tcW w:w="2239" w:type="dxa"/>
            <w:tcBorders>
              <w:top w:val="nil"/>
              <w:left w:val="nil"/>
              <w:bottom w:val="nil"/>
              <w:right w:val="nil"/>
            </w:tcBorders>
            <w:vAlign w:val="center"/>
            <w:hideMark/>
          </w:tcPr>
          <w:p w14:paraId="625B6A53" w14:textId="77777777" w:rsidR="007F446F" w:rsidRDefault="007F446F" w:rsidP="001D13CE">
            <w:pPr>
              <w:spacing w:after="0" w:line="360" w:lineRule="auto"/>
              <w:rPr>
                <w:rFonts w:ascii="Times New Roman" w:hAnsi="Times New Roman"/>
                <w:sz w:val="20"/>
                <w:szCs w:val="24"/>
              </w:rPr>
            </w:pPr>
            <w:r>
              <w:rPr>
                <w:rFonts w:ascii="Times New Roman" w:hAnsi="Times New Roman"/>
                <w:bCs/>
                <w:iCs/>
                <w:sz w:val="20"/>
                <w:szCs w:val="24"/>
              </w:rPr>
              <w:t>Poland</w:t>
            </w:r>
          </w:p>
        </w:tc>
        <w:tc>
          <w:tcPr>
            <w:tcW w:w="881" w:type="dxa"/>
            <w:tcBorders>
              <w:top w:val="nil"/>
              <w:left w:val="nil"/>
              <w:bottom w:val="nil"/>
              <w:right w:val="nil"/>
            </w:tcBorders>
            <w:vAlign w:val="center"/>
            <w:hideMark/>
          </w:tcPr>
          <w:p w14:paraId="680ACCBD" w14:textId="77777777" w:rsidR="007F446F" w:rsidRDefault="007F446F" w:rsidP="001D13CE">
            <w:pPr>
              <w:keepNext/>
              <w:keepLines/>
              <w:spacing w:after="0" w:line="360" w:lineRule="auto"/>
              <w:jc w:val="center"/>
              <w:rPr>
                <w:rFonts w:ascii="Times New Roman" w:hAnsi="Times New Roman"/>
                <w:sz w:val="20"/>
                <w:szCs w:val="24"/>
              </w:rPr>
            </w:pPr>
            <w:r>
              <w:rPr>
                <w:rFonts w:ascii="Times New Roman" w:hAnsi="Times New Roman"/>
                <w:sz w:val="20"/>
                <w:szCs w:val="24"/>
              </w:rPr>
              <w:t>68</w:t>
            </w:r>
          </w:p>
        </w:tc>
        <w:tc>
          <w:tcPr>
            <w:tcW w:w="930" w:type="dxa"/>
            <w:tcBorders>
              <w:top w:val="nil"/>
              <w:left w:val="nil"/>
              <w:bottom w:val="nil"/>
              <w:right w:val="nil"/>
            </w:tcBorders>
            <w:vAlign w:val="center"/>
            <w:hideMark/>
          </w:tcPr>
          <w:p w14:paraId="015D5FA8" w14:textId="77777777" w:rsidR="007F446F" w:rsidRDefault="007F446F" w:rsidP="001D13CE">
            <w:pPr>
              <w:keepNext/>
              <w:keepLines/>
              <w:spacing w:after="0" w:line="360" w:lineRule="auto"/>
              <w:jc w:val="center"/>
              <w:rPr>
                <w:rFonts w:ascii="Times New Roman" w:hAnsi="Times New Roman"/>
                <w:sz w:val="20"/>
                <w:szCs w:val="24"/>
              </w:rPr>
            </w:pPr>
            <w:r>
              <w:rPr>
                <w:rFonts w:ascii="Times New Roman" w:hAnsi="Times New Roman"/>
                <w:sz w:val="20"/>
                <w:szCs w:val="24"/>
              </w:rPr>
              <w:t>95</w:t>
            </w:r>
          </w:p>
        </w:tc>
        <w:tc>
          <w:tcPr>
            <w:tcW w:w="771" w:type="dxa"/>
            <w:tcBorders>
              <w:top w:val="nil"/>
              <w:left w:val="nil"/>
              <w:bottom w:val="nil"/>
              <w:right w:val="nil"/>
            </w:tcBorders>
            <w:vAlign w:val="center"/>
            <w:hideMark/>
          </w:tcPr>
          <w:p w14:paraId="762B6035" w14:textId="77777777" w:rsidR="007F446F" w:rsidRDefault="007F446F" w:rsidP="001D13CE">
            <w:pPr>
              <w:keepNext/>
              <w:keepLines/>
              <w:spacing w:after="0" w:line="360" w:lineRule="auto"/>
              <w:jc w:val="center"/>
              <w:rPr>
                <w:rFonts w:ascii="Times New Roman" w:hAnsi="Times New Roman"/>
                <w:sz w:val="20"/>
                <w:szCs w:val="24"/>
              </w:rPr>
            </w:pPr>
            <w:r>
              <w:rPr>
                <w:rFonts w:ascii="Times New Roman" w:hAnsi="Times New Roman"/>
                <w:sz w:val="20"/>
                <w:szCs w:val="24"/>
              </w:rPr>
              <w:t>57</w:t>
            </w:r>
          </w:p>
        </w:tc>
        <w:tc>
          <w:tcPr>
            <w:tcW w:w="881" w:type="dxa"/>
            <w:tcBorders>
              <w:top w:val="nil"/>
              <w:left w:val="nil"/>
              <w:bottom w:val="nil"/>
              <w:right w:val="nil"/>
            </w:tcBorders>
            <w:vAlign w:val="center"/>
            <w:hideMark/>
          </w:tcPr>
          <w:p w14:paraId="7916C996" w14:textId="77777777" w:rsidR="007F446F" w:rsidRDefault="007F446F" w:rsidP="001D13CE">
            <w:pPr>
              <w:keepNext/>
              <w:keepLines/>
              <w:spacing w:after="0" w:line="360" w:lineRule="auto"/>
              <w:jc w:val="center"/>
              <w:rPr>
                <w:rFonts w:ascii="Times New Roman" w:hAnsi="Times New Roman"/>
                <w:sz w:val="20"/>
                <w:szCs w:val="24"/>
              </w:rPr>
            </w:pPr>
            <w:r>
              <w:rPr>
                <w:rFonts w:ascii="Times New Roman" w:hAnsi="Times New Roman"/>
                <w:sz w:val="20"/>
                <w:szCs w:val="24"/>
              </w:rPr>
              <w:t>93</w:t>
            </w:r>
          </w:p>
        </w:tc>
        <w:tc>
          <w:tcPr>
            <w:tcW w:w="881" w:type="dxa"/>
            <w:gridSpan w:val="2"/>
            <w:tcBorders>
              <w:top w:val="nil"/>
              <w:left w:val="nil"/>
              <w:bottom w:val="nil"/>
              <w:right w:val="nil"/>
            </w:tcBorders>
            <w:vAlign w:val="center"/>
            <w:hideMark/>
          </w:tcPr>
          <w:p w14:paraId="7A40804A" w14:textId="77777777" w:rsidR="007F446F" w:rsidRDefault="007F446F" w:rsidP="001D13CE">
            <w:pPr>
              <w:keepNext/>
              <w:keepLines/>
              <w:spacing w:after="0" w:line="360" w:lineRule="auto"/>
              <w:jc w:val="center"/>
              <w:rPr>
                <w:rFonts w:ascii="Times New Roman" w:hAnsi="Times New Roman"/>
                <w:sz w:val="20"/>
                <w:szCs w:val="24"/>
              </w:rPr>
            </w:pPr>
            <w:r>
              <w:rPr>
                <w:rFonts w:ascii="Times New Roman" w:hAnsi="Times New Roman"/>
                <w:sz w:val="20"/>
                <w:szCs w:val="24"/>
              </w:rPr>
              <w:t>0</w:t>
            </w:r>
          </w:p>
        </w:tc>
        <w:tc>
          <w:tcPr>
            <w:tcW w:w="881" w:type="dxa"/>
            <w:gridSpan w:val="2"/>
            <w:tcBorders>
              <w:top w:val="nil"/>
              <w:left w:val="nil"/>
              <w:bottom w:val="nil"/>
              <w:right w:val="nil"/>
            </w:tcBorders>
            <w:vAlign w:val="center"/>
            <w:hideMark/>
          </w:tcPr>
          <w:p w14:paraId="1786A061" w14:textId="77777777" w:rsidR="007F446F" w:rsidRDefault="007F446F" w:rsidP="001D13CE">
            <w:pPr>
              <w:keepNext/>
              <w:keepLines/>
              <w:spacing w:after="0" w:line="360" w:lineRule="auto"/>
              <w:jc w:val="center"/>
              <w:rPr>
                <w:rFonts w:ascii="Times New Roman" w:hAnsi="Times New Roman"/>
                <w:sz w:val="20"/>
                <w:szCs w:val="24"/>
              </w:rPr>
            </w:pPr>
            <w:r>
              <w:rPr>
                <w:rFonts w:ascii="Times New Roman" w:hAnsi="Times New Roman"/>
                <w:sz w:val="20"/>
                <w:szCs w:val="24"/>
              </w:rPr>
              <w:t>0</w:t>
            </w:r>
          </w:p>
        </w:tc>
        <w:tc>
          <w:tcPr>
            <w:tcW w:w="881" w:type="dxa"/>
            <w:tcBorders>
              <w:top w:val="nil"/>
              <w:left w:val="nil"/>
              <w:bottom w:val="nil"/>
              <w:right w:val="nil"/>
            </w:tcBorders>
            <w:vAlign w:val="center"/>
            <w:hideMark/>
          </w:tcPr>
          <w:p w14:paraId="22C368B4" w14:textId="77777777" w:rsidR="007F446F" w:rsidRDefault="007F446F" w:rsidP="001D13CE">
            <w:pPr>
              <w:keepNext/>
              <w:keepLines/>
              <w:spacing w:after="0" w:line="360" w:lineRule="auto"/>
              <w:jc w:val="center"/>
              <w:rPr>
                <w:rFonts w:ascii="Times New Roman" w:hAnsi="Times New Roman"/>
                <w:sz w:val="20"/>
                <w:szCs w:val="24"/>
              </w:rPr>
            </w:pPr>
            <w:r>
              <w:rPr>
                <w:rFonts w:ascii="Times New Roman" w:hAnsi="Times New Roman"/>
                <w:sz w:val="20"/>
                <w:szCs w:val="24"/>
              </w:rPr>
              <w:t>0</w:t>
            </w:r>
          </w:p>
        </w:tc>
        <w:tc>
          <w:tcPr>
            <w:tcW w:w="882" w:type="dxa"/>
            <w:tcBorders>
              <w:top w:val="nil"/>
              <w:left w:val="nil"/>
              <w:bottom w:val="nil"/>
              <w:right w:val="nil"/>
            </w:tcBorders>
            <w:vAlign w:val="center"/>
            <w:hideMark/>
          </w:tcPr>
          <w:p w14:paraId="3D949576" w14:textId="77777777" w:rsidR="007F446F" w:rsidRDefault="007F446F" w:rsidP="001D13CE">
            <w:pPr>
              <w:keepNext/>
              <w:keepLines/>
              <w:spacing w:after="0" w:line="360" w:lineRule="auto"/>
              <w:jc w:val="center"/>
              <w:rPr>
                <w:rFonts w:ascii="Times New Roman" w:hAnsi="Times New Roman"/>
                <w:sz w:val="20"/>
                <w:szCs w:val="24"/>
              </w:rPr>
            </w:pPr>
            <w:r>
              <w:rPr>
                <w:rFonts w:ascii="Times New Roman" w:hAnsi="Times New Roman"/>
                <w:sz w:val="20"/>
                <w:szCs w:val="24"/>
              </w:rPr>
              <w:t>0</w:t>
            </w:r>
          </w:p>
        </w:tc>
      </w:tr>
      <w:tr w:rsidR="007F446F" w14:paraId="26283E73" w14:textId="77777777" w:rsidTr="001D13CE">
        <w:trPr>
          <w:trHeight w:val="318"/>
          <w:jc w:val="center"/>
        </w:trPr>
        <w:tc>
          <w:tcPr>
            <w:tcW w:w="2239" w:type="dxa"/>
            <w:tcBorders>
              <w:top w:val="nil"/>
              <w:left w:val="nil"/>
              <w:bottom w:val="nil"/>
              <w:right w:val="nil"/>
            </w:tcBorders>
            <w:vAlign w:val="center"/>
            <w:hideMark/>
          </w:tcPr>
          <w:p w14:paraId="32F4239E" w14:textId="77777777" w:rsidR="007F446F" w:rsidRDefault="007F446F" w:rsidP="001D13CE">
            <w:pPr>
              <w:spacing w:after="0" w:line="360" w:lineRule="auto"/>
              <w:rPr>
                <w:rFonts w:ascii="Times New Roman" w:hAnsi="Times New Roman"/>
                <w:sz w:val="20"/>
                <w:szCs w:val="24"/>
              </w:rPr>
            </w:pPr>
            <w:r>
              <w:rPr>
                <w:rFonts w:ascii="Times New Roman" w:hAnsi="Times New Roman"/>
                <w:bCs/>
                <w:iCs/>
                <w:sz w:val="20"/>
                <w:szCs w:val="24"/>
              </w:rPr>
              <w:t>Portugal</w:t>
            </w:r>
          </w:p>
        </w:tc>
        <w:tc>
          <w:tcPr>
            <w:tcW w:w="881" w:type="dxa"/>
            <w:tcBorders>
              <w:top w:val="nil"/>
              <w:left w:val="nil"/>
              <w:bottom w:val="nil"/>
              <w:right w:val="nil"/>
            </w:tcBorders>
            <w:vAlign w:val="center"/>
            <w:hideMark/>
          </w:tcPr>
          <w:p w14:paraId="5B073C23" w14:textId="77777777" w:rsidR="007F446F" w:rsidRDefault="007F446F" w:rsidP="001D13CE">
            <w:pPr>
              <w:keepNext/>
              <w:keepLines/>
              <w:spacing w:after="0" w:line="360" w:lineRule="auto"/>
              <w:jc w:val="center"/>
              <w:rPr>
                <w:rFonts w:ascii="Times New Roman" w:hAnsi="Times New Roman"/>
                <w:sz w:val="20"/>
                <w:szCs w:val="24"/>
              </w:rPr>
            </w:pPr>
            <w:r>
              <w:rPr>
                <w:rFonts w:ascii="Times New Roman" w:hAnsi="Times New Roman"/>
                <w:sz w:val="20"/>
                <w:szCs w:val="24"/>
              </w:rPr>
              <w:t>57</w:t>
            </w:r>
          </w:p>
        </w:tc>
        <w:tc>
          <w:tcPr>
            <w:tcW w:w="930" w:type="dxa"/>
            <w:tcBorders>
              <w:top w:val="nil"/>
              <w:left w:val="nil"/>
              <w:bottom w:val="nil"/>
              <w:right w:val="nil"/>
            </w:tcBorders>
            <w:vAlign w:val="center"/>
            <w:hideMark/>
          </w:tcPr>
          <w:p w14:paraId="3F9AFF74" w14:textId="77777777" w:rsidR="007F446F" w:rsidRDefault="007F446F" w:rsidP="001D13CE">
            <w:pPr>
              <w:keepNext/>
              <w:keepLines/>
              <w:spacing w:after="0" w:line="360" w:lineRule="auto"/>
              <w:jc w:val="center"/>
              <w:rPr>
                <w:rFonts w:ascii="Times New Roman" w:hAnsi="Times New Roman"/>
                <w:sz w:val="20"/>
                <w:szCs w:val="24"/>
              </w:rPr>
            </w:pPr>
            <w:r>
              <w:rPr>
                <w:rFonts w:ascii="Times New Roman" w:hAnsi="Times New Roman"/>
                <w:sz w:val="20"/>
                <w:szCs w:val="24"/>
              </w:rPr>
              <w:t>90</w:t>
            </w:r>
          </w:p>
        </w:tc>
        <w:tc>
          <w:tcPr>
            <w:tcW w:w="771" w:type="dxa"/>
            <w:tcBorders>
              <w:top w:val="nil"/>
              <w:left w:val="nil"/>
              <w:bottom w:val="nil"/>
              <w:right w:val="nil"/>
            </w:tcBorders>
            <w:vAlign w:val="center"/>
            <w:hideMark/>
          </w:tcPr>
          <w:p w14:paraId="3846DED5" w14:textId="77777777" w:rsidR="007F446F" w:rsidRDefault="007F446F" w:rsidP="001D13CE">
            <w:pPr>
              <w:keepNext/>
              <w:keepLines/>
              <w:spacing w:after="0" w:line="360" w:lineRule="auto"/>
              <w:jc w:val="center"/>
              <w:rPr>
                <w:rFonts w:ascii="Times New Roman" w:hAnsi="Times New Roman"/>
                <w:sz w:val="20"/>
                <w:szCs w:val="24"/>
              </w:rPr>
            </w:pPr>
            <w:r>
              <w:rPr>
                <w:rFonts w:ascii="Times New Roman" w:hAnsi="Times New Roman"/>
                <w:sz w:val="20"/>
                <w:szCs w:val="24"/>
              </w:rPr>
              <w:t>47</w:t>
            </w:r>
          </w:p>
        </w:tc>
        <w:tc>
          <w:tcPr>
            <w:tcW w:w="881" w:type="dxa"/>
            <w:tcBorders>
              <w:top w:val="nil"/>
              <w:left w:val="nil"/>
              <w:bottom w:val="nil"/>
              <w:right w:val="nil"/>
            </w:tcBorders>
            <w:vAlign w:val="center"/>
            <w:hideMark/>
          </w:tcPr>
          <w:p w14:paraId="11DF551E" w14:textId="77777777" w:rsidR="007F446F" w:rsidRDefault="007F446F" w:rsidP="001D13CE">
            <w:pPr>
              <w:keepNext/>
              <w:keepLines/>
              <w:spacing w:after="0" w:line="360" w:lineRule="auto"/>
              <w:jc w:val="center"/>
              <w:rPr>
                <w:rFonts w:ascii="Times New Roman" w:hAnsi="Times New Roman"/>
                <w:sz w:val="20"/>
                <w:szCs w:val="24"/>
              </w:rPr>
            </w:pPr>
            <w:r>
              <w:rPr>
                <w:rFonts w:ascii="Times New Roman" w:hAnsi="Times New Roman"/>
                <w:sz w:val="20"/>
                <w:szCs w:val="24"/>
              </w:rPr>
              <w:t>86</w:t>
            </w:r>
          </w:p>
        </w:tc>
        <w:tc>
          <w:tcPr>
            <w:tcW w:w="881" w:type="dxa"/>
            <w:gridSpan w:val="2"/>
            <w:tcBorders>
              <w:top w:val="nil"/>
              <w:left w:val="nil"/>
              <w:bottom w:val="nil"/>
              <w:right w:val="nil"/>
            </w:tcBorders>
            <w:vAlign w:val="center"/>
            <w:hideMark/>
          </w:tcPr>
          <w:p w14:paraId="3FD11B2B" w14:textId="77777777" w:rsidR="007F446F" w:rsidRDefault="007F446F" w:rsidP="001D13CE">
            <w:pPr>
              <w:keepNext/>
              <w:keepLines/>
              <w:spacing w:after="0" w:line="360" w:lineRule="auto"/>
              <w:jc w:val="center"/>
              <w:rPr>
                <w:rFonts w:ascii="Times New Roman" w:hAnsi="Times New Roman"/>
                <w:sz w:val="20"/>
                <w:szCs w:val="24"/>
              </w:rPr>
            </w:pPr>
            <w:r>
              <w:rPr>
                <w:rFonts w:ascii="Times New Roman" w:hAnsi="Times New Roman"/>
                <w:sz w:val="20"/>
                <w:szCs w:val="24"/>
              </w:rPr>
              <w:t>42</w:t>
            </w:r>
          </w:p>
        </w:tc>
        <w:tc>
          <w:tcPr>
            <w:tcW w:w="881" w:type="dxa"/>
            <w:gridSpan w:val="2"/>
            <w:tcBorders>
              <w:top w:val="nil"/>
              <w:left w:val="nil"/>
              <w:bottom w:val="nil"/>
              <w:right w:val="nil"/>
            </w:tcBorders>
            <w:vAlign w:val="center"/>
            <w:hideMark/>
          </w:tcPr>
          <w:p w14:paraId="540C0E19" w14:textId="77777777" w:rsidR="007F446F" w:rsidRDefault="007F446F" w:rsidP="001D13CE">
            <w:pPr>
              <w:keepNext/>
              <w:keepLines/>
              <w:spacing w:after="0" w:line="360" w:lineRule="auto"/>
              <w:jc w:val="center"/>
              <w:rPr>
                <w:rFonts w:ascii="Times New Roman" w:hAnsi="Times New Roman"/>
                <w:sz w:val="20"/>
                <w:szCs w:val="24"/>
              </w:rPr>
            </w:pPr>
            <w:r>
              <w:rPr>
                <w:rFonts w:ascii="Times New Roman" w:hAnsi="Times New Roman"/>
                <w:sz w:val="20"/>
                <w:szCs w:val="24"/>
              </w:rPr>
              <w:t>84</w:t>
            </w:r>
          </w:p>
        </w:tc>
        <w:tc>
          <w:tcPr>
            <w:tcW w:w="881" w:type="dxa"/>
            <w:tcBorders>
              <w:top w:val="nil"/>
              <w:left w:val="nil"/>
              <w:bottom w:val="nil"/>
              <w:right w:val="nil"/>
            </w:tcBorders>
            <w:vAlign w:val="center"/>
            <w:hideMark/>
          </w:tcPr>
          <w:p w14:paraId="6D85A7E0" w14:textId="77777777" w:rsidR="007F446F" w:rsidRDefault="007F446F" w:rsidP="001D13CE">
            <w:pPr>
              <w:keepNext/>
              <w:keepLines/>
              <w:spacing w:after="0" w:line="360" w:lineRule="auto"/>
              <w:jc w:val="center"/>
              <w:rPr>
                <w:rFonts w:ascii="Times New Roman" w:hAnsi="Times New Roman"/>
                <w:sz w:val="20"/>
                <w:szCs w:val="24"/>
              </w:rPr>
            </w:pPr>
            <w:r>
              <w:rPr>
                <w:rFonts w:ascii="Times New Roman" w:hAnsi="Times New Roman"/>
                <w:sz w:val="20"/>
                <w:szCs w:val="24"/>
              </w:rPr>
              <w:t>0</w:t>
            </w:r>
          </w:p>
        </w:tc>
        <w:tc>
          <w:tcPr>
            <w:tcW w:w="882" w:type="dxa"/>
            <w:tcBorders>
              <w:top w:val="nil"/>
              <w:left w:val="nil"/>
              <w:bottom w:val="nil"/>
              <w:right w:val="nil"/>
            </w:tcBorders>
            <w:vAlign w:val="center"/>
            <w:hideMark/>
          </w:tcPr>
          <w:p w14:paraId="3B863190" w14:textId="77777777" w:rsidR="007F446F" w:rsidRDefault="007F446F" w:rsidP="001D13CE">
            <w:pPr>
              <w:keepNext/>
              <w:keepLines/>
              <w:spacing w:after="0" w:line="360" w:lineRule="auto"/>
              <w:jc w:val="center"/>
              <w:rPr>
                <w:rFonts w:ascii="Times New Roman" w:hAnsi="Times New Roman"/>
                <w:sz w:val="20"/>
                <w:szCs w:val="24"/>
              </w:rPr>
            </w:pPr>
            <w:r>
              <w:rPr>
                <w:rFonts w:ascii="Times New Roman" w:hAnsi="Times New Roman"/>
                <w:sz w:val="20"/>
                <w:szCs w:val="24"/>
              </w:rPr>
              <w:t>1</w:t>
            </w:r>
          </w:p>
        </w:tc>
      </w:tr>
      <w:tr w:rsidR="007F446F" w14:paraId="3B548C07" w14:textId="77777777" w:rsidTr="001D13CE">
        <w:trPr>
          <w:trHeight w:val="318"/>
          <w:jc w:val="center"/>
        </w:trPr>
        <w:tc>
          <w:tcPr>
            <w:tcW w:w="2239" w:type="dxa"/>
            <w:tcBorders>
              <w:top w:val="nil"/>
              <w:left w:val="nil"/>
              <w:bottom w:val="nil"/>
              <w:right w:val="nil"/>
            </w:tcBorders>
            <w:vAlign w:val="center"/>
            <w:hideMark/>
          </w:tcPr>
          <w:p w14:paraId="70F09326" w14:textId="77777777" w:rsidR="007F446F" w:rsidRDefault="007F446F" w:rsidP="001D13CE">
            <w:pPr>
              <w:spacing w:after="0" w:line="360" w:lineRule="auto"/>
              <w:rPr>
                <w:rFonts w:ascii="Times New Roman" w:hAnsi="Times New Roman"/>
                <w:sz w:val="20"/>
                <w:szCs w:val="24"/>
              </w:rPr>
            </w:pPr>
            <w:r>
              <w:rPr>
                <w:rFonts w:ascii="Times New Roman" w:hAnsi="Times New Roman"/>
                <w:iCs/>
                <w:sz w:val="20"/>
                <w:szCs w:val="24"/>
              </w:rPr>
              <w:t>Slovenia</w:t>
            </w:r>
          </w:p>
        </w:tc>
        <w:tc>
          <w:tcPr>
            <w:tcW w:w="881" w:type="dxa"/>
            <w:tcBorders>
              <w:top w:val="nil"/>
              <w:left w:val="nil"/>
              <w:bottom w:val="nil"/>
              <w:right w:val="nil"/>
            </w:tcBorders>
            <w:vAlign w:val="center"/>
            <w:hideMark/>
          </w:tcPr>
          <w:p w14:paraId="5849FCAF" w14:textId="77777777" w:rsidR="007F446F" w:rsidRDefault="007F446F" w:rsidP="001D13CE">
            <w:pPr>
              <w:keepNext/>
              <w:keepLines/>
              <w:spacing w:after="0" w:line="360" w:lineRule="auto"/>
              <w:jc w:val="center"/>
              <w:rPr>
                <w:rFonts w:ascii="Times New Roman" w:hAnsi="Times New Roman"/>
                <w:sz w:val="20"/>
                <w:szCs w:val="24"/>
              </w:rPr>
            </w:pPr>
            <w:r>
              <w:rPr>
                <w:rFonts w:ascii="Times New Roman" w:hAnsi="Times New Roman"/>
                <w:sz w:val="20"/>
                <w:szCs w:val="24"/>
              </w:rPr>
              <w:t>36</w:t>
            </w:r>
          </w:p>
        </w:tc>
        <w:tc>
          <w:tcPr>
            <w:tcW w:w="930" w:type="dxa"/>
            <w:tcBorders>
              <w:top w:val="nil"/>
              <w:left w:val="nil"/>
              <w:bottom w:val="nil"/>
              <w:right w:val="nil"/>
            </w:tcBorders>
            <w:vAlign w:val="center"/>
            <w:hideMark/>
          </w:tcPr>
          <w:p w14:paraId="296FA45C" w14:textId="77777777" w:rsidR="007F446F" w:rsidRDefault="007F446F" w:rsidP="001D13CE">
            <w:pPr>
              <w:keepNext/>
              <w:keepLines/>
              <w:spacing w:after="0" w:line="360" w:lineRule="auto"/>
              <w:jc w:val="center"/>
              <w:rPr>
                <w:rFonts w:ascii="Times New Roman" w:hAnsi="Times New Roman"/>
                <w:sz w:val="20"/>
                <w:szCs w:val="24"/>
              </w:rPr>
            </w:pPr>
            <w:r>
              <w:rPr>
                <w:rFonts w:ascii="Times New Roman" w:hAnsi="Times New Roman"/>
                <w:sz w:val="20"/>
                <w:szCs w:val="24"/>
              </w:rPr>
              <w:t>81</w:t>
            </w:r>
          </w:p>
        </w:tc>
        <w:tc>
          <w:tcPr>
            <w:tcW w:w="771" w:type="dxa"/>
            <w:tcBorders>
              <w:top w:val="nil"/>
              <w:left w:val="nil"/>
              <w:bottom w:val="nil"/>
              <w:right w:val="nil"/>
            </w:tcBorders>
            <w:vAlign w:val="center"/>
            <w:hideMark/>
          </w:tcPr>
          <w:p w14:paraId="3B012EA5" w14:textId="77777777" w:rsidR="007F446F" w:rsidRDefault="007F446F" w:rsidP="001D13CE">
            <w:pPr>
              <w:keepNext/>
              <w:keepLines/>
              <w:spacing w:after="0" w:line="360" w:lineRule="auto"/>
              <w:jc w:val="center"/>
              <w:rPr>
                <w:rFonts w:ascii="Times New Roman" w:hAnsi="Times New Roman"/>
                <w:sz w:val="20"/>
                <w:szCs w:val="24"/>
              </w:rPr>
            </w:pPr>
            <w:r>
              <w:rPr>
                <w:rFonts w:ascii="Times New Roman" w:hAnsi="Times New Roman"/>
                <w:sz w:val="20"/>
                <w:szCs w:val="24"/>
              </w:rPr>
              <w:t>23</w:t>
            </w:r>
          </w:p>
        </w:tc>
        <w:tc>
          <w:tcPr>
            <w:tcW w:w="881" w:type="dxa"/>
            <w:tcBorders>
              <w:top w:val="nil"/>
              <w:left w:val="nil"/>
              <w:bottom w:val="nil"/>
              <w:right w:val="nil"/>
            </w:tcBorders>
            <w:vAlign w:val="center"/>
            <w:hideMark/>
          </w:tcPr>
          <w:p w14:paraId="376745E3" w14:textId="77777777" w:rsidR="007F446F" w:rsidRDefault="007F446F" w:rsidP="001D13CE">
            <w:pPr>
              <w:keepNext/>
              <w:keepLines/>
              <w:spacing w:after="0" w:line="360" w:lineRule="auto"/>
              <w:jc w:val="center"/>
              <w:rPr>
                <w:rFonts w:ascii="Times New Roman" w:hAnsi="Times New Roman"/>
                <w:sz w:val="20"/>
                <w:szCs w:val="24"/>
              </w:rPr>
            </w:pPr>
            <w:r>
              <w:rPr>
                <w:rFonts w:ascii="Times New Roman" w:hAnsi="Times New Roman"/>
                <w:sz w:val="20"/>
                <w:szCs w:val="24"/>
              </w:rPr>
              <w:t>77</w:t>
            </w:r>
          </w:p>
        </w:tc>
        <w:tc>
          <w:tcPr>
            <w:tcW w:w="881" w:type="dxa"/>
            <w:gridSpan w:val="2"/>
            <w:tcBorders>
              <w:top w:val="nil"/>
              <w:left w:val="nil"/>
              <w:bottom w:val="nil"/>
              <w:right w:val="nil"/>
            </w:tcBorders>
            <w:vAlign w:val="center"/>
            <w:hideMark/>
          </w:tcPr>
          <w:p w14:paraId="0FF0D60E" w14:textId="77777777" w:rsidR="007F446F" w:rsidRDefault="007F446F" w:rsidP="001D13CE">
            <w:pPr>
              <w:keepNext/>
              <w:keepLines/>
              <w:spacing w:after="0" w:line="360" w:lineRule="auto"/>
              <w:jc w:val="center"/>
              <w:rPr>
                <w:rFonts w:ascii="Times New Roman" w:hAnsi="Times New Roman"/>
                <w:sz w:val="20"/>
                <w:szCs w:val="24"/>
              </w:rPr>
            </w:pPr>
            <w:r>
              <w:rPr>
                <w:rFonts w:ascii="Times New Roman" w:hAnsi="Times New Roman"/>
                <w:sz w:val="20"/>
                <w:szCs w:val="24"/>
              </w:rPr>
              <w:t>21</w:t>
            </w:r>
          </w:p>
        </w:tc>
        <w:tc>
          <w:tcPr>
            <w:tcW w:w="881" w:type="dxa"/>
            <w:gridSpan w:val="2"/>
            <w:tcBorders>
              <w:top w:val="nil"/>
              <w:left w:val="nil"/>
              <w:bottom w:val="nil"/>
              <w:right w:val="nil"/>
            </w:tcBorders>
            <w:vAlign w:val="center"/>
            <w:hideMark/>
          </w:tcPr>
          <w:p w14:paraId="2550A098" w14:textId="77777777" w:rsidR="007F446F" w:rsidRDefault="007F446F" w:rsidP="001D13CE">
            <w:pPr>
              <w:keepNext/>
              <w:keepLines/>
              <w:spacing w:after="0" w:line="360" w:lineRule="auto"/>
              <w:jc w:val="center"/>
              <w:rPr>
                <w:rFonts w:ascii="Times New Roman" w:hAnsi="Times New Roman"/>
                <w:sz w:val="20"/>
                <w:szCs w:val="24"/>
              </w:rPr>
            </w:pPr>
            <w:r>
              <w:rPr>
                <w:rFonts w:ascii="Times New Roman" w:hAnsi="Times New Roman"/>
                <w:sz w:val="20"/>
                <w:szCs w:val="24"/>
              </w:rPr>
              <w:t>74</w:t>
            </w:r>
          </w:p>
        </w:tc>
        <w:tc>
          <w:tcPr>
            <w:tcW w:w="881" w:type="dxa"/>
            <w:tcBorders>
              <w:top w:val="nil"/>
              <w:left w:val="nil"/>
              <w:bottom w:val="nil"/>
              <w:right w:val="nil"/>
            </w:tcBorders>
            <w:vAlign w:val="center"/>
            <w:hideMark/>
          </w:tcPr>
          <w:p w14:paraId="212DA1F7" w14:textId="77777777" w:rsidR="007F446F" w:rsidRDefault="007F446F" w:rsidP="001D13CE">
            <w:pPr>
              <w:keepNext/>
              <w:keepLines/>
              <w:spacing w:after="0" w:line="360" w:lineRule="auto"/>
              <w:jc w:val="center"/>
              <w:rPr>
                <w:rFonts w:ascii="Times New Roman" w:hAnsi="Times New Roman"/>
                <w:sz w:val="20"/>
                <w:szCs w:val="24"/>
              </w:rPr>
            </w:pPr>
            <w:r>
              <w:rPr>
                <w:rFonts w:ascii="Times New Roman" w:hAnsi="Times New Roman"/>
                <w:sz w:val="20"/>
                <w:szCs w:val="24"/>
              </w:rPr>
              <w:t>1</w:t>
            </w:r>
          </w:p>
        </w:tc>
        <w:tc>
          <w:tcPr>
            <w:tcW w:w="882" w:type="dxa"/>
            <w:tcBorders>
              <w:top w:val="nil"/>
              <w:left w:val="nil"/>
              <w:bottom w:val="nil"/>
              <w:right w:val="nil"/>
            </w:tcBorders>
            <w:vAlign w:val="center"/>
            <w:hideMark/>
          </w:tcPr>
          <w:p w14:paraId="6EAB43CA" w14:textId="77777777" w:rsidR="007F446F" w:rsidRDefault="007F446F" w:rsidP="001D13CE">
            <w:pPr>
              <w:keepNext/>
              <w:keepLines/>
              <w:spacing w:after="0" w:line="360" w:lineRule="auto"/>
              <w:jc w:val="center"/>
              <w:rPr>
                <w:rFonts w:ascii="Times New Roman" w:hAnsi="Times New Roman"/>
                <w:sz w:val="20"/>
                <w:szCs w:val="24"/>
              </w:rPr>
            </w:pPr>
            <w:r>
              <w:rPr>
                <w:rFonts w:ascii="Times New Roman" w:hAnsi="Times New Roman"/>
                <w:sz w:val="20"/>
                <w:szCs w:val="24"/>
              </w:rPr>
              <w:t>10</w:t>
            </w:r>
          </w:p>
        </w:tc>
      </w:tr>
      <w:tr w:rsidR="007F446F" w14:paraId="24CEB950" w14:textId="77777777" w:rsidTr="001D13CE">
        <w:trPr>
          <w:trHeight w:val="318"/>
          <w:jc w:val="center"/>
        </w:trPr>
        <w:tc>
          <w:tcPr>
            <w:tcW w:w="2239" w:type="dxa"/>
            <w:tcBorders>
              <w:top w:val="nil"/>
              <w:left w:val="nil"/>
              <w:bottom w:val="nil"/>
              <w:right w:val="nil"/>
            </w:tcBorders>
            <w:vAlign w:val="center"/>
            <w:hideMark/>
          </w:tcPr>
          <w:p w14:paraId="358CB4E5" w14:textId="77777777" w:rsidR="007F446F" w:rsidRDefault="007F446F" w:rsidP="001D13CE">
            <w:pPr>
              <w:spacing w:after="0" w:line="360" w:lineRule="auto"/>
              <w:rPr>
                <w:rFonts w:ascii="Times New Roman" w:hAnsi="Times New Roman"/>
                <w:sz w:val="20"/>
                <w:szCs w:val="24"/>
              </w:rPr>
            </w:pPr>
            <w:r>
              <w:rPr>
                <w:rFonts w:ascii="Times New Roman" w:hAnsi="Times New Roman"/>
                <w:iCs/>
                <w:sz w:val="20"/>
                <w:szCs w:val="24"/>
              </w:rPr>
              <w:t>Slovakia</w:t>
            </w:r>
          </w:p>
        </w:tc>
        <w:tc>
          <w:tcPr>
            <w:tcW w:w="881" w:type="dxa"/>
            <w:tcBorders>
              <w:top w:val="nil"/>
              <w:left w:val="nil"/>
              <w:bottom w:val="nil"/>
              <w:right w:val="nil"/>
            </w:tcBorders>
            <w:vAlign w:val="center"/>
            <w:hideMark/>
          </w:tcPr>
          <w:p w14:paraId="7204928D" w14:textId="77777777" w:rsidR="007F446F" w:rsidRDefault="007F446F" w:rsidP="001D13CE">
            <w:pPr>
              <w:keepNext/>
              <w:keepLines/>
              <w:spacing w:after="0" w:line="360" w:lineRule="auto"/>
              <w:jc w:val="center"/>
              <w:rPr>
                <w:rFonts w:ascii="Times New Roman" w:hAnsi="Times New Roman"/>
                <w:sz w:val="20"/>
                <w:szCs w:val="24"/>
              </w:rPr>
            </w:pPr>
            <w:r>
              <w:rPr>
                <w:rFonts w:ascii="Times New Roman" w:hAnsi="Times New Roman"/>
                <w:sz w:val="20"/>
                <w:szCs w:val="24"/>
              </w:rPr>
              <w:t>66</w:t>
            </w:r>
          </w:p>
        </w:tc>
        <w:tc>
          <w:tcPr>
            <w:tcW w:w="930" w:type="dxa"/>
            <w:tcBorders>
              <w:top w:val="nil"/>
              <w:left w:val="nil"/>
              <w:bottom w:val="nil"/>
              <w:right w:val="nil"/>
            </w:tcBorders>
            <w:vAlign w:val="center"/>
            <w:hideMark/>
          </w:tcPr>
          <w:p w14:paraId="34771180" w14:textId="77777777" w:rsidR="007F446F" w:rsidRDefault="007F446F" w:rsidP="001D13CE">
            <w:pPr>
              <w:keepNext/>
              <w:keepLines/>
              <w:spacing w:after="0" w:line="360" w:lineRule="auto"/>
              <w:jc w:val="center"/>
              <w:rPr>
                <w:rFonts w:ascii="Times New Roman" w:hAnsi="Times New Roman"/>
                <w:sz w:val="20"/>
                <w:szCs w:val="24"/>
              </w:rPr>
            </w:pPr>
            <w:r>
              <w:rPr>
                <w:rFonts w:ascii="Times New Roman" w:hAnsi="Times New Roman"/>
                <w:sz w:val="20"/>
                <w:szCs w:val="24"/>
              </w:rPr>
              <w:t>95</w:t>
            </w:r>
          </w:p>
        </w:tc>
        <w:tc>
          <w:tcPr>
            <w:tcW w:w="771" w:type="dxa"/>
            <w:tcBorders>
              <w:top w:val="nil"/>
              <w:left w:val="nil"/>
              <w:bottom w:val="nil"/>
              <w:right w:val="nil"/>
            </w:tcBorders>
            <w:vAlign w:val="center"/>
            <w:hideMark/>
          </w:tcPr>
          <w:p w14:paraId="56E73317" w14:textId="77777777" w:rsidR="007F446F" w:rsidRDefault="007F446F" w:rsidP="001D13CE">
            <w:pPr>
              <w:keepNext/>
              <w:keepLines/>
              <w:spacing w:after="0" w:line="360" w:lineRule="auto"/>
              <w:jc w:val="center"/>
              <w:rPr>
                <w:rFonts w:ascii="Times New Roman" w:hAnsi="Times New Roman"/>
                <w:sz w:val="20"/>
                <w:szCs w:val="24"/>
              </w:rPr>
            </w:pPr>
            <w:r>
              <w:rPr>
                <w:rFonts w:ascii="Times New Roman" w:hAnsi="Times New Roman"/>
                <w:sz w:val="20"/>
                <w:szCs w:val="24"/>
              </w:rPr>
              <w:t>49</w:t>
            </w:r>
          </w:p>
        </w:tc>
        <w:tc>
          <w:tcPr>
            <w:tcW w:w="881" w:type="dxa"/>
            <w:tcBorders>
              <w:top w:val="nil"/>
              <w:left w:val="nil"/>
              <w:bottom w:val="nil"/>
              <w:right w:val="nil"/>
            </w:tcBorders>
            <w:vAlign w:val="center"/>
            <w:hideMark/>
          </w:tcPr>
          <w:p w14:paraId="7E9FE027" w14:textId="77777777" w:rsidR="007F446F" w:rsidRDefault="007F446F" w:rsidP="001D13CE">
            <w:pPr>
              <w:keepNext/>
              <w:keepLines/>
              <w:spacing w:after="0" w:line="360" w:lineRule="auto"/>
              <w:jc w:val="center"/>
              <w:rPr>
                <w:rFonts w:ascii="Times New Roman" w:hAnsi="Times New Roman"/>
                <w:sz w:val="20"/>
                <w:szCs w:val="24"/>
              </w:rPr>
            </w:pPr>
            <w:r>
              <w:rPr>
                <w:rFonts w:ascii="Times New Roman" w:hAnsi="Times New Roman"/>
                <w:sz w:val="20"/>
                <w:szCs w:val="24"/>
              </w:rPr>
              <w:t>92</w:t>
            </w:r>
          </w:p>
        </w:tc>
        <w:tc>
          <w:tcPr>
            <w:tcW w:w="881" w:type="dxa"/>
            <w:gridSpan w:val="2"/>
            <w:tcBorders>
              <w:top w:val="nil"/>
              <w:left w:val="nil"/>
              <w:bottom w:val="nil"/>
              <w:right w:val="nil"/>
            </w:tcBorders>
            <w:vAlign w:val="center"/>
            <w:hideMark/>
          </w:tcPr>
          <w:p w14:paraId="56674076" w14:textId="77777777" w:rsidR="007F446F" w:rsidRDefault="007F446F" w:rsidP="001D13CE">
            <w:pPr>
              <w:keepNext/>
              <w:keepLines/>
              <w:spacing w:after="0" w:line="360" w:lineRule="auto"/>
              <w:jc w:val="center"/>
              <w:rPr>
                <w:rFonts w:ascii="Times New Roman" w:hAnsi="Times New Roman"/>
                <w:sz w:val="20"/>
                <w:szCs w:val="24"/>
              </w:rPr>
            </w:pPr>
            <w:r>
              <w:rPr>
                <w:rFonts w:ascii="Times New Roman" w:hAnsi="Times New Roman"/>
                <w:sz w:val="20"/>
                <w:szCs w:val="24"/>
              </w:rPr>
              <w:t>48</w:t>
            </w:r>
          </w:p>
        </w:tc>
        <w:tc>
          <w:tcPr>
            <w:tcW w:w="881" w:type="dxa"/>
            <w:gridSpan w:val="2"/>
            <w:tcBorders>
              <w:top w:val="nil"/>
              <w:left w:val="nil"/>
              <w:bottom w:val="nil"/>
              <w:right w:val="nil"/>
            </w:tcBorders>
            <w:vAlign w:val="center"/>
            <w:hideMark/>
          </w:tcPr>
          <w:p w14:paraId="5220D84A" w14:textId="77777777" w:rsidR="007F446F" w:rsidRDefault="007F446F" w:rsidP="001D13CE">
            <w:pPr>
              <w:keepNext/>
              <w:keepLines/>
              <w:spacing w:after="0" w:line="360" w:lineRule="auto"/>
              <w:jc w:val="center"/>
              <w:rPr>
                <w:rFonts w:ascii="Times New Roman" w:hAnsi="Times New Roman"/>
                <w:sz w:val="20"/>
                <w:szCs w:val="24"/>
              </w:rPr>
            </w:pPr>
            <w:r>
              <w:rPr>
                <w:rFonts w:ascii="Times New Roman" w:hAnsi="Times New Roman"/>
                <w:sz w:val="20"/>
                <w:szCs w:val="24"/>
              </w:rPr>
              <w:t>92</w:t>
            </w:r>
          </w:p>
        </w:tc>
        <w:tc>
          <w:tcPr>
            <w:tcW w:w="881" w:type="dxa"/>
            <w:tcBorders>
              <w:top w:val="nil"/>
              <w:left w:val="nil"/>
              <w:bottom w:val="nil"/>
              <w:right w:val="nil"/>
            </w:tcBorders>
            <w:vAlign w:val="center"/>
            <w:hideMark/>
          </w:tcPr>
          <w:p w14:paraId="51167E86" w14:textId="77777777" w:rsidR="007F446F" w:rsidRDefault="007F446F" w:rsidP="001D13CE">
            <w:pPr>
              <w:keepNext/>
              <w:keepLines/>
              <w:spacing w:after="0" w:line="360" w:lineRule="auto"/>
              <w:jc w:val="center"/>
              <w:rPr>
                <w:rFonts w:ascii="Times New Roman" w:hAnsi="Times New Roman"/>
                <w:sz w:val="20"/>
                <w:szCs w:val="24"/>
              </w:rPr>
            </w:pPr>
            <w:r>
              <w:rPr>
                <w:rFonts w:ascii="Times New Roman" w:hAnsi="Times New Roman"/>
                <w:sz w:val="20"/>
                <w:szCs w:val="24"/>
              </w:rPr>
              <w:t>0</w:t>
            </w:r>
          </w:p>
        </w:tc>
        <w:tc>
          <w:tcPr>
            <w:tcW w:w="882" w:type="dxa"/>
            <w:tcBorders>
              <w:top w:val="nil"/>
              <w:left w:val="nil"/>
              <w:bottom w:val="nil"/>
              <w:right w:val="nil"/>
            </w:tcBorders>
            <w:vAlign w:val="center"/>
            <w:hideMark/>
          </w:tcPr>
          <w:p w14:paraId="6700CD3E" w14:textId="77777777" w:rsidR="007F446F" w:rsidRDefault="007F446F" w:rsidP="001D13CE">
            <w:pPr>
              <w:keepNext/>
              <w:keepLines/>
              <w:spacing w:after="0" w:line="360" w:lineRule="auto"/>
              <w:jc w:val="center"/>
              <w:rPr>
                <w:rFonts w:ascii="Times New Roman" w:hAnsi="Times New Roman"/>
                <w:sz w:val="20"/>
                <w:szCs w:val="24"/>
              </w:rPr>
            </w:pPr>
            <w:r>
              <w:rPr>
                <w:rFonts w:ascii="Times New Roman" w:hAnsi="Times New Roman"/>
                <w:sz w:val="20"/>
                <w:szCs w:val="24"/>
              </w:rPr>
              <w:t>0</w:t>
            </w:r>
          </w:p>
        </w:tc>
      </w:tr>
      <w:tr w:rsidR="007F446F" w14:paraId="1CC9CC46" w14:textId="77777777" w:rsidTr="001D13CE">
        <w:trPr>
          <w:trHeight w:val="318"/>
          <w:jc w:val="center"/>
        </w:trPr>
        <w:tc>
          <w:tcPr>
            <w:tcW w:w="2239" w:type="dxa"/>
            <w:tcBorders>
              <w:top w:val="nil"/>
              <w:left w:val="nil"/>
              <w:bottom w:val="nil"/>
              <w:right w:val="nil"/>
            </w:tcBorders>
            <w:vAlign w:val="center"/>
            <w:hideMark/>
          </w:tcPr>
          <w:p w14:paraId="29A7FA38" w14:textId="77777777" w:rsidR="007F446F" w:rsidRDefault="007F446F" w:rsidP="001D13CE">
            <w:pPr>
              <w:spacing w:after="0" w:line="360" w:lineRule="auto"/>
              <w:rPr>
                <w:rFonts w:ascii="Times New Roman" w:hAnsi="Times New Roman"/>
                <w:sz w:val="20"/>
                <w:szCs w:val="24"/>
              </w:rPr>
            </w:pPr>
            <w:r>
              <w:rPr>
                <w:rFonts w:ascii="Times New Roman" w:hAnsi="Times New Roman"/>
                <w:bCs/>
                <w:iCs/>
                <w:sz w:val="20"/>
                <w:szCs w:val="24"/>
              </w:rPr>
              <w:t>Spain</w:t>
            </w:r>
          </w:p>
        </w:tc>
        <w:tc>
          <w:tcPr>
            <w:tcW w:w="881" w:type="dxa"/>
            <w:tcBorders>
              <w:top w:val="nil"/>
              <w:left w:val="nil"/>
              <w:bottom w:val="nil"/>
              <w:right w:val="nil"/>
            </w:tcBorders>
            <w:vAlign w:val="center"/>
            <w:hideMark/>
          </w:tcPr>
          <w:p w14:paraId="2C370D1D" w14:textId="77777777" w:rsidR="007F446F" w:rsidRDefault="007F446F" w:rsidP="001D13CE">
            <w:pPr>
              <w:keepNext/>
              <w:keepLines/>
              <w:spacing w:after="0" w:line="360" w:lineRule="auto"/>
              <w:jc w:val="center"/>
              <w:rPr>
                <w:rFonts w:ascii="Times New Roman" w:hAnsi="Times New Roman"/>
                <w:sz w:val="20"/>
                <w:szCs w:val="24"/>
              </w:rPr>
            </w:pPr>
            <w:r>
              <w:rPr>
                <w:rFonts w:ascii="Times New Roman" w:hAnsi="Times New Roman"/>
                <w:sz w:val="20"/>
                <w:szCs w:val="24"/>
              </w:rPr>
              <w:t>69</w:t>
            </w:r>
          </w:p>
        </w:tc>
        <w:tc>
          <w:tcPr>
            <w:tcW w:w="930" w:type="dxa"/>
            <w:tcBorders>
              <w:top w:val="nil"/>
              <w:left w:val="nil"/>
              <w:bottom w:val="nil"/>
              <w:right w:val="nil"/>
            </w:tcBorders>
            <w:vAlign w:val="center"/>
            <w:hideMark/>
          </w:tcPr>
          <w:p w14:paraId="56FED20C" w14:textId="77777777" w:rsidR="007F446F" w:rsidRDefault="007F446F" w:rsidP="001D13CE">
            <w:pPr>
              <w:keepNext/>
              <w:keepLines/>
              <w:spacing w:after="0" w:line="360" w:lineRule="auto"/>
              <w:jc w:val="center"/>
              <w:rPr>
                <w:rFonts w:ascii="Times New Roman" w:hAnsi="Times New Roman"/>
                <w:sz w:val="20"/>
                <w:szCs w:val="24"/>
              </w:rPr>
            </w:pPr>
            <w:r>
              <w:rPr>
                <w:rFonts w:ascii="Times New Roman" w:hAnsi="Times New Roman"/>
                <w:sz w:val="20"/>
                <w:szCs w:val="24"/>
              </w:rPr>
              <w:t>94</w:t>
            </w:r>
          </w:p>
        </w:tc>
        <w:tc>
          <w:tcPr>
            <w:tcW w:w="771" w:type="dxa"/>
            <w:tcBorders>
              <w:top w:val="nil"/>
              <w:left w:val="nil"/>
              <w:bottom w:val="nil"/>
              <w:right w:val="nil"/>
            </w:tcBorders>
            <w:vAlign w:val="center"/>
            <w:hideMark/>
          </w:tcPr>
          <w:p w14:paraId="08CCFF43" w14:textId="77777777" w:rsidR="007F446F" w:rsidRDefault="007F446F" w:rsidP="001D13CE">
            <w:pPr>
              <w:keepNext/>
              <w:keepLines/>
              <w:spacing w:after="0" w:line="360" w:lineRule="auto"/>
              <w:jc w:val="center"/>
              <w:rPr>
                <w:rFonts w:ascii="Times New Roman" w:hAnsi="Times New Roman"/>
                <w:sz w:val="20"/>
                <w:szCs w:val="24"/>
              </w:rPr>
            </w:pPr>
            <w:r>
              <w:rPr>
                <w:rFonts w:ascii="Times New Roman" w:hAnsi="Times New Roman"/>
                <w:sz w:val="20"/>
                <w:szCs w:val="24"/>
              </w:rPr>
              <w:t>62</w:t>
            </w:r>
          </w:p>
        </w:tc>
        <w:tc>
          <w:tcPr>
            <w:tcW w:w="881" w:type="dxa"/>
            <w:tcBorders>
              <w:top w:val="nil"/>
              <w:left w:val="nil"/>
              <w:bottom w:val="nil"/>
              <w:right w:val="nil"/>
            </w:tcBorders>
            <w:vAlign w:val="center"/>
            <w:hideMark/>
          </w:tcPr>
          <w:p w14:paraId="3B696C35" w14:textId="77777777" w:rsidR="007F446F" w:rsidRDefault="007F446F" w:rsidP="001D13CE">
            <w:pPr>
              <w:keepNext/>
              <w:keepLines/>
              <w:spacing w:after="0" w:line="360" w:lineRule="auto"/>
              <w:jc w:val="center"/>
              <w:rPr>
                <w:rFonts w:ascii="Times New Roman" w:hAnsi="Times New Roman"/>
                <w:sz w:val="20"/>
                <w:szCs w:val="24"/>
              </w:rPr>
            </w:pPr>
            <w:r>
              <w:rPr>
                <w:rFonts w:ascii="Times New Roman" w:hAnsi="Times New Roman"/>
                <w:sz w:val="20"/>
                <w:szCs w:val="24"/>
              </w:rPr>
              <w:t>91</w:t>
            </w:r>
          </w:p>
        </w:tc>
        <w:tc>
          <w:tcPr>
            <w:tcW w:w="881" w:type="dxa"/>
            <w:gridSpan w:val="2"/>
            <w:tcBorders>
              <w:top w:val="nil"/>
              <w:left w:val="nil"/>
              <w:bottom w:val="nil"/>
              <w:right w:val="nil"/>
            </w:tcBorders>
            <w:vAlign w:val="center"/>
            <w:hideMark/>
          </w:tcPr>
          <w:p w14:paraId="5668EFF0" w14:textId="77777777" w:rsidR="007F446F" w:rsidRDefault="007F446F" w:rsidP="001D13CE">
            <w:pPr>
              <w:keepNext/>
              <w:keepLines/>
              <w:spacing w:after="0" w:line="360" w:lineRule="auto"/>
              <w:jc w:val="center"/>
              <w:rPr>
                <w:rFonts w:ascii="Times New Roman" w:hAnsi="Times New Roman"/>
                <w:sz w:val="20"/>
                <w:szCs w:val="24"/>
              </w:rPr>
            </w:pPr>
            <w:r>
              <w:rPr>
                <w:rFonts w:ascii="Times New Roman" w:hAnsi="Times New Roman"/>
                <w:sz w:val="20"/>
                <w:szCs w:val="24"/>
              </w:rPr>
              <w:t>0</w:t>
            </w:r>
          </w:p>
        </w:tc>
        <w:tc>
          <w:tcPr>
            <w:tcW w:w="881" w:type="dxa"/>
            <w:gridSpan w:val="2"/>
            <w:tcBorders>
              <w:top w:val="nil"/>
              <w:left w:val="nil"/>
              <w:bottom w:val="nil"/>
              <w:right w:val="nil"/>
            </w:tcBorders>
            <w:vAlign w:val="center"/>
            <w:hideMark/>
          </w:tcPr>
          <w:p w14:paraId="12C9BD5B" w14:textId="77777777" w:rsidR="007F446F" w:rsidRDefault="007F446F" w:rsidP="001D13CE">
            <w:pPr>
              <w:keepNext/>
              <w:keepLines/>
              <w:spacing w:after="0" w:line="360" w:lineRule="auto"/>
              <w:jc w:val="center"/>
              <w:rPr>
                <w:rFonts w:ascii="Times New Roman" w:hAnsi="Times New Roman"/>
                <w:sz w:val="20"/>
                <w:szCs w:val="24"/>
              </w:rPr>
            </w:pPr>
            <w:r>
              <w:rPr>
                <w:rFonts w:ascii="Times New Roman" w:hAnsi="Times New Roman"/>
                <w:sz w:val="20"/>
                <w:szCs w:val="24"/>
              </w:rPr>
              <w:t>6</w:t>
            </w:r>
          </w:p>
        </w:tc>
        <w:tc>
          <w:tcPr>
            <w:tcW w:w="881" w:type="dxa"/>
            <w:tcBorders>
              <w:top w:val="nil"/>
              <w:left w:val="nil"/>
              <w:bottom w:val="nil"/>
              <w:right w:val="nil"/>
            </w:tcBorders>
            <w:vAlign w:val="center"/>
            <w:hideMark/>
          </w:tcPr>
          <w:p w14:paraId="60720680" w14:textId="77777777" w:rsidR="007F446F" w:rsidRDefault="007F446F" w:rsidP="001D13CE">
            <w:pPr>
              <w:keepNext/>
              <w:keepLines/>
              <w:spacing w:after="0" w:line="360" w:lineRule="auto"/>
              <w:jc w:val="center"/>
              <w:rPr>
                <w:rFonts w:ascii="Times New Roman" w:hAnsi="Times New Roman"/>
                <w:sz w:val="20"/>
                <w:szCs w:val="24"/>
              </w:rPr>
            </w:pPr>
            <w:r>
              <w:rPr>
                <w:rFonts w:ascii="Times New Roman" w:hAnsi="Times New Roman"/>
                <w:sz w:val="20"/>
                <w:szCs w:val="24"/>
              </w:rPr>
              <w:t>0</w:t>
            </w:r>
          </w:p>
        </w:tc>
        <w:tc>
          <w:tcPr>
            <w:tcW w:w="882" w:type="dxa"/>
            <w:tcBorders>
              <w:top w:val="nil"/>
              <w:left w:val="nil"/>
              <w:bottom w:val="nil"/>
              <w:right w:val="nil"/>
            </w:tcBorders>
            <w:vAlign w:val="center"/>
            <w:hideMark/>
          </w:tcPr>
          <w:p w14:paraId="1170506B" w14:textId="77777777" w:rsidR="007F446F" w:rsidRDefault="007F446F" w:rsidP="001D13CE">
            <w:pPr>
              <w:keepNext/>
              <w:keepLines/>
              <w:spacing w:after="0" w:line="360" w:lineRule="auto"/>
              <w:jc w:val="center"/>
              <w:rPr>
                <w:rFonts w:ascii="Times New Roman" w:hAnsi="Times New Roman"/>
                <w:sz w:val="20"/>
                <w:szCs w:val="24"/>
              </w:rPr>
            </w:pPr>
            <w:r>
              <w:rPr>
                <w:rFonts w:ascii="Times New Roman" w:hAnsi="Times New Roman"/>
                <w:sz w:val="20"/>
                <w:szCs w:val="24"/>
              </w:rPr>
              <w:t>6</w:t>
            </w:r>
          </w:p>
        </w:tc>
      </w:tr>
      <w:tr w:rsidR="007F446F" w14:paraId="05053D57" w14:textId="77777777" w:rsidTr="001D13CE">
        <w:trPr>
          <w:trHeight w:val="318"/>
          <w:jc w:val="center"/>
        </w:trPr>
        <w:tc>
          <w:tcPr>
            <w:tcW w:w="2239" w:type="dxa"/>
            <w:tcBorders>
              <w:top w:val="nil"/>
              <w:left w:val="nil"/>
              <w:bottom w:val="nil"/>
              <w:right w:val="nil"/>
            </w:tcBorders>
            <w:vAlign w:val="center"/>
            <w:hideMark/>
          </w:tcPr>
          <w:p w14:paraId="04AE6423" w14:textId="77777777" w:rsidR="007F446F" w:rsidRDefault="007F446F" w:rsidP="001D13CE">
            <w:pPr>
              <w:spacing w:after="0" w:line="360" w:lineRule="auto"/>
              <w:rPr>
                <w:rFonts w:ascii="Times New Roman" w:hAnsi="Times New Roman"/>
                <w:sz w:val="20"/>
                <w:szCs w:val="24"/>
              </w:rPr>
            </w:pPr>
            <w:r>
              <w:rPr>
                <w:rFonts w:ascii="Times New Roman" w:hAnsi="Times New Roman"/>
                <w:iCs/>
                <w:sz w:val="20"/>
                <w:szCs w:val="24"/>
              </w:rPr>
              <w:t>Sweden</w:t>
            </w:r>
          </w:p>
        </w:tc>
        <w:tc>
          <w:tcPr>
            <w:tcW w:w="881" w:type="dxa"/>
            <w:tcBorders>
              <w:top w:val="nil"/>
              <w:left w:val="nil"/>
              <w:bottom w:val="nil"/>
              <w:right w:val="nil"/>
            </w:tcBorders>
            <w:vAlign w:val="center"/>
            <w:hideMark/>
          </w:tcPr>
          <w:p w14:paraId="314449DD" w14:textId="77777777" w:rsidR="007F446F" w:rsidRDefault="007F446F" w:rsidP="001D13CE">
            <w:pPr>
              <w:keepNext/>
              <w:keepLines/>
              <w:spacing w:after="0" w:line="360" w:lineRule="auto"/>
              <w:jc w:val="center"/>
              <w:rPr>
                <w:rFonts w:ascii="Times New Roman" w:hAnsi="Times New Roman"/>
                <w:sz w:val="20"/>
                <w:szCs w:val="24"/>
              </w:rPr>
            </w:pPr>
            <w:r>
              <w:rPr>
                <w:rFonts w:ascii="Times New Roman" w:hAnsi="Times New Roman"/>
                <w:sz w:val="20"/>
                <w:szCs w:val="24"/>
              </w:rPr>
              <w:t>12</w:t>
            </w:r>
          </w:p>
        </w:tc>
        <w:tc>
          <w:tcPr>
            <w:tcW w:w="930" w:type="dxa"/>
            <w:tcBorders>
              <w:top w:val="nil"/>
              <w:left w:val="nil"/>
              <w:bottom w:val="nil"/>
              <w:right w:val="nil"/>
            </w:tcBorders>
            <w:vAlign w:val="center"/>
            <w:hideMark/>
          </w:tcPr>
          <w:p w14:paraId="23D27123" w14:textId="77777777" w:rsidR="007F446F" w:rsidRDefault="007F446F" w:rsidP="001D13CE">
            <w:pPr>
              <w:keepNext/>
              <w:keepLines/>
              <w:spacing w:after="0" w:line="360" w:lineRule="auto"/>
              <w:jc w:val="center"/>
              <w:rPr>
                <w:rFonts w:ascii="Times New Roman" w:hAnsi="Times New Roman"/>
                <w:sz w:val="20"/>
                <w:szCs w:val="24"/>
              </w:rPr>
            </w:pPr>
            <w:r>
              <w:rPr>
                <w:rFonts w:ascii="Times New Roman" w:hAnsi="Times New Roman"/>
                <w:sz w:val="20"/>
                <w:szCs w:val="24"/>
              </w:rPr>
              <w:t>62</w:t>
            </w:r>
          </w:p>
        </w:tc>
        <w:tc>
          <w:tcPr>
            <w:tcW w:w="771" w:type="dxa"/>
            <w:tcBorders>
              <w:top w:val="nil"/>
              <w:left w:val="nil"/>
              <w:bottom w:val="nil"/>
              <w:right w:val="nil"/>
            </w:tcBorders>
            <w:vAlign w:val="center"/>
            <w:hideMark/>
          </w:tcPr>
          <w:p w14:paraId="5B4B1AFD" w14:textId="77777777" w:rsidR="007F446F" w:rsidRDefault="007F446F" w:rsidP="001D13CE">
            <w:pPr>
              <w:keepNext/>
              <w:keepLines/>
              <w:spacing w:after="0" w:line="360" w:lineRule="auto"/>
              <w:jc w:val="center"/>
              <w:rPr>
                <w:rFonts w:ascii="Times New Roman" w:hAnsi="Times New Roman"/>
                <w:sz w:val="20"/>
                <w:szCs w:val="24"/>
              </w:rPr>
            </w:pPr>
            <w:r>
              <w:rPr>
                <w:rFonts w:ascii="Times New Roman" w:hAnsi="Times New Roman"/>
                <w:sz w:val="20"/>
                <w:szCs w:val="24"/>
              </w:rPr>
              <w:t>12</w:t>
            </w:r>
          </w:p>
        </w:tc>
        <w:tc>
          <w:tcPr>
            <w:tcW w:w="881" w:type="dxa"/>
            <w:tcBorders>
              <w:top w:val="nil"/>
              <w:left w:val="nil"/>
              <w:bottom w:val="nil"/>
              <w:right w:val="nil"/>
            </w:tcBorders>
            <w:vAlign w:val="center"/>
            <w:hideMark/>
          </w:tcPr>
          <w:p w14:paraId="6B573C7E" w14:textId="77777777" w:rsidR="007F446F" w:rsidRDefault="007F446F" w:rsidP="001D13CE">
            <w:pPr>
              <w:keepNext/>
              <w:keepLines/>
              <w:spacing w:after="0" w:line="360" w:lineRule="auto"/>
              <w:jc w:val="center"/>
              <w:rPr>
                <w:rFonts w:ascii="Times New Roman" w:hAnsi="Times New Roman"/>
                <w:sz w:val="20"/>
                <w:szCs w:val="24"/>
              </w:rPr>
            </w:pPr>
            <w:r>
              <w:rPr>
                <w:rFonts w:ascii="Times New Roman" w:hAnsi="Times New Roman"/>
                <w:sz w:val="20"/>
                <w:szCs w:val="24"/>
              </w:rPr>
              <w:t>61</w:t>
            </w:r>
          </w:p>
        </w:tc>
        <w:tc>
          <w:tcPr>
            <w:tcW w:w="881" w:type="dxa"/>
            <w:gridSpan w:val="2"/>
            <w:tcBorders>
              <w:top w:val="nil"/>
              <w:left w:val="nil"/>
              <w:bottom w:val="nil"/>
              <w:right w:val="nil"/>
            </w:tcBorders>
            <w:vAlign w:val="center"/>
            <w:hideMark/>
          </w:tcPr>
          <w:p w14:paraId="0CB88CC9" w14:textId="77777777" w:rsidR="007F446F" w:rsidRDefault="007F446F" w:rsidP="001D13CE">
            <w:pPr>
              <w:keepNext/>
              <w:keepLines/>
              <w:spacing w:after="0" w:line="360" w:lineRule="auto"/>
              <w:jc w:val="center"/>
              <w:rPr>
                <w:rFonts w:ascii="Times New Roman" w:hAnsi="Times New Roman"/>
                <w:sz w:val="20"/>
                <w:szCs w:val="24"/>
              </w:rPr>
            </w:pPr>
            <w:r>
              <w:rPr>
                <w:rFonts w:ascii="Times New Roman" w:hAnsi="Times New Roman"/>
                <w:sz w:val="20"/>
                <w:szCs w:val="24"/>
              </w:rPr>
              <w:t>11</w:t>
            </w:r>
          </w:p>
        </w:tc>
        <w:tc>
          <w:tcPr>
            <w:tcW w:w="881" w:type="dxa"/>
            <w:gridSpan w:val="2"/>
            <w:tcBorders>
              <w:top w:val="nil"/>
              <w:left w:val="nil"/>
              <w:bottom w:val="nil"/>
              <w:right w:val="nil"/>
            </w:tcBorders>
            <w:vAlign w:val="center"/>
            <w:hideMark/>
          </w:tcPr>
          <w:p w14:paraId="1EFDBAC9" w14:textId="77777777" w:rsidR="007F446F" w:rsidRDefault="007F446F" w:rsidP="001D13CE">
            <w:pPr>
              <w:keepNext/>
              <w:keepLines/>
              <w:spacing w:after="0" w:line="360" w:lineRule="auto"/>
              <w:jc w:val="center"/>
              <w:rPr>
                <w:rFonts w:ascii="Times New Roman" w:hAnsi="Times New Roman"/>
                <w:sz w:val="20"/>
                <w:szCs w:val="24"/>
              </w:rPr>
            </w:pPr>
            <w:r>
              <w:rPr>
                <w:rFonts w:ascii="Times New Roman" w:hAnsi="Times New Roman"/>
                <w:sz w:val="20"/>
                <w:szCs w:val="24"/>
              </w:rPr>
              <w:t>60</w:t>
            </w:r>
          </w:p>
        </w:tc>
        <w:tc>
          <w:tcPr>
            <w:tcW w:w="881" w:type="dxa"/>
            <w:tcBorders>
              <w:top w:val="nil"/>
              <w:left w:val="nil"/>
              <w:bottom w:val="nil"/>
              <w:right w:val="nil"/>
            </w:tcBorders>
            <w:vAlign w:val="center"/>
            <w:hideMark/>
          </w:tcPr>
          <w:p w14:paraId="06F37A9A" w14:textId="77777777" w:rsidR="007F446F" w:rsidRDefault="007F446F" w:rsidP="001D13CE">
            <w:pPr>
              <w:keepNext/>
              <w:keepLines/>
              <w:spacing w:after="0" w:line="360" w:lineRule="auto"/>
              <w:jc w:val="center"/>
              <w:rPr>
                <w:rFonts w:ascii="Times New Roman" w:hAnsi="Times New Roman"/>
                <w:sz w:val="20"/>
                <w:szCs w:val="24"/>
              </w:rPr>
            </w:pPr>
            <w:r>
              <w:rPr>
                <w:rFonts w:ascii="Times New Roman" w:hAnsi="Times New Roman"/>
                <w:sz w:val="20"/>
                <w:szCs w:val="24"/>
              </w:rPr>
              <w:t>1</w:t>
            </w:r>
          </w:p>
        </w:tc>
        <w:tc>
          <w:tcPr>
            <w:tcW w:w="882" w:type="dxa"/>
            <w:tcBorders>
              <w:top w:val="nil"/>
              <w:left w:val="nil"/>
              <w:bottom w:val="nil"/>
              <w:right w:val="nil"/>
            </w:tcBorders>
            <w:vAlign w:val="center"/>
            <w:hideMark/>
          </w:tcPr>
          <w:p w14:paraId="45B327A8" w14:textId="77777777" w:rsidR="007F446F" w:rsidRDefault="007F446F" w:rsidP="001D13CE">
            <w:pPr>
              <w:keepNext/>
              <w:keepLines/>
              <w:spacing w:after="0" w:line="360" w:lineRule="auto"/>
              <w:jc w:val="center"/>
              <w:rPr>
                <w:rFonts w:ascii="Times New Roman" w:hAnsi="Times New Roman"/>
                <w:sz w:val="20"/>
                <w:szCs w:val="24"/>
              </w:rPr>
            </w:pPr>
            <w:r>
              <w:rPr>
                <w:rFonts w:ascii="Times New Roman" w:hAnsi="Times New Roman"/>
                <w:sz w:val="20"/>
                <w:szCs w:val="24"/>
              </w:rPr>
              <w:t>8</w:t>
            </w:r>
          </w:p>
        </w:tc>
      </w:tr>
      <w:tr w:rsidR="007F446F" w14:paraId="4D339E3E" w14:textId="77777777" w:rsidTr="001D13CE">
        <w:trPr>
          <w:trHeight w:val="318"/>
          <w:jc w:val="center"/>
        </w:trPr>
        <w:tc>
          <w:tcPr>
            <w:tcW w:w="2239" w:type="dxa"/>
            <w:tcBorders>
              <w:top w:val="nil"/>
              <w:left w:val="nil"/>
              <w:bottom w:val="nil"/>
              <w:right w:val="nil"/>
            </w:tcBorders>
            <w:vAlign w:val="center"/>
            <w:hideMark/>
          </w:tcPr>
          <w:p w14:paraId="350ED5E6" w14:textId="77777777" w:rsidR="007F446F" w:rsidRPr="00803E13" w:rsidRDefault="007F446F" w:rsidP="001D13CE">
            <w:pPr>
              <w:spacing w:after="0" w:line="360" w:lineRule="auto"/>
              <w:rPr>
                <w:rFonts w:ascii="Times New Roman" w:hAnsi="Times New Roman"/>
                <w:sz w:val="20"/>
                <w:szCs w:val="24"/>
              </w:rPr>
            </w:pPr>
            <w:r w:rsidRPr="00A44BDE">
              <w:rPr>
                <w:rFonts w:ascii="Times New Roman" w:hAnsi="Times New Roman"/>
                <w:iCs/>
                <w:sz w:val="20"/>
                <w:szCs w:val="24"/>
              </w:rPr>
              <w:t>United Kingdom</w:t>
            </w:r>
            <w:r w:rsidRPr="00803E13">
              <w:rPr>
                <w:rFonts w:ascii="Times New Roman" w:hAnsi="Times New Roman"/>
                <w:iCs/>
                <w:sz w:val="20"/>
                <w:szCs w:val="24"/>
                <w:vertAlign w:val="superscript"/>
              </w:rPr>
              <w:t>§</w:t>
            </w:r>
          </w:p>
        </w:tc>
        <w:tc>
          <w:tcPr>
            <w:tcW w:w="881" w:type="dxa"/>
            <w:tcBorders>
              <w:top w:val="nil"/>
              <w:left w:val="nil"/>
              <w:bottom w:val="nil"/>
              <w:right w:val="nil"/>
            </w:tcBorders>
            <w:vAlign w:val="center"/>
            <w:hideMark/>
          </w:tcPr>
          <w:p w14:paraId="1530A13D" w14:textId="77777777" w:rsidR="007F446F" w:rsidRPr="00803E13" w:rsidRDefault="007F446F" w:rsidP="001D13CE">
            <w:pPr>
              <w:keepNext/>
              <w:keepLines/>
              <w:spacing w:after="0" w:line="360" w:lineRule="auto"/>
              <w:jc w:val="center"/>
              <w:rPr>
                <w:rFonts w:ascii="Times New Roman" w:hAnsi="Times New Roman"/>
                <w:sz w:val="20"/>
                <w:szCs w:val="24"/>
              </w:rPr>
            </w:pPr>
            <w:r w:rsidRPr="00803E13">
              <w:rPr>
                <w:rFonts w:ascii="Times New Roman" w:hAnsi="Times New Roman"/>
                <w:sz w:val="20"/>
                <w:szCs w:val="24"/>
              </w:rPr>
              <w:t>0</w:t>
            </w:r>
          </w:p>
        </w:tc>
        <w:tc>
          <w:tcPr>
            <w:tcW w:w="930" w:type="dxa"/>
            <w:tcBorders>
              <w:top w:val="nil"/>
              <w:left w:val="nil"/>
              <w:bottom w:val="nil"/>
              <w:right w:val="nil"/>
            </w:tcBorders>
            <w:vAlign w:val="center"/>
            <w:hideMark/>
          </w:tcPr>
          <w:p w14:paraId="05A65BFC" w14:textId="77777777" w:rsidR="007F446F" w:rsidRPr="00803E13" w:rsidRDefault="007F446F" w:rsidP="001D13CE">
            <w:pPr>
              <w:keepNext/>
              <w:keepLines/>
              <w:spacing w:after="0" w:line="360" w:lineRule="auto"/>
              <w:jc w:val="center"/>
              <w:rPr>
                <w:rFonts w:ascii="Times New Roman" w:hAnsi="Times New Roman"/>
                <w:sz w:val="20"/>
                <w:szCs w:val="24"/>
              </w:rPr>
            </w:pPr>
            <w:r w:rsidRPr="00803E13">
              <w:rPr>
                <w:rFonts w:ascii="Times New Roman" w:hAnsi="Times New Roman"/>
                <w:sz w:val="20"/>
                <w:szCs w:val="24"/>
              </w:rPr>
              <w:t>0</w:t>
            </w:r>
          </w:p>
        </w:tc>
        <w:tc>
          <w:tcPr>
            <w:tcW w:w="771" w:type="dxa"/>
            <w:tcBorders>
              <w:top w:val="nil"/>
              <w:left w:val="nil"/>
              <w:bottom w:val="nil"/>
              <w:right w:val="nil"/>
            </w:tcBorders>
            <w:vAlign w:val="center"/>
            <w:hideMark/>
          </w:tcPr>
          <w:p w14:paraId="5A237636" w14:textId="77777777" w:rsidR="007F446F" w:rsidRPr="00803E13" w:rsidRDefault="007F446F" w:rsidP="001D13CE">
            <w:pPr>
              <w:keepNext/>
              <w:keepLines/>
              <w:spacing w:after="0" w:line="360" w:lineRule="auto"/>
              <w:jc w:val="center"/>
              <w:rPr>
                <w:rFonts w:ascii="Times New Roman" w:hAnsi="Times New Roman"/>
                <w:sz w:val="20"/>
                <w:szCs w:val="24"/>
              </w:rPr>
            </w:pPr>
            <w:r w:rsidRPr="00803E13">
              <w:rPr>
                <w:rFonts w:ascii="Times New Roman" w:hAnsi="Times New Roman"/>
                <w:sz w:val="20"/>
                <w:szCs w:val="24"/>
              </w:rPr>
              <w:t>0</w:t>
            </w:r>
          </w:p>
        </w:tc>
        <w:tc>
          <w:tcPr>
            <w:tcW w:w="881" w:type="dxa"/>
            <w:tcBorders>
              <w:top w:val="nil"/>
              <w:left w:val="nil"/>
              <w:bottom w:val="nil"/>
              <w:right w:val="nil"/>
            </w:tcBorders>
            <w:vAlign w:val="center"/>
            <w:hideMark/>
          </w:tcPr>
          <w:p w14:paraId="1D7AE124" w14:textId="77777777" w:rsidR="007F446F" w:rsidRPr="00803E13" w:rsidRDefault="007F446F" w:rsidP="001D13CE">
            <w:pPr>
              <w:keepNext/>
              <w:keepLines/>
              <w:spacing w:after="0" w:line="360" w:lineRule="auto"/>
              <w:jc w:val="center"/>
              <w:rPr>
                <w:rFonts w:ascii="Times New Roman" w:hAnsi="Times New Roman"/>
                <w:sz w:val="20"/>
                <w:szCs w:val="24"/>
              </w:rPr>
            </w:pPr>
            <w:r w:rsidRPr="00803E13">
              <w:rPr>
                <w:rFonts w:ascii="Times New Roman" w:hAnsi="Times New Roman"/>
                <w:sz w:val="20"/>
                <w:szCs w:val="24"/>
              </w:rPr>
              <w:t>0</w:t>
            </w:r>
          </w:p>
        </w:tc>
        <w:tc>
          <w:tcPr>
            <w:tcW w:w="881" w:type="dxa"/>
            <w:gridSpan w:val="2"/>
            <w:tcBorders>
              <w:top w:val="nil"/>
              <w:left w:val="nil"/>
              <w:bottom w:val="nil"/>
              <w:right w:val="nil"/>
            </w:tcBorders>
            <w:vAlign w:val="center"/>
            <w:hideMark/>
          </w:tcPr>
          <w:p w14:paraId="0E1BEEA9" w14:textId="77777777" w:rsidR="007F446F" w:rsidRPr="00803E13" w:rsidRDefault="007F446F" w:rsidP="001D13CE">
            <w:pPr>
              <w:keepNext/>
              <w:keepLines/>
              <w:spacing w:after="0" w:line="360" w:lineRule="auto"/>
              <w:jc w:val="center"/>
              <w:rPr>
                <w:rFonts w:ascii="Times New Roman" w:hAnsi="Times New Roman"/>
                <w:sz w:val="20"/>
                <w:szCs w:val="24"/>
              </w:rPr>
            </w:pPr>
            <w:r w:rsidRPr="00803E13">
              <w:rPr>
                <w:rFonts w:ascii="Times New Roman" w:hAnsi="Times New Roman"/>
                <w:sz w:val="20"/>
                <w:szCs w:val="24"/>
              </w:rPr>
              <w:t>0</w:t>
            </w:r>
          </w:p>
        </w:tc>
        <w:tc>
          <w:tcPr>
            <w:tcW w:w="881" w:type="dxa"/>
            <w:gridSpan w:val="2"/>
            <w:tcBorders>
              <w:top w:val="nil"/>
              <w:left w:val="nil"/>
              <w:bottom w:val="nil"/>
              <w:right w:val="nil"/>
            </w:tcBorders>
            <w:vAlign w:val="center"/>
            <w:hideMark/>
          </w:tcPr>
          <w:p w14:paraId="609F6EEF" w14:textId="77777777" w:rsidR="007F446F" w:rsidRPr="00803E13" w:rsidRDefault="007F446F" w:rsidP="001D13CE">
            <w:pPr>
              <w:keepNext/>
              <w:keepLines/>
              <w:spacing w:after="0" w:line="360" w:lineRule="auto"/>
              <w:jc w:val="center"/>
              <w:rPr>
                <w:rFonts w:ascii="Times New Roman" w:hAnsi="Times New Roman"/>
                <w:sz w:val="20"/>
                <w:szCs w:val="24"/>
              </w:rPr>
            </w:pPr>
            <w:r w:rsidRPr="00803E13">
              <w:rPr>
                <w:rFonts w:ascii="Times New Roman" w:hAnsi="Times New Roman"/>
                <w:sz w:val="20"/>
                <w:szCs w:val="24"/>
              </w:rPr>
              <w:t>0</w:t>
            </w:r>
          </w:p>
        </w:tc>
        <w:tc>
          <w:tcPr>
            <w:tcW w:w="881" w:type="dxa"/>
            <w:tcBorders>
              <w:top w:val="nil"/>
              <w:left w:val="nil"/>
              <w:bottom w:val="nil"/>
              <w:right w:val="nil"/>
            </w:tcBorders>
            <w:vAlign w:val="center"/>
            <w:hideMark/>
          </w:tcPr>
          <w:p w14:paraId="5F6FA0BD" w14:textId="77777777" w:rsidR="007F446F" w:rsidRPr="00803E13" w:rsidRDefault="007F446F" w:rsidP="001D13CE">
            <w:pPr>
              <w:keepNext/>
              <w:keepLines/>
              <w:spacing w:after="0" w:line="360" w:lineRule="auto"/>
              <w:jc w:val="center"/>
              <w:rPr>
                <w:rFonts w:ascii="Times New Roman" w:hAnsi="Times New Roman"/>
                <w:sz w:val="20"/>
                <w:szCs w:val="24"/>
              </w:rPr>
            </w:pPr>
            <w:r w:rsidRPr="00803E13">
              <w:rPr>
                <w:rFonts w:ascii="Times New Roman" w:hAnsi="Times New Roman"/>
                <w:sz w:val="20"/>
                <w:szCs w:val="24"/>
              </w:rPr>
              <w:t>0</w:t>
            </w:r>
          </w:p>
        </w:tc>
        <w:tc>
          <w:tcPr>
            <w:tcW w:w="882" w:type="dxa"/>
            <w:tcBorders>
              <w:top w:val="nil"/>
              <w:left w:val="nil"/>
              <w:bottom w:val="nil"/>
              <w:right w:val="nil"/>
            </w:tcBorders>
            <w:vAlign w:val="center"/>
            <w:hideMark/>
          </w:tcPr>
          <w:p w14:paraId="58764B4D" w14:textId="77777777" w:rsidR="007F446F" w:rsidRPr="00A44BDE" w:rsidRDefault="007F446F" w:rsidP="001D13CE">
            <w:pPr>
              <w:keepNext/>
              <w:keepLines/>
              <w:spacing w:after="0" w:line="360" w:lineRule="auto"/>
              <w:jc w:val="center"/>
              <w:rPr>
                <w:rFonts w:ascii="Times New Roman" w:hAnsi="Times New Roman"/>
                <w:sz w:val="20"/>
                <w:szCs w:val="24"/>
              </w:rPr>
            </w:pPr>
            <w:r w:rsidRPr="00803E13">
              <w:rPr>
                <w:rFonts w:ascii="Times New Roman" w:hAnsi="Times New Roman"/>
                <w:sz w:val="20"/>
                <w:szCs w:val="24"/>
              </w:rPr>
              <w:t>0</w:t>
            </w:r>
          </w:p>
        </w:tc>
      </w:tr>
    </w:tbl>
    <w:p w14:paraId="504A7F1F" w14:textId="77777777" w:rsidR="007F446F" w:rsidRPr="00DC4D84" w:rsidRDefault="007F446F" w:rsidP="007F446F">
      <w:pPr>
        <w:keepNext/>
        <w:keepLines/>
        <w:spacing w:after="0" w:line="360" w:lineRule="auto"/>
        <w:ind w:left="270"/>
        <w:jc w:val="both"/>
        <w:rPr>
          <w:rFonts w:ascii="Times New Roman" w:hAnsi="Times New Roman"/>
          <w:i/>
          <w:sz w:val="20"/>
          <w:szCs w:val="20"/>
        </w:rPr>
      </w:pPr>
      <w:r w:rsidRPr="00EA7A7B">
        <w:rPr>
          <w:rFonts w:ascii="Times New Roman" w:hAnsi="Times New Roman"/>
          <w:i/>
          <w:sz w:val="20"/>
          <w:szCs w:val="20"/>
        </w:rPr>
        <w:t>Source: Eurostat, 2013, AES.</w:t>
      </w:r>
    </w:p>
    <w:p w14:paraId="54FBB6DB" w14:textId="77777777" w:rsidR="007F446F" w:rsidRPr="00803E13" w:rsidRDefault="007F446F" w:rsidP="007F446F">
      <w:pPr>
        <w:ind w:left="270"/>
        <w:rPr>
          <w:rFonts w:ascii="Times New Roman" w:hAnsi="Times New Roman"/>
          <w:sz w:val="20"/>
          <w:szCs w:val="20"/>
        </w:rPr>
      </w:pPr>
      <w:r w:rsidRPr="00803E13">
        <w:rPr>
          <w:rFonts w:ascii="Times New Roman" w:hAnsi="Times New Roman"/>
          <w:i/>
          <w:sz w:val="20"/>
          <w:szCs w:val="20"/>
        </w:rPr>
        <w:t xml:space="preserve">Note: </w:t>
      </w:r>
      <w:r w:rsidRPr="00803E13">
        <w:rPr>
          <w:rFonts w:ascii="Times New Roman" w:hAnsi="Times New Roman"/>
          <w:sz w:val="20"/>
          <w:szCs w:val="20"/>
        </w:rPr>
        <w:t xml:space="preserve"> Data (EU-25) are reported in percentages</w:t>
      </w:r>
      <w:r w:rsidRPr="00803E13">
        <w:rPr>
          <w:rFonts w:ascii="Times New Roman" w:hAnsi="Times New Roman"/>
          <w:i/>
          <w:sz w:val="20"/>
          <w:szCs w:val="20"/>
        </w:rPr>
        <w:t>.</w:t>
      </w:r>
    </w:p>
    <w:p w14:paraId="57A2CD4B" w14:textId="77777777" w:rsidR="007F446F" w:rsidRPr="00803E13" w:rsidRDefault="007F446F" w:rsidP="007F446F">
      <w:pPr>
        <w:ind w:left="180" w:right="1417"/>
        <w:jc w:val="both"/>
        <w:rPr>
          <w:rFonts w:ascii="Times New Roman" w:hAnsi="Times New Roman"/>
          <w:sz w:val="20"/>
          <w:szCs w:val="20"/>
        </w:rPr>
      </w:pPr>
      <w:r w:rsidRPr="00803E13">
        <w:rPr>
          <w:rFonts w:ascii="Times New Roman" w:hAnsi="Times New Roman"/>
          <w:sz w:val="20"/>
          <w:szCs w:val="20"/>
        </w:rPr>
        <w:t xml:space="preserve">§ </w:t>
      </w:r>
      <w:proofErr w:type="gramStart"/>
      <w:r w:rsidRPr="00803E13">
        <w:rPr>
          <w:rFonts w:ascii="Times New Roman" w:hAnsi="Times New Roman"/>
          <w:sz w:val="20"/>
          <w:szCs w:val="20"/>
        </w:rPr>
        <w:t>In order to</w:t>
      </w:r>
      <w:proofErr w:type="gramEnd"/>
      <w:r w:rsidRPr="00803E13">
        <w:rPr>
          <w:rFonts w:ascii="Times New Roman" w:hAnsi="Times New Roman"/>
          <w:sz w:val="20"/>
          <w:szCs w:val="20"/>
        </w:rPr>
        <w:t xml:space="preserve"> overcome lack of adequate data for Ireland and the UK, we make the hypothesis that all residents in these two countries are either native speakers of English or proficient in English as a foreign language. For this reason, the disenfranchisement rate is equal to zero.</w:t>
      </w:r>
    </w:p>
    <w:p w14:paraId="1BAA9901" w14:textId="77777777" w:rsidR="007F446F" w:rsidRDefault="007F446F" w:rsidP="007F446F">
      <w:pPr>
        <w:ind w:left="180" w:right="1417"/>
        <w:jc w:val="both"/>
      </w:pPr>
    </w:p>
    <w:p w14:paraId="7ABC7E45" w14:textId="77777777" w:rsidR="007F446F" w:rsidRDefault="007F446F" w:rsidP="007F446F">
      <w:pPr>
        <w:ind w:left="180" w:right="1417"/>
        <w:jc w:val="both"/>
      </w:pPr>
    </w:p>
    <w:p w14:paraId="2C452523" w14:textId="77777777" w:rsidR="007F446F" w:rsidRDefault="007F446F" w:rsidP="007F446F">
      <w:pPr>
        <w:ind w:left="180" w:right="1417"/>
        <w:jc w:val="both"/>
      </w:pPr>
    </w:p>
    <w:p w14:paraId="73AE8428" w14:textId="77777777" w:rsidR="007F446F" w:rsidRDefault="007F446F" w:rsidP="007F446F">
      <w:pPr>
        <w:ind w:left="180" w:right="1417"/>
        <w:jc w:val="both"/>
      </w:pPr>
    </w:p>
    <w:p w14:paraId="0910E793" w14:textId="77777777" w:rsidR="007F446F" w:rsidRDefault="007F446F" w:rsidP="007F446F">
      <w:pPr>
        <w:ind w:left="180" w:right="1417"/>
        <w:jc w:val="both"/>
      </w:pPr>
    </w:p>
    <w:p w14:paraId="68909B63" w14:textId="77777777" w:rsidR="007F446F" w:rsidRPr="00803E13" w:rsidRDefault="007F446F" w:rsidP="007F446F">
      <w:pPr>
        <w:pStyle w:val="Caption"/>
        <w:keepNext/>
        <w:keepLines/>
        <w:spacing w:line="360" w:lineRule="auto"/>
        <w:ind w:firstLine="1170"/>
        <w:rPr>
          <w:rFonts w:ascii="Times New Roman" w:hAnsi="Times New Roman"/>
          <w:b w:val="0"/>
          <w:color w:val="auto"/>
          <w:sz w:val="20"/>
          <w:szCs w:val="20"/>
        </w:rPr>
      </w:pPr>
      <w:r w:rsidRPr="00803E13">
        <w:rPr>
          <w:rFonts w:ascii="Times New Roman" w:hAnsi="Times New Roman"/>
          <w:color w:val="auto"/>
          <w:sz w:val="20"/>
          <w:szCs w:val="20"/>
        </w:rPr>
        <w:lastRenderedPageBreak/>
        <w:t>Table 3.</w:t>
      </w:r>
      <w:r w:rsidRPr="00803E13">
        <w:rPr>
          <w:rFonts w:ascii="Times New Roman" w:hAnsi="Times New Roman"/>
          <w:b w:val="0"/>
          <w:color w:val="auto"/>
          <w:sz w:val="20"/>
          <w:szCs w:val="20"/>
        </w:rPr>
        <w:t xml:space="preserve"> Absolute and relative disenfranchisement rates, by age group. </w:t>
      </w:r>
    </w:p>
    <w:tbl>
      <w:tblPr>
        <w:tblW w:w="3262" w:type="pct"/>
        <w:jc w:val="center"/>
        <w:tblBorders>
          <w:top w:val="single" w:sz="8" w:space="0" w:color="000000"/>
          <w:bottom w:val="single" w:sz="8" w:space="0" w:color="000000"/>
        </w:tblBorders>
        <w:tblLook w:val="04A0" w:firstRow="1" w:lastRow="0" w:firstColumn="1" w:lastColumn="0" w:noHBand="0" w:noVBand="1"/>
      </w:tblPr>
      <w:tblGrid>
        <w:gridCol w:w="1918"/>
        <w:gridCol w:w="603"/>
        <w:gridCol w:w="1201"/>
        <w:gridCol w:w="752"/>
        <w:gridCol w:w="1052"/>
        <w:gridCol w:w="903"/>
      </w:tblGrid>
      <w:tr w:rsidR="007F446F" w14:paraId="7DEBA6A0" w14:textId="77777777" w:rsidTr="001D13CE">
        <w:trPr>
          <w:trHeight w:val="191"/>
          <w:jc w:val="center"/>
        </w:trPr>
        <w:tc>
          <w:tcPr>
            <w:tcW w:w="1492" w:type="pct"/>
            <w:tcBorders>
              <w:top w:val="single" w:sz="8" w:space="0" w:color="000000"/>
              <w:left w:val="nil"/>
              <w:bottom w:val="single" w:sz="4" w:space="0" w:color="auto"/>
              <w:right w:val="nil"/>
            </w:tcBorders>
            <w:hideMark/>
          </w:tcPr>
          <w:p w14:paraId="0EA60C85" w14:textId="77777777" w:rsidR="007F446F" w:rsidRDefault="007F446F" w:rsidP="001D13CE">
            <w:pPr>
              <w:keepNext/>
              <w:keepLines/>
              <w:spacing w:after="0" w:line="360" w:lineRule="auto"/>
              <w:jc w:val="right"/>
              <w:rPr>
                <w:rFonts w:ascii="Times New Roman" w:hAnsi="Times New Roman"/>
                <w:b/>
                <w:color w:val="000000"/>
                <w:sz w:val="20"/>
                <w:szCs w:val="20"/>
              </w:rPr>
            </w:pPr>
            <w:r>
              <w:rPr>
                <w:rFonts w:ascii="Times New Roman" w:hAnsi="Times New Roman"/>
                <w:b/>
                <w:color w:val="000000"/>
                <w:sz w:val="20"/>
                <w:szCs w:val="20"/>
              </w:rPr>
              <w:t>Age group</w:t>
            </w:r>
          </w:p>
        </w:tc>
        <w:tc>
          <w:tcPr>
            <w:tcW w:w="469" w:type="pct"/>
            <w:tcBorders>
              <w:top w:val="single" w:sz="8" w:space="0" w:color="000000"/>
              <w:left w:val="nil"/>
              <w:bottom w:val="single" w:sz="4" w:space="0" w:color="auto"/>
              <w:right w:val="nil"/>
            </w:tcBorders>
          </w:tcPr>
          <w:p w14:paraId="133AFED8" w14:textId="77777777" w:rsidR="007F446F" w:rsidRDefault="007F446F" w:rsidP="001D13CE">
            <w:pPr>
              <w:keepNext/>
              <w:keepLines/>
              <w:spacing w:after="0" w:line="360" w:lineRule="auto"/>
              <w:jc w:val="right"/>
              <w:rPr>
                <w:rFonts w:ascii="Times New Roman" w:hAnsi="Times New Roman"/>
                <w:b/>
                <w:color w:val="000000"/>
                <w:sz w:val="20"/>
                <w:szCs w:val="20"/>
              </w:rPr>
            </w:pPr>
          </w:p>
        </w:tc>
        <w:tc>
          <w:tcPr>
            <w:tcW w:w="934" w:type="pct"/>
            <w:tcBorders>
              <w:top w:val="single" w:sz="8" w:space="0" w:color="000000"/>
              <w:left w:val="nil"/>
              <w:bottom w:val="single" w:sz="4" w:space="0" w:color="auto"/>
              <w:right w:val="nil"/>
            </w:tcBorders>
            <w:hideMark/>
          </w:tcPr>
          <w:p w14:paraId="594F649B" w14:textId="77777777" w:rsidR="007F446F" w:rsidRDefault="007F446F" w:rsidP="001D13CE">
            <w:pPr>
              <w:keepNext/>
              <w:keepLines/>
              <w:spacing w:after="0" w:line="360" w:lineRule="auto"/>
              <w:jc w:val="center"/>
              <w:rPr>
                <w:rFonts w:ascii="Times New Roman" w:hAnsi="Times New Roman"/>
                <w:color w:val="000000"/>
                <w:sz w:val="20"/>
                <w:szCs w:val="20"/>
              </w:rPr>
            </w:pPr>
            <w:r>
              <w:rPr>
                <w:rFonts w:ascii="Times New Roman" w:hAnsi="Times New Roman"/>
                <w:b/>
                <w:bCs/>
                <w:color w:val="000000"/>
                <w:sz w:val="20"/>
                <w:szCs w:val="20"/>
              </w:rPr>
              <w:t>25-34</w:t>
            </w:r>
          </w:p>
        </w:tc>
        <w:tc>
          <w:tcPr>
            <w:tcW w:w="585" w:type="pct"/>
            <w:tcBorders>
              <w:top w:val="single" w:sz="8" w:space="0" w:color="000000"/>
              <w:left w:val="nil"/>
              <w:bottom w:val="single" w:sz="4" w:space="0" w:color="auto"/>
              <w:right w:val="nil"/>
            </w:tcBorders>
            <w:hideMark/>
          </w:tcPr>
          <w:p w14:paraId="55D37ABB" w14:textId="77777777" w:rsidR="007F446F" w:rsidRDefault="007F446F" w:rsidP="001D13CE">
            <w:pPr>
              <w:keepNext/>
              <w:keepLines/>
              <w:spacing w:after="0" w:line="360" w:lineRule="auto"/>
              <w:jc w:val="center"/>
              <w:rPr>
                <w:rFonts w:ascii="Times New Roman" w:hAnsi="Times New Roman"/>
                <w:color w:val="000000"/>
                <w:sz w:val="20"/>
                <w:szCs w:val="20"/>
              </w:rPr>
            </w:pPr>
            <w:r>
              <w:rPr>
                <w:rFonts w:ascii="Times New Roman" w:hAnsi="Times New Roman"/>
                <w:b/>
                <w:bCs/>
                <w:color w:val="000000"/>
                <w:sz w:val="20"/>
                <w:szCs w:val="20"/>
              </w:rPr>
              <w:t>35-44</w:t>
            </w:r>
          </w:p>
        </w:tc>
        <w:tc>
          <w:tcPr>
            <w:tcW w:w="818" w:type="pct"/>
            <w:tcBorders>
              <w:top w:val="single" w:sz="8" w:space="0" w:color="000000"/>
              <w:left w:val="nil"/>
              <w:bottom w:val="single" w:sz="4" w:space="0" w:color="auto"/>
              <w:right w:val="nil"/>
            </w:tcBorders>
            <w:hideMark/>
          </w:tcPr>
          <w:p w14:paraId="2D182B68" w14:textId="77777777" w:rsidR="007F446F" w:rsidRDefault="007F446F" w:rsidP="001D13CE">
            <w:pPr>
              <w:keepNext/>
              <w:keepLines/>
              <w:spacing w:after="0" w:line="360" w:lineRule="auto"/>
              <w:jc w:val="center"/>
              <w:rPr>
                <w:rFonts w:ascii="Times New Roman" w:hAnsi="Times New Roman"/>
                <w:color w:val="000000"/>
                <w:sz w:val="20"/>
                <w:szCs w:val="20"/>
              </w:rPr>
            </w:pPr>
            <w:r>
              <w:rPr>
                <w:rFonts w:ascii="Times New Roman" w:hAnsi="Times New Roman"/>
                <w:b/>
                <w:bCs/>
                <w:color w:val="000000"/>
                <w:sz w:val="20"/>
                <w:szCs w:val="20"/>
              </w:rPr>
              <w:t>45-54</w:t>
            </w:r>
          </w:p>
        </w:tc>
        <w:tc>
          <w:tcPr>
            <w:tcW w:w="702" w:type="pct"/>
            <w:tcBorders>
              <w:top w:val="single" w:sz="8" w:space="0" w:color="000000"/>
              <w:left w:val="nil"/>
              <w:bottom w:val="single" w:sz="4" w:space="0" w:color="auto"/>
              <w:right w:val="nil"/>
            </w:tcBorders>
            <w:hideMark/>
          </w:tcPr>
          <w:p w14:paraId="1345F599" w14:textId="77777777" w:rsidR="007F446F" w:rsidRDefault="007F446F" w:rsidP="001D13CE">
            <w:pPr>
              <w:keepNext/>
              <w:keepLines/>
              <w:spacing w:after="0" w:line="360" w:lineRule="auto"/>
              <w:jc w:val="center"/>
              <w:rPr>
                <w:rFonts w:ascii="Times New Roman" w:hAnsi="Times New Roman"/>
                <w:color w:val="000000"/>
                <w:sz w:val="20"/>
                <w:szCs w:val="20"/>
              </w:rPr>
            </w:pPr>
            <w:r>
              <w:rPr>
                <w:rFonts w:ascii="Times New Roman" w:hAnsi="Times New Roman"/>
                <w:b/>
                <w:bCs/>
                <w:color w:val="000000"/>
                <w:sz w:val="20"/>
                <w:szCs w:val="20"/>
              </w:rPr>
              <w:t>55-64</w:t>
            </w:r>
          </w:p>
        </w:tc>
      </w:tr>
      <w:tr w:rsidR="007F446F" w14:paraId="52F993C6" w14:textId="77777777" w:rsidTr="001D13CE">
        <w:trPr>
          <w:trHeight w:val="337"/>
          <w:jc w:val="center"/>
        </w:trPr>
        <w:tc>
          <w:tcPr>
            <w:tcW w:w="1492" w:type="pct"/>
            <w:tcBorders>
              <w:top w:val="single" w:sz="4" w:space="0" w:color="auto"/>
              <w:left w:val="nil"/>
              <w:bottom w:val="nil"/>
              <w:right w:val="nil"/>
            </w:tcBorders>
          </w:tcPr>
          <w:p w14:paraId="5464433B" w14:textId="77777777" w:rsidR="007F446F" w:rsidRDefault="007F446F" w:rsidP="001D13CE">
            <w:pPr>
              <w:keepNext/>
              <w:keepLines/>
              <w:spacing w:after="0" w:line="360" w:lineRule="auto"/>
              <w:rPr>
                <w:rFonts w:ascii="Times New Roman" w:hAnsi="Times New Roman"/>
                <w:b/>
                <w:i/>
                <w:color w:val="000000"/>
                <w:sz w:val="20"/>
                <w:szCs w:val="20"/>
              </w:rPr>
            </w:pPr>
            <w:r>
              <w:rPr>
                <w:rFonts w:ascii="Times New Roman" w:hAnsi="Times New Roman"/>
                <w:b/>
                <w:i/>
                <w:color w:val="000000"/>
                <w:sz w:val="20"/>
                <w:szCs w:val="20"/>
              </w:rPr>
              <w:t>Language regime</w:t>
            </w:r>
          </w:p>
          <w:p w14:paraId="2574190F" w14:textId="77777777" w:rsidR="007F446F" w:rsidRDefault="007F446F" w:rsidP="001D13CE">
            <w:pPr>
              <w:keepNext/>
              <w:keepLines/>
              <w:spacing w:after="0" w:line="360" w:lineRule="auto"/>
              <w:rPr>
                <w:rFonts w:ascii="Times New Roman" w:hAnsi="Times New Roman"/>
                <w:b/>
                <w:i/>
                <w:color w:val="000000"/>
                <w:sz w:val="20"/>
                <w:szCs w:val="20"/>
              </w:rPr>
            </w:pPr>
          </w:p>
        </w:tc>
        <w:tc>
          <w:tcPr>
            <w:tcW w:w="469" w:type="pct"/>
            <w:tcBorders>
              <w:top w:val="single" w:sz="4" w:space="0" w:color="auto"/>
              <w:left w:val="nil"/>
              <w:bottom w:val="nil"/>
              <w:right w:val="nil"/>
            </w:tcBorders>
          </w:tcPr>
          <w:p w14:paraId="71F21A21" w14:textId="77777777" w:rsidR="007F446F" w:rsidRDefault="007F446F" w:rsidP="001D13CE">
            <w:pPr>
              <w:keepNext/>
              <w:keepLines/>
              <w:spacing w:after="0" w:line="360" w:lineRule="auto"/>
              <w:rPr>
                <w:rFonts w:ascii="Times New Roman" w:hAnsi="Times New Roman"/>
                <w:b/>
                <w:i/>
                <w:color w:val="000000"/>
                <w:sz w:val="20"/>
                <w:szCs w:val="20"/>
              </w:rPr>
            </w:pPr>
          </w:p>
        </w:tc>
        <w:tc>
          <w:tcPr>
            <w:tcW w:w="934" w:type="pct"/>
            <w:tcBorders>
              <w:top w:val="single" w:sz="4" w:space="0" w:color="auto"/>
              <w:left w:val="nil"/>
              <w:bottom w:val="nil"/>
              <w:right w:val="nil"/>
            </w:tcBorders>
          </w:tcPr>
          <w:p w14:paraId="6FE16157" w14:textId="77777777" w:rsidR="007F446F" w:rsidRDefault="007F446F" w:rsidP="001D13CE">
            <w:pPr>
              <w:keepNext/>
              <w:keepLines/>
              <w:spacing w:after="0" w:line="360" w:lineRule="auto"/>
              <w:jc w:val="center"/>
              <w:rPr>
                <w:rFonts w:ascii="Times New Roman" w:hAnsi="Times New Roman"/>
                <w:i/>
                <w:color w:val="000000"/>
                <w:sz w:val="20"/>
                <w:szCs w:val="20"/>
                <w:vertAlign w:val="subscript"/>
              </w:rPr>
            </w:pPr>
          </w:p>
        </w:tc>
        <w:tc>
          <w:tcPr>
            <w:tcW w:w="585" w:type="pct"/>
            <w:tcBorders>
              <w:top w:val="single" w:sz="4" w:space="0" w:color="auto"/>
              <w:left w:val="nil"/>
              <w:bottom w:val="nil"/>
              <w:right w:val="nil"/>
            </w:tcBorders>
          </w:tcPr>
          <w:p w14:paraId="34604277" w14:textId="77777777" w:rsidR="007F446F" w:rsidRDefault="007F446F" w:rsidP="001D13CE">
            <w:pPr>
              <w:keepNext/>
              <w:keepLines/>
              <w:spacing w:after="0" w:line="360" w:lineRule="auto"/>
              <w:jc w:val="center"/>
              <w:rPr>
                <w:rFonts w:ascii="Times New Roman" w:hAnsi="Times New Roman"/>
                <w:i/>
                <w:color w:val="000000"/>
                <w:sz w:val="20"/>
                <w:szCs w:val="20"/>
                <w:vertAlign w:val="subscript"/>
              </w:rPr>
            </w:pPr>
          </w:p>
        </w:tc>
        <w:tc>
          <w:tcPr>
            <w:tcW w:w="818" w:type="pct"/>
            <w:tcBorders>
              <w:top w:val="single" w:sz="4" w:space="0" w:color="auto"/>
              <w:left w:val="nil"/>
              <w:bottom w:val="nil"/>
              <w:right w:val="nil"/>
            </w:tcBorders>
          </w:tcPr>
          <w:p w14:paraId="6BE28C72" w14:textId="77777777" w:rsidR="007F446F" w:rsidRDefault="007F446F" w:rsidP="001D13CE">
            <w:pPr>
              <w:keepNext/>
              <w:keepLines/>
              <w:spacing w:after="0" w:line="360" w:lineRule="auto"/>
              <w:jc w:val="center"/>
              <w:rPr>
                <w:rFonts w:ascii="Times New Roman" w:hAnsi="Times New Roman"/>
                <w:color w:val="000000"/>
                <w:sz w:val="20"/>
                <w:szCs w:val="20"/>
              </w:rPr>
            </w:pPr>
          </w:p>
        </w:tc>
        <w:tc>
          <w:tcPr>
            <w:tcW w:w="702" w:type="pct"/>
            <w:tcBorders>
              <w:top w:val="single" w:sz="4" w:space="0" w:color="auto"/>
              <w:left w:val="nil"/>
              <w:bottom w:val="nil"/>
              <w:right w:val="nil"/>
            </w:tcBorders>
          </w:tcPr>
          <w:p w14:paraId="6D32DA9C" w14:textId="77777777" w:rsidR="007F446F" w:rsidRDefault="007F446F" w:rsidP="001D13CE">
            <w:pPr>
              <w:keepNext/>
              <w:keepLines/>
              <w:spacing w:after="0" w:line="360" w:lineRule="auto"/>
              <w:jc w:val="center"/>
              <w:rPr>
                <w:rFonts w:ascii="Times New Roman" w:hAnsi="Times New Roman"/>
                <w:color w:val="000000"/>
                <w:sz w:val="20"/>
                <w:szCs w:val="20"/>
              </w:rPr>
            </w:pPr>
          </w:p>
        </w:tc>
      </w:tr>
      <w:tr w:rsidR="007F446F" w14:paraId="7C8D3502" w14:textId="77777777" w:rsidTr="001D13CE">
        <w:trPr>
          <w:trHeight w:val="255"/>
          <w:jc w:val="center"/>
        </w:trPr>
        <w:tc>
          <w:tcPr>
            <w:tcW w:w="1492" w:type="pct"/>
            <w:tcBorders>
              <w:top w:val="nil"/>
              <w:left w:val="nil"/>
              <w:bottom w:val="nil"/>
              <w:right w:val="nil"/>
            </w:tcBorders>
            <w:hideMark/>
          </w:tcPr>
          <w:p w14:paraId="4BA6EB92" w14:textId="77777777" w:rsidR="007F446F" w:rsidRDefault="007F446F" w:rsidP="001D13CE">
            <w:pPr>
              <w:keepNext/>
              <w:keepLines/>
              <w:spacing w:after="0" w:line="360" w:lineRule="auto"/>
              <w:jc w:val="center"/>
              <w:rPr>
                <w:rFonts w:ascii="Times New Roman" w:hAnsi="Times New Roman"/>
                <w:bCs/>
                <w:color w:val="000000"/>
                <w:sz w:val="20"/>
                <w:szCs w:val="20"/>
              </w:rPr>
            </w:pPr>
            <w:r>
              <w:rPr>
                <w:rFonts w:ascii="Times New Roman" w:hAnsi="Times New Roman"/>
                <w:bCs/>
                <w:color w:val="000000"/>
                <w:sz w:val="20"/>
                <w:szCs w:val="20"/>
              </w:rPr>
              <w:t>Monolingual</w:t>
            </w:r>
          </w:p>
        </w:tc>
        <w:tc>
          <w:tcPr>
            <w:tcW w:w="469" w:type="pct"/>
            <w:tcBorders>
              <w:top w:val="nil"/>
              <w:left w:val="nil"/>
              <w:bottom w:val="nil"/>
              <w:right w:val="nil"/>
            </w:tcBorders>
            <w:hideMark/>
          </w:tcPr>
          <w:p w14:paraId="5DA8154E" w14:textId="77777777" w:rsidR="007F446F" w:rsidRDefault="007F446F" w:rsidP="001D13CE">
            <w:pPr>
              <w:keepNext/>
              <w:keepLines/>
              <w:spacing w:after="0" w:line="360" w:lineRule="auto"/>
              <w:rPr>
                <w:rFonts w:ascii="Times New Roman" w:hAnsi="Times New Roman"/>
                <w:i/>
                <w:color w:val="000000"/>
                <w:sz w:val="20"/>
                <w:szCs w:val="20"/>
              </w:rPr>
            </w:pPr>
            <w:r>
              <w:rPr>
                <w:rFonts w:ascii="Times New Roman" w:hAnsi="Times New Roman"/>
                <w:bCs/>
                <w:i/>
                <w:color w:val="000000"/>
                <w:sz w:val="20"/>
                <w:szCs w:val="20"/>
              </w:rPr>
              <w:t>D</w:t>
            </w:r>
            <w:r>
              <w:rPr>
                <w:rFonts w:ascii="Times New Roman" w:hAnsi="Times New Roman"/>
                <w:bCs/>
                <w:i/>
                <w:color w:val="000000"/>
                <w:sz w:val="20"/>
                <w:szCs w:val="20"/>
                <w:vertAlign w:val="subscript"/>
              </w:rPr>
              <w:t>a</w:t>
            </w:r>
          </w:p>
        </w:tc>
        <w:tc>
          <w:tcPr>
            <w:tcW w:w="934" w:type="pct"/>
            <w:tcBorders>
              <w:top w:val="nil"/>
              <w:left w:val="nil"/>
              <w:bottom w:val="nil"/>
              <w:right w:val="nil"/>
            </w:tcBorders>
            <w:hideMark/>
          </w:tcPr>
          <w:p w14:paraId="1446464D" w14:textId="77777777" w:rsidR="007F446F" w:rsidRDefault="007F446F" w:rsidP="001D13CE">
            <w:pPr>
              <w:jc w:val="center"/>
              <w:rPr>
                <w:rFonts w:ascii="Times New Roman" w:hAnsi="Times New Roman"/>
                <w:sz w:val="20"/>
                <w:szCs w:val="20"/>
              </w:rPr>
            </w:pPr>
            <w:r>
              <w:rPr>
                <w:rFonts w:ascii="Times New Roman" w:hAnsi="Times New Roman"/>
                <w:sz w:val="20"/>
                <w:szCs w:val="20"/>
              </w:rPr>
              <w:t>30</w:t>
            </w:r>
          </w:p>
        </w:tc>
        <w:tc>
          <w:tcPr>
            <w:tcW w:w="585" w:type="pct"/>
            <w:tcBorders>
              <w:top w:val="nil"/>
              <w:left w:val="nil"/>
              <w:bottom w:val="nil"/>
              <w:right w:val="nil"/>
            </w:tcBorders>
            <w:hideMark/>
          </w:tcPr>
          <w:p w14:paraId="6703C034" w14:textId="77777777" w:rsidR="007F446F" w:rsidRDefault="007F446F" w:rsidP="001D13CE">
            <w:pPr>
              <w:jc w:val="center"/>
              <w:rPr>
                <w:rFonts w:ascii="Times New Roman" w:hAnsi="Times New Roman"/>
                <w:sz w:val="20"/>
                <w:szCs w:val="20"/>
              </w:rPr>
            </w:pPr>
            <w:r>
              <w:rPr>
                <w:rFonts w:ascii="Times New Roman" w:hAnsi="Times New Roman"/>
                <w:sz w:val="20"/>
                <w:szCs w:val="20"/>
              </w:rPr>
              <w:t>41</w:t>
            </w:r>
          </w:p>
        </w:tc>
        <w:tc>
          <w:tcPr>
            <w:tcW w:w="818" w:type="pct"/>
            <w:tcBorders>
              <w:top w:val="nil"/>
              <w:left w:val="nil"/>
              <w:bottom w:val="nil"/>
              <w:right w:val="nil"/>
            </w:tcBorders>
            <w:hideMark/>
          </w:tcPr>
          <w:p w14:paraId="15F168A1" w14:textId="77777777" w:rsidR="007F446F" w:rsidRDefault="007F446F" w:rsidP="001D13CE">
            <w:pPr>
              <w:jc w:val="center"/>
              <w:rPr>
                <w:rFonts w:ascii="Times New Roman" w:hAnsi="Times New Roman"/>
                <w:sz w:val="20"/>
                <w:szCs w:val="20"/>
              </w:rPr>
            </w:pPr>
            <w:r>
              <w:rPr>
                <w:rFonts w:ascii="Times New Roman" w:hAnsi="Times New Roman"/>
                <w:sz w:val="20"/>
                <w:szCs w:val="20"/>
              </w:rPr>
              <w:t>49</w:t>
            </w:r>
          </w:p>
        </w:tc>
        <w:tc>
          <w:tcPr>
            <w:tcW w:w="702" w:type="pct"/>
            <w:tcBorders>
              <w:top w:val="nil"/>
              <w:left w:val="nil"/>
              <w:bottom w:val="nil"/>
              <w:right w:val="nil"/>
            </w:tcBorders>
            <w:hideMark/>
          </w:tcPr>
          <w:p w14:paraId="6947A4E1" w14:textId="77777777" w:rsidR="007F446F" w:rsidRDefault="007F446F" w:rsidP="001D13CE">
            <w:pPr>
              <w:jc w:val="center"/>
              <w:rPr>
                <w:rFonts w:ascii="Times New Roman" w:hAnsi="Times New Roman"/>
                <w:sz w:val="20"/>
                <w:szCs w:val="20"/>
              </w:rPr>
            </w:pPr>
            <w:r>
              <w:rPr>
                <w:rFonts w:ascii="Times New Roman" w:hAnsi="Times New Roman"/>
                <w:sz w:val="20"/>
                <w:szCs w:val="20"/>
              </w:rPr>
              <w:t>59</w:t>
            </w:r>
          </w:p>
        </w:tc>
      </w:tr>
      <w:tr w:rsidR="007F446F" w14:paraId="0B52B51D" w14:textId="77777777" w:rsidTr="001D13CE">
        <w:trPr>
          <w:trHeight w:val="273"/>
          <w:jc w:val="center"/>
        </w:trPr>
        <w:tc>
          <w:tcPr>
            <w:tcW w:w="1492" w:type="pct"/>
            <w:tcBorders>
              <w:top w:val="nil"/>
              <w:left w:val="nil"/>
              <w:bottom w:val="nil"/>
              <w:right w:val="nil"/>
            </w:tcBorders>
          </w:tcPr>
          <w:p w14:paraId="503795CC" w14:textId="77777777" w:rsidR="007F446F" w:rsidRDefault="007F446F" w:rsidP="001D13CE">
            <w:pPr>
              <w:keepNext/>
              <w:keepLines/>
              <w:spacing w:after="0" w:line="360" w:lineRule="auto"/>
              <w:jc w:val="center"/>
              <w:rPr>
                <w:rFonts w:ascii="Times New Roman" w:hAnsi="Times New Roman"/>
                <w:bCs/>
                <w:i/>
                <w:color w:val="000000"/>
                <w:sz w:val="20"/>
                <w:szCs w:val="20"/>
              </w:rPr>
            </w:pPr>
          </w:p>
        </w:tc>
        <w:tc>
          <w:tcPr>
            <w:tcW w:w="469" w:type="pct"/>
            <w:tcBorders>
              <w:top w:val="nil"/>
              <w:left w:val="nil"/>
              <w:bottom w:val="nil"/>
              <w:right w:val="nil"/>
            </w:tcBorders>
            <w:hideMark/>
          </w:tcPr>
          <w:p w14:paraId="7F7A878D" w14:textId="77777777" w:rsidR="007F446F" w:rsidRDefault="007F446F" w:rsidP="001D13CE">
            <w:pPr>
              <w:keepNext/>
              <w:keepLines/>
              <w:spacing w:after="0" w:line="360" w:lineRule="auto"/>
              <w:rPr>
                <w:rFonts w:ascii="Times New Roman" w:hAnsi="Times New Roman"/>
                <w:i/>
                <w:color w:val="000000"/>
                <w:sz w:val="20"/>
                <w:szCs w:val="20"/>
              </w:rPr>
            </w:pPr>
            <w:r>
              <w:rPr>
                <w:rFonts w:ascii="Times New Roman" w:hAnsi="Times New Roman"/>
                <w:bCs/>
                <w:i/>
                <w:color w:val="000000"/>
                <w:sz w:val="20"/>
                <w:szCs w:val="20"/>
              </w:rPr>
              <w:t>D</w:t>
            </w:r>
            <w:r>
              <w:rPr>
                <w:rFonts w:ascii="Times New Roman" w:hAnsi="Times New Roman"/>
                <w:bCs/>
                <w:i/>
                <w:color w:val="000000"/>
                <w:sz w:val="20"/>
                <w:szCs w:val="20"/>
                <w:vertAlign w:val="subscript"/>
              </w:rPr>
              <w:t xml:space="preserve">r </w:t>
            </w:r>
          </w:p>
        </w:tc>
        <w:tc>
          <w:tcPr>
            <w:tcW w:w="934" w:type="pct"/>
            <w:tcBorders>
              <w:top w:val="nil"/>
              <w:left w:val="nil"/>
              <w:bottom w:val="nil"/>
              <w:right w:val="nil"/>
            </w:tcBorders>
            <w:hideMark/>
          </w:tcPr>
          <w:p w14:paraId="1AAF2143" w14:textId="77777777" w:rsidR="007F446F" w:rsidRDefault="007F446F" w:rsidP="001D13CE">
            <w:pPr>
              <w:jc w:val="center"/>
              <w:rPr>
                <w:rFonts w:ascii="Times New Roman" w:hAnsi="Times New Roman"/>
                <w:sz w:val="20"/>
                <w:szCs w:val="20"/>
              </w:rPr>
            </w:pPr>
            <w:r>
              <w:rPr>
                <w:rFonts w:ascii="Times New Roman" w:hAnsi="Times New Roman"/>
                <w:sz w:val="20"/>
                <w:szCs w:val="20"/>
              </w:rPr>
              <w:t>74</w:t>
            </w:r>
          </w:p>
        </w:tc>
        <w:tc>
          <w:tcPr>
            <w:tcW w:w="585" w:type="pct"/>
            <w:tcBorders>
              <w:top w:val="nil"/>
              <w:left w:val="nil"/>
              <w:bottom w:val="nil"/>
              <w:right w:val="nil"/>
            </w:tcBorders>
            <w:hideMark/>
          </w:tcPr>
          <w:p w14:paraId="4B9BD6B0" w14:textId="77777777" w:rsidR="007F446F" w:rsidRDefault="007F446F" w:rsidP="001D13CE">
            <w:pPr>
              <w:jc w:val="center"/>
              <w:rPr>
                <w:rFonts w:ascii="Times New Roman" w:hAnsi="Times New Roman"/>
                <w:sz w:val="20"/>
                <w:szCs w:val="20"/>
              </w:rPr>
            </w:pPr>
            <w:r>
              <w:rPr>
                <w:rFonts w:ascii="Times New Roman" w:hAnsi="Times New Roman"/>
                <w:sz w:val="20"/>
                <w:szCs w:val="20"/>
              </w:rPr>
              <w:t>77</w:t>
            </w:r>
          </w:p>
        </w:tc>
        <w:tc>
          <w:tcPr>
            <w:tcW w:w="818" w:type="pct"/>
            <w:tcBorders>
              <w:top w:val="nil"/>
              <w:left w:val="nil"/>
              <w:bottom w:val="nil"/>
              <w:right w:val="nil"/>
            </w:tcBorders>
            <w:hideMark/>
          </w:tcPr>
          <w:p w14:paraId="3488057D" w14:textId="77777777" w:rsidR="007F446F" w:rsidRDefault="007F446F" w:rsidP="001D13CE">
            <w:pPr>
              <w:jc w:val="center"/>
              <w:rPr>
                <w:rFonts w:ascii="Times New Roman" w:hAnsi="Times New Roman"/>
                <w:sz w:val="20"/>
                <w:szCs w:val="20"/>
              </w:rPr>
            </w:pPr>
            <w:r>
              <w:rPr>
                <w:rFonts w:ascii="Times New Roman" w:hAnsi="Times New Roman"/>
                <w:sz w:val="20"/>
                <w:szCs w:val="20"/>
              </w:rPr>
              <w:t>82</w:t>
            </w:r>
          </w:p>
        </w:tc>
        <w:tc>
          <w:tcPr>
            <w:tcW w:w="702" w:type="pct"/>
            <w:tcBorders>
              <w:top w:val="nil"/>
              <w:left w:val="nil"/>
              <w:bottom w:val="nil"/>
              <w:right w:val="nil"/>
            </w:tcBorders>
            <w:hideMark/>
          </w:tcPr>
          <w:p w14:paraId="6147674C" w14:textId="77777777" w:rsidR="007F446F" w:rsidRDefault="007F446F" w:rsidP="001D13CE">
            <w:pPr>
              <w:jc w:val="center"/>
              <w:rPr>
                <w:rFonts w:ascii="Times New Roman" w:hAnsi="Times New Roman"/>
                <w:sz w:val="20"/>
                <w:szCs w:val="20"/>
              </w:rPr>
            </w:pPr>
            <w:r>
              <w:rPr>
                <w:rFonts w:ascii="Times New Roman" w:hAnsi="Times New Roman"/>
                <w:sz w:val="20"/>
                <w:szCs w:val="20"/>
              </w:rPr>
              <w:t>83</w:t>
            </w:r>
          </w:p>
        </w:tc>
      </w:tr>
      <w:tr w:rsidR="007F446F" w14:paraId="0C1AA2CA" w14:textId="77777777" w:rsidTr="001D13CE">
        <w:trPr>
          <w:trHeight w:val="273"/>
          <w:jc w:val="center"/>
        </w:trPr>
        <w:tc>
          <w:tcPr>
            <w:tcW w:w="1492" w:type="pct"/>
            <w:tcBorders>
              <w:top w:val="nil"/>
              <w:left w:val="nil"/>
              <w:bottom w:val="nil"/>
              <w:right w:val="nil"/>
            </w:tcBorders>
            <w:hideMark/>
          </w:tcPr>
          <w:p w14:paraId="7EFADF97" w14:textId="77777777" w:rsidR="007F446F" w:rsidRDefault="007F446F" w:rsidP="001D13CE">
            <w:pPr>
              <w:keepNext/>
              <w:keepLines/>
              <w:spacing w:after="0" w:line="360" w:lineRule="auto"/>
              <w:jc w:val="center"/>
              <w:rPr>
                <w:rFonts w:ascii="Times New Roman" w:hAnsi="Times New Roman"/>
                <w:bCs/>
                <w:color w:val="000000"/>
                <w:sz w:val="20"/>
                <w:szCs w:val="20"/>
              </w:rPr>
            </w:pPr>
            <w:r>
              <w:rPr>
                <w:rFonts w:ascii="Times New Roman" w:hAnsi="Times New Roman"/>
                <w:bCs/>
                <w:color w:val="000000"/>
                <w:sz w:val="20"/>
                <w:szCs w:val="20"/>
              </w:rPr>
              <w:t>Trilingual</w:t>
            </w:r>
          </w:p>
        </w:tc>
        <w:tc>
          <w:tcPr>
            <w:tcW w:w="469" w:type="pct"/>
            <w:tcBorders>
              <w:top w:val="nil"/>
              <w:left w:val="nil"/>
              <w:bottom w:val="nil"/>
              <w:right w:val="nil"/>
            </w:tcBorders>
            <w:hideMark/>
          </w:tcPr>
          <w:p w14:paraId="79609DB0" w14:textId="77777777" w:rsidR="007F446F" w:rsidRDefault="007F446F" w:rsidP="001D13CE">
            <w:pPr>
              <w:keepNext/>
              <w:keepLines/>
              <w:spacing w:after="0" w:line="360" w:lineRule="auto"/>
              <w:rPr>
                <w:rFonts w:ascii="Times New Roman" w:hAnsi="Times New Roman"/>
                <w:i/>
                <w:color w:val="000000"/>
                <w:sz w:val="20"/>
                <w:szCs w:val="20"/>
              </w:rPr>
            </w:pPr>
            <w:r>
              <w:rPr>
                <w:rFonts w:ascii="Times New Roman" w:hAnsi="Times New Roman"/>
                <w:bCs/>
                <w:i/>
                <w:color w:val="000000"/>
                <w:sz w:val="20"/>
                <w:szCs w:val="20"/>
              </w:rPr>
              <w:t>D</w:t>
            </w:r>
            <w:r>
              <w:rPr>
                <w:rFonts w:ascii="Times New Roman" w:hAnsi="Times New Roman"/>
                <w:bCs/>
                <w:i/>
                <w:color w:val="000000"/>
                <w:sz w:val="20"/>
                <w:szCs w:val="20"/>
                <w:vertAlign w:val="subscript"/>
              </w:rPr>
              <w:t>a</w:t>
            </w:r>
          </w:p>
        </w:tc>
        <w:tc>
          <w:tcPr>
            <w:tcW w:w="934" w:type="pct"/>
            <w:tcBorders>
              <w:top w:val="nil"/>
              <w:left w:val="nil"/>
              <w:bottom w:val="nil"/>
              <w:right w:val="nil"/>
            </w:tcBorders>
            <w:hideMark/>
          </w:tcPr>
          <w:p w14:paraId="0A8E5044" w14:textId="77777777" w:rsidR="007F446F" w:rsidRDefault="007F446F" w:rsidP="001D13CE">
            <w:pPr>
              <w:jc w:val="center"/>
              <w:rPr>
                <w:rFonts w:ascii="Times New Roman" w:hAnsi="Times New Roman"/>
                <w:sz w:val="20"/>
                <w:szCs w:val="20"/>
              </w:rPr>
            </w:pPr>
            <w:r>
              <w:rPr>
                <w:rFonts w:ascii="Times New Roman" w:hAnsi="Times New Roman"/>
                <w:sz w:val="20"/>
                <w:szCs w:val="20"/>
              </w:rPr>
              <w:t>17</w:t>
            </w:r>
          </w:p>
        </w:tc>
        <w:tc>
          <w:tcPr>
            <w:tcW w:w="585" w:type="pct"/>
            <w:tcBorders>
              <w:top w:val="nil"/>
              <w:left w:val="nil"/>
              <w:bottom w:val="nil"/>
              <w:right w:val="nil"/>
            </w:tcBorders>
            <w:hideMark/>
          </w:tcPr>
          <w:p w14:paraId="10AA06C4" w14:textId="77777777" w:rsidR="007F446F" w:rsidRDefault="007F446F" w:rsidP="001D13CE">
            <w:pPr>
              <w:jc w:val="center"/>
              <w:rPr>
                <w:rFonts w:ascii="Times New Roman" w:hAnsi="Times New Roman"/>
                <w:sz w:val="20"/>
                <w:szCs w:val="20"/>
              </w:rPr>
            </w:pPr>
            <w:r>
              <w:rPr>
                <w:rFonts w:ascii="Times New Roman" w:hAnsi="Times New Roman"/>
                <w:sz w:val="20"/>
                <w:szCs w:val="20"/>
              </w:rPr>
              <w:t>24</w:t>
            </w:r>
          </w:p>
        </w:tc>
        <w:tc>
          <w:tcPr>
            <w:tcW w:w="818" w:type="pct"/>
            <w:tcBorders>
              <w:top w:val="nil"/>
              <w:left w:val="nil"/>
              <w:bottom w:val="nil"/>
              <w:right w:val="nil"/>
            </w:tcBorders>
            <w:hideMark/>
          </w:tcPr>
          <w:p w14:paraId="65D23A4F" w14:textId="77777777" w:rsidR="007F446F" w:rsidRDefault="007F446F" w:rsidP="001D13CE">
            <w:pPr>
              <w:jc w:val="center"/>
              <w:rPr>
                <w:rFonts w:ascii="Times New Roman" w:hAnsi="Times New Roman"/>
                <w:sz w:val="20"/>
                <w:szCs w:val="20"/>
              </w:rPr>
            </w:pPr>
            <w:r>
              <w:rPr>
                <w:rFonts w:ascii="Times New Roman" w:hAnsi="Times New Roman"/>
                <w:sz w:val="20"/>
                <w:szCs w:val="20"/>
              </w:rPr>
              <w:t>28</w:t>
            </w:r>
          </w:p>
        </w:tc>
        <w:tc>
          <w:tcPr>
            <w:tcW w:w="702" w:type="pct"/>
            <w:tcBorders>
              <w:top w:val="nil"/>
              <w:left w:val="nil"/>
              <w:bottom w:val="nil"/>
              <w:right w:val="nil"/>
            </w:tcBorders>
            <w:hideMark/>
          </w:tcPr>
          <w:p w14:paraId="4D13CFE0" w14:textId="77777777" w:rsidR="007F446F" w:rsidRDefault="007F446F" w:rsidP="001D13CE">
            <w:pPr>
              <w:jc w:val="center"/>
              <w:rPr>
                <w:rFonts w:ascii="Times New Roman" w:hAnsi="Times New Roman"/>
                <w:sz w:val="20"/>
                <w:szCs w:val="20"/>
              </w:rPr>
            </w:pPr>
            <w:r>
              <w:rPr>
                <w:rFonts w:ascii="Times New Roman" w:hAnsi="Times New Roman"/>
                <w:sz w:val="20"/>
                <w:szCs w:val="20"/>
              </w:rPr>
              <w:t>34</w:t>
            </w:r>
          </w:p>
        </w:tc>
      </w:tr>
      <w:tr w:rsidR="007F446F" w14:paraId="697003F6" w14:textId="77777777" w:rsidTr="001D13CE">
        <w:trPr>
          <w:trHeight w:val="273"/>
          <w:jc w:val="center"/>
        </w:trPr>
        <w:tc>
          <w:tcPr>
            <w:tcW w:w="1492" w:type="pct"/>
            <w:tcBorders>
              <w:top w:val="nil"/>
              <w:left w:val="nil"/>
              <w:bottom w:val="nil"/>
              <w:right w:val="nil"/>
            </w:tcBorders>
          </w:tcPr>
          <w:p w14:paraId="74E3CDC3" w14:textId="77777777" w:rsidR="007F446F" w:rsidRDefault="007F446F" w:rsidP="001D13CE">
            <w:pPr>
              <w:keepNext/>
              <w:keepLines/>
              <w:spacing w:after="0" w:line="360" w:lineRule="auto"/>
              <w:jc w:val="center"/>
              <w:rPr>
                <w:rFonts w:ascii="Times New Roman" w:hAnsi="Times New Roman"/>
                <w:bCs/>
                <w:i/>
                <w:color w:val="000000"/>
                <w:sz w:val="20"/>
                <w:szCs w:val="20"/>
              </w:rPr>
            </w:pPr>
          </w:p>
        </w:tc>
        <w:tc>
          <w:tcPr>
            <w:tcW w:w="469" w:type="pct"/>
            <w:tcBorders>
              <w:top w:val="nil"/>
              <w:left w:val="nil"/>
              <w:bottom w:val="nil"/>
              <w:right w:val="nil"/>
            </w:tcBorders>
            <w:hideMark/>
          </w:tcPr>
          <w:p w14:paraId="62599C63" w14:textId="77777777" w:rsidR="007F446F" w:rsidRDefault="007F446F" w:rsidP="001D13CE">
            <w:pPr>
              <w:keepNext/>
              <w:keepLines/>
              <w:spacing w:after="0" w:line="360" w:lineRule="auto"/>
              <w:rPr>
                <w:rFonts w:ascii="Times New Roman" w:hAnsi="Times New Roman"/>
                <w:i/>
                <w:color w:val="000000"/>
                <w:sz w:val="20"/>
                <w:szCs w:val="20"/>
              </w:rPr>
            </w:pPr>
            <w:r>
              <w:rPr>
                <w:rFonts w:ascii="Times New Roman" w:hAnsi="Times New Roman"/>
                <w:bCs/>
                <w:i/>
                <w:color w:val="000000"/>
                <w:sz w:val="20"/>
                <w:szCs w:val="20"/>
              </w:rPr>
              <w:t>D</w:t>
            </w:r>
            <w:r>
              <w:rPr>
                <w:rFonts w:ascii="Times New Roman" w:hAnsi="Times New Roman"/>
                <w:bCs/>
                <w:i/>
                <w:color w:val="000000"/>
                <w:sz w:val="20"/>
                <w:szCs w:val="20"/>
                <w:vertAlign w:val="subscript"/>
              </w:rPr>
              <w:t xml:space="preserve">r </w:t>
            </w:r>
          </w:p>
        </w:tc>
        <w:tc>
          <w:tcPr>
            <w:tcW w:w="934" w:type="pct"/>
            <w:tcBorders>
              <w:top w:val="nil"/>
              <w:left w:val="nil"/>
              <w:bottom w:val="nil"/>
              <w:right w:val="nil"/>
            </w:tcBorders>
            <w:hideMark/>
          </w:tcPr>
          <w:p w14:paraId="22D16732" w14:textId="77777777" w:rsidR="007F446F" w:rsidRDefault="007F446F" w:rsidP="001D13CE">
            <w:pPr>
              <w:jc w:val="center"/>
              <w:rPr>
                <w:rFonts w:ascii="Times New Roman" w:hAnsi="Times New Roman"/>
                <w:sz w:val="20"/>
                <w:szCs w:val="20"/>
              </w:rPr>
            </w:pPr>
            <w:r>
              <w:rPr>
                <w:rFonts w:ascii="Times New Roman" w:hAnsi="Times New Roman"/>
                <w:sz w:val="20"/>
                <w:szCs w:val="20"/>
              </w:rPr>
              <w:t>48</w:t>
            </w:r>
          </w:p>
        </w:tc>
        <w:tc>
          <w:tcPr>
            <w:tcW w:w="585" w:type="pct"/>
            <w:tcBorders>
              <w:top w:val="nil"/>
              <w:left w:val="nil"/>
              <w:bottom w:val="nil"/>
              <w:right w:val="nil"/>
            </w:tcBorders>
            <w:hideMark/>
          </w:tcPr>
          <w:p w14:paraId="5670ABD9" w14:textId="77777777" w:rsidR="007F446F" w:rsidRDefault="007F446F" w:rsidP="001D13CE">
            <w:pPr>
              <w:jc w:val="center"/>
              <w:rPr>
                <w:rFonts w:ascii="Times New Roman" w:hAnsi="Times New Roman"/>
                <w:sz w:val="20"/>
                <w:szCs w:val="20"/>
              </w:rPr>
            </w:pPr>
            <w:r>
              <w:rPr>
                <w:rFonts w:ascii="Times New Roman" w:hAnsi="Times New Roman"/>
                <w:sz w:val="20"/>
                <w:szCs w:val="20"/>
              </w:rPr>
              <w:t>49</w:t>
            </w:r>
          </w:p>
        </w:tc>
        <w:tc>
          <w:tcPr>
            <w:tcW w:w="818" w:type="pct"/>
            <w:tcBorders>
              <w:top w:val="nil"/>
              <w:left w:val="nil"/>
              <w:bottom w:val="nil"/>
              <w:right w:val="nil"/>
            </w:tcBorders>
            <w:hideMark/>
          </w:tcPr>
          <w:p w14:paraId="3B7D96FF" w14:textId="77777777" w:rsidR="007F446F" w:rsidRDefault="007F446F" w:rsidP="001D13CE">
            <w:pPr>
              <w:jc w:val="center"/>
              <w:rPr>
                <w:rFonts w:ascii="Times New Roman" w:hAnsi="Times New Roman"/>
                <w:sz w:val="20"/>
                <w:szCs w:val="20"/>
              </w:rPr>
            </w:pPr>
            <w:r>
              <w:rPr>
                <w:rFonts w:ascii="Times New Roman" w:hAnsi="Times New Roman"/>
                <w:sz w:val="20"/>
                <w:szCs w:val="20"/>
              </w:rPr>
              <w:t>49</w:t>
            </w:r>
          </w:p>
        </w:tc>
        <w:tc>
          <w:tcPr>
            <w:tcW w:w="702" w:type="pct"/>
            <w:tcBorders>
              <w:top w:val="nil"/>
              <w:left w:val="nil"/>
              <w:bottom w:val="nil"/>
              <w:right w:val="nil"/>
            </w:tcBorders>
            <w:hideMark/>
          </w:tcPr>
          <w:p w14:paraId="5C169571" w14:textId="77777777" w:rsidR="007F446F" w:rsidRDefault="007F446F" w:rsidP="001D13CE">
            <w:pPr>
              <w:jc w:val="center"/>
              <w:rPr>
                <w:rFonts w:ascii="Times New Roman" w:hAnsi="Times New Roman"/>
                <w:sz w:val="20"/>
                <w:szCs w:val="20"/>
              </w:rPr>
            </w:pPr>
            <w:r>
              <w:rPr>
                <w:rFonts w:ascii="Times New Roman" w:hAnsi="Times New Roman"/>
                <w:sz w:val="20"/>
                <w:szCs w:val="20"/>
              </w:rPr>
              <w:t>51</w:t>
            </w:r>
          </w:p>
        </w:tc>
      </w:tr>
      <w:tr w:rsidR="007F446F" w14:paraId="089ACA6D" w14:textId="77777777" w:rsidTr="001D13CE">
        <w:trPr>
          <w:trHeight w:val="273"/>
          <w:jc w:val="center"/>
        </w:trPr>
        <w:tc>
          <w:tcPr>
            <w:tcW w:w="1492" w:type="pct"/>
            <w:tcBorders>
              <w:top w:val="nil"/>
              <w:left w:val="nil"/>
              <w:bottom w:val="nil"/>
              <w:right w:val="nil"/>
            </w:tcBorders>
            <w:hideMark/>
          </w:tcPr>
          <w:p w14:paraId="0954F480" w14:textId="77777777" w:rsidR="007F446F" w:rsidRDefault="007F446F" w:rsidP="001D13CE">
            <w:pPr>
              <w:keepNext/>
              <w:keepLines/>
              <w:spacing w:after="0" w:line="360" w:lineRule="auto"/>
              <w:jc w:val="center"/>
              <w:rPr>
                <w:rFonts w:ascii="Times New Roman" w:hAnsi="Times New Roman"/>
                <w:bCs/>
                <w:color w:val="000000"/>
                <w:sz w:val="20"/>
                <w:szCs w:val="20"/>
              </w:rPr>
            </w:pPr>
            <w:proofErr w:type="spellStart"/>
            <w:r>
              <w:rPr>
                <w:rFonts w:ascii="Times New Roman" w:hAnsi="Times New Roman"/>
                <w:bCs/>
                <w:color w:val="000000"/>
                <w:sz w:val="20"/>
                <w:szCs w:val="20"/>
              </w:rPr>
              <w:t>Hexalingual</w:t>
            </w:r>
            <w:proofErr w:type="spellEnd"/>
          </w:p>
        </w:tc>
        <w:tc>
          <w:tcPr>
            <w:tcW w:w="469" w:type="pct"/>
            <w:tcBorders>
              <w:top w:val="nil"/>
              <w:left w:val="nil"/>
              <w:bottom w:val="nil"/>
              <w:right w:val="nil"/>
            </w:tcBorders>
            <w:hideMark/>
          </w:tcPr>
          <w:p w14:paraId="1B3476D8" w14:textId="77777777" w:rsidR="007F446F" w:rsidRDefault="007F446F" w:rsidP="001D13CE">
            <w:pPr>
              <w:keepNext/>
              <w:keepLines/>
              <w:spacing w:after="0" w:line="360" w:lineRule="auto"/>
              <w:rPr>
                <w:rFonts w:ascii="Times New Roman" w:hAnsi="Times New Roman"/>
                <w:i/>
                <w:color w:val="000000"/>
                <w:sz w:val="20"/>
                <w:szCs w:val="20"/>
              </w:rPr>
            </w:pPr>
            <w:r>
              <w:rPr>
                <w:rFonts w:ascii="Times New Roman" w:hAnsi="Times New Roman"/>
                <w:bCs/>
                <w:i/>
                <w:color w:val="000000"/>
                <w:sz w:val="20"/>
                <w:szCs w:val="20"/>
              </w:rPr>
              <w:t>D</w:t>
            </w:r>
            <w:r>
              <w:rPr>
                <w:rFonts w:ascii="Times New Roman" w:hAnsi="Times New Roman"/>
                <w:bCs/>
                <w:i/>
                <w:color w:val="000000"/>
                <w:sz w:val="20"/>
                <w:szCs w:val="20"/>
                <w:vertAlign w:val="subscript"/>
              </w:rPr>
              <w:t>a</w:t>
            </w:r>
          </w:p>
        </w:tc>
        <w:tc>
          <w:tcPr>
            <w:tcW w:w="934" w:type="pct"/>
            <w:tcBorders>
              <w:top w:val="nil"/>
              <w:left w:val="nil"/>
              <w:bottom w:val="nil"/>
              <w:right w:val="nil"/>
            </w:tcBorders>
            <w:hideMark/>
          </w:tcPr>
          <w:p w14:paraId="46BFF39E" w14:textId="77777777" w:rsidR="007F446F" w:rsidRDefault="007F446F" w:rsidP="001D13CE">
            <w:pPr>
              <w:jc w:val="center"/>
              <w:rPr>
                <w:rFonts w:ascii="Times New Roman" w:hAnsi="Times New Roman"/>
                <w:sz w:val="20"/>
                <w:szCs w:val="20"/>
              </w:rPr>
            </w:pPr>
            <w:r>
              <w:rPr>
                <w:rFonts w:ascii="Times New Roman" w:hAnsi="Times New Roman"/>
                <w:sz w:val="20"/>
                <w:szCs w:val="20"/>
              </w:rPr>
              <w:t>5</w:t>
            </w:r>
          </w:p>
        </w:tc>
        <w:tc>
          <w:tcPr>
            <w:tcW w:w="585" w:type="pct"/>
            <w:tcBorders>
              <w:top w:val="nil"/>
              <w:left w:val="nil"/>
              <w:bottom w:val="nil"/>
              <w:right w:val="nil"/>
            </w:tcBorders>
            <w:hideMark/>
          </w:tcPr>
          <w:p w14:paraId="4CF1C240" w14:textId="77777777" w:rsidR="007F446F" w:rsidRDefault="007F446F" w:rsidP="001D13CE">
            <w:pPr>
              <w:jc w:val="center"/>
              <w:rPr>
                <w:rFonts w:ascii="Times New Roman" w:hAnsi="Times New Roman"/>
                <w:sz w:val="20"/>
                <w:szCs w:val="20"/>
              </w:rPr>
            </w:pPr>
            <w:r>
              <w:rPr>
                <w:rFonts w:ascii="Times New Roman" w:hAnsi="Times New Roman"/>
                <w:sz w:val="20"/>
                <w:szCs w:val="20"/>
              </w:rPr>
              <w:t>7</w:t>
            </w:r>
          </w:p>
        </w:tc>
        <w:tc>
          <w:tcPr>
            <w:tcW w:w="818" w:type="pct"/>
            <w:tcBorders>
              <w:top w:val="nil"/>
              <w:left w:val="nil"/>
              <w:bottom w:val="nil"/>
              <w:right w:val="nil"/>
            </w:tcBorders>
            <w:hideMark/>
          </w:tcPr>
          <w:p w14:paraId="71B5E085" w14:textId="77777777" w:rsidR="007F446F" w:rsidRDefault="007F446F" w:rsidP="001D13CE">
            <w:pPr>
              <w:jc w:val="center"/>
              <w:rPr>
                <w:rFonts w:ascii="Times New Roman" w:hAnsi="Times New Roman"/>
                <w:sz w:val="20"/>
                <w:szCs w:val="20"/>
              </w:rPr>
            </w:pPr>
            <w:r>
              <w:rPr>
                <w:rFonts w:ascii="Times New Roman" w:hAnsi="Times New Roman"/>
                <w:sz w:val="20"/>
                <w:szCs w:val="20"/>
              </w:rPr>
              <w:t>9</w:t>
            </w:r>
          </w:p>
        </w:tc>
        <w:tc>
          <w:tcPr>
            <w:tcW w:w="702" w:type="pct"/>
            <w:tcBorders>
              <w:top w:val="nil"/>
              <w:left w:val="nil"/>
              <w:bottom w:val="nil"/>
              <w:right w:val="nil"/>
            </w:tcBorders>
            <w:hideMark/>
          </w:tcPr>
          <w:p w14:paraId="69735543" w14:textId="77777777" w:rsidR="007F446F" w:rsidRDefault="007F446F" w:rsidP="001D13CE">
            <w:pPr>
              <w:jc w:val="center"/>
              <w:rPr>
                <w:rFonts w:ascii="Times New Roman" w:hAnsi="Times New Roman"/>
                <w:sz w:val="20"/>
                <w:szCs w:val="20"/>
              </w:rPr>
            </w:pPr>
            <w:r>
              <w:rPr>
                <w:rFonts w:ascii="Times New Roman" w:hAnsi="Times New Roman"/>
                <w:sz w:val="20"/>
                <w:szCs w:val="20"/>
              </w:rPr>
              <w:t>12</w:t>
            </w:r>
          </w:p>
        </w:tc>
      </w:tr>
      <w:tr w:rsidR="007F446F" w14:paraId="3B0B3EB0" w14:textId="77777777" w:rsidTr="001D13CE">
        <w:trPr>
          <w:trHeight w:val="273"/>
          <w:jc w:val="center"/>
        </w:trPr>
        <w:tc>
          <w:tcPr>
            <w:tcW w:w="1492" w:type="pct"/>
            <w:tcBorders>
              <w:top w:val="nil"/>
              <w:left w:val="nil"/>
              <w:bottom w:val="nil"/>
              <w:right w:val="nil"/>
            </w:tcBorders>
          </w:tcPr>
          <w:p w14:paraId="35547E55" w14:textId="77777777" w:rsidR="007F446F" w:rsidRDefault="007F446F" w:rsidP="001D13CE">
            <w:pPr>
              <w:keepNext/>
              <w:keepLines/>
              <w:spacing w:after="0" w:line="360" w:lineRule="auto"/>
              <w:jc w:val="center"/>
              <w:rPr>
                <w:rFonts w:ascii="Times New Roman" w:hAnsi="Times New Roman"/>
                <w:bCs/>
                <w:i/>
                <w:color w:val="000000"/>
                <w:sz w:val="20"/>
                <w:szCs w:val="20"/>
              </w:rPr>
            </w:pPr>
          </w:p>
        </w:tc>
        <w:tc>
          <w:tcPr>
            <w:tcW w:w="469" w:type="pct"/>
            <w:tcBorders>
              <w:top w:val="nil"/>
              <w:left w:val="nil"/>
              <w:bottom w:val="nil"/>
              <w:right w:val="nil"/>
            </w:tcBorders>
            <w:hideMark/>
          </w:tcPr>
          <w:p w14:paraId="057F4857" w14:textId="77777777" w:rsidR="007F446F" w:rsidRDefault="007F446F" w:rsidP="001D13CE">
            <w:pPr>
              <w:keepNext/>
              <w:keepLines/>
              <w:spacing w:after="0" w:line="360" w:lineRule="auto"/>
              <w:rPr>
                <w:rFonts w:ascii="Times New Roman" w:hAnsi="Times New Roman"/>
                <w:i/>
                <w:color w:val="000000"/>
                <w:sz w:val="20"/>
                <w:szCs w:val="20"/>
              </w:rPr>
            </w:pPr>
            <w:r>
              <w:rPr>
                <w:rFonts w:ascii="Times New Roman" w:hAnsi="Times New Roman"/>
                <w:bCs/>
                <w:i/>
                <w:color w:val="000000"/>
                <w:sz w:val="20"/>
                <w:szCs w:val="20"/>
              </w:rPr>
              <w:t>D</w:t>
            </w:r>
            <w:r>
              <w:rPr>
                <w:rFonts w:ascii="Times New Roman" w:hAnsi="Times New Roman"/>
                <w:bCs/>
                <w:i/>
                <w:color w:val="000000"/>
                <w:sz w:val="20"/>
                <w:szCs w:val="20"/>
                <w:vertAlign w:val="subscript"/>
              </w:rPr>
              <w:t xml:space="preserve">r </w:t>
            </w:r>
          </w:p>
        </w:tc>
        <w:tc>
          <w:tcPr>
            <w:tcW w:w="934" w:type="pct"/>
            <w:tcBorders>
              <w:top w:val="nil"/>
              <w:left w:val="nil"/>
              <w:bottom w:val="nil"/>
              <w:right w:val="nil"/>
            </w:tcBorders>
            <w:hideMark/>
          </w:tcPr>
          <w:p w14:paraId="7F06F3B0" w14:textId="77777777" w:rsidR="007F446F" w:rsidRDefault="007F446F" w:rsidP="001D13CE">
            <w:pPr>
              <w:jc w:val="center"/>
              <w:rPr>
                <w:rFonts w:ascii="Times New Roman" w:hAnsi="Times New Roman"/>
                <w:sz w:val="20"/>
                <w:szCs w:val="20"/>
              </w:rPr>
            </w:pPr>
            <w:r>
              <w:rPr>
                <w:rFonts w:ascii="Times New Roman" w:hAnsi="Times New Roman"/>
                <w:sz w:val="20"/>
                <w:szCs w:val="20"/>
              </w:rPr>
              <w:t>19</w:t>
            </w:r>
          </w:p>
        </w:tc>
        <w:tc>
          <w:tcPr>
            <w:tcW w:w="585" w:type="pct"/>
            <w:tcBorders>
              <w:top w:val="nil"/>
              <w:left w:val="nil"/>
              <w:bottom w:val="nil"/>
              <w:right w:val="nil"/>
            </w:tcBorders>
            <w:hideMark/>
          </w:tcPr>
          <w:p w14:paraId="48BFAF15" w14:textId="77777777" w:rsidR="007F446F" w:rsidRDefault="007F446F" w:rsidP="001D13CE">
            <w:pPr>
              <w:jc w:val="center"/>
              <w:rPr>
                <w:rFonts w:ascii="Times New Roman" w:hAnsi="Times New Roman"/>
                <w:sz w:val="20"/>
                <w:szCs w:val="20"/>
              </w:rPr>
            </w:pPr>
            <w:r>
              <w:rPr>
                <w:rFonts w:ascii="Times New Roman" w:hAnsi="Times New Roman"/>
                <w:sz w:val="20"/>
                <w:szCs w:val="20"/>
              </w:rPr>
              <w:t>19</w:t>
            </w:r>
          </w:p>
        </w:tc>
        <w:tc>
          <w:tcPr>
            <w:tcW w:w="818" w:type="pct"/>
            <w:tcBorders>
              <w:top w:val="nil"/>
              <w:left w:val="nil"/>
              <w:bottom w:val="nil"/>
              <w:right w:val="nil"/>
            </w:tcBorders>
            <w:hideMark/>
          </w:tcPr>
          <w:p w14:paraId="7CAC941D" w14:textId="77777777" w:rsidR="007F446F" w:rsidRDefault="007F446F" w:rsidP="001D13CE">
            <w:pPr>
              <w:jc w:val="center"/>
              <w:rPr>
                <w:rFonts w:ascii="Times New Roman" w:hAnsi="Times New Roman"/>
                <w:sz w:val="20"/>
                <w:szCs w:val="20"/>
              </w:rPr>
            </w:pPr>
            <w:r>
              <w:rPr>
                <w:rFonts w:ascii="Times New Roman" w:hAnsi="Times New Roman"/>
                <w:sz w:val="20"/>
                <w:szCs w:val="20"/>
              </w:rPr>
              <w:t>19</w:t>
            </w:r>
          </w:p>
        </w:tc>
        <w:tc>
          <w:tcPr>
            <w:tcW w:w="702" w:type="pct"/>
            <w:tcBorders>
              <w:top w:val="nil"/>
              <w:left w:val="nil"/>
              <w:bottom w:val="nil"/>
              <w:right w:val="nil"/>
            </w:tcBorders>
            <w:hideMark/>
          </w:tcPr>
          <w:p w14:paraId="03BB146D" w14:textId="77777777" w:rsidR="007F446F" w:rsidRDefault="007F446F" w:rsidP="001D13CE">
            <w:pPr>
              <w:jc w:val="center"/>
              <w:rPr>
                <w:rFonts w:ascii="Times New Roman" w:hAnsi="Times New Roman"/>
                <w:sz w:val="20"/>
                <w:szCs w:val="20"/>
              </w:rPr>
            </w:pPr>
            <w:r>
              <w:rPr>
                <w:rFonts w:ascii="Times New Roman" w:hAnsi="Times New Roman"/>
                <w:sz w:val="20"/>
                <w:szCs w:val="20"/>
              </w:rPr>
              <w:t>21</w:t>
            </w:r>
          </w:p>
        </w:tc>
      </w:tr>
      <w:tr w:rsidR="007F446F" w14:paraId="7764ABBA" w14:textId="77777777" w:rsidTr="001D13CE">
        <w:trPr>
          <w:trHeight w:val="273"/>
          <w:jc w:val="center"/>
        </w:trPr>
        <w:tc>
          <w:tcPr>
            <w:tcW w:w="1492" w:type="pct"/>
            <w:tcBorders>
              <w:top w:val="nil"/>
              <w:left w:val="nil"/>
              <w:bottom w:val="nil"/>
              <w:right w:val="nil"/>
            </w:tcBorders>
            <w:hideMark/>
          </w:tcPr>
          <w:p w14:paraId="3970BC68" w14:textId="77777777" w:rsidR="007F446F" w:rsidRDefault="007F446F" w:rsidP="001D13CE">
            <w:pPr>
              <w:keepNext/>
              <w:keepLines/>
              <w:spacing w:after="0" w:line="360" w:lineRule="auto"/>
              <w:jc w:val="center"/>
              <w:rPr>
                <w:rFonts w:ascii="Times New Roman" w:hAnsi="Times New Roman"/>
                <w:bCs/>
                <w:color w:val="000000"/>
                <w:sz w:val="20"/>
                <w:szCs w:val="20"/>
              </w:rPr>
            </w:pPr>
            <w:r>
              <w:rPr>
                <w:rFonts w:ascii="Times New Roman" w:hAnsi="Times New Roman"/>
                <w:bCs/>
                <w:color w:val="000000"/>
                <w:sz w:val="20"/>
                <w:szCs w:val="20"/>
              </w:rPr>
              <w:t>Multilingual</w:t>
            </w:r>
          </w:p>
        </w:tc>
        <w:tc>
          <w:tcPr>
            <w:tcW w:w="469" w:type="pct"/>
            <w:tcBorders>
              <w:top w:val="nil"/>
              <w:left w:val="nil"/>
              <w:bottom w:val="nil"/>
              <w:right w:val="nil"/>
            </w:tcBorders>
            <w:hideMark/>
          </w:tcPr>
          <w:p w14:paraId="34F8ACC9" w14:textId="77777777" w:rsidR="007F446F" w:rsidRDefault="007F446F" w:rsidP="001D13CE">
            <w:pPr>
              <w:keepNext/>
              <w:keepLines/>
              <w:spacing w:after="0" w:line="360" w:lineRule="auto"/>
              <w:rPr>
                <w:rFonts w:ascii="Times New Roman" w:hAnsi="Times New Roman"/>
                <w:i/>
                <w:color w:val="000000"/>
                <w:sz w:val="20"/>
                <w:szCs w:val="20"/>
              </w:rPr>
            </w:pPr>
            <w:r>
              <w:rPr>
                <w:rFonts w:ascii="Times New Roman" w:hAnsi="Times New Roman"/>
                <w:bCs/>
                <w:i/>
                <w:color w:val="000000"/>
                <w:sz w:val="20"/>
                <w:szCs w:val="20"/>
              </w:rPr>
              <w:t>D</w:t>
            </w:r>
            <w:r>
              <w:rPr>
                <w:rFonts w:ascii="Times New Roman" w:hAnsi="Times New Roman"/>
                <w:bCs/>
                <w:i/>
                <w:color w:val="000000"/>
                <w:sz w:val="20"/>
                <w:szCs w:val="20"/>
                <w:vertAlign w:val="subscript"/>
              </w:rPr>
              <w:t>a</w:t>
            </w:r>
          </w:p>
        </w:tc>
        <w:tc>
          <w:tcPr>
            <w:tcW w:w="934" w:type="pct"/>
            <w:tcBorders>
              <w:top w:val="nil"/>
              <w:left w:val="nil"/>
              <w:bottom w:val="nil"/>
              <w:right w:val="nil"/>
            </w:tcBorders>
            <w:hideMark/>
          </w:tcPr>
          <w:p w14:paraId="43096E0A" w14:textId="77777777" w:rsidR="007F446F" w:rsidRDefault="007F446F" w:rsidP="001D13CE">
            <w:pPr>
              <w:jc w:val="center"/>
              <w:rPr>
                <w:rFonts w:ascii="Times New Roman" w:hAnsi="Times New Roman"/>
                <w:sz w:val="20"/>
                <w:szCs w:val="20"/>
              </w:rPr>
            </w:pPr>
            <w:r>
              <w:rPr>
                <w:rFonts w:ascii="Times New Roman" w:hAnsi="Times New Roman"/>
                <w:sz w:val="20"/>
                <w:szCs w:val="20"/>
              </w:rPr>
              <w:t>0</w:t>
            </w:r>
          </w:p>
        </w:tc>
        <w:tc>
          <w:tcPr>
            <w:tcW w:w="585" w:type="pct"/>
            <w:tcBorders>
              <w:top w:val="nil"/>
              <w:left w:val="nil"/>
              <w:bottom w:val="nil"/>
              <w:right w:val="nil"/>
            </w:tcBorders>
            <w:hideMark/>
          </w:tcPr>
          <w:p w14:paraId="5BCF595C" w14:textId="77777777" w:rsidR="007F446F" w:rsidRDefault="007F446F" w:rsidP="001D13CE">
            <w:pPr>
              <w:jc w:val="center"/>
              <w:rPr>
                <w:rFonts w:ascii="Times New Roman" w:hAnsi="Times New Roman"/>
                <w:sz w:val="20"/>
                <w:szCs w:val="20"/>
              </w:rPr>
            </w:pPr>
            <w:r>
              <w:rPr>
                <w:rFonts w:ascii="Times New Roman" w:hAnsi="Times New Roman"/>
                <w:sz w:val="20"/>
                <w:szCs w:val="20"/>
              </w:rPr>
              <w:t>0</w:t>
            </w:r>
          </w:p>
        </w:tc>
        <w:tc>
          <w:tcPr>
            <w:tcW w:w="818" w:type="pct"/>
            <w:tcBorders>
              <w:top w:val="nil"/>
              <w:left w:val="nil"/>
              <w:bottom w:val="nil"/>
              <w:right w:val="nil"/>
            </w:tcBorders>
            <w:hideMark/>
          </w:tcPr>
          <w:p w14:paraId="3CA4158F" w14:textId="77777777" w:rsidR="007F446F" w:rsidRDefault="007F446F" w:rsidP="001D13CE">
            <w:pPr>
              <w:jc w:val="center"/>
              <w:rPr>
                <w:rFonts w:ascii="Times New Roman" w:hAnsi="Times New Roman"/>
                <w:sz w:val="20"/>
                <w:szCs w:val="20"/>
              </w:rPr>
            </w:pPr>
            <w:r>
              <w:rPr>
                <w:rFonts w:ascii="Times New Roman" w:hAnsi="Times New Roman"/>
                <w:sz w:val="20"/>
                <w:szCs w:val="20"/>
              </w:rPr>
              <w:t>1</w:t>
            </w:r>
          </w:p>
        </w:tc>
        <w:tc>
          <w:tcPr>
            <w:tcW w:w="702" w:type="pct"/>
            <w:tcBorders>
              <w:top w:val="nil"/>
              <w:left w:val="nil"/>
              <w:bottom w:val="nil"/>
              <w:right w:val="nil"/>
            </w:tcBorders>
            <w:hideMark/>
          </w:tcPr>
          <w:p w14:paraId="7DDBE171" w14:textId="77777777" w:rsidR="007F446F" w:rsidRDefault="007F446F" w:rsidP="001D13CE">
            <w:pPr>
              <w:jc w:val="center"/>
              <w:rPr>
                <w:rFonts w:ascii="Times New Roman" w:hAnsi="Times New Roman"/>
                <w:sz w:val="20"/>
                <w:szCs w:val="20"/>
              </w:rPr>
            </w:pPr>
            <w:r>
              <w:rPr>
                <w:rFonts w:ascii="Times New Roman" w:hAnsi="Times New Roman"/>
                <w:sz w:val="20"/>
                <w:szCs w:val="20"/>
              </w:rPr>
              <w:t>0</w:t>
            </w:r>
          </w:p>
        </w:tc>
      </w:tr>
      <w:tr w:rsidR="007F446F" w14:paraId="0173BD8E" w14:textId="77777777" w:rsidTr="001D13CE">
        <w:trPr>
          <w:trHeight w:val="273"/>
          <w:jc w:val="center"/>
        </w:trPr>
        <w:tc>
          <w:tcPr>
            <w:tcW w:w="1492" w:type="pct"/>
            <w:tcBorders>
              <w:top w:val="nil"/>
              <w:left w:val="nil"/>
              <w:bottom w:val="single" w:sz="8" w:space="0" w:color="000000"/>
              <w:right w:val="nil"/>
            </w:tcBorders>
          </w:tcPr>
          <w:p w14:paraId="6C1CEC30" w14:textId="77777777" w:rsidR="007F446F" w:rsidRDefault="007F446F" w:rsidP="001D13CE">
            <w:pPr>
              <w:keepNext/>
              <w:keepLines/>
              <w:spacing w:after="0" w:line="360" w:lineRule="auto"/>
              <w:jc w:val="center"/>
              <w:rPr>
                <w:rFonts w:ascii="Times New Roman" w:hAnsi="Times New Roman"/>
                <w:bCs/>
                <w:i/>
                <w:color w:val="000000"/>
                <w:sz w:val="20"/>
                <w:szCs w:val="20"/>
              </w:rPr>
            </w:pPr>
          </w:p>
        </w:tc>
        <w:tc>
          <w:tcPr>
            <w:tcW w:w="469" w:type="pct"/>
            <w:tcBorders>
              <w:top w:val="nil"/>
              <w:left w:val="nil"/>
              <w:bottom w:val="single" w:sz="8" w:space="0" w:color="000000"/>
              <w:right w:val="nil"/>
            </w:tcBorders>
            <w:hideMark/>
          </w:tcPr>
          <w:p w14:paraId="2C9DE3C0" w14:textId="77777777" w:rsidR="007F446F" w:rsidRDefault="007F446F" w:rsidP="001D13CE">
            <w:pPr>
              <w:keepNext/>
              <w:keepLines/>
              <w:spacing w:after="0" w:line="360" w:lineRule="auto"/>
              <w:rPr>
                <w:rFonts w:ascii="Times New Roman" w:hAnsi="Times New Roman"/>
                <w:i/>
                <w:color w:val="000000"/>
                <w:sz w:val="20"/>
                <w:szCs w:val="20"/>
              </w:rPr>
            </w:pPr>
            <w:r>
              <w:rPr>
                <w:rFonts w:ascii="Times New Roman" w:hAnsi="Times New Roman"/>
                <w:bCs/>
                <w:i/>
                <w:color w:val="000000"/>
                <w:sz w:val="20"/>
                <w:szCs w:val="20"/>
              </w:rPr>
              <w:t>D</w:t>
            </w:r>
            <w:r>
              <w:rPr>
                <w:rFonts w:ascii="Times New Roman" w:hAnsi="Times New Roman"/>
                <w:bCs/>
                <w:i/>
                <w:color w:val="000000"/>
                <w:sz w:val="20"/>
                <w:szCs w:val="20"/>
                <w:vertAlign w:val="subscript"/>
              </w:rPr>
              <w:t>r</w:t>
            </w:r>
          </w:p>
        </w:tc>
        <w:tc>
          <w:tcPr>
            <w:tcW w:w="934" w:type="pct"/>
            <w:tcBorders>
              <w:top w:val="nil"/>
              <w:left w:val="nil"/>
              <w:bottom w:val="single" w:sz="8" w:space="0" w:color="000000"/>
              <w:right w:val="nil"/>
            </w:tcBorders>
            <w:hideMark/>
          </w:tcPr>
          <w:p w14:paraId="40370F65" w14:textId="77777777" w:rsidR="007F446F" w:rsidRDefault="007F446F" w:rsidP="001D13CE">
            <w:pPr>
              <w:jc w:val="center"/>
              <w:rPr>
                <w:rFonts w:ascii="Times New Roman" w:hAnsi="Times New Roman"/>
                <w:sz w:val="20"/>
                <w:szCs w:val="20"/>
              </w:rPr>
            </w:pPr>
            <w:r>
              <w:rPr>
                <w:rFonts w:ascii="Times New Roman" w:hAnsi="Times New Roman"/>
                <w:sz w:val="20"/>
                <w:szCs w:val="20"/>
              </w:rPr>
              <w:t>4</w:t>
            </w:r>
          </w:p>
        </w:tc>
        <w:tc>
          <w:tcPr>
            <w:tcW w:w="585" w:type="pct"/>
            <w:tcBorders>
              <w:top w:val="nil"/>
              <w:left w:val="nil"/>
              <w:bottom w:val="single" w:sz="8" w:space="0" w:color="000000"/>
              <w:right w:val="nil"/>
            </w:tcBorders>
            <w:hideMark/>
          </w:tcPr>
          <w:p w14:paraId="1B567CF2" w14:textId="77777777" w:rsidR="007F446F" w:rsidRDefault="007F446F" w:rsidP="001D13CE">
            <w:pPr>
              <w:jc w:val="center"/>
              <w:rPr>
                <w:rFonts w:ascii="Times New Roman" w:hAnsi="Times New Roman"/>
                <w:sz w:val="20"/>
                <w:szCs w:val="20"/>
              </w:rPr>
            </w:pPr>
            <w:r>
              <w:rPr>
                <w:rFonts w:ascii="Times New Roman" w:hAnsi="Times New Roman"/>
                <w:sz w:val="20"/>
                <w:szCs w:val="20"/>
              </w:rPr>
              <w:t>4</w:t>
            </w:r>
          </w:p>
        </w:tc>
        <w:tc>
          <w:tcPr>
            <w:tcW w:w="818" w:type="pct"/>
            <w:tcBorders>
              <w:top w:val="nil"/>
              <w:left w:val="nil"/>
              <w:bottom w:val="single" w:sz="8" w:space="0" w:color="000000"/>
              <w:right w:val="nil"/>
            </w:tcBorders>
            <w:hideMark/>
          </w:tcPr>
          <w:p w14:paraId="60040EED" w14:textId="77777777" w:rsidR="007F446F" w:rsidRDefault="007F446F" w:rsidP="001D13CE">
            <w:pPr>
              <w:jc w:val="center"/>
              <w:rPr>
                <w:rFonts w:ascii="Times New Roman" w:hAnsi="Times New Roman"/>
                <w:sz w:val="20"/>
                <w:szCs w:val="20"/>
              </w:rPr>
            </w:pPr>
            <w:r>
              <w:rPr>
                <w:rFonts w:ascii="Times New Roman" w:hAnsi="Times New Roman"/>
                <w:sz w:val="20"/>
                <w:szCs w:val="20"/>
              </w:rPr>
              <w:t>3</w:t>
            </w:r>
          </w:p>
        </w:tc>
        <w:tc>
          <w:tcPr>
            <w:tcW w:w="702" w:type="pct"/>
            <w:tcBorders>
              <w:top w:val="nil"/>
              <w:left w:val="nil"/>
              <w:bottom w:val="single" w:sz="8" w:space="0" w:color="000000"/>
              <w:right w:val="nil"/>
            </w:tcBorders>
            <w:hideMark/>
          </w:tcPr>
          <w:p w14:paraId="16BD9116" w14:textId="77777777" w:rsidR="007F446F" w:rsidRDefault="007F446F" w:rsidP="001D13CE">
            <w:pPr>
              <w:jc w:val="center"/>
              <w:rPr>
                <w:rFonts w:ascii="Times New Roman" w:hAnsi="Times New Roman"/>
                <w:sz w:val="20"/>
                <w:szCs w:val="20"/>
              </w:rPr>
            </w:pPr>
            <w:r>
              <w:rPr>
                <w:rFonts w:ascii="Times New Roman" w:hAnsi="Times New Roman"/>
                <w:sz w:val="20"/>
                <w:szCs w:val="20"/>
              </w:rPr>
              <w:t>2</w:t>
            </w:r>
          </w:p>
        </w:tc>
      </w:tr>
    </w:tbl>
    <w:p w14:paraId="503BABC7" w14:textId="77777777" w:rsidR="007F446F" w:rsidRDefault="007F446F" w:rsidP="007F446F">
      <w:pPr>
        <w:keepNext/>
        <w:keepLines/>
        <w:spacing w:after="0" w:line="360" w:lineRule="auto"/>
        <w:ind w:firstLine="1170"/>
        <w:jc w:val="both"/>
        <w:rPr>
          <w:rFonts w:ascii="Times New Roman" w:hAnsi="Times New Roman"/>
          <w:i/>
          <w:sz w:val="20"/>
          <w:szCs w:val="20"/>
        </w:rPr>
      </w:pPr>
      <w:r>
        <w:rPr>
          <w:rFonts w:ascii="Times New Roman" w:hAnsi="Times New Roman"/>
          <w:i/>
          <w:sz w:val="20"/>
          <w:szCs w:val="20"/>
        </w:rPr>
        <w:t xml:space="preserve">Source: </w:t>
      </w:r>
      <w:r>
        <w:rPr>
          <w:rFonts w:ascii="Times New Roman" w:hAnsi="Times New Roman"/>
          <w:i/>
          <w:sz w:val="20"/>
          <w:szCs w:val="24"/>
        </w:rPr>
        <w:t>Eurostat, 2013, AES.</w:t>
      </w:r>
    </w:p>
    <w:p w14:paraId="1C39DE2B" w14:textId="77777777" w:rsidR="007F446F" w:rsidRPr="00803E13" w:rsidRDefault="007F446F" w:rsidP="007F446F">
      <w:pPr>
        <w:ind w:left="1170"/>
        <w:rPr>
          <w:rFonts w:ascii="Times New Roman" w:hAnsi="Times New Roman"/>
          <w:sz w:val="20"/>
        </w:rPr>
      </w:pPr>
      <w:r w:rsidRPr="00803E13">
        <w:rPr>
          <w:rFonts w:ascii="Times New Roman" w:hAnsi="Times New Roman"/>
          <w:i/>
          <w:sz w:val="20"/>
        </w:rPr>
        <w:t xml:space="preserve">Note: </w:t>
      </w:r>
      <w:r w:rsidRPr="00803E13">
        <w:rPr>
          <w:rFonts w:ascii="Times New Roman" w:hAnsi="Times New Roman"/>
          <w:sz w:val="20"/>
        </w:rPr>
        <w:t>Data (EU-25) are reported in percentages</w:t>
      </w:r>
      <w:r w:rsidRPr="00803E13">
        <w:rPr>
          <w:rFonts w:ascii="Times New Roman" w:hAnsi="Times New Roman"/>
          <w:i/>
          <w:sz w:val="20"/>
        </w:rPr>
        <w:t>.</w:t>
      </w:r>
    </w:p>
    <w:p w14:paraId="730CD3A3" w14:textId="77777777" w:rsidR="007F446F" w:rsidRDefault="007F446F" w:rsidP="007F446F">
      <w:pPr>
        <w:ind w:left="180" w:right="1417"/>
        <w:jc w:val="both"/>
      </w:pPr>
    </w:p>
    <w:p w14:paraId="4E200103" w14:textId="77777777" w:rsidR="007F446F" w:rsidRDefault="007F446F" w:rsidP="007F446F">
      <w:pPr>
        <w:ind w:left="180" w:right="1417"/>
        <w:jc w:val="both"/>
      </w:pPr>
    </w:p>
    <w:p w14:paraId="3CD3A00A" w14:textId="77777777" w:rsidR="007F446F" w:rsidRDefault="007F446F" w:rsidP="007F446F">
      <w:pPr>
        <w:ind w:left="180" w:right="1417"/>
        <w:jc w:val="both"/>
      </w:pPr>
    </w:p>
    <w:p w14:paraId="1DAF7235" w14:textId="77777777" w:rsidR="007F446F" w:rsidRDefault="007F446F" w:rsidP="007F446F">
      <w:pPr>
        <w:ind w:left="180" w:right="1417"/>
        <w:jc w:val="both"/>
      </w:pPr>
    </w:p>
    <w:p w14:paraId="6EBD152C" w14:textId="77777777" w:rsidR="007F446F" w:rsidRDefault="007F446F" w:rsidP="007F446F">
      <w:pPr>
        <w:ind w:left="180" w:right="1417"/>
        <w:jc w:val="both"/>
      </w:pPr>
    </w:p>
    <w:p w14:paraId="66E2227B" w14:textId="77777777" w:rsidR="007F446F" w:rsidRDefault="007F446F" w:rsidP="007F446F">
      <w:pPr>
        <w:ind w:left="180" w:right="1417"/>
        <w:jc w:val="both"/>
      </w:pPr>
    </w:p>
    <w:p w14:paraId="0C51BF4C" w14:textId="77777777" w:rsidR="007F446F" w:rsidRDefault="007F446F" w:rsidP="007F446F">
      <w:pPr>
        <w:ind w:left="180" w:right="1417"/>
        <w:jc w:val="both"/>
      </w:pPr>
    </w:p>
    <w:p w14:paraId="37248EB1" w14:textId="77777777" w:rsidR="007F446F" w:rsidRDefault="007F446F" w:rsidP="007F446F">
      <w:pPr>
        <w:ind w:left="180" w:right="1417"/>
        <w:jc w:val="both"/>
      </w:pPr>
    </w:p>
    <w:p w14:paraId="1082EC1A" w14:textId="77777777" w:rsidR="007F446F" w:rsidRDefault="007F446F" w:rsidP="007F446F">
      <w:pPr>
        <w:ind w:left="180" w:right="1417"/>
        <w:jc w:val="both"/>
      </w:pPr>
    </w:p>
    <w:p w14:paraId="09A86615" w14:textId="77777777" w:rsidR="007F446F" w:rsidRDefault="007F446F" w:rsidP="007F446F">
      <w:pPr>
        <w:ind w:left="180" w:right="1417"/>
        <w:jc w:val="both"/>
      </w:pPr>
    </w:p>
    <w:p w14:paraId="1C60F5CB" w14:textId="77777777" w:rsidR="007F446F" w:rsidRDefault="007F446F" w:rsidP="007F446F">
      <w:pPr>
        <w:ind w:left="180" w:right="1417"/>
        <w:jc w:val="both"/>
      </w:pPr>
    </w:p>
    <w:p w14:paraId="4EC22F22" w14:textId="77777777" w:rsidR="007F446F" w:rsidRDefault="007F446F" w:rsidP="007F446F">
      <w:pPr>
        <w:ind w:left="180" w:right="1417"/>
        <w:jc w:val="both"/>
      </w:pPr>
    </w:p>
    <w:p w14:paraId="0A9702A6" w14:textId="77777777" w:rsidR="007F446F" w:rsidRDefault="007F446F" w:rsidP="007F446F">
      <w:pPr>
        <w:ind w:left="180" w:right="1417"/>
        <w:jc w:val="both"/>
      </w:pPr>
    </w:p>
    <w:p w14:paraId="5E4D3EDE" w14:textId="77777777" w:rsidR="007F446F" w:rsidRDefault="007F446F" w:rsidP="007F446F">
      <w:pPr>
        <w:ind w:left="180" w:right="1417"/>
        <w:jc w:val="both"/>
      </w:pPr>
    </w:p>
    <w:p w14:paraId="5471BD10" w14:textId="77777777" w:rsidR="007F446F" w:rsidRDefault="007F446F" w:rsidP="007F446F">
      <w:pPr>
        <w:ind w:left="180" w:right="1417"/>
        <w:jc w:val="both"/>
      </w:pPr>
    </w:p>
    <w:p w14:paraId="2A6EF6AA" w14:textId="77777777" w:rsidR="007F446F" w:rsidRDefault="007F446F" w:rsidP="007F446F">
      <w:pPr>
        <w:ind w:left="180" w:right="1417"/>
        <w:jc w:val="both"/>
      </w:pPr>
    </w:p>
    <w:p w14:paraId="7DF9A827" w14:textId="77777777" w:rsidR="007F446F" w:rsidRDefault="007F446F" w:rsidP="007F446F">
      <w:pPr>
        <w:ind w:left="180" w:right="1417" w:firstLine="270"/>
        <w:jc w:val="both"/>
      </w:pPr>
    </w:p>
    <w:p w14:paraId="6DB4DC8C" w14:textId="77777777" w:rsidR="007F446F" w:rsidRPr="00803E13" w:rsidRDefault="007F446F" w:rsidP="007F446F">
      <w:pPr>
        <w:pStyle w:val="Caption"/>
        <w:keepNext/>
        <w:keepLines/>
        <w:spacing w:line="360" w:lineRule="auto"/>
        <w:ind w:left="450"/>
        <w:rPr>
          <w:rFonts w:ascii="Times New Roman" w:hAnsi="Times New Roman"/>
          <w:b w:val="0"/>
          <w:color w:val="auto"/>
          <w:sz w:val="20"/>
          <w:szCs w:val="20"/>
        </w:rPr>
      </w:pPr>
      <w:r w:rsidRPr="00803E13">
        <w:rPr>
          <w:rFonts w:ascii="Times New Roman" w:hAnsi="Times New Roman"/>
          <w:color w:val="auto"/>
          <w:sz w:val="20"/>
          <w:szCs w:val="20"/>
        </w:rPr>
        <w:t>Table 4</w:t>
      </w:r>
      <w:r>
        <w:rPr>
          <w:rFonts w:ascii="Times New Roman" w:hAnsi="Times New Roman"/>
          <w:color w:val="auto"/>
          <w:sz w:val="20"/>
          <w:szCs w:val="20"/>
        </w:rPr>
        <w:t>.</w:t>
      </w:r>
      <w:r w:rsidRPr="00803E13">
        <w:rPr>
          <w:rFonts w:ascii="Times New Roman" w:hAnsi="Times New Roman"/>
          <w:b w:val="0"/>
          <w:color w:val="auto"/>
          <w:sz w:val="20"/>
          <w:szCs w:val="20"/>
        </w:rPr>
        <w:t xml:space="preserve"> Correlation between income status (in deciles) and the knowledge of at least one official language, selected EU countries</w:t>
      </w:r>
      <w:r>
        <w:rPr>
          <w:rFonts w:ascii="Times New Roman" w:hAnsi="Times New Roman"/>
          <w:b w:val="0"/>
          <w:color w:val="auto"/>
          <w:sz w:val="20"/>
          <w:szCs w:val="20"/>
        </w:rPr>
        <w:t>.</w:t>
      </w:r>
    </w:p>
    <w:tbl>
      <w:tblPr>
        <w:tblW w:w="4539" w:type="pct"/>
        <w:jc w:val="center"/>
        <w:tblBorders>
          <w:top w:val="single" w:sz="8" w:space="0" w:color="000000"/>
          <w:bottom w:val="single" w:sz="8" w:space="0" w:color="000000"/>
        </w:tblBorders>
        <w:tblLook w:val="04A0" w:firstRow="1" w:lastRow="0" w:firstColumn="1" w:lastColumn="0" w:noHBand="0" w:noVBand="1"/>
      </w:tblPr>
      <w:tblGrid>
        <w:gridCol w:w="1986"/>
        <w:gridCol w:w="864"/>
        <w:gridCol w:w="2122"/>
        <w:gridCol w:w="2025"/>
        <w:gridCol w:w="1948"/>
      </w:tblGrid>
      <w:tr w:rsidR="007F446F" w14:paraId="041BBAFD" w14:textId="77777777" w:rsidTr="001D13CE">
        <w:trPr>
          <w:trHeight w:val="305"/>
          <w:jc w:val="center"/>
        </w:trPr>
        <w:tc>
          <w:tcPr>
            <w:tcW w:w="1110" w:type="pct"/>
            <w:tcBorders>
              <w:top w:val="nil"/>
              <w:left w:val="nil"/>
              <w:bottom w:val="single" w:sz="8" w:space="0" w:color="000000"/>
              <w:right w:val="nil"/>
            </w:tcBorders>
            <w:vAlign w:val="center"/>
          </w:tcPr>
          <w:p w14:paraId="4E7DD4C7" w14:textId="77777777" w:rsidR="007F446F" w:rsidRDefault="007F446F" w:rsidP="001D13CE">
            <w:pPr>
              <w:keepNext/>
              <w:keepLines/>
              <w:spacing w:after="0" w:line="360" w:lineRule="auto"/>
              <w:jc w:val="center"/>
              <w:rPr>
                <w:rFonts w:ascii="Times New Roman" w:hAnsi="Times New Roman"/>
                <w:color w:val="000000"/>
                <w:sz w:val="20"/>
                <w:szCs w:val="20"/>
              </w:rPr>
            </w:pPr>
          </w:p>
        </w:tc>
        <w:tc>
          <w:tcPr>
            <w:tcW w:w="3890" w:type="pct"/>
            <w:gridSpan w:val="4"/>
            <w:tcBorders>
              <w:top w:val="nil"/>
              <w:left w:val="nil"/>
              <w:bottom w:val="single" w:sz="8" w:space="0" w:color="000000"/>
              <w:right w:val="nil"/>
            </w:tcBorders>
            <w:vAlign w:val="center"/>
            <w:hideMark/>
          </w:tcPr>
          <w:p w14:paraId="4C58C21D" w14:textId="77777777" w:rsidR="007F446F" w:rsidRDefault="007F446F" w:rsidP="001D13CE">
            <w:pPr>
              <w:keepNext/>
              <w:keepLines/>
              <w:tabs>
                <w:tab w:val="left" w:pos="231"/>
                <w:tab w:val="center" w:pos="1522"/>
              </w:tabs>
              <w:spacing w:after="0" w:line="360" w:lineRule="auto"/>
              <w:jc w:val="center"/>
              <w:rPr>
                <w:rFonts w:ascii="Times New Roman" w:hAnsi="Times New Roman"/>
                <w:b/>
                <w:color w:val="000000"/>
                <w:sz w:val="20"/>
                <w:szCs w:val="20"/>
              </w:rPr>
            </w:pPr>
            <w:r>
              <w:rPr>
                <w:rFonts w:ascii="Times New Roman" w:hAnsi="Times New Roman"/>
                <w:b/>
                <w:color w:val="000000"/>
                <w:sz w:val="20"/>
                <w:szCs w:val="20"/>
              </w:rPr>
              <w:t>Language regime</w:t>
            </w:r>
          </w:p>
        </w:tc>
      </w:tr>
      <w:tr w:rsidR="007F446F" w14:paraId="2CB8E082" w14:textId="77777777" w:rsidTr="001D13CE">
        <w:trPr>
          <w:trHeight w:val="660"/>
          <w:jc w:val="center"/>
        </w:trPr>
        <w:tc>
          <w:tcPr>
            <w:tcW w:w="1593" w:type="pct"/>
            <w:gridSpan w:val="2"/>
            <w:tcBorders>
              <w:top w:val="single" w:sz="8" w:space="0" w:color="000000"/>
              <w:left w:val="nil"/>
              <w:bottom w:val="single" w:sz="8" w:space="0" w:color="000000"/>
              <w:right w:val="nil"/>
            </w:tcBorders>
            <w:vAlign w:val="center"/>
            <w:hideMark/>
          </w:tcPr>
          <w:p w14:paraId="36E13754" w14:textId="77777777" w:rsidR="007F446F" w:rsidRDefault="007F446F" w:rsidP="001D13CE">
            <w:pPr>
              <w:keepNext/>
              <w:keepLines/>
              <w:spacing w:after="0" w:line="360" w:lineRule="auto"/>
              <w:rPr>
                <w:rFonts w:ascii="Times New Roman" w:hAnsi="Times New Roman"/>
                <w:b/>
                <w:color w:val="000000"/>
                <w:sz w:val="20"/>
                <w:szCs w:val="20"/>
              </w:rPr>
            </w:pPr>
            <w:r>
              <w:rPr>
                <w:rFonts w:ascii="Times New Roman" w:hAnsi="Times New Roman"/>
                <w:b/>
                <w:color w:val="000000"/>
                <w:sz w:val="20"/>
                <w:szCs w:val="20"/>
              </w:rPr>
              <w:t>Spearman's rank correlation coefficient</w:t>
            </w:r>
          </w:p>
        </w:tc>
        <w:tc>
          <w:tcPr>
            <w:tcW w:w="1186" w:type="pct"/>
            <w:tcBorders>
              <w:top w:val="single" w:sz="8" w:space="0" w:color="000000"/>
              <w:left w:val="nil"/>
              <w:bottom w:val="single" w:sz="8" w:space="0" w:color="000000"/>
              <w:right w:val="nil"/>
            </w:tcBorders>
            <w:vAlign w:val="center"/>
            <w:hideMark/>
          </w:tcPr>
          <w:p w14:paraId="79146CED" w14:textId="77777777" w:rsidR="007F446F" w:rsidRDefault="007F446F" w:rsidP="001D13CE">
            <w:pPr>
              <w:keepNext/>
              <w:keepLines/>
              <w:spacing w:after="0" w:line="360" w:lineRule="auto"/>
              <w:jc w:val="center"/>
              <w:rPr>
                <w:rFonts w:ascii="Times New Roman" w:hAnsi="Times New Roman"/>
                <w:i/>
                <w:color w:val="000000"/>
                <w:sz w:val="20"/>
                <w:szCs w:val="20"/>
              </w:rPr>
            </w:pPr>
            <w:r>
              <w:rPr>
                <w:rFonts w:ascii="Times New Roman" w:hAnsi="Times New Roman"/>
                <w:i/>
                <w:color w:val="000000"/>
                <w:sz w:val="20"/>
                <w:szCs w:val="20"/>
              </w:rPr>
              <w:t>Monolingual</w:t>
            </w:r>
          </w:p>
        </w:tc>
        <w:tc>
          <w:tcPr>
            <w:tcW w:w="1132" w:type="pct"/>
            <w:tcBorders>
              <w:top w:val="single" w:sz="8" w:space="0" w:color="000000"/>
              <w:left w:val="nil"/>
              <w:bottom w:val="single" w:sz="8" w:space="0" w:color="000000"/>
              <w:right w:val="nil"/>
            </w:tcBorders>
            <w:vAlign w:val="center"/>
            <w:hideMark/>
          </w:tcPr>
          <w:p w14:paraId="1FA3B104" w14:textId="77777777" w:rsidR="007F446F" w:rsidRDefault="007F446F" w:rsidP="001D13CE">
            <w:pPr>
              <w:keepNext/>
              <w:keepLines/>
              <w:spacing w:after="0" w:line="360" w:lineRule="auto"/>
              <w:jc w:val="center"/>
              <w:rPr>
                <w:rFonts w:ascii="Times New Roman" w:hAnsi="Times New Roman"/>
                <w:i/>
                <w:color w:val="000000"/>
                <w:sz w:val="20"/>
                <w:szCs w:val="20"/>
              </w:rPr>
            </w:pPr>
            <w:r>
              <w:rPr>
                <w:rFonts w:ascii="Times New Roman" w:hAnsi="Times New Roman"/>
                <w:i/>
                <w:color w:val="000000"/>
                <w:sz w:val="20"/>
                <w:szCs w:val="20"/>
              </w:rPr>
              <w:t>Trilingual</w:t>
            </w:r>
          </w:p>
        </w:tc>
        <w:tc>
          <w:tcPr>
            <w:tcW w:w="1089" w:type="pct"/>
            <w:tcBorders>
              <w:top w:val="single" w:sz="8" w:space="0" w:color="000000"/>
              <w:left w:val="nil"/>
              <w:bottom w:val="single" w:sz="8" w:space="0" w:color="000000"/>
              <w:right w:val="nil"/>
            </w:tcBorders>
            <w:vAlign w:val="center"/>
            <w:hideMark/>
          </w:tcPr>
          <w:p w14:paraId="65CAB61A" w14:textId="77777777" w:rsidR="007F446F" w:rsidRDefault="007F446F" w:rsidP="001D13CE">
            <w:pPr>
              <w:keepNext/>
              <w:keepLines/>
              <w:spacing w:after="0" w:line="360" w:lineRule="auto"/>
              <w:jc w:val="center"/>
              <w:rPr>
                <w:rFonts w:ascii="Times New Roman" w:hAnsi="Times New Roman"/>
                <w:i/>
                <w:color w:val="000000"/>
                <w:sz w:val="20"/>
                <w:szCs w:val="20"/>
              </w:rPr>
            </w:pPr>
            <w:proofErr w:type="spellStart"/>
            <w:r>
              <w:rPr>
                <w:rFonts w:ascii="Times New Roman" w:hAnsi="Times New Roman"/>
                <w:i/>
                <w:color w:val="000000"/>
                <w:sz w:val="20"/>
                <w:szCs w:val="20"/>
              </w:rPr>
              <w:t>Hexalingual</w:t>
            </w:r>
            <w:proofErr w:type="spellEnd"/>
          </w:p>
        </w:tc>
      </w:tr>
      <w:tr w:rsidR="007F446F" w14:paraId="20D08A83" w14:textId="77777777" w:rsidTr="001D13CE">
        <w:trPr>
          <w:trHeight w:val="434"/>
          <w:jc w:val="center"/>
        </w:trPr>
        <w:tc>
          <w:tcPr>
            <w:tcW w:w="1593" w:type="pct"/>
            <w:gridSpan w:val="2"/>
            <w:tcBorders>
              <w:top w:val="single" w:sz="8" w:space="0" w:color="000000"/>
              <w:left w:val="nil"/>
              <w:bottom w:val="nil"/>
              <w:right w:val="nil"/>
            </w:tcBorders>
            <w:hideMark/>
          </w:tcPr>
          <w:p w14:paraId="4B89A5A1" w14:textId="77777777" w:rsidR="007F446F" w:rsidRDefault="007F446F" w:rsidP="001D13CE">
            <w:pPr>
              <w:pStyle w:val="NormalWeb"/>
              <w:keepNext/>
              <w:keepLines/>
              <w:spacing w:before="0" w:beforeAutospacing="0" w:after="0" w:afterAutospacing="0" w:line="360" w:lineRule="auto"/>
              <w:jc w:val="center"/>
              <w:textAlignment w:val="bottom"/>
              <w:rPr>
                <w:color w:val="000000"/>
                <w:sz w:val="20"/>
                <w:szCs w:val="20"/>
              </w:rPr>
            </w:pPr>
            <w:r>
              <w:rPr>
                <w:color w:val="000000"/>
                <w:kern w:val="24"/>
                <w:sz w:val="20"/>
                <w:szCs w:val="20"/>
              </w:rPr>
              <w:t>0.30-0.40&lt;</w:t>
            </w:r>
          </w:p>
        </w:tc>
        <w:tc>
          <w:tcPr>
            <w:tcW w:w="1186" w:type="pct"/>
            <w:tcBorders>
              <w:top w:val="single" w:sz="8" w:space="0" w:color="000000"/>
              <w:left w:val="nil"/>
              <w:bottom w:val="nil"/>
              <w:right w:val="nil"/>
            </w:tcBorders>
            <w:hideMark/>
          </w:tcPr>
          <w:p w14:paraId="7AA3F97C" w14:textId="77777777" w:rsidR="007F446F" w:rsidRDefault="007F446F" w:rsidP="001D13CE">
            <w:pPr>
              <w:keepNext/>
              <w:keepLines/>
              <w:spacing w:after="0" w:line="360" w:lineRule="auto"/>
              <w:rPr>
                <w:rFonts w:ascii="Times New Roman" w:hAnsi="Times New Roman"/>
                <w:iCs/>
                <w:color w:val="000000"/>
                <w:sz w:val="20"/>
                <w:szCs w:val="20"/>
              </w:rPr>
            </w:pPr>
            <w:r>
              <w:rPr>
                <w:rFonts w:ascii="Times New Roman" w:hAnsi="Times New Roman"/>
                <w:iCs/>
                <w:color w:val="000000"/>
                <w:sz w:val="20"/>
                <w:szCs w:val="20"/>
              </w:rPr>
              <w:t>Estonia, Hungary, Portugal</w:t>
            </w:r>
          </w:p>
        </w:tc>
        <w:tc>
          <w:tcPr>
            <w:tcW w:w="1132" w:type="pct"/>
            <w:tcBorders>
              <w:top w:val="single" w:sz="8" w:space="0" w:color="000000"/>
              <w:left w:val="nil"/>
              <w:bottom w:val="nil"/>
              <w:right w:val="nil"/>
            </w:tcBorders>
            <w:hideMark/>
          </w:tcPr>
          <w:p w14:paraId="7FA70EBE" w14:textId="77777777" w:rsidR="007F446F" w:rsidRDefault="007F446F" w:rsidP="001D13CE">
            <w:pPr>
              <w:keepNext/>
              <w:keepLines/>
              <w:spacing w:after="0" w:line="360" w:lineRule="auto"/>
              <w:rPr>
                <w:rFonts w:ascii="Times New Roman" w:hAnsi="Times New Roman"/>
                <w:color w:val="000000"/>
                <w:sz w:val="20"/>
                <w:szCs w:val="20"/>
              </w:rPr>
            </w:pPr>
            <w:r>
              <w:rPr>
                <w:rFonts w:ascii="Times New Roman" w:hAnsi="Times New Roman"/>
                <w:iCs/>
                <w:color w:val="000000"/>
                <w:sz w:val="20"/>
                <w:szCs w:val="20"/>
              </w:rPr>
              <w:t>Hungary, Portugal</w:t>
            </w:r>
          </w:p>
        </w:tc>
        <w:tc>
          <w:tcPr>
            <w:tcW w:w="1089" w:type="pct"/>
            <w:tcBorders>
              <w:top w:val="single" w:sz="8" w:space="0" w:color="000000"/>
              <w:left w:val="nil"/>
              <w:bottom w:val="nil"/>
              <w:right w:val="nil"/>
            </w:tcBorders>
            <w:hideMark/>
          </w:tcPr>
          <w:p w14:paraId="46ED833D" w14:textId="77777777" w:rsidR="007F446F" w:rsidRDefault="007F446F" w:rsidP="001D13CE">
            <w:pPr>
              <w:keepNext/>
              <w:keepLines/>
              <w:spacing w:after="0" w:line="360" w:lineRule="auto"/>
              <w:rPr>
                <w:rFonts w:ascii="Times New Roman" w:hAnsi="Times New Roman"/>
                <w:color w:val="000000"/>
                <w:sz w:val="20"/>
                <w:szCs w:val="20"/>
              </w:rPr>
            </w:pPr>
            <w:r>
              <w:rPr>
                <w:rFonts w:ascii="Times New Roman" w:hAnsi="Times New Roman"/>
                <w:iCs/>
                <w:color w:val="000000"/>
                <w:sz w:val="20"/>
                <w:szCs w:val="20"/>
              </w:rPr>
              <w:t>Hungary, Portugal</w:t>
            </w:r>
          </w:p>
        </w:tc>
      </w:tr>
      <w:tr w:rsidR="007F446F" w14:paraId="083E98F1" w14:textId="77777777" w:rsidTr="001D13CE">
        <w:trPr>
          <w:trHeight w:val="426"/>
          <w:jc w:val="center"/>
        </w:trPr>
        <w:tc>
          <w:tcPr>
            <w:tcW w:w="1593" w:type="pct"/>
            <w:gridSpan w:val="2"/>
            <w:tcBorders>
              <w:top w:val="nil"/>
              <w:left w:val="nil"/>
              <w:bottom w:val="nil"/>
              <w:right w:val="nil"/>
            </w:tcBorders>
            <w:hideMark/>
          </w:tcPr>
          <w:p w14:paraId="7B5E84C6" w14:textId="77777777" w:rsidR="007F446F" w:rsidRDefault="007F446F" w:rsidP="001D13CE">
            <w:pPr>
              <w:pStyle w:val="NormalWeb"/>
              <w:keepNext/>
              <w:keepLines/>
              <w:spacing w:before="0" w:beforeAutospacing="0" w:after="0" w:afterAutospacing="0" w:line="360" w:lineRule="auto"/>
              <w:jc w:val="center"/>
              <w:textAlignment w:val="bottom"/>
              <w:rPr>
                <w:color w:val="000000"/>
                <w:sz w:val="20"/>
                <w:szCs w:val="20"/>
              </w:rPr>
            </w:pPr>
            <w:r>
              <w:rPr>
                <w:color w:val="000000"/>
                <w:kern w:val="24"/>
                <w:sz w:val="20"/>
                <w:szCs w:val="20"/>
              </w:rPr>
              <w:t>0.20-0.30&lt;</w:t>
            </w:r>
          </w:p>
        </w:tc>
        <w:tc>
          <w:tcPr>
            <w:tcW w:w="1186" w:type="pct"/>
            <w:tcBorders>
              <w:top w:val="nil"/>
              <w:left w:val="nil"/>
              <w:bottom w:val="nil"/>
              <w:right w:val="nil"/>
            </w:tcBorders>
            <w:hideMark/>
          </w:tcPr>
          <w:p w14:paraId="7418A12E" w14:textId="77777777" w:rsidR="007F446F" w:rsidRDefault="007F446F" w:rsidP="001D13CE">
            <w:pPr>
              <w:keepNext/>
              <w:keepLines/>
              <w:spacing w:after="0" w:line="360" w:lineRule="auto"/>
              <w:rPr>
                <w:rFonts w:ascii="Times New Roman" w:hAnsi="Times New Roman"/>
                <w:iCs/>
                <w:color w:val="000000"/>
                <w:sz w:val="20"/>
                <w:szCs w:val="20"/>
              </w:rPr>
            </w:pPr>
            <w:r>
              <w:rPr>
                <w:rFonts w:ascii="Times New Roman" w:hAnsi="Times New Roman"/>
                <w:iCs/>
                <w:color w:val="000000"/>
                <w:sz w:val="20"/>
                <w:szCs w:val="20"/>
              </w:rPr>
              <w:t>Slovakia, Latvia, Spain</w:t>
            </w:r>
          </w:p>
        </w:tc>
        <w:tc>
          <w:tcPr>
            <w:tcW w:w="1132" w:type="pct"/>
            <w:tcBorders>
              <w:top w:val="nil"/>
              <w:left w:val="nil"/>
              <w:bottom w:val="nil"/>
              <w:right w:val="nil"/>
            </w:tcBorders>
            <w:hideMark/>
          </w:tcPr>
          <w:p w14:paraId="6FEC4849" w14:textId="77777777" w:rsidR="007F446F" w:rsidRDefault="007F446F" w:rsidP="001D13CE">
            <w:pPr>
              <w:keepNext/>
              <w:keepLines/>
              <w:spacing w:after="0" w:line="360" w:lineRule="auto"/>
              <w:rPr>
                <w:rFonts w:ascii="Times New Roman" w:hAnsi="Times New Roman"/>
                <w:color w:val="000000"/>
                <w:sz w:val="20"/>
                <w:szCs w:val="20"/>
              </w:rPr>
            </w:pPr>
            <w:r>
              <w:rPr>
                <w:rFonts w:ascii="Times New Roman" w:hAnsi="Times New Roman"/>
                <w:iCs/>
                <w:color w:val="000000"/>
                <w:sz w:val="20"/>
                <w:szCs w:val="20"/>
              </w:rPr>
              <w:t xml:space="preserve">Estonia, Latvia, Slovakia, Spain, </w:t>
            </w:r>
          </w:p>
        </w:tc>
        <w:tc>
          <w:tcPr>
            <w:tcW w:w="1089" w:type="pct"/>
            <w:tcBorders>
              <w:top w:val="nil"/>
              <w:left w:val="nil"/>
              <w:bottom w:val="nil"/>
              <w:right w:val="nil"/>
            </w:tcBorders>
            <w:hideMark/>
          </w:tcPr>
          <w:p w14:paraId="569E0BFC" w14:textId="77777777" w:rsidR="007F446F" w:rsidRDefault="007F446F" w:rsidP="001D13CE">
            <w:pPr>
              <w:keepNext/>
              <w:keepLines/>
              <w:spacing w:after="0" w:line="360" w:lineRule="auto"/>
              <w:rPr>
                <w:rFonts w:ascii="Times New Roman" w:hAnsi="Times New Roman"/>
                <w:color w:val="000000"/>
                <w:sz w:val="20"/>
                <w:szCs w:val="20"/>
              </w:rPr>
            </w:pPr>
            <w:r>
              <w:rPr>
                <w:rFonts w:ascii="Times New Roman" w:hAnsi="Times New Roman"/>
                <w:iCs/>
                <w:color w:val="000000"/>
                <w:sz w:val="20"/>
                <w:szCs w:val="20"/>
              </w:rPr>
              <w:t>Estonia, Latvia, Slovakia,</w:t>
            </w:r>
          </w:p>
        </w:tc>
      </w:tr>
      <w:tr w:rsidR="007F446F" w14:paraId="66156AF5" w14:textId="77777777" w:rsidTr="001D13CE">
        <w:trPr>
          <w:trHeight w:val="426"/>
          <w:jc w:val="center"/>
        </w:trPr>
        <w:tc>
          <w:tcPr>
            <w:tcW w:w="1593" w:type="pct"/>
            <w:gridSpan w:val="2"/>
            <w:tcBorders>
              <w:top w:val="nil"/>
              <w:left w:val="nil"/>
              <w:bottom w:val="nil"/>
              <w:right w:val="nil"/>
            </w:tcBorders>
            <w:hideMark/>
          </w:tcPr>
          <w:p w14:paraId="647E1995" w14:textId="77777777" w:rsidR="007F446F" w:rsidRDefault="007F446F" w:rsidP="001D13CE">
            <w:pPr>
              <w:pStyle w:val="NormalWeb"/>
              <w:keepNext/>
              <w:keepLines/>
              <w:spacing w:before="0" w:beforeAutospacing="0" w:after="0" w:afterAutospacing="0" w:line="360" w:lineRule="auto"/>
              <w:jc w:val="center"/>
              <w:textAlignment w:val="bottom"/>
              <w:rPr>
                <w:color w:val="000000"/>
                <w:sz w:val="20"/>
                <w:szCs w:val="20"/>
              </w:rPr>
            </w:pPr>
            <w:r>
              <w:rPr>
                <w:color w:val="000000"/>
                <w:kern w:val="24"/>
                <w:sz w:val="20"/>
                <w:szCs w:val="20"/>
              </w:rPr>
              <w:t>0.10-0.20&lt;</w:t>
            </w:r>
          </w:p>
        </w:tc>
        <w:tc>
          <w:tcPr>
            <w:tcW w:w="1186" w:type="pct"/>
            <w:tcBorders>
              <w:top w:val="nil"/>
              <w:left w:val="nil"/>
              <w:bottom w:val="nil"/>
              <w:right w:val="nil"/>
            </w:tcBorders>
            <w:hideMark/>
          </w:tcPr>
          <w:p w14:paraId="54A866A2" w14:textId="77777777" w:rsidR="007F446F" w:rsidRDefault="007F446F" w:rsidP="001D13CE">
            <w:pPr>
              <w:keepNext/>
              <w:keepLines/>
              <w:spacing w:after="0" w:line="360" w:lineRule="auto"/>
              <w:rPr>
                <w:rFonts w:ascii="Times New Roman" w:hAnsi="Times New Roman"/>
                <w:color w:val="000000"/>
                <w:sz w:val="20"/>
                <w:szCs w:val="20"/>
              </w:rPr>
            </w:pPr>
            <w:r>
              <w:rPr>
                <w:rFonts w:ascii="Times New Roman" w:hAnsi="Times New Roman"/>
                <w:color w:val="000000"/>
                <w:sz w:val="20"/>
                <w:szCs w:val="20"/>
              </w:rPr>
              <w:t>Austria, Finland, Italy, Luxembourg, Malta</w:t>
            </w:r>
          </w:p>
        </w:tc>
        <w:tc>
          <w:tcPr>
            <w:tcW w:w="1132" w:type="pct"/>
            <w:tcBorders>
              <w:top w:val="nil"/>
              <w:left w:val="nil"/>
              <w:bottom w:val="nil"/>
              <w:right w:val="nil"/>
            </w:tcBorders>
            <w:hideMark/>
          </w:tcPr>
          <w:p w14:paraId="5B763835" w14:textId="77777777" w:rsidR="007F446F" w:rsidRDefault="007F446F" w:rsidP="001D13CE">
            <w:pPr>
              <w:keepNext/>
              <w:keepLines/>
              <w:spacing w:after="0" w:line="360" w:lineRule="auto"/>
              <w:rPr>
                <w:rFonts w:ascii="Times New Roman" w:hAnsi="Times New Roman"/>
                <w:color w:val="000000"/>
                <w:sz w:val="20"/>
                <w:szCs w:val="20"/>
              </w:rPr>
            </w:pPr>
            <w:r>
              <w:rPr>
                <w:rFonts w:ascii="Times New Roman" w:hAnsi="Times New Roman"/>
                <w:color w:val="000000"/>
                <w:sz w:val="20"/>
                <w:szCs w:val="20"/>
              </w:rPr>
              <w:t>Finland, Italy, Malta</w:t>
            </w:r>
          </w:p>
        </w:tc>
        <w:tc>
          <w:tcPr>
            <w:tcW w:w="1089" w:type="pct"/>
            <w:tcBorders>
              <w:top w:val="nil"/>
              <w:left w:val="nil"/>
              <w:bottom w:val="nil"/>
              <w:right w:val="nil"/>
            </w:tcBorders>
            <w:hideMark/>
          </w:tcPr>
          <w:p w14:paraId="61571D8C" w14:textId="77777777" w:rsidR="007F446F" w:rsidRDefault="007F446F" w:rsidP="001D13CE">
            <w:pPr>
              <w:keepNext/>
              <w:keepLines/>
              <w:spacing w:after="0" w:line="360" w:lineRule="auto"/>
              <w:rPr>
                <w:rFonts w:ascii="Times New Roman" w:hAnsi="Times New Roman"/>
                <w:color w:val="000000"/>
                <w:sz w:val="20"/>
                <w:szCs w:val="20"/>
              </w:rPr>
            </w:pPr>
            <w:r>
              <w:rPr>
                <w:rFonts w:ascii="Times New Roman" w:hAnsi="Times New Roman"/>
                <w:color w:val="000000"/>
                <w:sz w:val="20"/>
                <w:szCs w:val="20"/>
              </w:rPr>
              <w:t>Finland, Malta</w:t>
            </w:r>
          </w:p>
        </w:tc>
      </w:tr>
      <w:tr w:rsidR="007F446F" w14:paraId="41516A29" w14:textId="77777777" w:rsidTr="001D13CE">
        <w:trPr>
          <w:trHeight w:val="318"/>
          <w:jc w:val="center"/>
        </w:trPr>
        <w:tc>
          <w:tcPr>
            <w:tcW w:w="1593" w:type="pct"/>
            <w:gridSpan w:val="2"/>
            <w:tcBorders>
              <w:top w:val="nil"/>
              <w:left w:val="nil"/>
              <w:bottom w:val="single" w:sz="8" w:space="0" w:color="000000"/>
              <w:right w:val="nil"/>
            </w:tcBorders>
            <w:hideMark/>
          </w:tcPr>
          <w:p w14:paraId="5EB536CF" w14:textId="77777777" w:rsidR="007F446F" w:rsidRDefault="007F446F" w:rsidP="001D13CE">
            <w:pPr>
              <w:pStyle w:val="NormalWeb"/>
              <w:keepNext/>
              <w:keepLines/>
              <w:spacing w:before="0" w:beforeAutospacing="0" w:after="0" w:afterAutospacing="0" w:line="360" w:lineRule="auto"/>
              <w:jc w:val="center"/>
              <w:textAlignment w:val="bottom"/>
              <w:rPr>
                <w:color w:val="000000"/>
                <w:sz w:val="20"/>
                <w:szCs w:val="20"/>
              </w:rPr>
            </w:pPr>
            <w:r>
              <w:rPr>
                <w:color w:val="000000"/>
                <w:kern w:val="24"/>
                <w:sz w:val="20"/>
                <w:szCs w:val="20"/>
              </w:rPr>
              <w:t>0-0.10&lt;</w:t>
            </w:r>
          </w:p>
        </w:tc>
        <w:tc>
          <w:tcPr>
            <w:tcW w:w="1186" w:type="pct"/>
            <w:tcBorders>
              <w:top w:val="nil"/>
              <w:left w:val="nil"/>
              <w:bottom w:val="single" w:sz="8" w:space="0" w:color="000000"/>
              <w:right w:val="nil"/>
            </w:tcBorders>
            <w:hideMark/>
          </w:tcPr>
          <w:p w14:paraId="69047C10" w14:textId="77777777" w:rsidR="007F446F" w:rsidRDefault="007F446F" w:rsidP="001D13CE">
            <w:pPr>
              <w:keepNext/>
              <w:keepLines/>
              <w:spacing w:after="0" w:line="360" w:lineRule="auto"/>
              <w:rPr>
                <w:rFonts w:ascii="Times New Roman" w:hAnsi="Times New Roman"/>
                <w:color w:val="000000"/>
                <w:sz w:val="20"/>
                <w:szCs w:val="20"/>
              </w:rPr>
            </w:pPr>
            <w:r>
              <w:rPr>
                <w:rFonts w:ascii="Times New Roman" w:hAnsi="Times New Roman"/>
                <w:color w:val="000000"/>
                <w:sz w:val="20"/>
                <w:szCs w:val="20"/>
              </w:rPr>
              <w:t>Denmark</w:t>
            </w:r>
          </w:p>
        </w:tc>
        <w:tc>
          <w:tcPr>
            <w:tcW w:w="1132" w:type="pct"/>
            <w:tcBorders>
              <w:top w:val="nil"/>
              <w:left w:val="nil"/>
              <w:bottom w:val="single" w:sz="8" w:space="0" w:color="000000"/>
              <w:right w:val="nil"/>
            </w:tcBorders>
            <w:hideMark/>
          </w:tcPr>
          <w:p w14:paraId="6C185BFC" w14:textId="77777777" w:rsidR="007F446F" w:rsidRDefault="007F446F" w:rsidP="001D13CE">
            <w:pPr>
              <w:keepNext/>
              <w:keepLines/>
              <w:spacing w:after="0" w:line="360" w:lineRule="auto"/>
              <w:rPr>
                <w:rFonts w:ascii="Times New Roman" w:hAnsi="Times New Roman"/>
                <w:color w:val="000000"/>
                <w:sz w:val="20"/>
                <w:szCs w:val="20"/>
                <w:vertAlign w:val="superscript"/>
              </w:rPr>
            </w:pPr>
            <w:r>
              <w:rPr>
                <w:rFonts w:ascii="Times New Roman" w:hAnsi="Times New Roman"/>
                <w:color w:val="000000"/>
                <w:sz w:val="20"/>
                <w:szCs w:val="20"/>
              </w:rPr>
              <w:t>Denmark</w:t>
            </w:r>
          </w:p>
        </w:tc>
        <w:tc>
          <w:tcPr>
            <w:tcW w:w="1089" w:type="pct"/>
            <w:tcBorders>
              <w:top w:val="nil"/>
              <w:left w:val="nil"/>
              <w:bottom w:val="single" w:sz="8" w:space="0" w:color="000000"/>
              <w:right w:val="nil"/>
            </w:tcBorders>
            <w:hideMark/>
          </w:tcPr>
          <w:p w14:paraId="7D8DBB25" w14:textId="77777777" w:rsidR="007F446F" w:rsidRDefault="007F446F" w:rsidP="001D13CE">
            <w:pPr>
              <w:keepNext/>
              <w:keepLines/>
              <w:spacing w:after="0" w:line="360" w:lineRule="auto"/>
              <w:rPr>
                <w:rFonts w:ascii="Times New Roman" w:hAnsi="Times New Roman"/>
                <w:color w:val="000000"/>
                <w:sz w:val="20"/>
                <w:szCs w:val="20"/>
                <w:vertAlign w:val="superscript"/>
              </w:rPr>
            </w:pPr>
            <w:r>
              <w:rPr>
                <w:rFonts w:ascii="Times New Roman" w:hAnsi="Times New Roman"/>
                <w:color w:val="000000"/>
                <w:sz w:val="20"/>
                <w:szCs w:val="20"/>
              </w:rPr>
              <w:t>Denmark</w:t>
            </w:r>
          </w:p>
        </w:tc>
      </w:tr>
    </w:tbl>
    <w:p w14:paraId="6B627A23" w14:textId="77777777" w:rsidR="007F446F" w:rsidRPr="00803E13" w:rsidRDefault="007F446F" w:rsidP="007F446F">
      <w:pPr>
        <w:keepNext/>
        <w:keepLines/>
        <w:spacing w:after="0" w:line="360" w:lineRule="auto"/>
        <w:ind w:left="450"/>
        <w:jc w:val="both"/>
        <w:rPr>
          <w:rFonts w:ascii="Times New Roman" w:hAnsi="Times New Roman"/>
          <w:sz w:val="20"/>
          <w:szCs w:val="20"/>
        </w:rPr>
      </w:pPr>
      <w:r>
        <w:rPr>
          <w:rFonts w:ascii="Times New Roman" w:hAnsi="Times New Roman"/>
          <w:i/>
          <w:sz w:val="20"/>
          <w:szCs w:val="20"/>
        </w:rPr>
        <w:t>Source</w:t>
      </w:r>
      <w:r w:rsidRPr="00803E13">
        <w:rPr>
          <w:rFonts w:ascii="Times New Roman" w:hAnsi="Times New Roman"/>
          <w:sz w:val="20"/>
          <w:szCs w:val="20"/>
        </w:rPr>
        <w:t xml:space="preserve">: </w:t>
      </w:r>
      <w:r w:rsidRPr="00803E13">
        <w:rPr>
          <w:rFonts w:ascii="Times New Roman" w:hAnsi="Times New Roman"/>
          <w:sz w:val="20"/>
          <w:szCs w:val="24"/>
        </w:rPr>
        <w:t>Eurostat, 2013, AES.</w:t>
      </w:r>
    </w:p>
    <w:p w14:paraId="3BF4895A" w14:textId="77777777" w:rsidR="007F446F" w:rsidRPr="00803E13" w:rsidRDefault="007F446F" w:rsidP="007F446F">
      <w:pPr>
        <w:keepNext/>
        <w:keepLines/>
        <w:spacing w:after="0" w:line="360" w:lineRule="auto"/>
        <w:ind w:left="450"/>
        <w:jc w:val="both"/>
        <w:rPr>
          <w:rFonts w:ascii="Times New Roman" w:hAnsi="Times New Roman"/>
          <w:sz w:val="20"/>
          <w:szCs w:val="24"/>
        </w:rPr>
      </w:pPr>
      <w:r>
        <w:rPr>
          <w:rFonts w:ascii="Times New Roman" w:hAnsi="Times New Roman"/>
          <w:i/>
          <w:sz w:val="20"/>
          <w:szCs w:val="24"/>
        </w:rPr>
        <w:t xml:space="preserve">Note: </w:t>
      </w:r>
      <w:r w:rsidRPr="00803E13">
        <w:rPr>
          <w:rFonts w:ascii="Times New Roman" w:hAnsi="Times New Roman"/>
          <w:sz w:val="20"/>
          <w:szCs w:val="24"/>
        </w:rPr>
        <w:t>The Spearman's rank correlation coefficient</w:t>
      </w:r>
      <w:r w:rsidRPr="00803E13">
        <w:rPr>
          <w:rFonts w:ascii="Times New Roman" w:hAnsi="Times New Roman"/>
          <w:color w:val="000000"/>
          <w:sz w:val="20"/>
          <w:szCs w:val="24"/>
        </w:rPr>
        <w:t xml:space="preserve"> is always statistically significant at the 1% level.</w:t>
      </w:r>
    </w:p>
    <w:p w14:paraId="2F460642" w14:textId="77777777" w:rsidR="007F446F" w:rsidRDefault="007F446F" w:rsidP="007F446F">
      <w:pPr>
        <w:spacing w:line="360" w:lineRule="auto"/>
        <w:jc w:val="both"/>
        <w:rPr>
          <w:rFonts w:ascii="Times New Roman" w:hAnsi="Times New Roman"/>
          <w:color w:val="000000"/>
          <w:sz w:val="24"/>
          <w:szCs w:val="24"/>
        </w:rPr>
      </w:pPr>
    </w:p>
    <w:p w14:paraId="2C6ACD2C" w14:textId="77777777" w:rsidR="007F446F" w:rsidRDefault="007F446F" w:rsidP="007F446F">
      <w:pPr>
        <w:ind w:left="180" w:right="1417"/>
        <w:jc w:val="both"/>
      </w:pPr>
    </w:p>
    <w:p w14:paraId="184DD77F" w14:textId="77777777" w:rsidR="007F446F" w:rsidRDefault="007F446F" w:rsidP="007F446F">
      <w:pPr>
        <w:ind w:left="180" w:right="1417"/>
        <w:jc w:val="both"/>
      </w:pPr>
    </w:p>
    <w:p w14:paraId="7D50D3B0" w14:textId="77777777" w:rsidR="007F446F" w:rsidRDefault="007F446F" w:rsidP="007F446F">
      <w:pPr>
        <w:ind w:left="180" w:right="1417"/>
        <w:jc w:val="both"/>
      </w:pPr>
    </w:p>
    <w:p w14:paraId="20D5FBC1" w14:textId="77777777" w:rsidR="007F446F" w:rsidRDefault="007F446F" w:rsidP="007F446F">
      <w:pPr>
        <w:ind w:left="180" w:right="1417"/>
        <w:jc w:val="both"/>
      </w:pPr>
    </w:p>
    <w:p w14:paraId="4C27D57B" w14:textId="77777777" w:rsidR="007F446F" w:rsidRDefault="007F446F" w:rsidP="007F446F">
      <w:pPr>
        <w:ind w:left="180" w:right="1417"/>
        <w:jc w:val="both"/>
      </w:pPr>
    </w:p>
    <w:p w14:paraId="2F35BCA1" w14:textId="77777777" w:rsidR="007F446F" w:rsidRDefault="007F446F" w:rsidP="007F446F">
      <w:pPr>
        <w:ind w:left="180" w:right="1417"/>
        <w:jc w:val="both"/>
      </w:pPr>
    </w:p>
    <w:p w14:paraId="3B924A60" w14:textId="77777777" w:rsidR="007F446F" w:rsidRDefault="007F446F" w:rsidP="007F446F">
      <w:pPr>
        <w:ind w:left="180" w:right="1417"/>
        <w:jc w:val="both"/>
      </w:pPr>
    </w:p>
    <w:p w14:paraId="763C0F33" w14:textId="77777777" w:rsidR="007F446F" w:rsidRDefault="007F446F" w:rsidP="007F446F">
      <w:pPr>
        <w:ind w:left="180" w:right="1417"/>
        <w:jc w:val="both"/>
      </w:pPr>
    </w:p>
    <w:p w14:paraId="79201EEB" w14:textId="77777777" w:rsidR="007F446F" w:rsidRDefault="007F446F" w:rsidP="007F446F">
      <w:pPr>
        <w:ind w:left="180" w:right="1417"/>
        <w:jc w:val="both"/>
      </w:pPr>
    </w:p>
    <w:p w14:paraId="604F2643" w14:textId="77777777" w:rsidR="007F446F" w:rsidRDefault="007F446F" w:rsidP="007F446F">
      <w:pPr>
        <w:ind w:left="180" w:right="1417"/>
        <w:jc w:val="both"/>
      </w:pPr>
    </w:p>
    <w:p w14:paraId="577BD325" w14:textId="77777777" w:rsidR="007F446F" w:rsidRDefault="007F446F" w:rsidP="007F446F">
      <w:pPr>
        <w:ind w:left="180" w:right="1417"/>
        <w:jc w:val="both"/>
      </w:pPr>
    </w:p>
    <w:p w14:paraId="4460277B" w14:textId="77777777" w:rsidR="007F446F" w:rsidRDefault="007F446F" w:rsidP="007F446F">
      <w:pPr>
        <w:ind w:left="180" w:right="1417"/>
        <w:jc w:val="both"/>
      </w:pPr>
    </w:p>
    <w:p w14:paraId="37D768E2" w14:textId="77777777" w:rsidR="007F446F" w:rsidRDefault="007F446F" w:rsidP="007F446F">
      <w:pPr>
        <w:ind w:left="180" w:right="1417"/>
        <w:jc w:val="both"/>
      </w:pPr>
    </w:p>
    <w:p w14:paraId="5DDF7FB7" w14:textId="77777777" w:rsidR="007F446F" w:rsidRDefault="007F446F" w:rsidP="007F446F">
      <w:pPr>
        <w:ind w:left="180" w:right="1417"/>
        <w:jc w:val="both"/>
      </w:pPr>
    </w:p>
    <w:p w14:paraId="6233729C" w14:textId="77777777" w:rsidR="007F446F" w:rsidRDefault="007F446F" w:rsidP="007F446F">
      <w:pPr>
        <w:ind w:left="180" w:right="1417"/>
        <w:jc w:val="both"/>
      </w:pPr>
    </w:p>
    <w:p w14:paraId="6AC0B06C" w14:textId="77777777" w:rsidR="007F446F" w:rsidRDefault="007F446F" w:rsidP="007F446F">
      <w:pPr>
        <w:ind w:left="180" w:right="1417"/>
        <w:jc w:val="both"/>
        <w:sectPr w:rsidR="007F446F" w:rsidSect="003B55FA">
          <w:pgSz w:w="11906" w:h="16838"/>
          <w:pgMar w:top="1417" w:right="1134" w:bottom="1134" w:left="1134" w:header="708" w:footer="708" w:gutter="0"/>
          <w:cols w:space="708"/>
          <w:docGrid w:linePitch="360"/>
        </w:sectPr>
      </w:pPr>
    </w:p>
    <w:p w14:paraId="7D3D12B2" w14:textId="77777777" w:rsidR="007F446F" w:rsidRPr="00803E13" w:rsidRDefault="007F446F" w:rsidP="007F446F">
      <w:pPr>
        <w:pStyle w:val="Caption"/>
        <w:spacing w:line="360" w:lineRule="auto"/>
        <w:rPr>
          <w:rFonts w:ascii="Times New Roman" w:hAnsi="Times New Roman"/>
          <w:b w:val="0"/>
          <w:color w:val="auto"/>
          <w:sz w:val="20"/>
          <w:szCs w:val="20"/>
        </w:rPr>
      </w:pPr>
      <w:r w:rsidRPr="00803E13">
        <w:rPr>
          <w:rFonts w:ascii="Times New Roman" w:hAnsi="Times New Roman"/>
          <w:color w:val="auto"/>
          <w:sz w:val="20"/>
          <w:szCs w:val="20"/>
        </w:rPr>
        <w:lastRenderedPageBreak/>
        <w:t>Table 5</w:t>
      </w:r>
      <w:r w:rsidRPr="00914419">
        <w:rPr>
          <w:rFonts w:ascii="Times New Roman" w:hAnsi="Times New Roman"/>
          <w:color w:val="auto"/>
          <w:sz w:val="20"/>
          <w:szCs w:val="20"/>
        </w:rPr>
        <w:t>.</w:t>
      </w:r>
      <w:r w:rsidRPr="00803E13">
        <w:rPr>
          <w:rFonts w:ascii="Times New Roman" w:hAnsi="Times New Roman"/>
          <w:color w:val="auto"/>
          <w:sz w:val="20"/>
          <w:szCs w:val="20"/>
        </w:rPr>
        <w:t xml:space="preserve"> </w:t>
      </w:r>
      <w:r w:rsidRPr="00803E13">
        <w:rPr>
          <w:rFonts w:ascii="Times New Roman" w:hAnsi="Times New Roman"/>
          <w:b w:val="0"/>
          <w:color w:val="auto"/>
          <w:sz w:val="20"/>
          <w:szCs w:val="20"/>
        </w:rPr>
        <w:t>Absolute and relative disenfranchisement rates, by the highest level of education or training successfully completed by EU residents, and by occupational status.</w:t>
      </w:r>
    </w:p>
    <w:tbl>
      <w:tblPr>
        <w:tblW w:w="4579" w:type="pct"/>
        <w:jc w:val="center"/>
        <w:tblBorders>
          <w:top w:val="single" w:sz="8" w:space="0" w:color="000000"/>
          <w:bottom w:val="single" w:sz="8" w:space="0" w:color="000000"/>
        </w:tblBorders>
        <w:tblLook w:val="04A0" w:firstRow="1" w:lastRow="0" w:firstColumn="1" w:lastColumn="0" w:noHBand="0" w:noVBand="1"/>
      </w:tblPr>
      <w:tblGrid>
        <w:gridCol w:w="959"/>
        <w:gridCol w:w="376"/>
        <w:gridCol w:w="657"/>
        <w:gridCol w:w="771"/>
        <w:gridCol w:w="771"/>
        <w:gridCol w:w="771"/>
        <w:gridCol w:w="657"/>
        <w:gridCol w:w="221"/>
        <w:gridCol w:w="655"/>
        <w:gridCol w:w="1002"/>
        <w:gridCol w:w="664"/>
        <w:gridCol w:w="985"/>
        <w:gridCol w:w="799"/>
      </w:tblGrid>
      <w:tr w:rsidR="007F446F" w14:paraId="69BE8B63" w14:textId="77777777" w:rsidTr="001D13CE">
        <w:trPr>
          <w:trHeight w:val="191"/>
          <w:jc w:val="center"/>
        </w:trPr>
        <w:tc>
          <w:tcPr>
            <w:tcW w:w="674" w:type="pct"/>
            <w:tcBorders>
              <w:top w:val="single" w:sz="8" w:space="0" w:color="000000"/>
              <w:left w:val="nil"/>
              <w:bottom w:val="nil"/>
              <w:right w:val="nil"/>
            </w:tcBorders>
          </w:tcPr>
          <w:p w14:paraId="2B033359" w14:textId="77777777" w:rsidR="007F446F" w:rsidRDefault="007F446F" w:rsidP="001D13CE">
            <w:pPr>
              <w:spacing w:after="0" w:line="360" w:lineRule="auto"/>
              <w:rPr>
                <w:rFonts w:ascii="Times New Roman" w:hAnsi="Times New Roman"/>
                <w:b/>
                <w:color w:val="000000"/>
                <w:sz w:val="18"/>
                <w:szCs w:val="20"/>
              </w:rPr>
            </w:pPr>
            <w:r>
              <w:rPr>
                <w:rFonts w:ascii="Times New Roman" w:hAnsi="Times New Roman"/>
                <w:b/>
                <w:i/>
                <w:color w:val="000000"/>
                <w:sz w:val="18"/>
                <w:szCs w:val="20"/>
              </w:rPr>
              <w:t>Language regime</w:t>
            </w:r>
          </w:p>
        </w:tc>
        <w:tc>
          <w:tcPr>
            <w:tcW w:w="186" w:type="pct"/>
            <w:tcBorders>
              <w:top w:val="single" w:sz="8" w:space="0" w:color="000000"/>
              <w:left w:val="nil"/>
              <w:bottom w:val="nil"/>
              <w:right w:val="nil"/>
            </w:tcBorders>
          </w:tcPr>
          <w:p w14:paraId="34D59A66" w14:textId="77777777" w:rsidR="007F446F" w:rsidRDefault="007F446F" w:rsidP="001D13CE">
            <w:pPr>
              <w:pStyle w:val="NormalWeb"/>
              <w:spacing w:before="0" w:beforeAutospacing="0" w:after="0" w:afterAutospacing="0" w:line="360" w:lineRule="auto"/>
              <w:jc w:val="center"/>
              <w:textAlignment w:val="bottom"/>
              <w:rPr>
                <w:b/>
                <w:bCs/>
                <w:color w:val="000000"/>
                <w:kern w:val="24"/>
                <w:sz w:val="18"/>
                <w:szCs w:val="20"/>
              </w:rPr>
            </w:pPr>
          </w:p>
        </w:tc>
        <w:tc>
          <w:tcPr>
            <w:tcW w:w="2055" w:type="pct"/>
            <w:gridSpan w:val="5"/>
            <w:tcBorders>
              <w:top w:val="single" w:sz="8" w:space="0" w:color="000000"/>
              <w:left w:val="nil"/>
              <w:bottom w:val="nil"/>
              <w:right w:val="nil"/>
            </w:tcBorders>
          </w:tcPr>
          <w:p w14:paraId="01911652" w14:textId="77777777" w:rsidR="007F446F" w:rsidRDefault="007F446F" w:rsidP="001D13CE">
            <w:pPr>
              <w:spacing w:after="0" w:line="360" w:lineRule="auto"/>
              <w:jc w:val="center"/>
              <w:rPr>
                <w:rFonts w:ascii="Times New Roman" w:hAnsi="Times New Roman"/>
                <w:b/>
                <w:color w:val="000000"/>
                <w:sz w:val="18"/>
                <w:szCs w:val="20"/>
              </w:rPr>
            </w:pPr>
            <w:r>
              <w:rPr>
                <w:rFonts w:ascii="Times New Roman" w:hAnsi="Times New Roman"/>
                <w:b/>
                <w:color w:val="000000"/>
                <w:sz w:val="18"/>
                <w:szCs w:val="20"/>
              </w:rPr>
              <w:t>Level of education</w:t>
            </w:r>
          </w:p>
        </w:tc>
        <w:tc>
          <w:tcPr>
            <w:tcW w:w="86" w:type="pct"/>
            <w:tcBorders>
              <w:top w:val="single" w:sz="8" w:space="0" w:color="000000"/>
              <w:left w:val="nil"/>
              <w:bottom w:val="nil"/>
              <w:right w:val="nil"/>
            </w:tcBorders>
          </w:tcPr>
          <w:p w14:paraId="36120468" w14:textId="77777777" w:rsidR="007F446F" w:rsidRDefault="007F446F" w:rsidP="001D13CE">
            <w:pPr>
              <w:spacing w:after="0" w:line="360" w:lineRule="auto"/>
              <w:jc w:val="center"/>
              <w:rPr>
                <w:rFonts w:ascii="Times New Roman" w:hAnsi="Times New Roman"/>
                <w:b/>
                <w:color w:val="000000"/>
                <w:sz w:val="20"/>
                <w:szCs w:val="20"/>
              </w:rPr>
            </w:pPr>
          </w:p>
        </w:tc>
        <w:tc>
          <w:tcPr>
            <w:tcW w:w="2000" w:type="pct"/>
            <w:gridSpan w:val="5"/>
            <w:tcBorders>
              <w:top w:val="single" w:sz="8" w:space="0" w:color="000000"/>
              <w:left w:val="nil"/>
              <w:bottom w:val="nil"/>
              <w:right w:val="nil"/>
            </w:tcBorders>
          </w:tcPr>
          <w:p w14:paraId="6C3FE199" w14:textId="77777777" w:rsidR="007F446F" w:rsidRDefault="007F446F" w:rsidP="001D13CE">
            <w:pPr>
              <w:spacing w:after="0" w:line="360" w:lineRule="auto"/>
              <w:jc w:val="center"/>
              <w:rPr>
                <w:rFonts w:ascii="Times New Roman" w:hAnsi="Times New Roman"/>
                <w:color w:val="000000"/>
                <w:sz w:val="18"/>
                <w:szCs w:val="20"/>
              </w:rPr>
            </w:pPr>
            <w:r>
              <w:rPr>
                <w:rFonts w:ascii="Times New Roman" w:hAnsi="Times New Roman"/>
                <w:b/>
                <w:color w:val="000000"/>
                <w:sz w:val="20"/>
                <w:szCs w:val="20"/>
              </w:rPr>
              <w:t>Occupational status</w:t>
            </w:r>
          </w:p>
        </w:tc>
      </w:tr>
      <w:tr w:rsidR="007F446F" w14:paraId="328E0749" w14:textId="77777777" w:rsidTr="001D13CE">
        <w:trPr>
          <w:trHeight w:val="601"/>
          <w:jc w:val="center"/>
        </w:trPr>
        <w:tc>
          <w:tcPr>
            <w:tcW w:w="674" w:type="pct"/>
            <w:tcBorders>
              <w:top w:val="single" w:sz="8" w:space="0" w:color="000000"/>
              <w:left w:val="nil"/>
              <w:bottom w:val="nil"/>
              <w:right w:val="nil"/>
            </w:tcBorders>
            <w:hideMark/>
          </w:tcPr>
          <w:p w14:paraId="4DF648E1" w14:textId="77777777" w:rsidR="007F446F" w:rsidRDefault="007F446F" w:rsidP="001D13CE">
            <w:pPr>
              <w:spacing w:after="0" w:line="360" w:lineRule="auto"/>
              <w:jc w:val="right"/>
              <w:rPr>
                <w:rFonts w:ascii="Times New Roman" w:hAnsi="Times New Roman"/>
                <w:b/>
                <w:color w:val="000000"/>
                <w:sz w:val="18"/>
                <w:szCs w:val="20"/>
              </w:rPr>
            </w:pPr>
          </w:p>
        </w:tc>
        <w:tc>
          <w:tcPr>
            <w:tcW w:w="186" w:type="pct"/>
            <w:tcBorders>
              <w:top w:val="single" w:sz="8" w:space="0" w:color="000000"/>
              <w:left w:val="nil"/>
              <w:bottom w:val="nil"/>
              <w:right w:val="nil"/>
            </w:tcBorders>
          </w:tcPr>
          <w:p w14:paraId="7C56B980" w14:textId="77777777" w:rsidR="007F446F" w:rsidRDefault="007F446F" w:rsidP="001D13CE">
            <w:pPr>
              <w:pStyle w:val="NormalWeb"/>
              <w:spacing w:before="0" w:beforeAutospacing="0" w:after="0" w:afterAutospacing="0" w:line="360" w:lineRule="auto"/>
              <w:jc w:val="center"/>
              <w:textAlignment w:val="bottom"/>
              <w:rPr>
                <w:b/>
                <w:bCs/>
                <w:color w:val="000000"/>
                <w:kern w:val="24"/>
                <w:sz w:val="18"/>
                <w:szCs w:val="20"/>
              </w:rPr>
            </w:pPr>
          </w:p>
        </w:tc>
        <w:tc>
          <w:tcPr>
            <w:tcW w:w="323" w:type="pct"/>
            <w:tcBorders>
              <w:top w:val="single" w:sz="8" w:space="0" w:color="000000"/>
              <w:left w:val="nil"/>
              <w:bottom w:val="single" w:sz="4" w:space="0" w:color="000000"/>
              <w:right w:val="nil"/>
            </w:tcBorders>
            <w:hideMark/>
          </w:tcPr>
          <w:p w14:paraId="26175492" w14:textId="77777777" w:rsidR="007F446F" w:rsidRPr="00914419" w:rsidRDefault="007F446F" w:rsidP="001D13CE">
            <w:pPr>
              <w:pStyle w:val="NormalWeb"/>
              <w:spacing w:before="0" w:beforeAutospacing="0" w:after="0" w:afterAutospacing="0" w:line="360" w:lineRule="auto"/>
              <w:jc w:val="center"/>
              <w:textAlignment w:val="bottom"/>
              <w:rPr>
                <w:color w:val="000000"/>
                <w:sz w:val="18"/>
                <w:szCs w:val="20"/>
              </w:rPr>
            </w:pPr>
            <w:r w:rsidRPr="00803E13">
              <w:rPr>
                <w:bCs/>
                <w:color w:val="000000"/>
                <w:kern w:val="24"/>
                <w:sz w:val="18"/>
                <w:szCs w:val="20"/>
              </w:rPr>
              <w:t>Primary</w:t>
            </w:r>
          </w:p>
        </w:tc>
        <w:tc>
          <w:tcPr>
            <w:tcW w:w="372" w:type="pct"/>
            <w:tcBorders>
              <w:top w:val="single" w:sz="8" w:space="0" w:color="000000"/>
              <w:left w:val="nil"/>
              <w:bottom w:val="single" w:sz="4" w:space="0" w:color="000000"/>
              <w:right w:val="nil"/>
            </w:tcBorders>
            <w:hideMark/>
          </w:tcPr>
          <w:p w14:paraId="68141C42" w14:textId="77777777" w:rsidR="007F446F" w:rsidRPr="00914419" w:rsidRDefault="007F446F" w:rsidP="001D13CE">
            <w:pPr>
              <w:pStyle w:val="NormalWeb"/>
              <w:spacing w:before="0" w:beforeAutospacing="0" w:after="0" w:afterAutospacing="0" w:line="360" w:lineRule="auto"/>
              <w:jc w:val="center"/>
              <w:textAlignment w:val="bottom"/>
              <w:rPr>
                <w:color w:val="000000"/>
                <w:sz w:val="18"/>
                <w:szCs w:val="20"/>
              </w:rPr>
            </w:pPr>
            <w:r w:rsidRPr="00FF2FBE">
              <w:rPr>
                <w:bCs/>
                <w:color w:val="000000"/>
                <w:kern w:val="24"/>
                <w:sz w:val="18"/>
                <w:szCs w:val="20"/>
              </w:rPr>
              <w:t>Lower secondary</w:t>
            </w:r>
          </w:p>
        </w:tc>
        <w:tc>
          <w:tcPr>
            <w:tcW w:w="372" w:type="pct"/>
            <w:tcBorders>
              <w:top w:val="single" w:sz="8" w:space="0" w:color="000000"/>
              <w:left w:val="nil"/>
              <w:bottom w:val="single" w:sz="4" w:space="0" w:color="000000"/>
              <w:right w:val="nil"/>
            </w:tcBorders>
            <w:hideMark/>
          </w:tcPr>
          <w:p w14:paraId="668D0B28" w14:textId="77777777" w:rsidR="007F446F" w:rsidRPr="00914419" w:rsidRDefault="007F446F" w:rsidP="001D13CE">
            <w:pPr>
              <w:pStyle w:val="NormalWeb"/>
              <w:spacing w:before="0" w:beforeAutospacing="0" w:after="0" w:afterAutospacing="0" w:line="360" w:lineRule="auto"/>
              <w:jc w:val="center"/>
              <w:textAlignment w:val="bottom"/>
              <w:rPr>
                <w:color w:val="000000"/>
                <w:sz w:val="18"/>
                <w:szCs w:val="20"/>
              </w:rPr>
            </w:pPr>
            <w:r w:rsidRPr="00FF2FBE">
              <w:rPr>
                <w:bCs/>
                <w:color w:val="000000"/>
                <w:kern w:val="24"/>
                <w:sz w:val="18"/>
                <w:szCs w:val="20"/>
              </w:rPr>
              <w:t>Upper secondary</w:t>
            </w:r>
          </w:p>
        </w:tc>
        <w:tc>
          <w:tcPr>
            <w:tcW w:w="609" w:type="pct"/>
            <w:tcBorders>
              <w:top w:val="single" w:sz="8" w:space="0" w:color="000000"/>
              <w:left w:val="nil"/>
              <w:bottom w:val="single" w:sz="4" w:space="0" w:color="000000"/>
              <w:right w:val="nil"/>
            </w:tcBorders>
            <w:hideMark/>
          </w:tcPr>
          <w:p w14:paraId="4BF1EF0C" w14:textId="77777777" w:rsidR="007F446F" w:rsidRPr="00914419" w:rsidRDefault="007F446F" w:rsidP="001D13CE">
            <w:pPr>
              <w:pStyle w:val="NormalWeb"/>
              <w:spacing w:before="0" w:beforeAutospacing="0" w:after="0" w:afterAutospacing="0" w:line="360" w:lineRule="auto"/>
              <w:jc w:val="center"/>
              <w:textAlignment w:val="bottom"/>
              <w:rPr>
                <w:color w:val="000000"/>
                <w:sz w:val="18"/>
                <w:szCs w:val="20"/>
              </w:rPr>
            </w:pPr>
            <w:r w:rsidRPr="00803E13">
              <w:rPr>
                <w:bCs/>
                <w:color w:val="000000"/>
                <w:kern w:val="24"/>
                <w:sz w:val="18"/>
                <w:szCs w:val="20"/>
              </w:rPr>
              <w:t>Post-secondary non-tertiary</w:t>
            </w:r>
          </w:p>
        </w:tc>
        <w:tc>
          <w:tcPr>
            <w:tcW w:w="380" w:type="pct"/>
            <w:tcBorders>
              <w:top w:val="single" w:sz="8" w:space="0" w:color="000000"/>
              <w:left w:val="nil"/>
              <w:bottom w:val="single" w:sz="4" w:space="0" w:color="000000"/>
              <w:right w:val="nil"/>
            </w:tcBorders>
            <w:hideMark/>
          </w:tcPr>
          <w:p w14:paraId="1B6C8052" w14:textId="77777777" w:rsidR="007F446F" w:rsidRPr="00914419" w:rsidRDefault="007F446F" w:rsidP="001D13CE">
            <w:pPr>
              <w:pStyle w:val="NormalWeb"/>
              <w:spacing w:before="0" w:beforeAutospacing="0" w:after="0" w:afterAutospacing="0" w:line="360" w:lineRule="auto"/>
              <w:jc w:val="center"/>
              <w:textAlignment w:val="bottom"/>
              <w:rPr>
                <w:color w:val="000000"/>
                <w:sz w:val="18"/>
                <w:szCs w:val="20"/>
              </w:rPr>
            </w:pPr>
            <w:r w:rsidRPr="00803E13">
              <w:rPr>
                <w:bCs/>
                <w:color w:val="000000"/>
                <w:kern w:val="24"/>
                <w:sz w:val="18"/>
                <w:szCs w:val="20"/>
              </w:rPr>
              <w:t>Tertiary</w:t>
            </w:r>
          </w:p>
        </w:tc>
        <w:tc>
          <w:tcPr>
            <w:tcW w:w="86" w:type="pct"/>
            <w:tcBorders>
              <w:top w:val="single" w:sz="8" w:space="0" w:color="000000"/>
              <w:left w:val="nil"/>
              <w:bottom w:val="single" w:sz="4" w:space="0" w:color="000000"/>
              <w:right w:val="nil"/>
            </w:tcBorders>
          </w:tcPr>
          <w:p w14:paraId="2C837EEA" w14:textId="77777777" w:rsidR="007F446F" w:rsidRDefault="007F446F" w:rsidP="001D13CE">
            <w:pPr>
              <w:pStyle w:val="NormalWeb"/>
              <w:tabs>
                <w:tab w:val="left" w:pos="381"/>
              </w:tabs>
              <w:spacing w:after="0"/>
              <w:ind w:left="-18"/>
              <w:jc w:val="center"/>
              <w:textAlignment w:val="center"/>
              <w:rPr>
                <w:color w:val="000000"/>
                <w:kern w:val="24"/>
                <w:sz w:val="20"/>
                <w:szCs w:val="20"/>
              </w:rPr>
            </w:pPr>
          </w:p>
        </w:tc>
        <w:tc>
          <w:tcPr>
            <w:tcW w:w="369" w:type="pct"/>
            <w:tcBorders>
              <w:top w:val="single" w:sz="8" w:space="0" w:color="000000"/>
              <w:left w:val="nil"/>
              <w:bottom w:val="single" w:sz="4" w:space="0" w:color="000000"/>
              <w:right w:val="nil"/>
            </w:tcBorders>
          </w:tcPr>
          <w:p w14:paraId="4BA8A888" w14:textId="77777777" w:rsidR="007F446F" w:rsidRDefault="007F446F" w:rsidP="001D13CE">
            <w:pPr>
              <w:pStyle w:val="NormalWeb"/>
              <w:spacing w:before="0" w:beforeAutospacing="0" w:after="0" w:afterAutospacing="0" w:line="276" w:lineRule="auto"/>
              <w:jc w:val="center"/>
              <w:textAlignment w:val="center"/>
              <w:rPr>
                <w:color w:val="000000"/>
                <w:sz w:val="20"/>
                <w:szCs w:val="20"/>
              </w:rPr>
            </w:pPr>
            <w:r>
              <w:rPr>
                <w:color w:val="000000"/>
                <w:kern w:val="24"/>
                <w:sz w:val="20"/>
                <w:szCs w:val="20"/>
              </w:rPr>
              <w:t>Carries out a job</w:t>
            </w:r>
          </w:p>
        </w:tc>
        <w:tc>
          <w:tcPr>
            <w:tcW w:w="478" w:type="pct"/>
            <w:tcBorders>
              <w:top w:val="single" w:sz="8" w:space="0" w:color="000000"/>
              <w:left w:val="nil"/>
              <w:bottom w:val="single" w:sz="4" w:space="0" w:color="000000"/>
              <w:right w:val="nil"/>
            </w:tcBorders>
          </w:tcPr>
          <w:p w14:paraId="205634DC" w14:textId="77777777" w:rsidR="007F446F" w:rsidRDefault="007F446F" w:rsidP="001D13CE">
            <w:pPr>
              <w:pStyle w:val="NormalWeb"/>
              <w:spacing w:before="0" w:beforeAutospacing="0" w:after="0" w:afterAutospacing="0" w:line="276" w:lineRule="auto"/>
              <w:jc w:val="center"/>
              <w:textAlignment w:val="center"/>
              <w:rPr>
                <w:color w:val="000000"/>
                <w:sz w:val="20"/>
                <w:szCs w:val="20"/>
              </w:rPr>
            </w:pPr>
            <w:r>
              <w:rPr>
                <w:color w:val="000000"/>
                <w:kern w:val="24"/>
                <w:sz w:val="20"/>
                <w:szCs w:val="20"/>
              </w:rPr>
              <w:t>Unemployed</w:t>
            </w:r>
          </w:p>
        </w:tc>
        <w:tc>
          <w:tcPr>
            <w:tcW w:w="308" w:type="pct"/>
            <w:tcBorders>
              <w:top w:val="single" w:sz="8" w:space="0" w:color="000000"/>
              <w:left w:val="nil"/>
              <w:bottom w:val="single" w:sz="4" w:space="0" w:color="000000"/>
              <w:right w:val="nil"/>
            </w:tcBorders>
          </w:tcPr>
          <w:p w14:paraId="2636B264" w14:textId="77777777" w:rsidR="007F446F" w:rsidRDefault="007F446F" w:rsidP="001D13CE">
            <w:pPr>
              <w:pStyle w:val="NormalWeb"/>
              <w:spacing w:before="0" w:beforeAutospacing="0" w:after="0" w:afterAutospacing="0" w:line="276" w:lineRule="auto"/>
              <w:jc w:val="center"/>
              <w:textAlignment w:val="center"/>
              <w:rPr>
                <w:color w:val="000000"/>
                <w:sz w:val="20"/>
                <w:szCs w:val="20"/>
              </w:rPr>
            </w:pPr>
            <w:r>
              <w:rPr>
                <w:color w:val="000000"/>
                <w:kern w:val="24"/>
                <w:sz w:val="20"/>
                <w:szCs w:val="20"/>
              </w:rPr>
              <w:t>Retired</w:t>
            </w:r>
          </w:p>
        </w:tc>
        <w:tc>
          <w:tcPr>
            <w:tcW w:w="469" w:type="pct"/>
            <w:tcBorders>
              <w:top w:val="single" w:sz="8" w:space="0" w:color="000000"/>
              <w:left w:val="nil"/>
              <w:bottom w:val="single" w:sz="4" w:space="0" w:color="000000"/>
              <w:right w:val="nil"/>
            </w:tcBorders>
          </w:tcPr>
          <w:p w14:paraId="1B667155" w14:textId="77777777" w:rsidR="007F446F" w:rsidRDefault="007F446F" w:rsidP="001D13CE">
            <w:pPr>
              <w:pStyle w:val="NormalWeb"/>
              <w:spacing w:before="0" w:beforeAutospacing="0" w:after="0" w:afterAutospacing="0" w:line="276" w:lineRule="auto"/>
              <w:jc w:val="center"/>
              <w:textAlignment w:val="center"/>
              <w:rPr>
                <w:color w:val="000000"/>
                <w:sz w:val="20"/>
                <w:szCs w:val="20"/>
              </w:rPr>
            </w:pPr>
            <w:r>
              <w:rPr>
                <w:color w:val="000000"/>
                <w:kern w:val="24"/>
                <w:sz w:val="20"/>
                <w:szCs w:val="20"/>
              </w:rPr>
              <w:t>Permanently disabled</w:t>
            </w:r>
          </w:p>
        </w:tc>
        <w:tc>
          <w:tcPr>
            <w:tcW w:w="376" w:type="pct"/>
            <w:tcBorders>
              <w:top w:val="single" w:sz="8" w:space="0" w:color="000000"/>
              <w:left w:val="nil"/>
              <w:bottom w:val="single" w:sz="4" w:space="0" w:color="000000"/>
              <w:right w:val="nil"/>
            </w:tcBorders>
          </w:tcPr>
          <w:p w14:paraId="44169CE6" w14:textId="77777777" w:rsidR="007F446F" w:rsidRDefault="007F446F" w:rsidP="001D13CE">
            <w:pPr>
              <w:pStyle w:val="NormalWeb"/>
              <w:spacing w:before="0" w:beforeAutospacing="0" w:after="0" w:afterAutospacing="0" w:line="276" w:lineRule="auto"/>
              <w:jc w:val="center"/>
              <w:textAlignment w:val="center"/>
              <w:rPr>
                <w:color w:val="000000"/>
                <w:sz w:val="20"/>
                <w:szCs w:val="20"/>
              </w:rPr>
            </w:pPr>
            <w:r>
              <w:rPr>
                <w:color w:val="000000"/>
                <w:kern w:val="24"/>
                <w:sz w:val="20"/>
                <w:szCs w:val="20"/>
              </w:rPr>
              <w:t>Domestic tasks</w:t>
            </w:r>
          </w:p>
        </w:tc>
      </w:tr>
      <w:tr w:rsidR="007F446F" w:rsidRPr="001A54A4" w14:paraId="3B45E612" w14:textId="77777777" w:rsidTr="001D13CE">
        <w:trPr>
          <w:trHeight w:val="433"/>
          <w:jc w:val="center"/>
        </w:trPr>
        <w:tc>
          <w:tcPr>
            <w:tcW w:w="674" w:type="pct"/>
            <w:tcBorders>
              <w:top w:val="nil"/>
              <w:left w:val="nil"/>
              <w:bottom w:val="nil"/>
              <w:right w:val="nil"/>
            </w:tcBorders>
            <w:hideMark/>
          </w:tcPr>
          <w:p w14:paraId="0DBA4C4C" w14:textId="77777777" w:rsidR="007F446F" w:rsidRDefault="007F446F" w:rsidP="001D13CE">
            <w:pPr>
              <w:spacing w:after="0" w:line="360" w:lineRule="auto"/>
              <w:jc w:val="center"/>
              <w:rPr>
                <w:rFonts w:ascii="Times New Roman" w:hAnsi="Times New Roman"/>
                <w:b/>
                <w:i/>
                <w:color w:val="000000"/>
                <w:sz w:val="18"/>
                <w:szCs w:val="20"/>
              </w:rPr>
            </w:pPr>
          </w:p>
        </w:tc>
        <w:tc>
          <w:tcPr>
            <w:tcW w:w="186" w:type="pct"/>
            <w:tcBorders>
              <w:top w:val="nil"/>
              <w:left w:val="nil"/>
              <w:bottom w:val="nil"/>
              <w:right w:val="nil"/>
            </w:tcBorders>
          </w:tcPr>
          <w:p w14:paraId="3F0DABBE" w14:textId="77777777" w:rsidR="007F446F" w:rsidRDefault="007F446F" w:rsidP="001D13CE">
            <w:pPr>
              <w:spacing w:after="0" w:line="360" w:lineRule="auto"/>
              <w:jc w:val="center"/>
              <w:rPr>
                <w:rFonts w:ascii="Times New Roman" w:hAnsi="Times New Roman"/>
                <w:b/>
                <w:i/>
                <w:color w:val="000000"/>
                <w:sz w:val="18"/>
                <w:szCs w:val="20"/>
              </w:rPr>
            </w:pPr>
          </w:p>
        </w:tc>
        <w:tc>
          <w:tcPr>
            <w:tcW w:w="323" w:type="pct"/>
            <w:tcBorders>
              <w:top w:val="single" w:sz="4" w:space="0" w:color="000000"/>
              <w:left w:val="nil"/>
              <w:bottom w:val="nil"/>
              <w:right w:val="nil"/>
            </w:tcBorders>
          </w:tcPr>
          <w:p w14:paraId="0A827157" w14:textId="77777777" w:rsidR="007F446F" w:rsidRDefault="007F446F" w:rsidP="001D13CE">
            <w:pPr>
              <w:spacing w:after="0" w:line="360" w:lineRule="auto"/>
              <w:jc w:val="center"/>
              <w:rPr>
                <w:rFonts w:ascii="Times New Roman" w:hAnsi="Times New Roman"/>
                <w:b/>
                <w:i/>
                <w:color w:val="000000"/>
                <w:sz w:val="18"/>
                <w:szCs w:val="20"/>
              </w:rPr>
            </w:pPr>
          </w:p>
        </w:tc>
        <w:tc>
          <w:tcPr>
            <w:tcW w:w="372" w:type="pct"/>
            <w:tcBorders>
              <w:top w:val="single" w:sz="4" w:space="0" w:color="000000"/>
              <w:left w:val="nil"/>
              <w:bottom w:val="nil"/>
              <w:right w:val="nil"/>
            </w:tcBorders>
          </w:tcPr>
          <w:p w14:paraId="4942DDDD" w14:textId="77777777" w:rsidR="007F446F" w:rsidRDefault="007F446F" w:rsidP="001D13CE">
            <w:pPr>
              <w:spacing w:after="0" w:line="360" w:lineRule="auto"/>
              <w:jc w:val="center"/>
              <w:rPr>
                <w:rFonts w:ascii="Times New Roman" w:hAnsi="Times New Roman"/>
                <w:i/>
                <w:color w:val="000000"/>
                <w:sz w:val="18"/>
                <w:szCs w:val="20"/>
                <w:vertAlign w:val="subscript"/>
              </w:rPr>
            </w:pPr>
          </w:p>
        </w:tc>
        <w:tc>
          <w:tcPr>
            <w:tcW w:w="372" w:type="pct"/>
            <w:tcBorders>
              <w:top w:val="single" w:sz="4" w:space="0" w:color="000000"/>
              <w:left w:val="nil"/>
              <w:bottom w:val="nil"/>
              <w:right w:val="nil"/>
            </w:tcBorders>
          </w:tcPr>
          <w:p w14:paraId="25463729" w14:textId="77777777" w:rsidR="007F446F" w:rsidRDefault="007F446F" w:rsidP="001D13CE">
            <w:pPr>
              <w:spacing w:after="0" w:line="360" w:lineRule="auto"/>
              <w:jc w:val="center"/>
              <w:rPr>
                <w:rFonts w:ascii="Times New Roman" w:hAnsi="Times New Roman"/>
                <w:i/>
                <w:color w:val="000000"/>
                <w:sz w:val="18"/>
                <w:szCs w:val="20"/>
                <w:vertAlign w:val="subscript"/>
              </w:rPr>
            </w:pPr>
          </w:p>
        </w:tc>
        <w:tc>
          <w:tcPr>
            <w:tcW w:w="609" w:type="pct"/>
            <w:tcBorders>
              <w:top w:val="single" w:sz="4" w:space="0" w:color="000000"/>
              <w:left w:val="nil"/>
              <w:bottom w:val="nil"/>
              <w:right w:val="nil"/>
            </w:tcBorders>
          </w:tcPr>
          <w:p w14:paraId="11BEEB80" w14:textId="77777777" w:rsidR="007F446F" w:rsidRDefault="007F446F" w:rsidP="001D13CE">
            <w:pPr>
              <w:spacing w:after="0" w:line="360" w:lineRule="auto"/>
              <w:jc w:val="center"/>
              <w:rPr>
                <w:rFonts w:ascii="Times New Roman" w:hAnsi="Times New Roman"/>
                <w:color w:val="000000"/>
                <w:sz w:val="18"/>
                <w:szCs w:val="20"/>
              </w:rPr>
            </w:pPr>
          </w:p>
        </w:tc>
        <w:tc>
          <w:tcPr>
            <w:tcW w:w="380" w:type="pct"/>
            <w:tcBorders>
              <w:top w:val="single" w:sz="4" w:space="0" w:color="000000"/>
              <w:left w:val="nil"/>
              <w:bottom w:val="nil"/>
              <w:right w:val="nil"/>
            </w:tcBorders>
          </w:tcPr>
          <w:p w14:paraId="645D4B8A" w14:textId="77777777" w:rsidR="007F446F" w:rsidRDefault="007F446F" w:rsidP="001D13CE">
            <w:pPr>
              <w:spacing w:after="0" w:line="360" w:lineRule="auto"/>
              <w:jc w:val="center"/>
              <w:rPr>
                <w:rFonts w:ascii="Times New Roman" w:hAnsi="Times New Roman"/>
                <w:color w:val="000000"/>
                <w:sz w:val="18"/>
                <w:szCs w:val="20"/>
              </w:rPr>
            </w:pPr>
          </w:p>
        </w:tc>
        <w:tc>
          <w:tcPr>
            <w:tcW w:w="86" w:type="pct"/>
            <w:tcBorders>
              <w:top w:val="single" w:sz="4" w:space="0" w:color="000000"/>
              <w:left w:val="nil"/>
              <w:bottom w:val="nil"/>
              <w:right w:val="nil"/>
            </w:tcBorders>
          </w:tcPr>
          <w:p w14:paraId="6A27D641" w14:textId="77777777" w:rsidR="007F446F" w:rsidRDefault="007F446F" w:rsidP="001D13CE">
            <w:pPr>
              <w:spacing w:after="0"/>
              <w:jc w:val="center"/>
              <w:rPr>
                <w:rFonts w:ascii="Times New Roman" w:hAnsi="Times New Roman"/>
                <w:b/>
                <w:i/>
                <w:color w:val="000000"/>
                <w:sz w:val="20"/>
                <w:szCs w:val="20"/>
              </w:rPr>
            </w:pPr>
          </w:p>
        </w:tc>
        <w:tc>
          <w:tcPr>
            <w:tcW w:w="369" w:type="pct"/>
            <w:tcBorders>
              <w:top w:val="single" w:sz="4" w:space="0" w:color="000000"/>
              <w:left w:val="nil"/>
              <w:bottom w:val="nil"/>
              <w:right w:val="nil"/>
            </w:tcBorders>
          </w:tcPr>
          <w:p w14:paraId="155375C0" w14:textId="77777777" w:rsidR="007F446F" w:rsidRDefault="007F446F" w:rsidP="001D13CE">
            <w:pPr>
              <w:spacing w:after="0"/>
              <w:jc w:val="center"/>
              <w:rPr>
                <w:rFonts w:ascii="Times New Roman" w:hAnsi="Times New Roman"/>
                <w:b/>
                <w:i/>
                <w:color w:val="000000"/>
                <w:sz w:val="20"/>
                <w:szCs w:val="20"/>
              </w:rPr>
            </w:pPr>
          </w:p>
        </w:tc>
        <w:tc>
          <w:tcPr>
            <w:tcW w:w="478" w:type="pct"/>
            <w:tcBorders>
              <w:top w:val="single" w:sz="4" w:space="0" w:color="000000"/>
              <w:left w:val="nil"/>
              <w:bottom w:val="nil"/>
              <w:right w:val="nil"/>
            </w:tcBorders>
          </w:tcPr>
          <w:p w14:paraId="3DD8FD13" w14:textId="77777777" w:rsidR="007F446F" w:rsidRDefault="007F446F" w:rsidP="001D13CE">
            <w:pPr>
              <w:spacing w:after="0"/>
              <w:jc w:val="center"/>
              <w:rPr>
                <w:rFonts w:ascii="Times New Roman" w:hAnsi="Times New Roman"/>
                <w:i/>
                <w:color w:val="000000"/>
                <w:sz w:val="20"/>
                <w:szCs w:val="20"/>
                <w:vertAlign w:val="subscript"/>
              </w:rPr>
            </w:pPr>
          </w:p>
        </w:tc>
        <w:tc>
          <w:tcPr>
            <w:tcW w:w="308" w:type="pct"/>
            <w:tcBorders>
              <w:top w:val="single" w:sz="4" w:space="0" w:color="000000"/>
              <w:left w:val="nil"/>
              <w:bottom w:val="nil"/>
              <w:right w:val="nil"/>
            </w:tcBorders>
          </w:tcPr>
          <w:p w14:paraId="48718FD4" w14:textId="77777777" w:rsidR="007F446F" w:rsidRDefault="007F446F" w:rsidP="001D13CE">
            <w:pPr>
              <w:spacing w:after="0"/>
              <w:jc w:val="center"/>
              <w:rPr>
                <w:rFonts w:ascii="Times New Roman" w:hAnsi="Times New Roman"/>
                <w:i/>
                <w:color w:val="000000"/>
                <w:sz w:val="20"/>
                <w:szCs w:val="20"/>
                <w:vertAlign w:val="subscript"/>
              </w:rPr>
            </w:pPr>
          </w:p>
        </w:tc>
        <w:tc>
          <w:tcPr>
            <w:tcW w:w="469" w:type="pct"/>
            <w:tcBorders>
              <w:top w:val="single" w:sz="4" w:space="0" w:color="000000"/>
              <w:left w:val="nil"/>
              <w:bottom w:val="nil"/>
              <w:right w:val="nil"/>
            </w:tcBorders>
          </w:tcPr>
          <w:p w14:paraId="47A78E42" w14:textId="77777777" w:rsidR="007F446F" w:rsidRDefault="007F446F" w:rsidP="001D13CE">
            <w:pPr>
              <w:spacing w:after="0"/>
              <w:jc w:val="center"/>
              <w:rPr>
                <w:rFonts w:ascii="Times New Roman" w:hAnsi="Times New Roman"/>
                <w:color w:val="000000"/>
                <w:sz w:val="20"/>
                <w:szCs w:val="20"/>
              </w:rPr>
            </w:pPr>
          </w:p>
        </w:tc>
        <w:tc>
          <w:tcPr>
            <w:tcW w:w="376" w:type="pct"/>
            <w:tcBorders>
              <w:top w:val="single" w:sz="4" w:space="0" w:color="000000"/>
              <w:left w:val="nil"/>
              <w:bottom w:val="nil"/>
              <w:right w:val="nil"/>
            </w:tcBorders>
          </w:tcPr>
          <w:p w14:paraId="02095671" w14:textId="77777777" w:rsidR="007F446F" w:rsidRDefault="007F446F" w:rsidP="001D13CE">
            <w:pPr>
              <w:spacing w:after="0"/>
              <w:jc w:val="center"/>
              <w:rPr>
                <w:rFonts w:ascii="Times New Roman" w:hAnsi="Times New Roman"/>
                <w:color w:val="000000"/>
                <w:sz w:val="20"/>
                <w:szCs w:val="20"/>
              </w:rPr>
            </w:pPr>
          </w:p>
        </w:tc>
      </w:tr>
      <w:tr w:rsidR="007F446F" w:rsidRPr="001A54A4" w14:paraId="586AD209" w14:textId="77777777" w:rsidTr="001D13CE">
        <w:trPr>
          <w:trHeight w:val="255"/>
          <w:jc w:val="center"/>
        </w:trPr>
        <w:tc>
          <w:tcPr>
            <w:tcW w:w="674" w:type="pct"/>
            <w:tcBorders>
              <w:top w:val="nil"/>
              <w:left w:val="nil"/>
              <w:bottom w:val="nil"/>
              <w:right w:val="nil"/>
            </w:tcBorders>
            <w:hideMark/>
          </w:tcPr>
          <w:p w14:paraId="03982327" w14:textId="77777777" w:rsidR="007F446F" w:rsidRDefault="007F446F" w:rsidP="001D13CE">
            <w:pPr>
              <w:spacing w:after="0" w:line="360" w:lineRule="auto"/>
              <w:rPr>
                <w:rFonts w:ascii="Times New Roman" w:hAnsi="Times New Roman"/>
                <w:bCs/>
                <w:color w:val="000000"/>
                <w:sz w:val="18"/>
                <w:szCs w:val="20"/>
              </w:rPr>
            </w:pPr>
            <w:r>
              <w:rPr>
                <w:rFonts w:ascii="Times New Roman" w:hAnsi="Times New Roman"/>
                <w:bCs/>
                <w:color w:val="000000"/>
                <w:sz w:val="18"/>
                <w:szCs w:val="20"/>
              </w:rPr>
              <w:t>Monolingual</w:t>
            </w:r>
          </w:p>
        </w:tc>
        <w:tc>
          <w:tcPr>
            <w:tcW w:w="186" w:type="pct"/>
            <w:tcBorders>
              <w:top w:val="nil"/>
              <w:left w:val="nil"/>
              <w:bottom w:val="nil"/>
              <w:right w:val="nil"/>
            </w:tcBorders>
            <w:hideMark/>
          </w:tcPr>
          <w:p w14:paraId="7E8934C7" w14:textId="77777777" w:rsidR="007F446F" w:rsidRDefault="007F446F" w:rsidP="001D13CE">
            <w:pPr>
              <w:keepNext/>
              <w:keepLines/>
              <w:spacing w:after="0" w:line="360" w:lineRule="auto"/>
              <w:jc w:val="center"/>
              <w:rPr>
                <w:rFonts w:ascii="Times New Roman" w:hAnsi="Times New Roman"/>
                <w:i/>
                <w:color w:val="000000"/>
                <w:sz w:val="20"/>
                <w:szCs w:val="20"/>
              </w:rPr>
            </w:pPr>
            <w:r>
              <w:rPr>
                <w:rFonts w:ascii="Times New Roman" w:hAnsi="Times New Roman"/>
                <w:bCs/>
                <w:i/>
                <w:color w:val="000000"/>
                <w:sz w:val="20"/>
                <w:szCs w:val="20"/>
              </w:rPr>
              <w:t>D</w:t>
            </w:r>
            <w:r>
              <w:rPr>
                <w:rFonts w:ascii="Times New Roman" w:hAnsi="Times New Roman"/>
                <w:bCs/>
                <w:i/>
                <w:color w:val="000000"/>
                <w:sz w:val="20"/>
                <w:szCs w:val="20"/>
                <w:vertAlign w:val="subscript"/>
              </w:rPr>
              <w:t>a</w:t>
            </w:r>
          </w:p>
        </w:tc>
        <w:tc>
          <w:tcPr>
            <w:tcW w:w="323" w:type="pct"/>
            <w:tcBorders>
              <w:top w:val="nil"/>
              <w:left w:val="nil"/>
              <w:bottom w:val="nil"/>
              <w:right w:val="nil"/>
            </w:tcBorders>
            <w:hideMark/>
          </w:tcPr>
          <w:p w14:paraId="70BABD89" w14:textId="77777777" w:rsidR="007F446F" w:rsidRDefault="007F446F" w:rsidP="001D13CE">
            <w:pPr>
              <w:spacing w:after="0" w:line="240" w:lineRule="auto"/>
              <w:jc w:val="center"/>
              <w:rPr>
                <w:rFonts w:ascii="Times New Roman" w:eastAsia="Times New Roman" w:hAnsi="Times New Roman"/>
                <w:color w:val="000000"/>
                <w:sz w:val="20"/>
                <w:szCs w:val="20"/>
              </w:rPr>
            </w:pPr>
            <w:r>
              <w:rPr>
                <w:rFonts w:ascii="Times New Roman" w:hAnsi="Times New Roman"/>
                <w:color w:val="000000"/>
                <w:sz w:val="20"/>
                <w:szCs w:val="20"/>
              </w:rPr>
              <w:t>90</w:t>
            </w:r>
          </w:p>
        </w:tc>
        <w:tc>
          <w:tcPr>
            <w:tcW w:w="372" w:type="pct"/>
            <w:tcBorders>
              <w:top w:val="nil"/>
              <w:left w:val="nil"/>
              <w:bottom w:val="nil"/>
              <w:right w:val="nil"/>
            </w:tcBorders>
            <w:hideMark/>
          </w:tcPr>
          <w:p w14:paraId="47062BBA" w14:textId="77777777" w:rsidR="007F446F" w:rsidRDefault="007F446F" w:rsidP="001D13CE">
            <w:pPr>
              <w:spacing w:line="240" w:lineRule="auto"/>
              <w:jc w:val="center"/>
              <w:rPr>
                <w:rFonts w:ascii="Times New Roman" w:hAnsi="Times New Roman"/>
                <w:color w:val="000000"/>
                <w:sz w:val="20"/>
                <w:szCs w:val="20"/>
              </w:rPr>
            </w:pPr>
            <w:r>
              <w:rPr>
                <w:rFonts w:ascii="Times New Roman" w:hAnsi="Times New Roman"/>
                <w:color w:val="000000"/>
                <w:sz w:val="20"/>
                <w:szCs w:val="20"/>
              </w:rPr>
              <w:t>68</w:t>
            </w:r>
          </w:p>
        </w:tc>
        <w:tc>
          <w:tcPr>
            <w:tcW w:w="372" w:type="pct"/>
            <w:tcBorders>
              <w:top w:val="nil"/>
              <w:left w:val="nil"/>
              <w:bottom w:val="nil"/>
              <w:right w:val="nil"/>
            </w:tcBorders>
            <w:hideMark/>
          </w:tcPr>
          <w:p w14:paraId="52C85B41" w14:textId="77777777" w:rsidR="007F446F" w:rsidRDefault="007F446F" w:rsidP="001D13CE">
            <w:pPr>
              <w:spacing w:line="240" w:lineRule="auto"/>
              <w:jc w:val="center"/>
              <w:rPr>
                <w:rFonts w:ascii="Times New Roman" w:hAnsi="Times New Roman"/>
                <w:color w:val="000000"/>
                <w:sz w:val="20"/>
                <w:szCs w:val="20"/>
              </w:rPr>
            </w:pPr>
            <w:r>
              <w:rPr>
                <w:rFonts w:ascii="Times New Roman" w:hAnsi="Times New Roman"/>
                <w:color w:val="000000"/>
                <w:sz w:val="20"/>
                <w:szCs w:val="20"/>
              </w:rPr>
              <w:t>47</w:t>
            </w:r>
          </w:p>
        </w:tc>
        <w:tc>
          <w:tcPr>
            <w:tcW w:w="609" w:type="pct"/>
            <w:tcBorders>
              <w:top w:val="nil"/>
              <w:left w:val="nil"/>
              <w:bottom w:val="nil"/>
              <w:right w:val="nil"/>
            </w:tcBorders>
            <w:hideMark/>
          </w:tcPr>
          <w:p w14:paraId="6B61C0E6" w14:textId="77777777" w:rsidR="007F446F" w:rsidRDefault="007F446F" w:rsidP="001D13CE">
            <w:pPr>
              <w:spacing w:line="240" w:lineRule="auto"/>
              <w:jc w:val="center"/>
              <w:rPr>
                <w:rFonts w:ascii="Times New Roman" w:hAnsi="Times New Roman"/>
                <w:color w:val="000000"/>
                <w:sz w:val="20"/>
                <w:szCs w:val="20"/>
              </w:rPr>
            </w:pPr>
            <w:r>
              <w:rPr>
                <w:rFonts w:ascii="Times New Roman" w:hAnsi="Times New Roman"/>
                <w:color w:val="000000"/>
                <w:sz w:val="20"/>
                <w:szCs w:val="20"/>
              </w:rPr>
              <w:t>26</w:t>
            </w:r>
          </w:p>
        </w:tc>
        <w:tc>
          <w:tcPr>
            <w:tcW w:w="380" w:type="pct"/>
            <w:tcBorders>
              <w:top w:val="nil"/>
              <w:left w:val="nil"/>
              <w:bottom w:val="nil"/>
              <w:right w:val="nil"/>
            </w:tcBorders>
            <w:hideMark/>
          </w:tcPr>
          <w:p w14:paraId="2032342A" w14:textId="77777777" w:rsidR="007F446F" w:rsidRDefault="007F446F" w:rsidP="001D13CE">
            <w:pPr>
              <w:spacing w:line="240" w:lineRule="auto"/>
              <w:jc w:val="center"/>
              <w:rPr>
                <w:rFonts w:ascii="Times New Roman" w:hAnsi="Times New Roman"/>
                <w:color w:val="000000"/>
                <w:sz w:val="20"/>
                <w:szCs w:val="20"/>
              </w:rPr>
            </w:pPr>
            <w:r>
              <w:rPr>
                <w:rFonts w:ascii="Times New Roman" w:hAnsi="Times New Roman"/>
                <w:color w:val="000000"/>
                <w:sz w:val="20"/>
                <w:szCs w:val="20"/>
              </w:rPr>
              <w:t>17</w:t>
            </w:r>
          </w:p>
        </w:tc>
        <w:tc>
          <w:tcPr>
            <w:tcW w:w="86" w:type="pct"/>
            <w:tcBorders>
              <w:top w:val="nil"/>
              <w:left w:val="nil"/>
              <w:bottom w:val="nil"/>
              <w:right w:val="nil"/>
            </w:tcBorders>
          </w:tcPr>
          <w:p w14:paraId="4107E56E" w14:textId="77777777" w:rsidR="007F446F" w:rsidRDefault="007F446F" w:rsidP="001D13CE">
            <w:pPr>
              <w:jc w:val="center"/>
              <w:rPr>
                <w:rFonts w:ascii="Times New Roman" w:hAnsi="Times New Roman"/>
                <w:sz w:val="20"/>
                <w:szCs w:val="20"/>
              </w:rPr>
            </w:pPr>
          </w:p>
        </w:tc>
        <w:tc>
          <w:tcPr>
            <w:tcW w:w="369" w:type="pct"/>
            <w:tcBorders>
              <w:top w:val="nil"/>
              <w:left w:val="nil"/>
              <w:bottom w:val="nil"/>
              <w:right w:val="nil"/>
            </w:tcBorders>
            <w:vAlign w:val="center"/>
          </w:tcPr>
          <w:p w14:paraId="66F99350" w14:textId="77777777" w:rsidR="007F446F" w:rsidRDefault="007F446F" w:rsidP="001D13CE">
            <w:pPr>
              <w:jc w:val="center"/>
              <w:rPr>
                <w:rFonts w:ascii="Times New Roman" w:hAnsi="Times New Roman"/>
                <w:sz w:val="20"/>
                <w:szCs w:val="20"/>
              </w:rPr>
            </w:pPr>
            <w:r>
              <w:rPr>
                <w:rFonts w:ascii="Times New Roman" w:hAnsi="Times New Roman"/>
                <w:sz w:val="20"/>
                <w:szCs w:val="20"/>
              </w:rPr>
              <w:t>39</w:t>
            </w:r>
          </w:p>
        </w:tc>
        <w:tc>
          <w:tcPr>
            <w:tcW w:w="478" w:type="pct"/>
            <w:tcBorders>
              <w:top w:val="nil"/>
              <w:left w:val="nil"/>
              <w:bottom w:val="nil"/>
              <w:right w:val="nil"/>
            </w:tcBorders>
            <w:vAlign w:val="center"/>
          </w:tcPr>
          <w:p w14:paraId="0F95428D" w14:textId="77777777" w:rsidR="007F446F" w:rsidRDefault="007F446F" w:rsidP="001D13CE">
            <w:pPr>
              <w:jc w:val="center"/>
              <w:rPr>
                <w:rFonts w:ascii="Times New Roman" w:hAnsi="Times New Roman"/>
                <w:sz w:val="20"/>
                <w:szCs w:val="20"/>
              </w:rPr>
            </w:pPr>
            <w:r>
              <w:rPr>
                <w:rFonts w:ascii="Times New Roman" w:hAnsi="Times New Roman"/>
                <w:sz w:val="20"/>
                <w:szCs w:val="20"/>
              </w:rPr>
              <w:t>59</w:t>
            </w:r>
          </w:p>
        </w:tc>
        <w:tc>
          <w:tcPr>
            <w:tcW w:w="308" w:type="pct"/>
            <w:tcBorders>
              <w:top w:val="nil"/>
              <w:left w:val="nil"/>
              <w:bottom w:val="nil"/>
              <w:right w:val="nil"/>
            </w:tcBorders>
            <w:vAlign w:val="center"/>
          </w:tcPr>
          <w:p w14:paraId="6C26D092" w14:textId="77777777" w:rsidR="007F446F" w:rsidRDefault="007F446F" w:rsidP="001D13CE">
            <w:pPr>
              <w:jc w:val="center"/>
              <w:rPr>
                <w:rFonts w:ascii="Times New Roman" w:hAnsi="Times New Roman"/>
                <w:sz w:val="20"/>
                <w:szCs w:val="20"/>
              </w:rPr>
            </w:pPr>
            <w:r>
              <w:rPr>
                <w:rFonts w:ascii="Times New Roman" w:hAnsi="Times New Roman"/>
                <w:sz w:val="20"/>
                <w:szCs w:val="20"/>
              </w:rPr>
              <w:t>61</w:t>
            </w:r>
          </w:p>
        </w:tc>
        <w:tc>
          <w:tcPr>
            <w:tcW w:w="469" w:type="pct"/>
            <w:tcBorders>
              <w:top w:val="nil"/>
              <w:left w:val="nil"/>
              <w:bottom w:val="nil"/>
              <w:right w:val="nil"/>
            </w:tcBorders>
            <w:vAlign w:val="center"/>
          </w:tcPr>
          <w:p w14:paraId="281C5778" w14:textId="77777777" w:rsidR="007F446F" w:rsidRDefault="007F446F" w:rsidP="001D13CE">
            <w:pPr>
              <w:jc w:val="center"/>
              <w:rPr>
                <w:rFonts w:ascii="Times New Roman" w:hAnsi="Times New Roman"/>
                <w:sz w:val="20"/>
                <w:szCs w:val="20"/>
              </w:rPr>
            </w:pPr>
            <w:r>
              <w:rPr>
                <w:rFonts w:ascii="Times New Roman" w:hAnsi="Times New Roman"/>
                <w:sz w:val="20"/>
                <w:szCs w:val="20"/>
              </w:rPr>
              <w:t>61</w:t>
            </w:r>
          </w:p>
        </w:tc>
        <w:tc>
          <w:tcPr>
            <w:tcW w:w="376" w:type="pct"/>
            <w:tcBorders>
              <w:top w:val="nil"/>
              <w:left w:val="nil"/>
              <w:bottom w:val="nil"/>
              <w:right w:val="nil"/>
            </w:tcBorders>
            <w:vAlign w:val="center"/>
          </w:tcPr>
          <w:p w14:paraId="625455C2" w14:textId="77777777" w:rsidR="007F446F" w:rsidRDefault="007F446F" w:rsidP="001D13CE">
            <w:pPr>
              <w:jc w:val="center"/>
              <w:rPr>
                <w:rFonts w:ascii="Times New Roman" w:hAnsi="Times New Roman"/>
                <w:sz w:val="20"/>
                <w:szCs w:val="20"/>
              </w:rPr>
            </w:pPr>
            <w:r>
              <w:rPr>
                <w:rFonts w:ascii="Times New Roman" w:hAnsi="Times New Roman"/>
                <w:sz w:val="20"/>
                <w:szCs w:val="20"/>
              </w:rPr>
              <w:t>57</w:t>
            </w:r>
          </w:p>
        </w:tc>
      </w:tr>
      <w:tr w:rsidR="007F446F" w:rsidRPr="001A54A4" w14:paraId="2851B5E9" w14:textId="77777777" w:rsidTr="001D13CE">
        <w:trPr>
          <w:trHeight w:val="273"/>
          <w:jc w:val="center"/>
        </w:trPr>
        <w:tc>
          <w:tcPr>
            <w:tcW w:w="674" w:type="pct"/>
            <w:tcBorders>
              <w:top w:val="nil"/>
              <w:left w:val="nil"/>
              <w:bottom w:val="nil"/>
              <w:right w:val="nil"/>
            </w:tcBorders>
          </w:tcPr>
          <w:p w14:paraId="150885F4" w14:textId="77777777" w:rsidR="007F446F" w:rsidRDefault="007F446F" w:rsidP="001D13CE">
            <w:pPr>
              <w:spacing w:after="0" w:line="360" w:lineRule="auto"/>
              <w:rPr>
                <w:rFonts w:ascii="Times New Roman" w:hAnsi="Times New Roman"/>
                <w:bCs/>
                <w:color w:val="000000"/>
                <w:sz w:val="18"/>
                <w:szCs w:val="20"/>
              </w:rPr>
            </w:pPr>
          </w:p>
        </w:tc>
        <w:tc>
          <w:tcPr>
            <w:tcW w:w="186" w:type="pct"/>
            <w:tcBorders>
              <w:top w:val="nil"/>
              <w:left w:val="nil"/>
              <w:bottom w:val="nil"/>
              <w:right w:val="nil"/>
            </w:tcBorders>
            <w:hideMark/>
          </w:tcPr>
          <w:p w14:paraId="03079D96" w14:textId="77777777" w:rsidR="007F446F" w:rsidRDefault="007F446F" w:rsidP="001D13CE">
            <w:pPr>
              <w:keepNext/>
              <w:keepLines/>
              <w:spacing w:after="0" w:line="360" w:lineRule="auto"/>
              <w:jc w:val="center"/>
              <w:rPr>
                <w:rFonts w:ascii="Times New Roman" w:hAnsi="Times New Roman"/>
                <w:i/>
                <w:color w:val="000000"/>
                <w:sz w:val="20"/>
                <w:szCs w:val="20"/>
              </w:rPr>
            </w:pPr>
            <w:r>
              <w:rPr>
                <w:rFonts w:ascii="Times New Roman" w:hAnsi="Times New Roman"/>
                <w:bCs/>
                <w:i/>
                <w:color w:val="000000"/>
                <w:sz w:val="20"/>
                <w:szCs w:val="20"/>
              </w:rPr>
              <w:t>D</w:t>
            </w:r>
            <w:r>
              <w:rPr>
                <w:rFonts w:ascii="Times New Roman" w:hAnsi="Times New Roman"/>
                <w:bCs/>
                <w:i/>
                <w:color w:val="000000"/>
                <w:sz w:val="20"/>
                <w:szCs w:val="20"/>
                <w:vertAlign w:val="subscript"/>
              </w:rPr>
              <w:t>r</w:t>
            </w:r>
          </w:p>
        </w:tc>
        <w:tc>
          <w:tcPr>
            <w:tcW w:w="323" w:type="pct"/>
            <w:tcBorders>
              <w:top w:val="nil"/>
              <w:left w:val="nil"/>
              <w:bottom w:val="nil"/>
              <w:right w:val="nil"/>
            </w:tcBorders>
            <w:hideMark/>
          </w:tcPr>
          <w:p w14:paraId="563542F5" w14:textId="77777777" w:rsidR="007F446F" w:rsidRDefault="007F446F" w:rsidP="001D13CE">
            <w:pPr>
              <w:spacing w:after="0" w:line="240" w:lineRule="auto"/>
              <w:jc w:val="center"/>
              <w:rPr>
                <w:rFonts w:ascii="Times New Roman" w:eastAsia="Times New Roman" w:hAnsi="Times New Roman"/>
                <w:color w:val="000000"/>
                <w:sz w:val="20"/>
                <w:szCs w:val="20"/>
              </w:rPr>
            </w:pPr>
            <w:r>
              <w:rPr>
                <w:rFonts w:ascii="Times New Roman" w:hAnsi="Times New Roman"/>
                <w:color w:val="000000"/>
                <w:sz w:val="20"/>
                <w:szCs w:val="20"/>
              </w:rPr>
              <w:t>98</w:t>
            </w:r>
          </w:p>
        </w:tc>
        <w:tc>
          <w:tcPr>
            <w:tcW w:w="372" w:type="pct"/>
            <w:tcBorders>
              <w:top w:val="nil"/>
              <w:left w:val="nil"/>
              <w:bottom w:val="nil"/>
              <w:right w:val="nil"/>
            </w:tcBorders>
            <w:hideMark/>
          </w:tcPr>
          <w:p w14:paraId="54568513" w14:textId="77777777" w:rsidR="007F446F" w:rsidRDefault="007F446F" w:rsidP="001D13CE">
            <w:pPr>
              <w:spacing w:line="240" w:lineRule="auto"/>
              <w:jc w:val="center"/>
              <w:rPr>
                <w:rFonts w:ascii="Times New Roman" w:hAnsi="Times New Roman"/>
                <w:color w:val="000000"/>
                <w:sz w:val="20"/>
                <w:szCs w:val="20"/>
              </w:rPr>
            </w:pPr>
            <w:r>
              <w:rPr>
                <w:rFonts w:ascii="Times New Roman" w:hAnsi="Times New Roman"/>
                <w:color w:val="000000"/>
                <w:sz w:val="20"/>
                <w:szCs w:val="20"/>
              </w:rPr>
              <w:t>87</w:t>
            </w:r>
          </w:p>
        </w:tc>
        <w:tc>
          <w:tcPr>
            <w:tcW w:w="372" w:type="pct"/>
            <w:tcBorders>
              <w:top w:val="nil"/>
              <w:left w:val="nil"/>
              <w:bottom w:val="nil"/>
              <w:right w:val="nil"/>
            </w:tcBorders>
            <w:hideMark/>
          </w:tcPr>
          <w:p w14:paraId="163C131B" w14:textId="77777777" w:rsidR="007F446F" w:rsidRDefault="007F446F" w:rsidP="001D13CE">
            <w:pPr>
              <w:spacing w:line="240" w:lineRule="auto"/>
              <w:jc w:val="center"/>
              <w:rPr>
                <w:rFonts w:ascii="Times New Roman" w:hAnsi="Times New Roman"/>
                <w:color w:val="000000"/>
                <w:sz w:val="20"/>
                <w:szCs w:val="20"/>
              </w:rPr>
            </w:pPr>
            <w:r>
              <w:rPr>
                <w:rFonts w:ascii="Times New Roman" w:hAnsi="Times New Roman"/>
                <w:color w:val="000000"/>
                <w:sz w:val="20"/>
                <w:szCs w:val="20"/>
              </w:rPr>
              <w:t>82</w:t>
            </w:r>
          </w:p>
        </w:tc>
        <w:tc>
          <w:tcPr>
            <w:tcW w:w="609" w:type="pct"/>
            <w:tcBorders>
              <w:top w:val="nil"/>
              <w:left w:val="nil"/>
              <w:bottom w:val="nil"/>
              <w:right w:val="nil"/>
            </w:tcBorders>
            <w:hideMark/>
          </w:tcPr>
          <w:p w14:paraId="19B5A730" w14:textId="77777777" w:rsidR="007F446F" w:rsidRDefault="007F446F" w:rsidP="001D13CE">
            <w:pPr>
              <w:spacing w:line="240" w:lineRule="auto"/>
              <w:jc w:val="center"/>
              <w:rPr>
                <w:rFonts w:ascii="Times New Roman" w:hAnsi="Times New Roman"/>
                <w:color w:val="000000"/>
                <w:sz w:val="20"/>
                <w:szCs w:val="20"/>
              </w:rPr>
            </w:pPr>
            <w:r>
              <w:rPr>
                <w:rFonts w:ascii="Times New Roman" w:hAnsi="Times New Roman"/>
                <w:color w:val="000000"/>
                <w:sz w:val="20"/>
                <w:szCs w:val="20"/>
              </w:rPr>
              <w:t>82</w:t>
            </w:r>
          </w:p>
        </w:tc>
        <w:tc>
          <w:tcPr>
            <w:tcW w:w="380" w:type="pct"/>
            <w:tcBorders>
              <w:top w:val="nil"/>
              <w:left w:val="nil"/>
              <w:bottom w:val="nil"/>
              <w:right w:val="nil"/>
            </w:tcBorders>
            <w:hideMark/>
          </w:tcPr>
          <w:p w14:paraId="68DB8EA3" w14:textId="77777777" w:rsidR="007F446F" w:rsidRDefault="007F446F" w:rsidP="001D13CE">
            <w:pPr>
              <w:spacing w:line="240" w:lineRule="auto"/>
              <w:jc w:val="center"/>
              <w:rPr>
                <w:rFonts w:ascii="Times New Roman" w:hAnsi="Times New Roman"/>
                <w:color w:val="000000"/>
                <w:sz w:val="20"/>
                <w:szCs w:val="20"/>
              </w:rPr>
            </w:pPr>
            <w:r>
              <w:rPr>
                <w:rFonts w:ascii="Times New Roman" w:hAnsi="Times New Roman"/>
                <w:color w:val="000000"/>
                <w:sz w:val="20"/>
                <w:szCs w:val="20"/>
              </w:rPr>
              <w:t>64</w:t>
            </w:r>
          </w:p>
        </w:tc>
        <w:tc>
          <w:tcPr>
            <w:tcW w:w="86" w:type="pct"/>
            <w:tcBorders>
              <w:top w:val="nil"/>
              <w:left w:val="nil"/>
              <w:bottom w:val="nil"/>
              <w:right w:val="nil"/>
            </w:tcBorders>
          </w:tcPr>
          <w:p w14:paraId="49FBF7E1" w14:textId="77777777" w:rsidR="007F446F" w:rsidRDefault="007F446F" w:rsidP="001D13CE">
            <w:pPr>
              <w:jc w:val="center"/>
              <w:rPr>
                <w:rFonts w:ascii="Times New Roman" w:hAnsi="Times New Roman"/>
                <w:sz w:val="20"/>
                <w:szCs w:val="20"/>
              </w:rPr>
            </w:pPr>
          </w:p>
        </w:tc>
        <w:tc>
          <w:tcPr>
            <w:tcW w:w="369" w:type="pct"/>
            <w:tcBorders>
              <w:top w:val="nil"/>
              <w:left w:val="nil"/>
              <w:bottom w:val="nil"/>
              <w:right w:val="nil"/>
            </w:tcBorders>
            <w:vAlign w:val="center"/>
          </w:tcPr>
          <w:p w14:paraId="62614575" w14:textId="77777777" w:rsidR="007F446F" w:rsidRDefault="007F446F" w:rsidP="001D13CE">
            <w:pPr>
              <w:jc w:val="center"/>
              <w:rPr>
                <w:rFonts w:ascii="Times New Roman" w:hAnsi="Times New Roman"/>
                <w:sz w:val="20"/>
                <w:szCs w:val="20"/>
              </w:rPr>
            </w:pPr>
            <w:r>
              <w:rPr>
                <w:rFonts w:ascii="Times New Roman" w:hAnsi="Times New Roman"/>
                <w:sz w:val="20"/>
                <w:szCs w:val="20"/>
              </w:rPr>
              <w:t>78</w:t>
            </w:r>
          </w:p>
        </w:tc>
        <w:tc>
          <w:tcPr>
            <w:tcW w:w="478" w:type="pct"/>
            <w:tcBorders>
              <w:top w:val="nil"/>
              <w:left w:val="nil"/>
              <w:bottom w:val="nil"/>
              <w:right w:val="nil"/>
            </w:tcBorders>
            <w:vAlign w:val="center"/>
          </w:tcPr>
          <w:p w14:paraId="48B287B9" w14:textId="77777777" w:rsidR="007F446F" w:rsidRDefault="007F446F" w:rsidP="001D13CE">
            <w:pPr>
              <w:jc w:val="center"/>
              <w:rPr>
                <w:rFonts w:ascii="Times New Roman" w:hAnsi="Times New Roman"/>
                <w:sz w:val="20"/>
                <w:szCs w:val="20"/>
              </w:rPr>
            </w:pPr>
            <w:r>
              <w:rPr>
                <w:rFonts w:ascii="Times New Roman" w:hAnsi="Times New Roman"/>
                <w:sz w:val="20"/>
                <w:szCs w:val="20"/>
              </w:rPr>
              <w:t>87</w:t>
            </w:r>
          </w:p>
        </w:tc>
        <w:tc>
          <w:tcPr>
            <w:tcW w:w="308" w:type="pct"/>
            <w:tcBorders>
              <w:top w:val="nil"/>
              <w:left w:val="nil"/>
              <w:bottom w:val="nil"/>
              <w:right w:val="nil"/>
            </w:tcBorders>
            <w:vAlign w:val="center"/>
          </w:tcPr>
          <w:p w14:paraId="040DA578" w14:textId="77777777" w:rsidR="007F446F" w:rsidRDefault="007F446F" w:rsidP="001D13CE">
            <w:pPr>
              <w:jc w:val="center"/>
              <w:rPr>
                <w:rFonts w:ascii="Times New Roman" w:hAnsi="Times New Roman"/>
                <w:sz w:val="20"/>
                <w:szCs w:val="20"/>
              </w:rPr>
            </w:pPr>
            <w:r>
              <w:rPr>
                <w:rFonts w:ascii="Times New Roman" w:hAnsi="Times New Roman"/>
                <w:sz w:val="20"/>
                <w:szCs w:val="20"/>
              </w:rPr>
              <w:t>83</w:t>
            </w:r>
          </w:p>
        </w:tc>
        <w:tc>
          <w:tcPr>
            <w:tcW w:w="469" w:type="pct"/>
            <w:tcBorders>
              <w:top w:val="nil"/>
              <w:left w:val="nil"/>
              <w:bottom w:val="nil"/>
              <w:right w:val="nil"/>
            </w:tcBorders>
            <w:vAlign w:val="center"/>
          </w:tcPr>
          <w:p w14:paraId="1A91973B" w14:textId="77777777" w:rsidR="007F446F" w:rsidRDefault="007F446F" w:rsidP="001D13CE">
            <w:pPr>
              <w:jc w:val="center"/>
              <w:rPr>
                <w:rFonts w:ascii="Times New Roman" w:hAnsi="Times New Roman"/>
                <w:sz w:val="20"/>
                <w:szCs w:val="20"/>
              </w:rPr>
            </w:pPr>
            <w:r>
              <w:rPr>
                <w:rFonts w:ascii="Times New Roman" w:hAnsi="Times New Roman"/>
                <w:sz w:val="20"/>
                <w:szCs w:val="20"/>
              </w:rPr>
              <w:t>72</w:t>
            </w:r>
          </w:p>
        </w:tc>
        <w:tc>
          <w:tcPr>
            <w:tcW w:w="376" w:type="pct"/>
            <w:tcBorders>
              <w:top w:val="nil"/>
              <w:left w:val="nil"/>
              <w:bottom w:val="nil"/>
              <w:right w:val="nil"/>
            </w:tcBorders>
            <w:vAlign w:val="center"/>
          </w:tcPr>
          <w:p w14:paraId="5E637378" w14:textId="77777777" w:rsidR="007F446F" w:rsidRDefault="007F446F" w:rsidP="001D13CE">
            <w:pPr>
              <w:jc w:val="center"/>
              <w:rPr>
                <w:rFonts w:ascii="Times New Roman" w:hAnsi="Times New Roman"/>
                <w:sz w:val="20"/>
                <w:szCs w:val="20"/>
              </w:rPr>
            </w:pPr>
            <w:r>
              <w:rPr>
                <w:rFonts w:ascii="Times New Roman" w:hAnsi="Times New Roman"/>
                <w:sz w:val="20"/>
                <w:szCs w:val="20"/>
              </w:rPr>
              <w:t>81</w:t>
            </w:r>
          </w:p>
        </w:tc>
      </w:tr>
      <w:tr w:rsidR="007F446F" w:rsidRPr="001A54A4" w14:paraId="62AB6981" w14:textId="77777777" w:rsidTr="001D13CE">
        <w:trPr>
          <w:trHeight w:val="273"/>
          <w:jc w:val="center"/>
        </w:trPr>
        <w:tc>
          <w:tcPr>
            <w:tcW w:w="674" w:type="pct"/>
            <w:tcBorders>
              <w:top w:val="nil"/>
              <w:left w:val="nil"/>
              <w:bottom w:val="nil"/>
              <w:right w:val="nil"/>
            </w:tcBorders>
            <w:hideMark/>
          </w:tcPr>
          <w:p w14:paraId="61BC7406" w14:textId="77777777" w:rsidR="007F446F" w:rsidRDefault="007F446F" w:rsidP="001D13CE">
            <w:pPr>
              <w:spacing w:after="0" w:line="360" w:lineRule="auto"/>
              <w:rPr>
                <w:rFonts w:ascii="Times New Roman" w:hAnsi="Times New Roman"/>
                <w:bCs/>
                <w:color w:val="000000"/>
                <w:sz w:val="18"/>
                <w:szCs w:val="20"/>
              </w:rPr>
            </w:pPr>
            <w:r>
              <w:rPr>
                <w:rFonts w:ascii="Times New Roman" w:hAnsi="Times New Roman"/>
                <w:bCs/>
                <w:color w:val="000000"/>
                <w:sz w:val="18"/>
                <w:szCs w:val="20"/>
              </w:rPr>
              <w:t>Trilingual</w:t>
            </w:r>
          </w:p>
        </w:tc>
        <w:tc>
          <w:tcPr>
            <w:tcW w:w="186" w:type="pct"/>
            <w:tcBorders>
              <w:top w:val="nil"/>
              <w:left w:val="nil"/>
              <w:bottom w:val="nil"/>
              <w:right w:val="nil"/>
            </w:tcBorders>
            <w:hideMark/>
          </w:tcPr>
          <w:p w14:paraId="15BBF5DB" w14:textId="77777777" w:rsidR="007F446F" w:rsidRDefault="007F446F" w:rsidP="001D13CE">
            <w:pPr>
              <w:keepNext/>
              <w:keepLines/>
              <w:spacing w:after="0" w:line="360" w:lineRule="auto"/>
              <w:jc w:val="center"/>
              <w:rPr>
                <w:rFonts w:ascii="Times New Roman" w:hAnsi="Times New Roman"/>
                <w:i/>
                <w:color w:val="000000"/>
                <w:sz w:val="20"/>
                <w:szCs w:val="20"/>
              </w:rPr>
            </w:pPr>
            <w:r>
              <w:rPr>
                <w:rFonts w:ascii="Times New Roman" w:hAnsi="Times New Roman"/>
                <w:bCs/>
                <w:i/>
                <w:color w:val="000000"/>
                <w:sz w:val="20"/>
                <w:szCs w:val="20"/>
              </w:rPr>
              <w:t>D</w:t>
            </w:r>
            <w:r>
              <w:rPr>
                <w:rFonts w:ascii="Times New Roman" w:hAnsi="Times New Roman"/>
                <w:bCs/>
                <w:i/>
                <w:color w:val="000000"/>
                <w:sz w:val="20"/>
                <w:szCs w:val="20"/>
                <w:vertAlign w:val="subscript"/>
              </w:rPr>
              <w:t>a</w:t>
            </w:r>
          </w:p>
        </w:tc>
        <w:tc>
          <w:tcPr>
            <w:tcW w:w="323" w:type="pct"/>
            <w:tcBorders>
              <w:top w:val="nil"/>
              <w:left w:val="nil"/>
              <w:bottom w:val="nil"/>
              <w:right w:val="nil"/>
            </w:tcBorders>
            <w:hideMark/>
          </w:tcPr>
          <w:p w14:paraId="66D386B5" w14:textId="77777777" w:rsidR="007F446F" w:rsidRDefault="007F446F" w:rsidP="001D13CE">
            <w:pPr>
              <w:spacing w:after="0" w:line="240" w:lineRule="auto"/>
              <w:jc w:val="center"/>
              <w:rPr>
                <w:rFonts w:ascii="Times New Roman" w:eastAsia="Times New Roman" w:hAnsi="Times New Roman"/>
                <w:color w:val="000000"/>
                <w:sz w:val="20"/>
                <w:szCs w:val="20"/>
              </w:rPr>
            </w:pPr>
            <w:r>
              <w:rPr>
                <w:rFonts w:ascii="Times New Roman" w:hAnsi="Times New Roman"/>
                <w:color w:val="000000"/>
                <w:sz w:val="20"/>
                <w:szCs w:val="20"/>
              </w:rPr>
              <w:t>63</w:t>
            </w:r>
          </w:p>
        </w:tc>
        <w:tc>
          <w:tcPr>
            <w:tcW w:w="372" w:type="pct"/>
            <w:tcBorders>
              <w:top w:val="nil"/>
              <w:left w:val="nil"/>
              <w:bottom w:val="nil"/>
              <w:right w:val="nil"/>
            </w:tcBorders>
            <w:hideMark/>
          </w:tcPr>
          <w:p w14:paraId="5BE3B7C7" w14:textId="77777777" w:rsidR="007F446F" w:rsidRDefault="007F446F" w:rsidP="001D13CE">
            <w:pPr>
              <w:spacing w:line="240" w:lineRule="auto"/>
              <w:jc w:val="center"/>
              <w:rPr>
                <w:rFonts w:ascii="Times New Roman" w:hAnsi="Times New Roman"/>
                <w:color w:val="000000"/>
                <w:sz w:val="20"/>
                <w:szCs w:val="20"/>
              </w:rPr>
            </w:pPr>
            <w:r>
              <w:rPr>
                <w:rFonts w:ascii="Times New Roman" w:hAnsi="Times New Roman"/>
                <w:color w:val="000000"/>
                <w:sz w:val="20"/>
                <w:szCs w:val="20"/>
              </w:rPr>
              <w:t>46</w:t>
            </w:r>
          </w:p>
        </w:tc>
        <w:tc>
          <w:tcPr>
            <w:tcW w:w="372" w:type="pct"/>
            <w:tcBorders>
              <w:top w:val="nil"/>
              <w:left w:val="nil"/>
              <w:bottom w:val="nil"/>
              <w:right w:val="nil"/>
            </w:tcBorders>
            <w:hideMark/>
          </w:tcPr>
          <w:p w14:paraId="4A0E27F5" w14:textId="77777777" w:rsidR="007F446F" w:rsidRDefault="007F446F" w:rsidP="001D13CE">
            <w:pPr>
              <w:spacing w:line="240" w:lineRule="auto"/>
              <w:jc w:val="center"/>
              <w:rPr>
                <w:rFonts w:ascii="Times New Roman" w:hAnsi="Times New Roman"/>
                <w:color w:val="000000"/>
                <w:sz w:val="20"/>
                <w:szCs w:val="20"/>
              </w:rPr>
            </w:pPr>
            <w:r>
              <w:rPr>
                <w:rFonts w:ascii="Times New Roman" w:hAnsi="Times New Roman"/>
                <w:color w:val="000000"/>
                <w:sz w:val="20"/>
                <w:szCs w:val="20"/>
              </w:rPr>
              <w:t>25</w:t>
            </w:r>
          </w:p>
        </w:tc>
        <w:tc>
          <w:tcPr>
            <w:tcW w:w="609" w:type="pct"/>
            <w:tcBorders>
              <w:top w:val="nil"/>
              <w:left w:val="nil"/>
              <w:bottom w:val="nil"/>
              <w:right w:val="nil"/>
            </w:tcBorders>
            <w:hideMark/>
          </w:tcPr>
          <w:p w14:paraId="1C1FB39A" w14:textId="77777777" w:rsidR="007F446F" w:rsidRDefault="007F446F" w:rsidP="001D13CE">
            <w:pPr>
              <w:spacing w:line="240" w:lineRule="auto"/>
              <w:jc w:val="center"/>
              <w:rPr>
                <w:rFonts w:ascii="Times New Roman" w:hAnsi="Times New Roman"/>
                <w:color w:val="000000"/>
                <w:sz w:val="20"/>
                <w:szCs w:val="20"/>
              </w:rPr>
            </w:pPr>
            <w:r>
              <w:rPr>
                <w:rFonts w:ascii="Times New Roman" w:hAnsi="Times New Roman"/>
                <w:color w:val="000000"/>
                <w:sz w:val="20"/>
                <w:szCs w:val="20"/>
              </w:rPr>
              <w:t>14</w:t>
            </w:r>
          </w:p>
        </w:tc>
        <w:tc>
          <w:tcPr>
            <w:tcW w:w="380" w:type="pct"/>
            <w:tcBorders>
              <w:top w:val="nil"/>
              <w:left w:val="nil"/>
              <w:bottom w:val="nil"/>
              <w:right w:val="nil"/>
            </w:tcBorders>
            <w:hideMark/>
          </w:tcPr>
          <w:p w14:paraId="0739ED5F" w14:textId="77777777" w:rsidR="007F446F" w:rsidRDefault="007F446F" w:rsidP="001D13CE">
            <w:pPr>
              <w:spacing w:line="240" w:lineRule="auto"/>
              <w:jc w:val="center"/>
              <w:rPr>
                <w:rFonts w:ascii="Times New Roman" w:hAnsi="Times New Roman"/>
                <w:color w:val="000000"/>
                <w:sz w:val="20"/>
                <w:szCs w:val="20"/>
              </w:rPr>
            </w:pPr>
            <w:r>
              <w:rPr>
                <w:rFonts w:ascii="Times New Roman" w:hAnsi="Times New Roman"/>
                <w:color w:val="000000"/>
                <w:sz w:val="20"/>
                <w:szCs w:val="20"/>
              </w:rPr>
              <w:t>8</w:t>
            </w:r>
          </w:p>
        </w:tc>
        <w:tc>
          <w:tcPr>
            <w:tcW w:w="86" w:type="pct"/>
            <w:tcBorders>
              <w:top w:val="nil"/>
              <w:left w:val="nil"/>
              <w:bottom w:val="nil"/>
              <w:right w:val="nil"/>
            </w:tcBorders>
          </w:tcPr>
          <w:p w14:paraId="5454017E" w14:textId="77777777" w:rsidR="007F446F" w:rsidRDefault="007F446F" w:rsidP="001D13CE">
            <w:pPr>
              <w:jc w:val="center"/>
              <w:rPr>
                <w:rFonts w:ascii="Times New Roman" w:hAnsi="Times New Roman"/>
                <w:sz w:val="20"/>
                <w:szCs w:val="20"/>
              </w:rPr>
            </w:pPr>
          </w:p>
        </w:tc>
        <w:tc>
          <w:tcPr>
            <w:tcW w:w="369" w:type="pct"/>
            <w:tcBorders>
              <w:top w:val="nil"/>
              <w:left w:val="nil"/>
              <w:bottom w:val="nil"/>
              <w:right w:val="nil"/>
            </w:tcBorders>
            <w:vAlign w:val="center"/>
          </w:tcPr>
          <w:p w14:paraId="35CA3084" w14:textId="77777777" w:rsidR="007F446F" w:rsidRDefault="007F446F" w:rsidP="001D13CE">
            <w:pPr>
              <w:jc w:val="center"/>
              <w:rPr>
                <w:rFonts w:ascii="Times New Roman" w:hAnsi="Times New Roman"/>
                <w:sz w:val="20"/>
                <w:szCs w:val="20"/>
              </w:rPr>
            </w:pPr>
            <w:r>
              <w:rPr>
                <w:rFonts w:ascii="Times New Roman" w:hAnsi="Times New Roman"/>
                <w:sz w:val="20"/>
                <w:szCs w:val="20"/>
              </w:rPr>
              <w:t>21</w:t>
            </w:r>
          </w:p>
        </w:tc>
        <w:tc>
          <w:tcPr>
            <w:tcW w:w="478" w:type="pct"/>
            <w:tcBorders>
              <w:top w:val="nil"/>
              <w:left w:val="nil"/>
              <w:bottom w:val="nil"/>
              <w:right w:val="nil"/>
            </w:tcBorders>
            <w:vAlign w:val="center"/>
          </w:tcPr>
          <w:p w14:paraId="28B40774" w14:textId="77777777" w:rsidR="007F446F" w:rsidRDefault="007F446F" w:rsidP="001D13CE">
            <w:pPr>
              <w:jc w:val="center"/>
              <w:rPr>
                <w:rFonts w:ascii="Times New Roman" w:hAnsi="Times New Roman"/>
                <w:sz w:val="20"/>
                <w:szCs w:val="20"/>
              </w:rPr>
            </w:pPr>
            <w:r>
              <w:rPr>
                <w:rFonts w:ascii="Times New Roman" w:hAnsi="Times New Roman"/>
                <w:sz w:val="20"/>
                <w:szCs w:val="20"/>
              </w:rPr>
              <w:t>41</w:t>
            </w:r>
          </w:p>
        </w:tc>
        <w:tc>
          <w:tcPr>
            <w:tcW w:w="308" w:type="pct"/>
            <w:tcBorders>
              <w:top w:val="nil"/>
              <w:left w:val="nil"/>
              <w:bottom w:val="nil"/>
              <w:right w:val="nil"/>
            </w:tcBorders>
            <w:vAlign w:val="center"/>
          </w:tcPr>
          <w:p w14:paraId="1D8EBC44" w14:textId="77777777" w:rsidR="007F446F" w:rsidRDefault="007F446F" w:rsidP="001D13CE">
            <w:pPr>
              <w:jc w:val="center"/>
              <w:rPr>
                <w:rFonts w:ascii="Times New Roman" w:hAnsi="Times New Roman"/>
                <w:sz w:val="20"/>
                <w:szCs w:val="20"/>
              </w:rPr>
            </w:pPr>
            <w:r>
              <w:rPr>
                <w:rFonts w:ascii="Times New Roman" w:hAnsi="Times New Roman"/>
                <w:sz w:val="20"/>
                <w:szCs w:val="20"/>
              </w:rPr>
              <w:t>35</w:t>
            </w:r>
          </w:p>
        </w:tc>
        <w:tc>
          <w:tcPr>
            <w:tcW w:w="469" w:type="pct"/>
            <w:tcBorders>
              <w:top w:val="nil"/>
              <w:left w:val="nil"/>
              <w:bottom w:val="nil"/>
              <w:right w:val="nil"/>
            </w:tcBorders>
            <w:vAlign w:val="center"/>
          </w:tcPr>
          <w:p w14:paraId="07D94F5A" w14:textId="77777777" w:rsidR="007F446F" w:rsidRDefault="007F446F" w:rsidP="001D13CE">
            <w:pPr>
              <w:jc w:val="center"/>
              <w:rPr>
                <w:rFonts w:ascii="Times New Roman" w:hAnsi="Times New Roman"/>
                <w:sz w:val="20"/>
                <w:szCs w:val="20"/>
              </w:rPr>
            </w:pPr>
            <w:r>
              <w:rPr>
                <w:rFonts w:ascii="Times New Roman" w:hAnsi="Times New Roman"/>
                <w:sz w:val="20"/>
                <w:szCs w:val="20"/>
              </w:rPr>
              <w:t>41</w:t>
            </w:r>
          </w:p>
        </w:tc>
        <w:tc>
          <w:tcPr>
            <w:tcW w:w="376" w:type="pct"/>
            <w:tcBorders>
              <w:top w:val="nil"/>
              <w:left w:val="nil"/>
              <w:bottom w:val="nil"/>
              <w:right w:val="nil"/>
            </w:tcBorders>
            <w:vAlign w:val="center"/>
          </w:tcPr>
          <w:p w14:paraId="36C5F096" w14:textId="77777777" w:rsidR="007F446F" w:rsidRDefault="007F446F" w:rsidP="001D13CE">
            <w:pPr>
              <w:jc w:val="center"/>
              <w:rPr>
                <w:rFonts w:ascii="Times New Roman" w:hAnsi="Times New Roman"/>
                <w:sz w:val="20"/>
                <w:szCs w:val="20"/>
              </w:rPr>
            </w:pPr>
            <w:r>
              <w:rPr>
                <w:rFonts w:ascii="Times New Roman" w:hAnsi="Times New Roman"/>
                <w:sz w:val="20"/>
                <w:szCs w:val="20"/>
              </w:rPr>
              <w:t>37</w:t>
            </w:r>
          </w:p>
        </w:tc>
      </w:tr>
      <w:tr w:rsidR="007F446F" w:rsidRPr="001A54A4" w14:paraId="6D54F696" w14:textId="77777777" w:rsidTr="001D13CE">
        <w:trPr>
          <w:trHeight w:val="273"/>
          <w:jc w:val="center"/>
        </w:trPr>
        <w:tc>
          <w:tcPr>
            <w:tcW w:w="674" w:type="pct"/>
            <w:tcBorders>
              <w:top w:val="nil"/>
              <w:left w:val="nil"/>
              <w:bottom w:val="nil"/>
              <w:right w:val="nil"/>
            </w:tcBorders>
          </w:tcPr>
          <w:p w14:paraId="64FB70D9" w14:textId="77777777" w:rsidR="007F446F" w:rsidRDefault="007F446F" w:rsidP="001D13CE">
            <w:pPr>
              <w:spacing w:after="0" w:line="360" w:lineRule="auto"/>
              <w:rPr>
                <w:rFonts w:ascii="Times New Roman" w:hAnsi="Times New Roman"/>
                <w:bCs/>
                <w:color w:val="000000"/>
                <w:sz w:val="18"/>
                <w:szCs w:val="20"/>
              </w:rPr>
            </w:pPr>
          </w:p>
        </w:tc>
        <w:tc>
          <w:tcPr>
            <w:tcW w:w="186" w:type="pct"/>
            <w:tcBorders>
              <w:top w:val="nil"/>
              <w:left w:val="nil"/>
              <w:bottom w:val="nil"/>
              <w:right w:val="nil"/>
            </w:tcBorders>
            <w:hideMark/>
          </w:tcPr>
          <w:p w14:paraId="1D251FC2" w14:textId="77777777" w:rsidR="007F446F" w:rsidRDefault="007F446F" w:rsidP="001D13CE">
            <w:pPr>
              <w:keepNext/>
              <w:keepLines/>
              <w:spacing w:after="0" w:line="360" w:lineRule="auto"/>
              <w:jc w:val="center"/>
              <w:rPr>
                <w:rFonts w:ascii="Times New Roman" w:hAnsi="Times New Roman"/>
                <w:i/>
                <w:color w:val="000000"/>
                <w:sz w:val="20"/>
                <w:szCs w:val="20"/>
              </w:rPr>
            </w:pPr>
            <w:r>
              <w:rPr>
                <w:rFonts w:ascii="Times New Roman" w:hAnsi="Times New Roman"/>
                <w:bCs/>
                <w:i/>
                <w:color w:val="000000"/>
                <w:sz w:val="20"/>
                <w:szCs w:val="20"/>
              </w:rPr>
              <w:t>D</w:t>
            </w:r>
            <w:r>
              <w:rPr>
                <w:rFonts w:ascii="Times New Roman" w:hAnsi="Times New Roman"/>
                <w:bCs/>
                <w:i/>
                <w:color w:val="000000"/>
                <w:sz w:val="20"/>
                <w:szCs w:val="20"/>
                <w:vertAlign w:val="subscript"/>
              </w:rPr>
              <w:t>r</w:t>
            </w:r>
          </w:p>
        </w:tc>
        <w:tc>
          <w:tcPr>
            <w:tcW w:w="323" w:type="pct"/>
            <w:tcBorders>
              <w:top w:val="nil"/>
              <w:left w:val="nil"/>
              <w:bottom w:val="nil"/>
              <w:right w:val="nil"/>
            </w:tcBorders>
            <w:hideMark/>
          </w:tcPr>
          <w:p w14:paraId="344010AC" w14:textId="77777777" w:rsidR="007F446F" w:rsidRDefault="007F446F" w:rsidP="001D13CE">
            <w:pPr>
              <w:spacing w:after="0" w:line="240" w:lineRule="auto"/>
              <w:jc w:val="center"/>
              <w:rPr>
                <w:rFonts w:ascii="Times New Roman" w:eastAsia="Times New Roman" w:hAnsi="Times New Roman"/>
                <w:color w:val="000000"/>
                <w:sz w:val="20"/>
                <w:szCs w:val="20"/>
              </w:rPr>
            </w:pPr>
            <w:r>
              <w:rPr>
                <w:rFonts w:ascii="Times New Roman" w:hAnsi="Times New Roman"/>
                <w:color w:val="000000"/>
                <w:sz w:val="20"/>
                <w:szCs w:val="20"/>
              </w:rPr>
              <w:t>76</w:t>
            </w:r>
          </w:p>
        </w:tc>
        <w:tc>
          <w:tcPr>
            <w:tcW w:w="372" w:type="pct"/>
            <w:tcBorders>
              <w:top w:val="nil"/>
              <w:left w:val="nil"/>
              <w:bottom w:val="nil"/>
              <w:right w:val="nil"/>
            </w:tcBorders>
            <w:hideMark/>
          </w:tcPr>
          <w:p w14:paraId="18CC5CFF" w14:textId="77777777" w:rsidR="007F446F" w:rsidRDefault="007F446F" w:rsidP="001D13CE">
            <w:pPr>
              <w:spacing w:line="240" w:lineRule="auto"/>
              <w:jc w:val="center"/>
              <w:rPr>
                <w:rFonts w:ascii="Times New Roman" w:hAnsi="Times New Roman"/>
                <w:color w:val="000000"/>
                <w:sz w:val="20"/>
                <w:szCs w:val="20"/>
              </w:rPr>
            </w:pPr>
            <w:r>
              <w:rPr>
                <w:rFonts w:ascii="Times New Roman" w:hAnsi="Times New Roman"/>
                <w:color w:val="000000"/>
                <w:sz w:val="20"/>
                <w:szCs w:val="20"/>
              </w:rPr>
              <w:t>65</w:t>
            </w:r>
          </w:p>
        </w:tc>
        <w:tc>
          <w:tcPr>
            <w:tcW w:w="372" w:type="pct"/>
            <w:tcBorders>
              <w:top w:val="nil"/>
              <w:left w:val="nil"/>
              <w:bottom w:val="nil"/>
              <w:right w:val="nil"/>
            </w:tcBorders>
            <w:hideMark/>
          </w:tcPr>
          <w:p w14:paraId="73185330" w14:textId="77777777" w:rsidR="007F446F" w:rsidRDefault="007F446F" w:rsidP="001D13CE">
            <w:pPr>
              <w:spacing w:line="240" w:lineRule="auto"/>
              <w:jc w:val="center"/>
              <w:rPr>
                <w:rFonts w:ascii="Times New Roman" w:hAnsi="Times New Roman"/>
                <w:color w:val="000000"/>
                <w:sz w:val="20"/>
                <w:szCs w:val="20"/>
              </w:rPr>
            </w:pPr>
            <w:r>
              <w:rPr>
                <w:rFonts w:ascii="Times New Roman" w:hAnsi="Times New Roman"/>
                <w:color w:val="000000"/>
                <w:sz w:val="20"/>
                <w:szCs w:val="20"/>
              </w:rPr>
              <w:t>48</w:t>
            </w:r>
          </w:p>
        </w:tc>
        <w:tc>
          <w:tcPr>
            <w:tcW w:w="609" w:type="pct"/>
            <w:tcBorders>
              <w:top w:val="nil"/>
              <w:left w:val="nil"/>
              <w:bottom w:val="nil"/>
              <w:right w:val="nil"/>
            </w:tcBorders>
            <w:hideMark/>
          </w:tcPr>
          <w:p w14:paraId="073C4D41" w14:textId="77777777" w:rsidR="007F446F" w:rsidRDefault="007F446F" w:rsidP="001D13CE">
            <w:pPr>
              <w:spacing w:line="240" w:lineRule="auto"/>
              <w:jc w:val="center"/>
              <w:rPr>
                <w:rFonts w:ascii="Times New Roman" w:hAnsi="Times New Roman"/>
                <w:color w:val="000000"/>
                <w:sz w:val="20"/>
                <w:szCs w:val="20"/>
              </w:rPr>
            </w:pPr>
            <w:r>
              <w:rPr>
                <w:rFonts w:ascii="Times New Roman" w:hAnsi="Times New Roman"/>
                <w:color w:val="000000"/>
                <w:sz w:val="20"/>
                <w:szCs w:val="20"/>
              </w:rPr>
              <w:t>43</w:t>
            </w:r>
          </w:p>
        </w:tc>
        <w:tc>
          <w:tcPr>
            <w:tcW w:w="380" w:type="pct"/>
            <w:tcBorders>
              <w:top w:val="nil"/>
              <w:left w:val="nil"/>
              <w:bottom w:val="nil"/>
              <w:right w:val="nil"/>
            </w:tcBorders>
            <w:hideMark/>
          </w:tcPr>
          <w:p w14:paraId="2F6C70FC" w14:textId="77777777" w:rsidR="007F446F" w:rsidRDefault="007F446F" w:rsidP="001D13CE">
            <w:pPr>
              <w:spacing w:line="240" w:lineRule="auto"/>
              <w:jc w:val="center"/>
              <w:rPr>
                <w:rFonts w:ascii="Times New Roman" w:hAnsi="Times New Roman"/>
                <w:color w:val="000000"/>
                <w:sz w:val="20"/>
                <w:szCs w:val="20"/>
              </w:rPr>
            </w:pPr>
            <w:r>
              <w:rPr>
                <w:rFonts w:ascii="Times New Roman" w:hAnsi="Times New Roman"/>
                <w:color w:val="000000"/>
                <w:sz w:val="20"/>
                <w:szCs w:val="20"/>
              </w:rPr>
              <w:t>34</w:t>
            </w:r>
          </w:p>
        </w:tc>
        <w:tc>
          <w:tcPr>
            <w:tcW w:w="86" w:type="pct"/>
            <w:tcBorders>
              <w:top w:val="nil"/>
              <w:left w:val="nil"/>
              <w:bottom w:val="nil"/>
              <w:right w:val="nil"/>
            </w:tcBorders>
          </w:tcPr>
          <w:p w14:paraId="6E373A20" w14:textId="77777777" w:rsidR="007F446F" w:rsidRDefault="007F446F" w:rsidP="001D13CE">
            <w:pPr>
              <w:jc w:val="center"/>
              <w:rPr>
                <w:rFonts w:ascii="Times New Roman" w:hAnsi="Times New Roman"/>
                <w:sz w:val="20"/>
                <w:szCs w:val="20"/>
              </w:rPr>
            </w:pPr>
          </w:p>
        </w:tc>
        <w:tc>
          <w:tcPr>
            <w:tcW w:w="369" w:type="pct"/>
            <w:tcBorders>
              <w:top w:val="nil"/>
              <w:left w:val="nil"/>
              <w:bottom w:val="nil"/>
              <w:right w:val="nil"/>
            </w:tcBorders>
            <w:vAlign w:val="center"/>
          </w:tcPr>
          <w:p w14:paraId="57BDE1DF" w14:textId="77777777" w:rsidR="007F446F" w:rsidRDefault="007F446F" w:rsidP="001D13CE">
            <w:pPr>
              <w:jc w:val="center"/>
              <w:rPr>
                <w:rFonts w:ascii="Times New Roman" w:hAnsi="Times New Roman"/>
                <w:sz w:val="20"/>
                <w:szCs w:val="20"/>
              </w:rPr>
            </w:pPr>
            <w:r>
              <w:rPr>
                <w:rFonts w:ascii="Times New Roman" w:hAnsi="Times New Roman"/>
                <w:sz w:val="20"/>
                <w:szCs w:val="20"/>
              </w:rPr>
              <w:t>45</w:t>
            </w:r>
          </w:p>
        </w:tc>
        <w:tc>
          <w:tcPr>
            <w:tcW w:w="478" w:type="pct"/>
            <w:tcBorders>
              <w:top w:val="nil"/>
              <w:left w:val="nil"/>
              <w:bottom w:val="nil"/>
              <w:right w:val="nil"/>
            </w:tcBorders>
            <w:vAlign w:val="center"/>
          </w:tcPr>
          <w:p w14:paraId="2A8F18C8" w14:textId="77777777" w:rsidR="007F446F" w:rsidRDefault="007F446F" w:rsidP="001D13CE">
            <w:pPr>
              <w:jc w:val="center"/>
              <w:rPr>
                <w:rFonts w:ascii="Times New Roman" w:hAnsi="Times New Roman"/>
                <w:sz w:val="20"/>
                <w:szCs w:val="20"/>
              </w:rPr>
            </w:pPr>
            <w:r>
              <w:rPr>
                <w:rFonts w:ascii="Times New Roman" w:hAnsi="Times New Roman"/>
                <w:sz w:val="20"/>
                <w:szCs w:val="20"/>
              </w:rPr>
              <w:t>68</w:t>
            </w:r>
          </w:p>
        </w:tc>
        <w:tc>
          <w:tcPr>
            <w:tcW w:w="308" w:type="pct"/>
            <w:tcBorders>
              <w:top w:val="nil"/>
              <w:left w:val="nil"/>
              <w:bottom w:val="nil"/>
              <w:right w:val="nil"/>
            </w:tcBorders>
            <w:vAlign w:val="center"/>
          </w:tcPr>
          <w:p w14:paraId="4EB6724B" w14:textId="77777777" w:rsidR="007F446F" w:rsidRDefault="007F446F" w:rsidP="001D13CE">
            <w:pPr>
              <w:jc w:val="center"/>
              <w:rPr>
                <w:rFonts w:ascii="Times New Roman" w:hAnsi="Times New Roman"/>
                <w:sz w:val="20"/>
                <w:szCs w:val="20"/>
              </w:rPr>
            </w:pPr>
            <w:r>
              <w:rPr>
                <w:rFonts w:ascii="Times New Roman" w:hAnsi="Times New Roman"/>
                <w:sz w:val="20"/>
                <w:szCs w:val="20"/>
              </w:rPr>
              <w:t>52</w:t>
            </w:r>
          </w:p>
        </w:tc>
        <w:tc>
          <w:tcPr>
            <w:tcW w:w="469" w:type="pct"/>
            <w:tcBorders>
              <w:top w:val="nil"/>
              <w:left w:val="nil"/>
              <w:bottom w:val="nil"/>
              <w:right w:val="nil"/>
            </w:tcBorders>
            <w:vAlign w:val="center"/>
          </w:tcPr>
          <w:p w14:paraId="484B8595" w14:textId="77777777" w:rsidR="007F446F" w:rsidRDefault="007F446F" w:rsidP="001D13CE">
            <w:pPr>
              <w:jc w:val="center"/>
              <w:rPr>
                <w:rFonts w:ascii="Times New Roman" w:hAnsi="Times New Roman"/>
                <w:sz w:val="20"/>
                <w:szCs w:val="20"/>
              </w:rPr>
            </w:pPr>
            <w:r>
              <w:rPr>
                <w:rFonts w:ascii="Times New Roman" w:hAnsi="Times New Roman"/>
                <w:sz w:val="20"/>
                <w:szCs w:val="20"/>
              </w:rPr>
              <w:t>52</w:t>
            </w:r>
          </w:p>
        </w:tc>
        <w:tc>
          <w:tcPr>
            <w:tcW w:w="376" w:type="pct"/>
            <w:tcBorders>
              <w:top w:val="nil"/>
              <w:left w:val="nil"/>
              <w:bottom w:val="nil"/>
              <w:right w:val="nil"/>
            </w:tcBorders>
            <w:vAlign w:val="center"/>
          </w:tcPr>
          <w:p w14:paraId="145072E8" w14:textId="77777777" w:rsidR="007F446F" w:rsidRDefault="007F446F" w:rsidP="001D13CE">
            <w:pPr>
              <w:jc w:val="center"/>
              <w:rPr>
                <w:rFonts w:ascii="Times New Roman" w:hAnsi="Times New Roman"/>
                <w:sz w:val="20"/>
                <w:szCs w:val="20"/>
              </w:rPr>
            </w:pPr>
            <w:r>
              <w:rPr>
                <w:rFonts w:ascii="Times New Roman" w:hAnsi="Times New Roman"/>
                <w:sz w:val="20"/>
                <w:szCs w:val="20"/>
              </w:rPr>
              <w:t>57</w:t>
            </w:r>
          </w:p>
        </w:tc>
      </w:tr>
      <w:tr w:rsidR="007F446F" w:rsidRPr="001A54A4" w14:paraId="1CDA373E" w14:textId="77777777" w:rsidTr="001D13CE">
        <w:trPr>
          <w:trHeight w:val="273"/>
          <w:jc w:val="center"/>
        </w:trPr>
        <w:tc>
          <w:tcPr>
            <w:tcW w:w="674" w:type="pct"/>
            <w:tcBorders>
              <w:top w:val="nil"/>
              <w:left w:val="nil"/>
              <w:bottom w:val="nil"/>
              <w:right w:val="nil"/>
            </w:tcBorders>
            <w:hideMark/>
          </w:tcPr>
          <w:p w14:paraId="6F84BD31" w14:textId="77777777" w:rsidR="007F446F" w:rsidRDefault="007F446F" w:rsidP="001D13CE">
            <w:pPr>
              <w:spacing w:after="0" w:line="360" w:lineRule="auto"/>
              <w:rPr>
                <w:rFonts w:ascii="Times New Roman" w:hAnsi="Times New Roman"/>
                <w:bCs/>
                <w:color w:val="000000"/>
                <w:sz w:val="18"/>
                <w:szCs w:val="20"/>
              </w:rPr>
            </w:pPr>
            <w:proofErr w:type="spellStart"/>
            <w:r>
              <w:rPr>
                <w:rFonts w:ascii="Times New Roman" w:hAnsi="Times New Roman"/>
                <w:bCs/>
                <w:color w:val="000000"/>
                <w:sz w:val="20"/>
                <w:szCs w:val="20"/>
              </w:rPr>
              <w:t>Hexalingual</w:t>
            </w:r>
            <w:proofErr w:type="spellEnd"/>
          </w:p>
        </w:tc>
        <w:tc>
          <w:tcPr>
            <w:tcW w:w="186" w:type="pct"/>
            <w:tcBorders>
              <w:top w:val="nil"/>
              <w:left w:val="nil"/>
              <w:bottom w:val="nil"/>
              <w:right w:val="nil"/>
            </w:tcBorders>
            <w:hideMark/>
          </w:tcPr>
          <w:p w14:paraId="525B05CC" w14:textId="77777777" w:rsidR="007F446F" w:rsidRDefault="007F446F" w:rsidP="001D13CE">
            <w:pPr>
              <w:keepNext/>
              <w:keepLines/>
              <w:spacing w:after="0" w:line="360" w:lineRule="auto"/>
              <w:jc w:val="center"/>
              <w:rPr>
                <w:rFonts w:ascii="Times New Roman" w:hAnsi="Times New Roman"/>
                <w:i/>
                <w:color w:val="000000"/>
                <w:sz w:val="20"/>
                <w:szCs w:val="20"/>
              </w:rPr>
            </w:pPr>
            <w:r>
              <w:rPr>
                <w:rFonts w:ascii="Times New Roman" w:hAnsi="Times New Roman"/>
                <w:bCs/>
                <w:i/>
                <w:color w:val="000000"/>
                <w:sz w:val="20"/>
                <w:szCs w:val="20"/>
              </w:rPr>
              <w:t>D</w:t>
            </w:r>
            <w:r>
              <w:rPr>
                <w:rFonts w:ascii="Times New Roman" w:hAnsi="Times New Roman"/>
                <w:bCs/>
                <w:i/>
                <w:color w:val="000000"/>
                <w:sz w:val="20"/>
                <w:szCs w:val="20"/>
                <w:vertAlign w:val="subscript"/>
              </w:rPr>
              <w:t>a</w:t>
            </w:r>
          </w:p>
        </w:tc>
        <w:tc>
          <w:tcPr>
            <w:tcW w:w="323" w:type="pct"/>
            <w:tcBorders>
              <w:top w:val="nil"/>
              <w:left w:val="nil"/>
              <w:bottom w:val="nil"/>
              <w:right w:val="nil"/>
            </w:tcBorders>
            <w:hideMark/>
          </w:tcPr>
          <w:p w14:paraId="08FA4CD6" w14:textId="77777777" w:rsidR="007F446F" w:rsidRDefault="007F446F" w:rsidP="001D13CE">
            <w:pPr>
              <w:spacing w:after="0" w:line="240" w:lineRule="auto"/>
              <w:jc w:val="center"/>
              <w:rPr>
                <w:rFonts w:ascii="Times New Roman" w:eastAsia="Times New Roman" w:hAnsi="Times New Roman"/>
                <w:color w:val="000000"/>
                <w:sz w:val="20"/>
                <w:szCs w:val="20"/>
              </w:rPr>
            </w:pPr>
            <w:r>
              <w:rPr>
                <w:rFonts w:ascii="Times New Roman" w:hAnsi="Times New Roman"/>
                <w:color w:val="000000"/>
                <w:sz w:val="20"/>
                <w:szCs w:val="20"/>
              </w:rPr>
              <w:t>22</w:t>
            </w:r>
          </w:p>
        </w:tc>
        <w:tc>
          <w:tcPr>
            <w:tcW w:w="372" w:type="pct"/>
            <w:tcBorders>
              <w:top w:val="nil"/>
              <w:left w:val="nil"/>
              <w:bottom w:val="nil"/>
              <w:right w:val="nil"/>
            </w:tcBorders>
            <w:hideMark/>
          </w:tcPr>
          <w:p w14:paraId="05626C89" w14:textId="77777777" w:rsidR="007F446F" w:rsidRDefault="007F446F" w:rsidP="001D13CE">
            <w:pPr>
              <w:spacing w:line="240" w:lineRule="auto"/>
              <w:jc w:val="center"/>
              <w:rPr>
                <w:rFonts w:ascii="Times New Roman" w:hAnsi="Times New Roman"/>
                <w:color w:val="000000"/>
                <w:sz w:val="20"/>
                <w:szCs w:val="20"/>
              </w:rPr>
            </w:pPr>
            <w:r>
              <w:rPr>
                <w:rFonts w:ascii="Times New Roman" w:hAnsi="Times New Roman"/>
                <w:color w:val="000000"/>
                <w:sz w:val="20"/>
                <w:szCs w:val="20"/>
              </w:rPr>
              <w:t>9</w:t>
            </w:r>
          </w:p>
        </w:tc>
        <w:tc>
          <w:tcPr>
            <w:tcW w:w="372" w:type="pct"/>
            <w:tcBorders>
              <w:top w:val="nil"/>
              <w:left w:val="nil"/>
              <w:bottom w:val="nil"/>
              <w:right w:val="nil"/>
            </w:tcBorders>
            <w:hideMark/>
          </w:tcPr>
          <w:p w14:paraId="2BEA7F7D" w14:textId="77777777" w:rsidR="007F446F" w:rsidRDefault="007F446F" w:rsidP="001D13CE">
            <w:pPr>
              <w:spacing w:line="240" w:lineRule="auto"/>
              <w:jc w:val="center"/>
              <w:rPr>
                <w:rFonts w:ascii="Times New Roman" w:hAnsi="Times New Roman"/>
                <w:color w:val="000000"/>
                <w:sz w:val="20"/>
                <w:szCs w:val="20"/>
              </w:rPr>
            </w:pPr>
            <w:r>
              <w:rPr>
                <w:rFonts w:ascii="Times New Roman" w:hAnsi="Times New Roman"/>
                <w:color w:val="000000"/>
                <w:sz w:val="20"/>
                <w:szCs w:val="20"/>
              </w:rPr>
              <w:t>10</w:t>
            </w:r>
          </w:p>
        </w:tc>
        <w:tc>
          <w:tcPr>
            <w:tcW w:w="609" w:type="pct"/>
            <w:tcBorders>
              <w:top w:val="nil"/>
              <w:left w:val="nil"/>
              <w:bottom w:val="nil"/>
              <w:right w:val="nil"/>
            </w:tcBorders>
            <w:hideMark/>
          </w:tcPr>
          <w:p w14:paraId="5E29AF55" w14:textId="77777777" w:rsidR="007F446F" w:rsidRDefault="007F446F" w:rsidP="001D13CE">
            <w:pPr>
              <w:spacing w:line="240" w:lineRule="auto"/>
              <w:jc w:val="center"/>
              <w:rPr>
                <w:rFonts w:ascii="Times New Roman" w:hAnsi="Times New Roman"/>
                <w:color w:val="000000"/>
                <w:sz w:val="20"/>
                <w:szCs w:val="20"/>
              </w:rPr>
            </w:pPr>
            <w:r>
              <w:rPr>
                <w:rFonts w:ascii="Times New Roman" w:hAnsi="Times New Roman"/>
                <w:color w:val="000000"/>
                <w:sz w:val="20"/>
                <w:szCs w:val="20"/>
              </w:rPr>
              <w:t>6</w:t>
            </w:r>
          </w:p>
        </w:tc>
        <w:tc>
          <w:tcPr>
            <w:tcW w:w="380" w:type="pct"/>
            <w:tcBorders>
              <w:top w:val="nil"/>
              <w:left w:val="nil"/>
              <w:bottom w:val="nil"/>
              <w:right w:val="nil"/>
            </w:tcBorders>
            <w:hideMark/>
          </w:tcPr>
          <w:p w14:paraId="00383051" w14:textId="77777777" w:rsidR="007F446F" w:rsidRDefault="007F446F" w:rsidP="001D13CE">
            <w:pPr>
              <w:spacing w:line="240" w:lineRule="auto"/>
              <w:jc w:val="center"/>
              <w:rPr>
                <w:rFonts w:ascii="Times New Roman" w:hAnsi="Times New Roman"/>
                <w:color w:val="000000"/>
                <w:sz w:val="20"/>
                <w:szCs w:val="20"/>
              </w:rPr>
            </w:pPr>
            <w:r>
              <w:rPr>
                <w:rFonts w:ascii="Times New Roman" w:hAnsi="Times New Roman"/>
                <w:color w:val="000000"/>
                <w:sz w:val="20"/>
                <w:szCs w:val="20"/>
              </w:rPr>
              <w:t>2</w:t>
            </w:r>
          </w:p>
        </w:tc>
        <w:tc>
          <w:tcPr>
            <w:tcW w:w="86" w:type="pct"/>
            <w:tcBorders>
              <w:top w:val="nil"/>
              <w:left w:val="nil"/>
              <w:bottom w:val="nil"/>
              <w:right w:val="nil"/>
            </w:tcBorders>
          </w:tcPr>
          <w:p w14:paraId="06A23E24" w14:textId="77777777" w:rsidR="007F446F" w:rsidRDefault="007F446F" w:rsidP="001D13CE">
            <w:pPr>
              <w:jc w:val="center"/>
              <w:rPr>
                <w:rFonts w:ascii="Times New Roman" w:hAnsi="Times New Roman"/>
                <w:sz w:val="20"/>
                <w:szCs w:val="20"/>
              </w:rPr>
            </w:pPr>
          </w:p>
        </w:tc>
        <w:tc>
          <w:tcPr>
            <w:tcW w:w="369" w:type="pct"/>
            <w:tcBorders>
              <w:top w:val="nil"/>
              <w:left w:val="nil"/>
              <w:bottom w:val="nil"/>
              <w:right w:val="nil"/>
            </w:tcBorders>
            <w:vAlign w:val="center"/>
          </w:tcPr>
          <w:p w14:paraId="19368CBA" w14:textId="77777777" w:rsidR="007F446F" w:rsidRDefault="007F446F" w:rsidP="001D13CE">
            <w:pPr>
              <w:jc w:val="center"/>
              <w:rPr>
                <w:rFonts w:ascii="Times New Roman" w:hAnsi="Times New Roman"/>
                <w:sz w:val="20"/>
                <w:szCs w:val="20"/>
              </w:rPr>
            </w:pPr>
            <w:r>
              <w:rPr>
                <w:rFonts w:ascii="Times New Roman" w:hAnsi="Times New Roman"/>
                <w:sz w:val="20"/>
                <w:szCs w:val="20"/>
              </w:rPr>
              <w:t>7</w:t>
            </w:r>
          </w:p>
        </w:tc>
        <w:tc>
          <w:tcPr>
            <w:tcW w:w="478" w:type="pct"/>
            <w:tcBorders>
              <w:top w:val="nil"/>
              <w:left w:val="nil"/>
              <w:bottom w:val="nil"/>
              <w:right w:val="nil"/>
            </w:tcBorders>
            <w:vAlign w:val="center"/>
          </w:tcPr>
          <w:p w14:paraId="5CC16C68" w14:textId="77777777" w:rsidR="007F446F" w:rsidRDefault="007F446F" w:rsidP="001D13CE">
            <w:pPr>
              <w:jc w:val="center"/>
              <w:rPr>
                <w:rFonts w:ascii="Times New Roman" w:hAnsi="Times New Roman"/>
                <w:sz w:val="20"/>
                <w:szCs w:val="20"/>
              </w:rPr>
            </w:pPr>
            <w:r>
              <w:rPr>
                <w:rFonts w:ascii="Times New Roman" w:hAnsi="Times New Roman"/>
                <w:sz w:val="20"/>
                <w:szCs w:val="20"/>
              </w:rPr>
              <w:t>11</w:t>
            </w:r>
          </w:p>
        </w:tc>
        <w:tc>
          <w:tcPr>
            <w:tcW w:w="308" w:type="pct"/>
            <w:tcBorders>
              <w:top w:val="nil"/>
              <w:left w:val="nil"/>
              <w:bottom w:val="nil"/>
              <w:right w:val="nil"/>
            </w:tcBorders>
            <w:vAlign w:val="center"/>
          </w:tcPr>
          <w:p w14:paraId="0368CB95" w14:textId="77777777" w:rsidR="007F446F" w:rsidRDefault="007F446F" w:rsidP="001D13CE">
            <w:pPr>
              <w:jc w:val="center"/>
              <w:rPr>
                <w:rFonts w:ascii="Times New Roman" w:hAnsi="Times New Roman"/>
                <w:sz w:val="20"/>
                <w:szCs w:val="20"/>
              </w:rPr>
            </w:pPr>
            <w:r>
              <w:rPr>
                <w:rFonts w:ascii="Times New Roman" w:hAnsi="Times New Roman"/>
                <w:sz w:val="20"/>
                <w:szCs w:val="20"/>
              </w:rPr>
              <w:t>12</w:t>
            </w:r>
          </w:p>
        </w:tc>
        <w:tc>
          <w:tcPr>
            <w:tcW w:w="469" w:type="pct"/>
            <w:tcBorders>
              <w:top w:val="nil"/>
              <w:left w:val="nil"/>
              <w:bottom w:val="nil"/>
              <w:right w:val="nil"/>
            </w:tcBorders>
            <w:vAlign w:val="center"/>
          </w:tcPr>
          <w:p w14:paraId="6656BD3D" w14:textId="77777777" w:rsidR="007F446F" w:rsidRDefault="007F446F" w:rsidP="001D13CE">
            <w:pPr>
              <w:jc w:val="center"/>
              <w:rPr>
                <w:rFonts w:ascii="Times New Roman" w:hAnsi="Times New Roman"/>
                <w:sz w:val="20"/>
                <w:szCs w:val="20"/>
              </w:rPr>
            </w:pPr>
            <w:r>
              <w:rPr>
                <w:rFonts w:ascii="Times New Roman" w:hAnsi="Times New Roman"/>
                <w:sz w:val="20"/>
                <w:szCs w:val="20"/>
              </w:rPr>
              <w:t>12</w:t>
            </w:r>
          </w:p>
        </w:tc>
        <w:tc>
          <w:tcPr>
            <w:tcW w:w="376" w:type="pct"/>
            <w:tcBorders>
              <w:top w:val="nil"/>
              <w:left w:val="nil"/>
              <w:bottom w:val="nil"/>
              <w:right w:val="nil"/>
            </w:tcBorders>
            <w:vAlign w:val="center"/>
          </w:tcPr>
          <w:p w14:paraId="28A6AA26" w14:textId="77777777" w:rsidR="007F446F" w:rsidRDefault="007F446F" w:rsidP="001D13CE">
            <w:pPr>
              <w:jc w:val="center"/>
              <w:rPr>
                <w:rFonts w:ascii="Times New Roman" w:hAnsi="Times New Roman"/>
                <w:sz w:val="20"/>
                <w:szCs w:val="20"/>
              </w:rPr>
            </w:pPr>
            <w:r>
              <w:rPr>
                <w:rFonts w:ascii="Times New Roman" w:hAnsi="Times New Roman"/>
                <w:sz w:val="20"/>
                <w:szCs w:val="20"/>
              </w:rPr>
              <w:t>7</w:t>
            </w:r>
          </w:p>
        </w:tc>
      </w:tr>
      <w:tr w:rsidR="007F446F" w:rsidRPr="001A54A4" w14:paraId="48C8C14A" w14:textId="77777777" w:rsidTr="001D13CE">
        <w:trPr>
          <w:trHeight w:val="273"/>
          <w:jc w:val="center"/>
        </w:trPr>
        <w:tc>
          <w:tcPr>
            <w:tcW w:w="674" w:type="pct"/>
            <w:tcBorders>
              <w:top w:val="nil"/>
              <w:left w:val="nil"/>
              <w:bottom w:val="nil"/>
              <w:right w:val="nil"/>
            </w:tcBorders>
          </w:tcPr>
          <w:p w14:paraId="7A860B47" w14:textId="77777777" w:rsidR="007F446F" w:rsidRDefault="007F446F" w:rsidP="001D13CE">
            <w:pPr>
              <w:spacing w:after="0" w:line="360" w:lineRule="auto"/>
              <w:rPr>
                <w:rFonts w:ascii="Times New Roman" w:hAnsi="Times New Roman"/>
                <w:bCs/>
                <w:color w:val="000000"/>
                <w:sz w:val="18"/>
                <w:szCs w:val="20"/>
              </w:rPr>
            </w:pPr>
          </w:p>
        </w:tc>
        <w:tc>
          <w:tcPr>
            <w:tcW w:w="186" w:type="pct"/>
            <w:tcBorders>
              <w:top w:val="nil"/>
              <w:left w:val="nil"/>
              <w:bottom w:val="nil"/>
              <w:right w:val="nil"/>
            </w:tcBorders>
            <w:hideMark/>
          </w:tcPr>
          <w:p w14:paraId="036BA71F" w14:textId="77777777" w:rsidR="007F446F" w:rsidRDefault="007F446F" w:rsidP="001D13CE">
            <w:pPr>
              <w:keepNext/>
              <w:keepLines/>
              <w:spacing w:after="0" w:line="360" w:lineRule="auto"/>
              <w:jc w:val="center"/>
              <w:rPr>
                <w:rFonts w:ascii="Times New Roman" w:hAnsi="Times New Roman"/>
                <w:i/>
                <w:color w:val="000000"/>
                <w:sz w:val="20"/>
                <w:szCs w:val="20"/>
              </w:rPr>
            </w:pPr>
            <w:r>
              <w:rPr>
                <w:rFonts w:ascii="Times New Roman" w:hAnsi="Times New Roman"/>
                <w:bCs/>
                <w:i/>
                <w:color w:val="000000"/>
                <w:sz w:val="20"/>
                <w:szCs w:val="20"/>
              </w:rPr>
              <w:t>D</w:t>
            </w:r>
            <w:r>
              <w:rPr>
                <w:rFonts w:ascii="Times New Roman" w:hAnsi="Times New Roman"/>
                <w:bCs/>
                <w:i/>
                <w:color w:val="000000"/>
                <w:sz w:val="20"/>
                <w:szCs w:val="20"/>
                <w:vertAlign w:val="subscript"/>
              </w:rPr>
              <w:t>r</w:t>
            </w:r>
          </w:p>
        </w:tc>
        <w:tc>
          <w:tcPr>
            <w:tcW w:w="323" w:type="pct"/>
            <w:tcBorders>
              <w:top w:val="nil"/>
              <w:left w:val="nil"/>
              <w:bottom w:val="nil"/>
              <w:right w:val="nil"/>
            </w:tcBorders>
            <w:hideMark/>
          </w:tcPr>
          <w:p w14:paraId="53F6FB58" w14:textId="77777777" w:rsidR="007F446F" w:rsidRDefault="007F446F" w:rsidP="001D13CE">
            <w:pPr>
              <w:spacing w:after="0" w:line="240" w:lineRule="auto"/>
              <w:jc w:val="center"/>
              <w:rPr>
                <w:rFonts w:ascii="Times New Roman" w:eastAsia="Times New Roman" w:hAnsi="Times New Roman"/>
                <w:color w:val="000000"/>
                <w:sz w:val="20"/>
                <w:szCs w:val="20"/>
              </w:rPr>
            </w:pPr>
            <w:r>
              <w:rPr>
                <w:rFonts w:ascii="Times New Roman" w:hAnsi="Times New Roman"/>
                <w:color w:val="000000"/>
                <w:sz w:val="20"/>
                <w:szCs w:val="20"/>
              </w:rPr>
              <w:t>35</w:t>
            </w:r>
          </w:p>
        </w:tc>
        <w:tc>
          <w:tcPr>
            <w:tcW w:w="372" w:type="pct"/>
            <w:tcBorders>
              <w:top w:val="nil"/>
              <w:left w:val="nil"/>
              <w:bottom w:val="nil"/>
              <w:right w:val="nil"/>
            </w:tcBorders>
            <w:hideMark/>
          </w:tcPr>
          <w:p w14:paraId="451549D1" w14:textId="77777777" w:rsidR="007F446F" w:rsidRDefault="007F446F" w:rsidP="001D13CE">
            <w:pPr>
              <w:spacing w:line="240" w:lineRule="auto"/>
              <w:jc w:val="center"/>
              <w:rPr>
                <w:rFonts w:ascii="Times New Roman" w:hAnsi="Times New Roman"/>
                <w:color w:val="000000"/>
                <w:sz w:val="20"/>
                <w:szCs w:val="20"/>
              </w:rPr>
            </w:pPr>
            <w:r>
              <w:rPr>
                <w:rFonts w:ascii="Times New Roman" w:hAnsi="Times New Roman"/>
                <w:color w:val="000000"/>
                <w:sz w:val="20"/>
                <w:szCs w:val="20"/>
              </w:rPr>
              <w:t>19</w:t>
            </w:r>
          </w:p>
        </w:tc>
        <w:tc>
          <w:tcPr>
            <w:tcW w:w="372" w:type="pct"/>
            <w:tcBorders>
              <w:top w:val="nil"/>
              <w:left w:val="nil"/>
              <w:bottom w:val="nil"/>
              <w:right w:val="nil"/>
            </w:tcBorders>
            <w:hideMark/>
          </w:tcPr>
          <w:p w14:paraId="5CBDB183" w14:textId="77777777" w:rsidR="007F446F" w:rsidRDefault="007F446F" w:rsidP="001D13CE">
            <w:pPr>
              <w:spacing w:line="240" w:lineRule="auto"/>
              <w:jc w:val="center"/>
              <w:rPr>
                <w:rFonts w:ascii="Times New Roman" w:hAnsi="Times New Roman"/>
                <w:color w:val="000000"/>
                <w:sz w:val="20"/>
                <w:szCs w:val="20"/>
              </w:rPr>
            </w:pPr>
            <w:r>
              <w:rPr>
                <w:rFonts w:ascii="Times New Roman" w:hAnsi="Times New Roman"/>
                <w:color w:val="000000"/>
                <w:sz w:val="20"/>
                <w:szCs w:val="20"/>
              </w:rPr>
              <w:t>21</w:t>
            </w:r>
          </w:p>
        </w:tc>
        <w:tc>
          <w:tcPr>
            <w:tcW w:w="609" w:type="pct"/>
            <w:tcBorders>
              <w:top w:val="nil"/>
              <w:left w:val="nil"/>
              <w:bottom w:val="nil"/>
              <w:right w:val="nil"/>
            </w:tcBorders>
            <w:hideMark/>
          </w:tcPr>
          <w:p w14:paraId="744FDF94" w14:textId="77777777" w:rsidR="007F446F" w:rsidRDefault="007F446F" w:rsidP="001D13CE">
            <w:pPr>
              <w:spacing w:line="240" w:lineRule="auto"/>
              <w:jc w:val="center"/>
              <w:rPr>
                <w:rFonts w:ascii="Times New Roman" w:hAnsi="Times New Roman"/>
                <w:color w:val="000000"/>
                <w:sz w:val="20"/>
                <w:szCs w:val="20"/>
              </w:rPr>
            </w:pPr>
            <w:r>
              <w:rPr>
                <w:rFonts w:ascii="Times New Roman" w:hAnsi="Times New Roman"/>
                <w:color w:val="000000"/>
                <w:sz w:val="20"/>
                <w:szCs w:val="20"/>
              </w:rPr>
              <w:t>18</w:t>
            </w:r>
          </w:p>
        </w:tc>
        <w:tc>
          <w:tcPr>
            <w:tcW w:w="380" w:type="pct"/>
            <w:tcBorders>
              <w:top w:val="nil"/>
              <w:left w:val="nil"/>
              <w:bottom w:val="nil"/>
              <w:right w:val="nil"/>
            </w:tcBorders>
            <w:hideMark/>
          </w:tcPr>
          <w:p w14:paraId="37412DAC" w14:textId="77777777" w:rsidR="007F446F" w:rsidRDefault="007F446F" w:rsidP="001D13CE">
            <w:pPr>
              <w:spacing w:line="240" w:lineRule="auto"/>
              <w:jc w:val="center"/>
              <w:rPr>
                <w:rFonts w:ascii="Times New Roman" w:hAnsi="Times New Roman"/>
                <w:color w:val="000000"/>
                <w:sz w:val="20"/>
                <w:szCs w:val="20"/>
              </w:rPr>
            </w:pPr>
            <w:r>
              <w:rPr>
                <w:rFonts w:ascii="Times New Roman" w:hAnsi="Times New Roman"/>
                <w:color w:val="000000"/>
                <w:sz w:val="20"/>
                <w:szCs w:val="20"/>
              </w:rPr>
              <w:t>13</w:t>
            </w:r>
          </w:p>
        </w:tc>
        <w:tc>
          <w:tcPr>
            <w:tcW w:w="86" w:type="pct"/>
            <w:tcBorders>
              <w:top w:val="nil"/>
              <w:left w:val="nil"/>
              <w:bottom w:val="nil"/>
              <w:right w:val="nil"/>
            </w:tcBorders>
          </w:tcPr>
          <w:p w14:paraId="5A81F188" w14:textId="77777777" w:rsidR="007F446F" w:rsidRDefault="007F446F" w:rsidP="001D13CE">
            <w:pPr>
              <w:jc w:val="center"/>
              <w:rPr>
                <w:rFonts w:ascii="Times New Roman" w:hAnsi="Times New Roman"/>
                <w:sz w:val="20"/>
                <w:szCs w:val="20"/>
              </w:rPr>
            </w:pPr>
          </w:p>
        </w:tc>
        <w:tc>
          <w:tcPr>
            <w:tcW w:w="369" w:type="pct"/>
            <w:tcBorders>
              <w:top w:val="nil"/>
              <w:left w:val="nil"/>
              <w:bottom w:val="nil"/>
              <w:right w:val="nil"/>
            </w:tcBorders>
            <w:vAlign w:val="center"/>
          </w:tcPr>
          <w:p w14:paraId="461BC446" w14:textId="77777777" w:rsidR="007F446F" w:rsidRDefault="007F446F" w:rsidP="001D13CE">
            <w:pPr>
              <w:jc w:val="center"/>
              <w:rPr>
                <w:rFonts w:ascii="Times New Roman" w:hAnsi="Times New Roman"/>
                <w:sz w:val="20"/>
                <w:szCs w:val="20"/>
              </w:rPr>
            </w:pPr>
            <w:r>
              <w:rPr>
                <w:rFonts w:ascii="Times New Roman" w:hAnsi="Times New Roman"/>
                <w:sz w:val="20"/>
                <w:szCs w:val="20"/>
              </w:rPr>
              <w:t>19</w:t>
            </w:r>
          </w:p>
        </w:tc>
        <w:tc>
          <w:tcPr>
            <w:tcW w:w="478" w:type="pct"/>
            <w:tcBorders>
              <w:top w:val="nil"/>
              <w:left w:val="nil"/>
              <w:bottom w:val="nil"/>
              <w:right w:val="nil"/>
            </w:tcBorders>
            <w:vAlign w:val="center"/>
          </w:tcPr>
          <w:p w14:paraId="3245916A" w14:textId="77777777" w:rsidR="007F446F" w:rsidRDefault="007F446F" w:rsidP="001D13CE">
            <w:pPr>
              <w:jc w:val="center"/>
              <w:rPr>
                <w:rFonts w:ascii="Times New Roman" w:hAnsi="Times New Roman"/>
                <w:sz w:val="20"/>
                <w:szCs w:val="20"/>
              </w:rPr>
            </w:pPr>
            <w:r>
              <w:rPr>
                <w:rFonts w:ascii="Times New Roman" w:hAnsi="Times New Roman"/>
                <w:sz w:val="20"/>
                <w:szCs w:val="20"/>
              </w:rPr>
              <w:t>24</w:t>
            </w:r>
          </w:p>
        </w:tc>
        <w:tc>
          <w:tcPr>
            <w:tcW w:w="308" w:type="pct"/>
            <w:tcBorders>
              <w:top w:val="nil"/>
              <w:left w:val="nil"/>
              <w:bottom w:val="nil"/>
              <w:right w:val="nil"/>
            </w:tcBorders>
            <w:vAlign w:val="center"/>
          </w:tcPr>
          <w:p w14:paraId="31E85D22" w14:textId="77777777" w:rsidR="007F446F" w:rsidRDefault="007F446F" w:rsidP="001D13CE">
            <w:pPr>
              <w:jc w:val="center"/>
              <w:rPr>
                <w:rFonts w:ascii="Times New Roman" w:hAnsi="Times New Roman"/>
                <w:sz w:val="20"/>
                <w:szCs w:val="20"/>
              </w:rPr>
            </w:pPr>
            <w:r>
              <w:rPr>
                <w:rFonts w:ascii="Times New Roman" w:hAnsi="Times New Roman"/>
                <w:sz w:val="20"/>
                <w:szCs w:val="20"/>
              </w:rPr>
              <w:t>20</w:t>
            </w:r>
          </w:p>
        </w:tc>
        <w:tc>
          <w:tcPr>
            <w:tcW w:w="469" w:type="pct"/>
            <w:tcBorders>
              <w:top w:val="nil"/>
              <w:left w:val="nil"/>
              <w:bottom w:val="nil"/>
              <w:right w:val="nil"/>
            </w:tcBorders>
            <w:vAlign w:val="center"/>
          </w:tcPr>
          <w:p w14:paraId="3A49C216" w14:textId="77777777" w:rsidR="007F446F" w:rsidRDefault="007F446F" w:rsidP="001D13CE">
            <w:pPr>
              <w:jc w:val="center"/>
              <w:rPr>
                <w:rFonts w:ascii="Times New Roman" w:hAnsi="Times New Roman"/>
                <w:sz w:val="20"/>
                <w:szCs w:val="20"/>
              </w:rPr>
            </w:pPr>
            <w:r>
              <w:rPr>
                <w:rFonts w:ascii="Times New Roman" w:hAnsi="Times New Roman"/>
                <w:sz w:val="20"/>
                <w:szCs w:val="20"/>
              </w:rPr>
              <w:t>17</w:t>
            </w:r>
          </w:p>
        </w:tc>
        <w:tc>
          <w:tcPr>
            <w:tcW w:w="376" w:type="pct"/>
            <w:tcBorders>
              <w:top w:val="nil"/>
              <w:left w:val="nil"/>
              <w:bottom w:val="nil"/>
              <w:right w:val="nil"/>
            </w:tcBorders>
            <w:vAlign w:val="center"/>
          </w:tcPr>
          <w:p w14:paraId="3AA78C93" w14:textId="77777777" w:rsidR="007F446F" w:rsidRDefault="007F446F" w:rsidP="001D13CE">
            <w:pPr>
              <w:jc w:val="center"/>
              <w:rPr>
                <w:rFonts w:ascii="Times New Roman" w:hAnsi="Times New Roman"/>
                <w:sz w:val="20"/>
                <w:szCs w:val="20"/>
              </w:rPr>
            </w:pPr>
            <w:r>
              <w:rPr>
                <w:rFonts w:ascii="Times New Roman" w:hAnsi="Times New Roman"/>
                <w:sz w:val="20"/>
                <w:szCs w:val="20"/>
              </w:rPr>
              <w:t>17</w:t>
            </w:r>
          </w:p>
        </w:tc>
      </w:tr>
      <w:tr w:rsidR="007F446F" w:rsidRPr="001A54A4" w14:paraId="12BACF30" w14:textId="77777777" w:rsidTr="001D13CE">
        <w:trPr>
          <w:trHeight w:val="273"/>
          <w:jc w:val="center"/>
        </w:trPr>
        <w:tc>
          <w:tcPr>
            <w:tcW w:w="674" w:type="pct"/>
            <w:tcBorders>
              <w:top w:val="nil"/>
              <w:left w:val="nil"/>
              <w:bottom w:val="nil"/>
              <w:right w:val="nil"/>
            </w:tcBorders>
            <w:hideMark/>
          </w:tcPr>
          <w:p w14:paraId="58ABFE36" w14:textId="77777777" w:rsidR="007F446F" w:rsidRDefault="007F446F" w:rsidP="001D13CE">
            <w:pPr>
              <w:spacing w:after="0" w:line="360" w:lineRule="auto"/>
              <w:rPr>
                <w:rFonts w:ascii="Times New Roman" w:hAnsi="Times New Roman"/>
                <w:bCs/>
                <w:color w:val="000000"/>
                <w:sz w:val="18"/>
                <w:szCs w:val="20"/>
              </w:rPr>
            </w:pPr>
            <w:r>
              <w:rPr>
                <w:rFonts w:ascii="Times New Roman" w:hAnsi="Times New Roman"/>
                <w:bCs/>
                <w:color w:val="000000"/>
                <w:sz w:val="18"/>
                <w:szCs w:val="20"/>
              </w:rPr>
              <w:t>Multilingual</w:t>
            </w:r>
          </w:p>
        </w:tc>
        <w:tc>
          <w:tcPr>
            <w:tcW w:w="186" w:type="pct"/>
            <w:tcBorders>
              <w:top w:val="nil"/>
              <w:left w:val="nil"/>
              <w:bottom w:val="nil"/>
              <w:right w:val="nil"/>
            </w:tcBorders>
            <w:hideMark/>
          </w:tcPr>
          <w:p w14:paraId="59443EA6" w14:textId="77777777" w:rsidR="007F446F" w:rsidRDefault="007F446F" w:rsidP="001D13CE">
            <w:pPr>
              <w:keepNext/>
              <w:keepLines/>
              <w:spacing w:after="0" w:line="360" w:lineRule="auto"/>
              <w:jc w:val="center"/>
              <w:rPr>
                <w:rFonts w:ascii="Times New Roman" w:hAnsi="Times New Roman"/>
                <w:i/>
                <w:color w:val="000000"/>
                <w:sz w:val="20"/>
                <w:szCs w:val="20"/>
              </w:rPr>
            </w:pPr>
            <w:r>
              <w:rPr>
                <w:rFonts w:ascii="Times New Roman" w:hAnsi="Times New Roman"/>
                <w:bCs/>
                <w:i/>
                <w:color w:val="000000"/>
                <w:sz w:val="20"/>
                <w:szCs w:val="20"/>
              </w:rPr>
              <w:t>D</w:t>
            </w:r>
            <w:r>
              <w:rPr>
                <w:rFonts w:ascii="Times New Roman" w:hAnsi="Times New Roman"/>
                <w:bCs/>
                <w:i/>
                <w:color w:val="000000"/>
                <w:sz w:val="20"/>
                <w:szCs w:val="20"/>
                <w:vertAlign w:val="subscript"/>
              </w:rPr>
              <w:t>a</w:t>
            </w:r>
          </w:p>
        </w:tc>
        <w:tc>
          <w:tcPr>
            <w:tcW w:w="323" w:type="pct"/>
            <w:tcBorders>
              <w:top w:val="nil"/>
              <w:left w:val="nil"/>
              <w:bottom w:val="nil"/>
              <w:right w:val="nil"/>
            </w:tcBorders>
            <w:hideMark/>
          </w:tcPr>
          <w:p w14:paraId="2A2448C3" w14:textId="77777777" w:rsidR="007F446F" w:rsidRDefault="007F446F" w:rsidP="001D13CE">
            <w:pPr>
              <w:spacing w:after="0" w:line="240" w:lineRule="auto"/>
              <w:jc w:val="center"/>
              <w:rPr>
                <w:rFonts w:ascii="Times New Roman" w:eastAsia="Times New Roman" w:hAnsi="Times New Roman"/>
                <w:color w:val="000000"/>
                <w:sz w:val="20"/>
                <w:szCs w:val="20"/>
              </w:rPr>
            </w:pPr>
            <w:r>
              <w:rPr>
                <w:rFonts w:ascii="Times New Roman" w:hAnsi="Times New Roman"/>
                <w:color w:val="000000"/>
                <w:sz w:val="20"/>
                <w:szCs w:val="20"/>
              </w:rPr>
              <w:t>1</w:t>
            </w:r>
          </w:p>
        </w:tc>
        <w:tc>
          <w:tcPr>
            <w:tcW w:w="372" w:type="pct"/>
            <w:tcBorders>
              <w:top w:val="nil"/>
              <w:left w:val="nil"/>
              <w:bottom w:val="nil"/>
              <w:right w:val="nil"/>
            </w:tcBorders>
            <w:hideMark/>
          </w:tcPr>
          <w:p w14:paraId="4D082E3E" w14:textId="77777777" w:rsidR="007F446F" w:rsidRDefault="007F446F" w:rsidP="001D13CE">
            <w:pPr>
              <w:spacing w:line="240" w:lineRule="auto"/>
              <w:jc w:val="center"/>
              <w:rPr>
                <w:rFonts w:ascii="Times New Roman" w:hAnsi="Times New Roman"/>
                <w:color w:val="000000"/>
                <w:sz w:val="20"/>
                <w:szCs w:val="20"/>
              </w:rPr>
            </w:pPr>
            <w:r>
              <w:rPr>
                <w:rFonts w:ascii="Times New Roman" w:hAnsi="Times New Roman"/>
                <w:color w:val="000000"/>
                <w:sz w:val="20"/>
                <w:szCs w:val="20"/>
              </w:rPr>
              <w:t>1</w:t>
            </w:r>
          </w:p>
        </w:tc>
        <w:tc>
          <w:tcPr>
            <w:tcW w:w="372" w:type="pct"/>
            <w:tcBorders>
              <w:top w:val="nil"/>
              <w:left w:val="nil"/>
              <w:bottom w:val="nil"/>
              <w:right w:val="nil"/>
            </w:tcBorders>
            <w:hideMark/>
          </w:tcPr>
          <w:p w14:paraId="4DE2CC5A" w14:textId="77777777" w:rsidR="007F446F" w:rsidRDefault="007F446F" w:rsidP="001D13CE">
            <w:pPr>
              <w:spacing w:line="240" w:lineRule="auto"/>
              <w:jc w:val="center"/>
              <w:rPr>
                <w:rFonts w:ascii="Times New Roman" w:hAnsi="Times New Roman"/>
                <w:color w:val="000000"/>
                <w:sz w:val="20"/>
                <w:szCs w:val="20"/>
              </w:rPr>
            </w:pPr>
            <w:r>
              <w:rPr>
                <w:rFonts w:ascii="Times New Roman" w:hAnsi="Times New Roman"/>
                <w:color w:val="000000"/>
                <w:sz w:val="20"/>
                <w:szCs w:val="20"/>
              </w:rPr>
              <w:t>0</w:t>
            </w:r>
          </w:p>
        </w:tc>
        <w:tc>
          <w:tcPr>
            <w:tcW w:w="609" w:type="pct"/>
            <w:tcBorders>
              <w:top w:val="nil"/>
              <w:left w:val="nil"/>
              <w:bottom w:val="nil"/>
              <w:right w:val="nil"/>
            </w:tcBorders>
            <w:hideMark/>
          </w:tcPr>
          <w:p w14:paraId="10C66BA5" w14:textId="77777777" w:rsidR="007F446F" w:rsidRDefault="007F446F" w:rsidP="001D13CE">
            <w:pPr>
              <w:spacing w:line="240" w:lineRule="auto"/>
              <w:jc w:val="center"/>
              <w:rPr>
                <w:rFonts w:ascii="Times New Roman" w:hAnsi="Times New Roman"/>
                <w:color w:val="000000"/>
                <w:sz w:val="20"/>
                <w:szCs w:val="20"/>
              </w:rPr>
            </w:pPr>
            <w:r>
              <w:rPr>
                <w:rFonts w:ascii="Times New Roman" w:hAnsi="Times New Roman"/>
                <w:color w:val="000000"/>
                <w:sz w:val="20"/>
                <w:szCs w:val="20"/>
              </w:rPr>
              <w:t>0</w:t>
            </w:r>
          </w:p>
        </w:tc>
        <w:tc>
          <w:tcPr>
            <w:tcW w:w="380" w:type="pct"/>
            <w:tcBorders>
              <w:top w:val="nil"/>
              <w:left w:val="nil"/>
              <w:bottom w:val="nil"/>
              <w:right w:val="nil"/>
            </w:tcBorders>
            <w:hideMark/>
          </w:tcPr>
          <w:p w14:paraId="271C4F57" w14:textId="77777777" w:rsidR="007F446F" w:rsidRDefault="007F446F" w:rsidP="001D13CE">
            <w:pPr>
              <w:spacing w:line="240" w:lineRule="auto"/>
              <w:jc w:val="center"/>
              <w:rPr>
                <w:rFonts w:ascii="Times New Roman" w:hAnsi="Times New Roman"/>
                <w:color w:val="000000"/>
                <w:sz w:val="20"/>
                <w:szCs w:val="20"/>
              </w:rPr>
            </w:pPr>
            <w:r>
              <w:rPr>
                <w:rFonts w:ascii="Times New Roman" w:hAnsi="Times New Roman"/>
                <w:color w:val="000000"/>
                <w:sz w:val="20"/>
                <w:szCs w:val="20"/>
              </w:rPr>
              <w:t>0</w:t>
            </w:r>
          </w:p>
        </w:tc>
        <w:tc>
          <w:tcPr>
            <w:tcW w:w="86" w:type="pct"/>
            <w:tcBorders>
              <w:top w:val="nil"/>
              <w:left w:val="nil"/>
              <w:bottom w:val="nil"/>
              <w:right w:val="nil"/>
            </w:tcBorders>
          </w:tcPr>
          <w:p w14:paraId="041C9181" w14:textId="77777777" w:rsidR="007F446F" w:rsidRDefault="007F446F" w:rsidP="001D13CE">
            <w:pPr>
              <w:jc w:val="center"/>
              <w:rPr>
                <w:rFonts w:ascii="Times New Roman" w:hAnsi="Times New Roman"/>
                <w:sz w:val="20"/>
                <w:szCs w:val="20"/>
              </w:rPr>
            </w:pPr>
          </w:p>
        </w:tc>
        <w:tc>
          <w:tcPr>
            <w:tcW w:w="369" w:type="pct"/>
            <w:tcBorders>
              <w:top w:val="nil"/>
              <w:left w:val="nil"/>
              <w:bottom w:val="nil"/>
              <w:right w:val="nil"/>
            </w:tcBorders>
            <w:vAlign w:val="center"/>
          </w:tcPr>
          <w:p w14:paraId="5706AD9F" w14:textId="77777777" w:rsidR="007F446F" w:rsidRDefault="007F446F" w:rsidP="001D13CE">
            <w:pPr>
              <w:jc w:val="center"/>
              <w:rPr>
                <w:rFonts w:ascii="Times New Roman" w:hAnsi="Times New Roman"/>
                <w:sz w:val="20"/>
                <w:szCs w:val="20"/>
              </w:rPr>
            </w:pPr>
            <w:r>
              <w:rPr>
                <w:rFonts w:ascii="Times New Roman" w:hAnsi="Times New Roman"/>
                <w:sz w:val="20"/>
                <w:szCs w:val="20"/>
              </w:rPr>
              <w:t>0</w:t>
            </w:r>
          </w:p>
        </w:tc>
        <w:tc>
          <w:tcPr>
            <w:tcW w:w="478" w:type="pct"/>
            <w:tcBorders>
              <w:top w:val="nil"/>
              <w:left w:val="nil"/>
              <w:bottom w:val="nil"/>
              <w:right w:val="nil"/>
            </w:tcBorders>
            <w:vAlign w:val="center"/>
          </w:tcPr>
          <w:p w14:paraId="363F8999" w14:textId="77777777" w:rsidR="007F446F" w:rsidRDefault="007F446F" w:rsidP="001D13CE">
            <w:pPr>
              <w:jc w:val="center"/>
              <w:rPr>
                <w:rFonts w:ascii="Times New Roman" w:hAnsi="Times New Roman"/>
                <w:sz w:val="20"/>
                <w:szCs w:val="20"/>
              </w:rPr>
            </w:pPr>
            <w:r>
              <w:rPr>
                <w:rFonts w:ascii="Times New Roman" w:hAnsi="Times New Roman"/>
                <w:sz w:val="20"/>
                <w:szCs w:val="20"/>
              </w:rPr>
              <w:t>1</w:t>
            </w:r>
          </w:p>
        </w:tc>
        <w:tc>
          <w:tcPr>
            <w:tcW w:w="308" w:type="pct"/>
            <w:tcBorders>
              <w:top w:val="nil"/>
              <w:left w:val="nil"/>
              <w:bottom w:val="nil"/>
              <w:right w:val="nil"/>
            </w:tcBorders>
            <w:vAlign w:val="center"/>
          </w:tcPr>
          <w:p w14:paraId="3E8E8E72" w14:textId="77777777" w:rsidR="007F446F" w:rsidRDefault="007F446F" w:rsidP="001D13CE">
            <w:pPr>
              <w:jc w:val="center"/>
              <w:rPr>
                <w:rFonts w:ascii="Times New Roman" w:hAnsi="Times New Roman"/>
                <w:sz w:val="20"/>
                <w:szCs w:val="20"/>
              </w:rPr>
            </w:pPr>
            <w:r>
              <w:rPr>
                <w:rFonts w:ascii="Times New Roman" w:hAnsi="Times New Roman"/>
                <w:sz w:val="20"/>
                <w:szCs w:val="20"/>
              </w:rPr>
              <w:t>0</w:t>
            </w:r>
          </w:p>
        </w:tc>
        <w:tc>
          <w:tcPr>
            <w:tcW w:w="469" w:type="pct"/>
            <w:tcBorders>
              <w:top w:val="nil"/>
              <w:left w:val="nil"/>
              <w:bottom w:val="nil"/>
              <w:right w:val="nil"/>
            </w:tcBorders>
            <w:vAlign w:val="center"/>
          </w:tcPr>
          <w:p w14:paraId="7DFB7969" w14:textId="77777777" w:rsidR="007F446F" w:rsidRDefault="007F446F" w:rsidP="001D13CE">
            <w:pPr>
              <w:jc w:val="center"/>
              <w:rPr>
                <w:rFonts w:ascii="Times New Roman" w:hAnsi="Times New Roman"/>
                <w:sz w:val="20"/>
                <w:szCs w:val="20"/>
              </w:rPr>
            </w:pPr>
            <w:r>
              <w:rPr>
                <w:rFonts w:ascii="Times New Roman" w:hAnsi="Times New Roman"/>
                <w:sz w:val="20"/>
                <w:szCs w:val="20"/>
              </w:rPr>
              <w:t>1</w:t>
            </w:r>
          </w:p>
        </w:tc>
        <w:tc>
          <w:tcPr>
            <w:tcW w:w="376" w:type="pct"/>
            <w:tcBorders>
              <w:top w:val="nil"/>
              <w:left w:val="nil"/>
              <w:bottom w:val="nil"/>
              <w:right w:val="nil"/>
            </w:tcBorders>
            <w:vAlign w:val="center"/>
          </w:tcPr>
          <w:p w14:paraId="336DB4B8" w14:textId="77777777" w:rsidR="007F446F" w:rsidRDefault="007F446F" w:rsidP="001D13CE">
            <w:pPr>
              <w:jc w:val="center"/>
              <w:rPr>
                <w:rFonts w:ascii="Times New Roman" w:hAnsi="Times New Roman"/>
                <w:sz w:val="20"/>
                <w:szCs w:val="20"/>
              </w:rPr>
            </w:pPr>
            <w:r>
              <w:rPr>
                <w:rFonts w:ascii="Times New Roman" w:hAnsi="Times New Roman"/>
                <w:sz w:val="20"/>
                <w:szCs w:val="20"/>
              </w:rPr>
              <w:t>1</w:t>
            </w:r>
          </w:p>
        </w:tc>
      </w:tr>
      <w:tr w:rsidR="007F446F" w:rsidRPr="001A54A4" w14:paraId="0DD919EC" w14:textId="77777777" w:rsidTr="001D13CE">
        <w:trPr>
          <w:trHeight w:val="273"/>
          <w:jc w:val="center"/>
        </w:trPr>
        <w:tc>
          <w:tcPr>
            <w:tcW w:w="674" w:type="pct"/>
            <w:tcBorders>
              <w:top w:val="nil"/>
              <w:left w:val="nil"/>
              <w:bottom w:val="single" w:sz="8" w:space="0" w:color="000000"/>
              <w:right w:val="nil"/>
            </w:tcBorders>
          </w:tcPr>
          <w:p w14:paraId="23AB1DD6" w14:textId="77777777" w:rsidR="007F446F" w:rsidRDefault="007F446F" w:rsidP="001D13CE">
            <w:pPr>
              <w:spacing w:after="0" w:line="360" w:lineRule="auto"/>
              <w:jc w:val="center"/>
              <w:rPr>
                <w:rFonts w:ascii="Times New Roman" w:hAnsi="Times New Roman"/>
                <w:bCs/>
                <w:color w:val="000000"/>
                <w:sz w:val="18"/>
                <w:szCs w:val="20"/>
              </w:rPr>
            </w:pPr>
          </w:p>
        </w:tc>
        <w:tc>
          <w:tcPr>
            <w:tcW w:w="186" w:type="pct"/>
            <w:tcBorders>
              <w:top w:val="nil"/>
              <w:left w:val="nil"/>
              <w:bottom w:val="single" w:sz="8" w:space="0" w:color="000000"/>
              <w:right w:val="nil"/>
            </w:tcBorders>
            <w:hideMark/>
          </w:tcPr>
          <w:p w14:paraId="76A45376" w14:textId="77777777" w:rsidR="007F446F" w:rsidRDefault="007F446F" w:rsidP="001D13CE">
            <w:pPr>
              <w:keepNext/>
              <w:keepLines/>
              <w:spacing w:after="0" w:line="360" w:lineRule="auto"/>
              <w:jc w:val="center"/>
              <w:rPr>
                <w:rFonts w:ascii="Times New Roman" w:hAnsi="Times New Roman"/>
                <w:i/>
                <w:color w:val="000000"/>
                <w:sz w:val="20"/>
                <w:szCs w:val="20"/>
              </w:rPr>
            </w:pPr>
            <w:r>
              <w:rPr>
                <w:rFonts w:ascii="Times New Roman" w:hAnsi="Times New Roman"/>
                <w:bCs/>
                <w:i/>
                <w:color w:val="000000"/>
                <w:sz w:val="20"/>
                <w:szCs w:val="20"/>
              </w:rPr>
              <w:t>D</w:t>
            </w:r>
            <w:r>
              <w:rPr>
                <w:rFonts w:ascii="Times New Roman" w:hAnsi="Times New Roman"/>
                <w:bCs/>
                <w:i/>
                <w:color w:val="000000"/>
                <w:sz w:val="20"/>
                <w:szCs w:val="20"/>
                <w:vertAlign w:val="subscript"/>
              </w:rPr>
              <w:t>r</w:t>
            </w:r>
          </w:p>
        </w:tc>
        <w:tc>
          <w:tcPr>
            <w:tcW w:w="323" w:type="pct"/>
            <w:tcBorders>
              <w:top w:val="nil"/>
              <w:left w:val="nil"/>
              <w:bottom w:val="single" w:sz="8" w:space="0" w:color="000000"/>
              <w:right w:val="nil"/>
            </w:tcBorders>
            <w:hideMark/>
          </w:tcPr>
          <w:p w14:paraId="1922C2F7" w14:textId="77777777" w:rsidR="007F446F" w:rsidRDefault="007F446F" w:rsidP="001D13CE">
            <w:pPr>
              <w:spacing w:after="0" w:line="240" w:lineRule="auto"/>
              <w:jc w:val="center"/>
              <w:rPr>
                <w:rFonts w:ascii="Times New Roman" w:eastAsia="Times New Roman" w:hAnsi="Times New Roman"/>
                <w:color w:val="000000"/>
                <w:sz w:val="20"/>
                <w:szCs w:val="20"/>
              </w:rPr>
            </w:pPr>
            <w:r>
              <w:rPr>
                <w:rFonts w:ascii="Times New Roman" w:hAnsi="Times New Roman"/>
                <w:color w:val="000000"/>
                <w:sz w:val="20"/>
                <w:szCs w:val="20"/>
              </w:rPr>
              <w:t>8</w:t>
            </w:r>
          </w:p>
        </w:tc>
        <w:tc>
          <w:tcPr>
            <w:tcW w:w="372" w:type="pct"/>
            <w:tcBorders>
              <w:top w:val="nil"/>
              <w:left w:val="nil"/>
              <w:bottom w:val="single" w:sz="8" w:space="0" w:color="000000"/>
              <w:right w:val="nil"/>
            </w:tcBorders>
            <w:hideMark/>
          </w:tcPr>
          <w:p w14:paraId="659E4330" w14:textId="77777777" w:rsidR="007F446F" w:rsidRDefault="007F446F" w:rsidP="001D13CE">
            <w:pPr>
              <w:spacing w:line="240" w:lineRule="auto"/>
              <w:jc w:val="center"/>
              <w:rPr>
                <w:rFonts w:ascii="Times New Roman" w:hAnsi="Times New Roman"/>
                <w:color w:val="000000"/>
                <w:sz w:val="20"/>
                <w:szCs w:val="20"/>
              </w:rPr>
            </w:pPr>
            <w:r>
              <w:rPr>
                <w:rFonts w:ascii="Times New Roman" w:hAnsi="Times New Roman"/>
                <w:color w:val="000000"/>
                <w:sz w:val="20"/>
                <w:szCs w:val="20"/>
              </w:rPr>
              <w:t>6</w:t>
            </w:r>
          </w:p>
        </w:tc>
        <w:tc>
          <w:tcPr>
            <w:tcW w:w="372" w:type="pct"/>
            <w:tcBorders>
              <w:top w:val="nil"/>
              <w:left w:val="nil"/>
              <w:bottom w:val="single" w:sz="8" w:space="0" w:color="000000"/>
              <w:right w:val="nil"/>
            </w:tcBorders>
            <w:hideMark/>
          </w:tcPr>
          <w:p w14:paraId="038470E4" w14:textId="77777777" w:rsidR="007F446F" w:rsidRDefault="007F446F" w:rsidP="001D13CE">
            <w:pPr>
              <w:spacing w:line="240" w:lineRule="auto"/>
              <w:jc w:val="center"/>
              <w:rPr>
                <w:rFonts w:ascii="Times New Roman" w:hAnsi="Times New Roman"/>
                <w:color w:val="000000"/>
                <w:sz w:val="20"/>
                <w:szCs w:val="20"/>
              </w:rPr>
            </w:pPr>
            <w:r>
              <w:rPr>
                <w:rFonts w:ascii="Times New Roman" w:hAnsi="Times New Roman"/>
                <w:color w:val="000000"/>
                <w:sz w:val="20"/>
                <w:szCs w:val="20"/>
              </w:rPr>
              <w:t>3</w:t>
            </w:r>
          </w:p>
        </w:tc>
        <w:tc>
          <w:tcPr>
            <w:tcW w:w="609" w:type="pct"/>
            <w:tcBorders>
              <w:top w:val="nil"/>
              <w:left w:val="nil"/>
              <w:bottom w:val="single" w:sz="8" w:space="0" w:color="000000"/>
              <w:right w:val="nil"/>
            </w:tcBorders>
            <w:hideMark/>
          </w:tcPr>
          <w:p w14:paraId="0AEB9640" w14:textId="77777777" w:rsidR="007F446F" w:rsidRDefault="007F446F" w:rsidP="001D13CE">
            <w:pPr>
              <w:spacing w:line="240" w:lineRule="auto"/>
              <w:jc w:val="center"/>
              <w:rPr>
                <w:rFonts w:ascii="Times New Roman" w:hAnsi="Times New Roman"/>
                <w:color w:val="000000"/>
                <w:sz w:val="20"/>
                <w:szCs w:val="20"/>
              </w:rPr>
            </w:pPr>
            <w:r>
              <w:rPr>
                <w:rFonts w:ascii="Times New Roman" w:hAnsi="Times New Roman"/>
                <w:color w:val="000000"/>
                <w:sz w:val="20"/>
                <w:szCs w:val="20"/>
              </w:rPr>
              <w:t>3</w:t>
            </w:r>
          </w:p>
        </w:tc>
        <w:tc>
          <w:tcPr>
            <w:tcW w:w="380" w:type="pct"/>
            <w:tcBorders>
              <w:top w:val="nil"/>
              <w:left w:val="nil"/>
              <w:bottom w:val="single" w:sz="8" w:space="0" w:color="000000"/>
              <w:right w:val="nil"/>
            </w:tcBorders>
            <w:hideMark/>
          </w:tcPr>
          <w:p w14:paraId="0AEFCA4E" w14:textId="77777777" w:rsidR="007F446F" w:rsidRDefault="007F446F" w:rsidP="001D13CE">
            <w:pPr>
              <w:spacing w:line="240" w:lineRule="auto"/>
              <w:jc w:val="center"/>
              <w:rPr>
                <w:rFonts w:ascii="Times New Roman" w:hAnsi="Times New Roman"/>
                <w:color w:val="000000"/>
                <w:sz w:val="20"/>
                <w:szCs w:val="20"/>
              </w:rPr>
            </w:pPr>
            <w:r>
              <w:rPr>
                <w:rFonts w:ascii="Times New Roman" w:hAnsi="Times New Roman"/>
                <w:color w:val="000000"/>
                <w:sz w:val="20"/>
                <w:szCs w:val="20"/>
              </w:rPr>
              <w:t>2</w:t>
            </w:r>
          </w:p>
        </w:tc>
        <w:tc>
          <w:tcPr>
            <w:tcW w:w="86" w:type="pct"/>
            <w:tcBorders>
              <w:top w:val="nil"/>
              <w:left w:val="nil"/>
              <w:bottom w:val="single" w:sz="8" w:space="0" w:color="000000"/>
              <w:right w:val="nil"/>
            </w:tcBorders>
          </w:tcPr>
          <w:p w14:paraId="2C30B687" w14:textId="77777777" w:rsidR="007F446F" w:rsidRDefault="007F446F" w:rsidP="001D13CE">
            <w:pPr>
              <w:jc w:val="center"/>
              <w:rPr>
                <w:rFonts w:ascii="Times New Roman" w:hAnsi="Times New Roman"/>
                <w:sz w:val="20"/>
                <w:szCs w:val="20"/>
              </w:rPr>
            </w:pPr>
          </w:p>
        </w:tc>
        <w:tc>
          <w:tcPr>
            <w:tcW w:w="369" w:type="pct"/>
            <w:tcBorders>
              <w:top w:val="nil"/>
              <w:left w:val="nil"/>
              <w:bottom w:val="single" w:sz="8" w:space="0" w:color="000000"/>
              <w:right w:val="nil"/>
            </w:tcBorders>
            <w:vAlign w:val="center"/>
          </w:tcPr>
          <w:p w14:paraId="63D7289D" w14:textId="77777777" w:rsidR="007F446F" w:rsidRDefault="007F446F" w:rsidP="001D13CE">
            <w:pPr>
              <w:jc w:val="center"/>
              <w:rPr>
                <w:rFonts w:ascii="Times New Roman" w:hAnsi="Times New Roman"/>
                <w:sz w:val="20"/>
                <w:szCs w:val="20"/>
              </w:rPr>
            </w:pPr>
            <w:r>
              <w:rPr>
                <w:rFonts w:ascii="Times New Roman" w:hAnsi="Times New Roman"/>
                <w:sz w:val="20"/>
                <w:szCs w:val="20"/>
              </w:rPr>
              <w:t>3</w:t>
            </w:r>
          </w:p>
        </w:tc>
        <w:tc>
          <w:tcPr>
            <w:tcW w:w="478" w:type="pct"/>
            <w:tcBorders>
              <w:top w:val="nil"/>
              <w:left w:val="nil"/>
              <w:bottom w:val="single" w:sz="8" w:space="0" w:color="000000"/>
              <w:right w:val="nil"/>
            </w:tcBorders>
            <w:vAlign w:val="center"/>
          </w:tcPr>
          <w:p w14:paraId="503E0B7E" w14:textId="77777777" w:rsidR="007F446F" w:rsidRDefault="007F446F" w:rsidP="001D13CE">
            <w:pPr>
              <w:jc w:val="center"/>
              <w:rPr>
                <w:rFonts w:ascii="Times New Roman" w:hAnsi="Times New Roman"/>
                <w:sz w:val="20"/>
                <w:szCs w:val="20"/>
              </w:rPr>
            </w:pPr>
            <w:r>
              <w:rPr>
                <w:rFonts w:ascii="Times New Roman" w:hAnsi="Times New Roman"/>
                <w:sz w:val="20"/>
                <w:szCs w:val="20"/>
              </w:rPr>
              <w:t>7</w:t>
            </w:r>
          </w:p>
        </w:tc>
        <w:tc>
          <w:tcPr>
            <w:tcW w:w="308" w:type="pct"/>
            <w:tcBorders>
              <w:top w:val="nil"/>
              <w:left w:val="nil"/>
              <w:bottom w:val="single" w:sz="8" w:space="0" w:color="000000"/>
              <w:right w:val="nil"/>
            </w:tcBorders>
            <w:vAlign w:val="center"/>
          </w:tcPr>
          <w:p w14:paraId="774BAF4C" w14:textId="77777777" w:rsidR="007F446F" w:rsidRDefault="007F446F" w:rsidP="001D13CE">
            <w:pPr>
              <w:jc w:val="center"/>
              <w:rPr>
                <w:rFonts w:ascii="Times New Roman" w:hAnsi="Times New Roman"/>
                <w:sz w:val="20"/>
                <w:szCs w:val="20"/>
              </w:rPr>
            </w:pPr>
            <w:r>
              <w:rPr>
                <w:rFonts w:ascii="Times New Roman" w:hAnsi="Times New Roman"/>
                <w:sz w:val="20"/>
                <w:szCs w:val="20"/>
              </w:rPr>
              <w:t>2</w:t>
            </w:r>
          </w:p>
        </w:tc>
        <w:tc>
          <w:tcPr>
            <w:tcW w:w="469" w:type="pct"/>
            <w:tcBorders>
              <w:top w:val="nil"/>
              <w:left w:val="nil"/>
              <w:bottom w:val="single" w:sz="8" w:space="0" w:color="000000"/>
              <w:right w:val="nil"/>
            </w:tcBorders>
            <w:vAlign w:val="center"/>
          </w:tcPr>
          <w:p w14:paraId="2D90DE3D" w14:textId="77777777" w:rsidR="007F446F" w:rsidRDefault="007F446F" w:rsidP="001D13CE">
            <w:pPr>
              <w:jc w:val="center"/>
              <w:rPr>
                <w:rFonts w:ascii="Times New Roman" w:hAnsi="Times New Roman"/>
                <w:sz w:val="20"/>
                <w:szCs w:val="20"/>
              </w:rPr>
            </w:pPr>
            <w:r>
              <w:rPr>
                <w:rFonts w:ascii="Times New Roman" w:hAnsi="Times New Roman"/>
                <w:sz w:val="20"/>
                <w:szCs w:val="20"/>
              </w:rPr>
              <w:t>2</w:t>
            </w:r>
          </w:p>
        </w:tc>
        <w:tc>
          <w:tcPr>
            <w:tcW w:w="376" w:type="pct"/>
            <w:tcBorders>
              <w:top w:val="nil"/>
              <w:left w:val="nil"/>
              <w:bottom w:val="single" w:sz="8" w:space="0" w:color="000000"/>
              <w:right w:val="nil"/>
            </w:tcBorders>
            <w:vAlign w:val="center"/>
          </w:tcPr>
          <w:p w14:paraId="29AA85BB" w14:textId="77777777" w:rsidR="007F446F" w:rsidRDefault="007F446F" w:rsidP="001D13CE">
            <w:pPr>
              <w:jc w:val="center"/>
              <w:rPr>
                <w:rFonts w:ascii="Times New Roman" w:hAnsi="Times New Roman"/>
                <w:sz w:val="20"/>
                <w:szCs w:val="20"/>
              </w:rPr>
            </w:pPr>
            <w:r>
              <w:rPr>
                <w:rFonts w:ascii="Times New Roman" w:hAnsi="Times New Roman"/>
                <w:sz w:val="20"/>
                <w:szCs w:val="20"/>
              </w:rPr>
              <w:t>7</w:t>
            </w:r>
          </w:p>
        </w:tc>
      </w:tr>
    </w:tbl>
    <w:p w14:paraId="5CC4350B" w14:textId="77777777" w:rsidR="007F446F" w:rsidRPr="00803E13" w:rsidRDefault="007F446F" w:rsidP="007F446F">
      <w:pPr>
        <w:spacing w:after="0" w:line="360" w:lineRule="auto"/>
        <w:jc w:val="both"/>
        <w:rPr>
          <w:rFonts w:ascii="Times New Roman" w:hAnsi="Times New Roman"/>
          <w:sz w:val="20"/>
          <w:szCs w:val="20"/>
        </w:rPr>
      </w:pPr>
      <w:r w:rsidRPr="00DC4D84">
        <w:rPr>
          <w:rFonts w:ascii="Times New Roman" w:hAnsi="Times New Roman"/>
          <w:i/>
          <w:sz w:val="20"/>
          <w:szCs w:val="20"/>
        </w:rPr>
        <w:t xml:space="preserve">Source: </w:t>
      </w:r>
      <w:r w:rsidRPr="00803E13">
        <w:rPr>
          <w:rFonts w:ascii="Times New Roman" w:hAnsi="Times New Roman"/>
          <w:sz w:val="20"/>
          <w:szCs w:val="20"/>
        </w:rPr>
        <w:t>Eurostat, 2013, AES.</w:t>
      </w:r>
    </w:p>
    <w:p w14:paraId="6E33DDAE" w14:textId="77777777" w:rsidR="007F446F" w:rsidRPr="00803E13" w:rsidRDefault="007F446F" w:rsidP="007F446F">
      <w:pPr>
        <w:rPr>
          <w:rFonts w:ascii="Times New Roman" w:hAnsi="Times New Roman"/>
          <w:sz w:val="20"/>
          <w:szCs w:val="20"/>
        </w:rPr>
      </w:pPr>
      <w:r w:rsidRPr="00803E13">
        <w:rPr>
          <w:rFonts w:ascii="Times New Roman" w:hAnsi="Times New Roman"/>
          <w:i/>
          <w:sz w:val="20"/>
          <w:szCs w:val="20"/>
        </w:rPr>
        <w:t xml:space="preserve">Note: </w:t>
      </w:r>
      <w:r w:rsidRPr="00803E13">
        <w:rPr>
          <w:rFonts w:ascii="Times New Roman" w:hAnsi="Times New Roman"/>
          <w:sz w:val="20"/>
          <w:szCs w:val="20"/>
        </w:rPr>
        <w:t xml:space="preserve"> Data (EU-25) are reported in percentages</w:t>
      </w:r>
      <w:r w:rsidRPr="00803E13">
        <w:rPr>
          <w:rFonts w:ascii="Times New Roman" w:hAnsi="Times New Roman"/>
          <w:i/>
          <w:sz w:val="20"/>
          <w:szCs w:val="20"/>
        </w:rPr>
        <w:t>.</w:t>
      </w:r>
    </w:p>
    <w:p w14:paraId="56CC519F" w14:textId="77777777" w:rsidR="007F446F" w:rsidRDefault="007F446F" w:rsidP="007F446F">
      <w:pPr>
        <w:spacing w:line="360" w:lineRule="auto"/>
        <w:jc w:val="both"/>
        <w:rPr>
          <w:rFonts w:ascii="Times New Roman" w:hAnsi="Times New Roman"/>
          <w:color w:val="000000"/>
          <w:sz w:val="24"/>
          <w:szCs w:val="24"/>
        </w:rPr>
      </w:pPr>
    </w:p>
    <w:p w14:paraId="776432E0" w14:textId="77777777" w:rsidR="007F446F" w:rsidRDefault="007F446F" w:rsidP="007F446F">
      <w:pPr>
        <w:ind w:left="180" w:right="1417"/>
        <w:jc w:val="both"/>
      </w:pPr>
    </w:p>
    <w:p w14:paraId="5A00ADB7" w14:textId="77777777" w:rsidR="007F446F" w:rsidRPr="00914419" w:rsidRDefault="007F446F" w:rsidP="007F446F">
      <w:pPr>
        <w:ind w:left="180" w:right="1417"/>
        <w:jc w:val="both"/>
      </w:pPr>
    </w:p>
    <w:p w14:paraId="14ACA254" w14:textId="77777777" w:rsidR="000D3147" w:rsidRDefault="000D3147" w:rsidP="002D390D">
      <w:pPr>
        <w:jc w:val="both"/>
        <w:rPr>
          <w:rFonts w:ascii="Times New Roman" w:hAnsi="Times New Roman"/>
          <w:color w:val="000000"/>
          <w:sz w:val="24"/>
          <w:szCs w:val="24"/>
        </w:rPr>
      </w:pPr>
    </w:p>
    <w:p w14:paraId="3A953608" w14:textId="77777777" w:rsidR="000D3147" w:rsidRDefault="000D3147">
      <w:pPr>
        <w:spacing w:after="0" w:line="240" w:lineRule="auto"/>
        <w:rPr>
          <w:rFonts w:ascii="Times New Roman" w:hAnsi="Times New Roman"/>
          <w:color w:val="000000"/>
          <w:sz w:val="24"/>
          <w:szCs w:val="24"/>
        </w:rPr>
      </w:pPr>
      <w:r>
        <w:rPr>
          <w:rFonts w:ascii="Times New Roman" w:hAnsi="Times New Roman"/>
          <w:color w:val="000000"/>
          <w:sz w:val="24"/>
          <w:szCs w:val="24"/>
        </w:rPr>
        <w:br w:type="page"/>
      </w:r>
    </w:p>
    <w:p w14:paraId="038FE465" w14:textId="77777777" w:rsidR="002D390D" w:rsidRPr="004C0771" w:rsidRDefault="002D390D" w:rsidP="002D390D">
      <w:pPr>
        <w:jc w:val="both"/>
        <w:rPr>
          <w:rFonts w:ascii="Times New Roman" w:hAnsi="Times New Roman"/>
          <w:color w:val="000000"/>
          <w:sz w:val="24"/>
          <w:szCs w:val="24"/>
        </w:rPr>
      </w:pPr>
    </w:p>
    <w:p w14:paraId="4AE039F6" w14:textId="77777777" w:rsidR="00D00897" w:rsidRDefault="00D00897" w:rsidP="006233DD">
      <w:pPr>
        <w:spacing w:line="480" w:lineRule="auto"/>
        <w:rPr>
          <w:rFonts w:ascii="Times New Roman" w:hAnsi="Times New Roman"/>
          <w:b/>
        </w:rPr>
      </w:pPr>
      <w:r w:rsidRPr="00C2298C">
        <w:rPr>
          <w:rFonts w:ascii="Times New Roman" w:hAnsi="Times New Roman"/>
          <w:b/>
        </w:rPr>
        <w:t>Notes</w:t>
      </w:r>
    </w:p>
    <w:p w14:paraId="5E0D6334" w14:textId="48F71B54" w:rsidR="007F446F" w:rsidRPr="00C2298C" w:rsidRDefault="007F446F" w:rsidP="006233DD">
      <w:pPr>
        <w:spacing w:line="480" w:lineRule="auto"/>
        <w:rPr>
          <w:rFonts w:ascii="Times New Roman" w:hAnsi="Times New Roman"/>
          <w:b/>
        </w:rPr>
        <w:sectPr w:rsidR="007F446F" w:rsidRPr="00C2298C" w:rsidSect="007F0E7E">
          <w:endnotePr>
            <w:numFmt w:val="decimal"/>
          </w:endnotePr>
          <w:pgSz w:w="11906" w:h="16838"/>
          <w:pgMar w:top="1417" w:right="1417" w:bottom="1417" w:left="1417" w:header="708" w:footer="708" w:gutter="0"/>
          <w:cols w:space="708"/>
          <w:docGrid w:linePitch="360"/>
        </w:sectPr>
      </w:pPr>
    </w:p>
    <w:p w14:paraId="022F4FA4" w14:textId="77777777" w:rsidR="000C555D" w:rsidRPr="00C2298C" w:rsidRDefault="001F07D2" w:rsidP="00C2298C">
      <w:pPr>
        <w:spacing w:line="480" w:lineRule="auto"/>
        <w:rPr>
          <w:rFonts w:ascii="Times New Roman" w:hAnsi="Times New Roman"/>
          <w:sz w:val="24"/>
        </w:rPr>
      </w:pPr>
      <w:r w:rsidRPr="00C2298C">
        <w:rPr>
          <w:rFonts w:ascii="Times New Roman" w:hAnsi="Times New Roman"/>
          <w:b/>
          <w:sz w:val="24"/>
        </w:rPr>
        <w:lastRenderedPageBreak/>
        <w:t>R</w:t>
      </w:r>
      <w:r w:rsidR="000C555D" w:rsidRPr="00C2298C">
        <w:rPr>
          <w:rFonts w:ascii="Times New Roman" w:hAnsi="Times New Roman"/>
          <w:b/>
          <w:sz w:val="24"/>
        </w:rPr>
        <w:t>efere</w:t>
      </w:r>
      <w:bookmarkStart w:id="5" w:name="_GoBack"/>
      <w:bookmarkEnd w:id="5"/>
      <w:r w:rsidR="000C555D" w:rsidRPr="00C2298C">
        <w:rPr>
          <w:rFonts w:ascii="Times New Roman" w:hAnsi="Times New Roman"/>
          <w:b/>
          <w:sz w:val="24"/>
        </w:rPr>
        <w:t>nces</w:t>
      </w:r>
    </w:p>
    <w:p w14:paraId="6C0EEC1D" w14:textId="6C79B691" w:rsidR="0049085B" w:rsidRPr="00782793" w:rsidRDefault="009D68BA" w:rsidP="006233DD">
      <w:pPr>
        <w:spacing w:after="0" w:line="480" w:lineRule="auto"/>
        <w:ind w:left="720" w:hanging="720"/>
        <w:rPr>
          <w:rFonts w:ascii="Times New Roman" w:hAnsi="Times New Roman"/>
          <w:szCs w:val="24"/>
          <w:lang w:val="de-DE"/>
        </w:rPr>
      </w:pPr>
      <w:r w:rsidRPr="004C0771">
        <w:rPr>
          <w:rFonts w:ascii="Times New Roman" w:hAnsi="Times New Roman"/>
          <w:sz w:val="24"/>
          <w:szCs w:val="24"/>
        </w:rPr>
        <w:fldChar w:fldCharType="begin"/>
      </w:r>
      <w:r w:rsidRPr="004C0771">
        <w:rPr>
          <w:rFonts w:ascii="Times New Roman" w:hAnsi="Times New Roman"/>
          <w:sz w:val="24"/>
          <w:szCs w:val="24"/>
        </w:rPr>
        <w:instrText xml:space="preserve"> ADDIN EN.REFLIST </w:instrText>
      </w:r>
      <w:r w:rsidRPr="004C0771">
        <w:rPr>
          <w:rFonts w:ascii="Times New Roman" w:hAnsi="Times New Roman"/>
          <w:sz w:val="24"/>
          <w:szCs w:val="24"/>
        </w:rPr>
        <w:fldChar w:fldCharType="separate"/>
      </w:r>
      <w:bookmarkStart w:id="6" w:name="_ENREF_1"/>
      <w:r w:rsidR="0049085B" w:rsidRPr="004C0771">
        <w:rPr>
          <w:rFonts w:ascii="Times New Roman" w:hAnsi="Times New Roman"/>
          <w:szCs w:val="24"/>
        </w:rPr>
        <w:t xml:space="preserve">Ammon U (2006) Language conflicts in the European Union. On finding a politically acceptable and practicable solution for EU institutions that satisfies diverging interests. </w:t>
      </w:r>
      <w:r w:rsidR="0049085B" w:rsidRPr="00782793">
        <w:rPr>
          <w:rFonts w:ascii="Times New Roman" w:hAnsi="Times New Roman"/>
          <w:i/>
          <w:szCs w:val="24"/>
          <w:lang w:val="de-DE"/>
        </w:rPr>
        <w:t>International Journal of Applied Linguistics</w:t>
      </w:r>
      <w:r w:rsidR="0049085B" w:rsidRPr="00782793">
        <w:rPr>
          <w:rFonts w:ascii="Times New Roman" w:hAnsi="Times New Roman"/>
          <w:szCs w:val="24"/>
          <w:lang w:val="de-DE"/>
        </w:rPr>
        <w:t xml:space="preserve"> 16:319-338</w:t>
      </w:r>
      <w:bookmarkEnd w:id="6"/>
      <w:r w:rsidR="00F7224F" w:rsidRPr="00782793">
        <w:rPr>
          <w:rFonts w:ascii="Times New Roman" w:hAnsi="Times New Roman"/>
          <w:szCs w:val="24"/>
          <w:lang w:val="de-DE"/>
        </w:rPr>
        <w:t>.</w:t>
      </w:r>
    </w:p>
    <w:p w14:paraId="138514D1" w14:textId="544C93A5" w:rsidR="0049085B" w:rsidRPr="007F446F" w:rsidRDefault="0049085B" w:rsidP="006233DD">
      <w:pPr>
        <w:spacing w:after="0" w:line="480" w:lineRule="auto"/>
        <w:ind w:left="720" w:hanging="720"/>
        <w:rPr>
          <w:rFonts w:ascii="Times New Roman" w:hAnsi="Times New Roman"/>
          <w:szCs w:val="24"/>
        </w:rPr>
      </w:pPr>
      <w:bookmarkStart w:id="7" w:name="_ENREF_2"/>
      <w:r w:rsidRPr="00782793">
        <w:rPr>
          <w:rFonts w:ascii="Times New Roman" w:hAnsi="Times New Roman"/>
          <w:szCs w:val="24"/>
          <w:lang w:val="de-DE"/>
        </w:rPr>
        <w:t xml:space="preserve">Ammon U (2015) </w:t>
      </w:r>
      <w:r w:rsidRPr="00782793">
        <w:rPr>
          <w:rFonts w:ascii="Times New Roman" w:hAnsi="Times New Roman"/>
          <w:i/>
          <w:szCs w:val="24"/>
          <w:lang w:val="de-DE"/>
        </w:rPr>
        <w:t>Die Stellung der deutschen Sprache in der Welt</w:t>
      </w:r>
      <w:r w:rsidR="00961C21">
        <w:rPr>
          <w:rFonts w:ascii="Times New Roman" w:hAnsi="Times New Roman"/>
          <w:i/>
          <w:szCs w:val="24"/>
          <w:lang w:val="de-DE"/>
        </w:rPr>
        <w:t>.</w:t>
      </w:r>
      <w:r w:rsidRPr="00782793">
        <w:rPr>
          <w:rFonts w:ascii="Times New Roman" w:hAnsi="Times New Roman"/>
          <w:i/>
          <w:szCs w:val="24"/>
          <w:lang w:val="de-DE"/>
        </w:rPr>
        <w:t xml:space="preserve"> </w:t>
      </w:r>
      <w:r w:rsidRPr="007F446F">
        <w:rPr>
          <w:rFonts w:ascii="Times New Roman" w:hAnsi="Times New Roman"/>
          <w:szCs w:val="24"/>
        </w:rPr>
        <w:t>De Gruyter, Berlin</w:t>
      </w:r>
      <w:bookmarkEnd w:id="7"/>
      <w:r w:rsidR="00F7224F" w:rsidRPr="007F446F">
        <w:rPr>
          <w:rFonts w:ascii="Times New Roman" w:hAnsi="Times New Roman"/>
          <w:szCs w:val="24"/>
        </w:rPr>
        <w:t>.</w:t>
      </w:r>
    </w:p>
    <w:p w14:paraId="737C5F47" w14:textId="60134A9D" w:rsidR="0049085B" w:rsidRPr="004C0771" w:rsidRDefault="0049085B" w:rsidP="006233DD">
      <w:pPr>
        <w:spacing w:after="0" w:line="480" w:lineRule="auto"/>
        <w:ind w:left="720" w:hanging="720"/>
        <w:rPr>
          <w:rFonts w:ascii="Times New Roman" w:hAnsi="Times New Roman"/>
          <w:szCs w:val="24"/>
        </w:rPr>
      </w:pPr>
      <w:bookmarkStart w:id="8" w:name="_ENREF_3"/>
      <w:r w:rsidRPr="004C0771">
        <w:rPr>
          <w:rFonts w:ascii="Times New Roman" w:hAnsi="Times New Roman"/>
          <w:szCs w:val="24"/>
        </w:rPr>
        <w:t xml:space="preserve">Archibugi D (2005) The language of democracy: Vernacular or Esperanto? A comparison between the multiculturalist and cosmopolitan perspectives. </w:t>
      </w:r>
      <w:r w:rsidRPr="004C0771">
        <w:rPr>
          <w:rFonts w:ascii="Times New Roman" w:hAnsi="Times New Roman"/>
          <w:i/>
          <w:szCs w:val="24"/>
        </w:rPr>
        <w:t>Political Studies</w:t>
      </w:r>
      <w:r w:rsidRPr="004C0771">
        <w:rPr>
          <w:rFonts w:ascii="Times New Roman" w:hAnsi="Times New Roman"/>
          <w:szCs w:val="24"/>
        </w:rPr>
        <w:t xml:space="preserve"> 53 (3):537-555</w:t>
      </w:r>
      <w:bookmarkEnd w:id="8"/>
      <w:r w:rsidR="003068D7" w:rsidRPr="004C0771">
        <w:rPr>
          <w:rFonts w:ascii="Times New Roman" w:hAnsi="Times New Roman"/>
          <w:szCs w:val="24"/>
        </w:rPr>
        <w:t>.</w:t>
      </w:r>
    </w:p>
    <w:p w14:paraId="05602055" w14:textId="0FA63D95" w:rsidR="0049085B" w:rsidRPr="004C0771" w:rsidRDefault="0049085B" w:rsidP="006233DD">
      <w:pPr>
        <w:spacing w:after="0" w:line="480" w:lineRule="auto"/>
        <w:ind w:left="720" w:hanging="720"/>
        <w:rPr>
          <w:rFonts w:ascii="Times New Roman" w:hAnsi="Times New Roman"/>
          <w:szCs w:val="24"/>
        </w:rPr>
      </w:pPr>
      <w:bookmarkStart w:id="9" w:name="_ENREF_4"/>
      <w:r w:rsidRPr="004C0771">
        <w:rPr>
          <w:rFonts w:ascii="Times New Roman" w:hAnsi="Times New Roman"/>
          <w:szCs w:val="24"/>
        </w:rPr>
        <w:t xml:space="preserve">Backus A, Gorter D, Knapp K, </w:t>
      </w:r>
      <w:r w:rsidR="003068D7" w:rsidRPr="004C0771">
        <w:rPr>
          <w:rFonts w:ascii="Times New Roman" w:hAnsi="Times New Roman"/>
          <w:szCs w:val="24"/>
        </w:rPr>
        <w:t>et al.</w:t>
      </w:r>
      <w:r w:rsidRPr="004C0771">
        <w:rPr>
          <w:rFonts w:ascii="Times New Roman" w:hAnsi="Times New Roman"/>
          <w:szCs w:val="24"/>
        </w:rPr>
        <w:t xml:space="preserve"> (2013) Inclusive Multilingualism: Concept, modes and implications. </w:t>
      </w:r>
      <w:r w:rsidRPr="004C0771">
        <w:rPr>
          <w:rFonts w:ascii="Times New Roman" w:hAnsi="Times New Roman"/>
          <w:i/>
          <w:szCs w:val="24"/>
        </w:rPr>
        <w:t>European Journal of Applied Linguistics</w:t>
      </w:r>
      <w:r w:rsidRPr="004C0771">
        <w:rPr>
          <w:rFonts w:ascii="Times New Roman" w:hAnsi="Times New Roman"/>
          <w:szCs w:val="24"/>
        </w:rPr>
        <w:t xml:space="preserve"> 1 (2):179–215</w:t>
      </w:r>
      <w:bookmarkEnd w:id="9"/>
      <w:r w:rsidR="003068D7" w:rsidRPr="004C0771">
        <w:rPr>
          <w:rFonts w:ascii="Times New Roman" w:hAnsi="Times New Roman"/>
          <w:szCs w:val="24"/>
        </w:rPr>
        <w:t>.</w:t>
      </w:r>
    </w:p>
    <w:p w14:paraId="53C501F8" w14:textId="4FEFC4DB" w:rsidR="0049085B" w:rsidRPr="00782793" w:rsidRDefault="0049085B" w:rsidP="006233DD">
      <w:pPr>
        <w:spacing w:after="0" w:line="480" w:lineRule="auto"/>
        <w:ind w:left="720" w:hanging="720"/>
        <w:rPr>
          <w:rFonts w:ascii="Times New Roman" w:hAnsi="Times New Roman"/>
          <w:szCs w:val="24"/>
          <w:lang w:val="fr-FR"/>
        </w:rPr>
      </w:pPr>
      <w:bookmarkStart w:id="10" w:name="_ENREF_5"/>
      <w:r w:rsidRPr="00782793">
        <w:rPr>
          <w:rFonts w:ascii="Times New Roman" w:hAnsi="Times New Roman"/>
          <w:szCs w:val="24"/>
          <w:lang w:val="fr-FR"/>
        </w:rPr>
        <w:t xml:space="preserve">Barbier J-C (2012) 'Une seule bannière linguistique pour une justice globale', recension de Linguistic Justice for Europe and for the World, Philippe Van Parijs. </w:t>
      </w:r>
      <w:r w:rsidRPr="00782793">
        <w:rPr>
          <w:rFonts w:ascii="Times New Roman" w:hAnsi="Times New Roman"/>
          <w:i/>
          <w:szCs w:val="24"/>
          <w:lang w:val="fr-FR"/>
        </w:rPr>
        <w:t>Revue française de science politique</w:t>
      </w:r>
      <w:r w:rsidRPr="00782793">
        <w:rPr>
          <w:rFonts w:ascii="Times New Roman" w:hAnsi="Times New Roman"/>
          <w:szCs w:val="24"/>
          <w:lang w:val="fr-FR"/>
        </w:rPr>
        <w:t xml:space="preserve"> 62 (3):469-471</w:t>
      </w:r>
      <w:bookmarkEnd w:id="10"/>
      <w:r w:rsidR="00754FA2" w:rsidRPr="00782793">
        <w:rPr>
          <w:rFonts w:ascii="Times New Roman" w:hAnsi="Times New Roman"/>
          <w:szCs w:val="24"/>
          <w:lang w:val="fr-FR"/>
        </w:rPr>
        <w:t>.</w:t>
      </w:r>
    </w:p>
    <w:p w14:paraId="47E95D90" w14:textId="51C25603" w:rsidR="0049085B" w:rsidRPr="004C0771" w:rsidRDefault="0049085B" w:rsidP="006233DD">
      <w:pPr>
        <w:spacing w:after="0" w:line="480" w:lineRule="auto"/>
        <w:ind w:left="720" w:hanging="720"/>
        <w:rPr>
          <w:rFonts w:ascii="Times New Roman" w:hAnsi="Times New Roman"/>
          <w:szCs w:val="24"/>
        </w:rPr>
      </w:pPr>
      <w:bookmarkStart w:id="11" w:name="_ENREF_6"/>
      <w:r w:rsidRPr="00782793">
        <w:rPr>
          <w:rFonts w:ascii="Times New Roman" w:hAnsi="Times New Roman"/>
          <w:szCs w:val="24"/>
          <w:lang w:val="fr-FR"/>
        </w:rPr>
        <w:t xml:space="preserve">Barbier J-C (2015) English speaking, a hidden political factor of European politics and European integration. </w:t>
      </w:r>
      <w:r w:rsidRPr="004C0771">
        <w:rPr>
          <w:rFonts w:ascii="Times New Roman" w:hAnsi="Times New Roman"/>
          <w:i/>
          <w:szCs w:val="24"/>
        </w:rPr>
        <w:t>Politiche Sociali/Social Policies</w:t>
      </w:r>
      <w:r w:rsidRPr="004C0771">
        <w:rPr>
          <w:rFonts w:ascii="Times New Roman" w:hAnsi="Times New Roman"/>
          <w:szCs w:val="24"/>
        </w:rPr>
        <w:t xml:space="preserve"> (2):185-218</w:t>
      </w:r>
      <w:bookmarkEnd w:id="11"/>
      <w:r w:rsidR="00256357" w:rsidRPr="004C0771">
        <w:rPr>
          <w:rFonts w:ascii="Times New Roman" w:hAnsi="Times New Roman"/>
          <w:szCs w:val="24"/>
        </w:rPr>
        <w:t>.</w:t>
      </w:r>
    </w:p>
    <w:p w14:paraId="36653D37" w14:textId="77777777" w:rsidR="003D64BE" w:rsidRPr="00B32727" w:rsidRDefault="003D64BE" w:rsidP="003D64BE">
      <w:pPr>
        <w:spacing w:after="0" w:line="480" w:lineRule="auto"/>
        <w:ind w:left="720" w:hanging="720"/>
        <w:rPr>
          <w:rFonts w:ascii="Times New Roman" w:hAnsi="Times New Roman"/>
          <w:szCs w:val="24"/>
          <w:lang w:val="en-US"/>
        </w:rPr>
      </w:pPr>
      <w:bookmarkStart w:id="12" w:name="_ENREF_7"/>
      <w:r>
        <w:rPr>
          <w:rFonts w:ascii="Times New Roman" w:hAnsi="Times New Roman"/>
          <w:szCs w:val="24"/>
        </w:rPr>
        <w:t xml:space="preserve">BBC (2016) </w:t>
      </w:r>
      <w:r w:rsidRPr="00B32727">
        <w:rPr>
          <w:rFonts w:ascii="Times New Roman" w:hAnsi="Times New Roman"/>
          <w:szCs w:val="24"/>
        </w:rPr>
        <w:t>Fast-talking MEPs urged to slow down for interpreters</w:t>
      </w:r>
      <w:r>
        <w:rPr>
          <w:rFonts w:ascii="Times New Roman" w:hAnsi="Times New Roman"/>
          <w:szCs w:val="24"/>
        </w:rPr>
        <w:t xml:space="preserve">, </w:t>
      </w:r>
      <w:r w:rsidRPr="00B32727">
        <w:rPr>
          <w:rFonts w:ascii="Times New Roman" w:hAnsi="Times New Roman"/>
          <w:szCs w:val="24"/>
        </w:rPr>
        <w:t>5 February 2016</w:t>
      </w:r>
      <w:r>
        <w:rPr>
          <w:rFonts w:ascii="Times New Roman" w:hAnsi="Times New Roman"/>
          <w:szCs w:val="24"/>
        </w:rPr>
        <w:t xml:space="preserve"> Available at </w:t>
      </w:r>
      <w:r w:rsidRPr="003D64BE">
        <w:rPr>
          <w:rFonts w:ascii="Times New Roman" w:hAnsi="Times New Roman"/>
          <w:szCs w:val="24"/>
        </w:rPr>
        <w:t xml:space="preserve">http://www.bbc.com/news/world-europe-35501198 </w:t>
      </w:r>
      <w:r>
        <w:rPr>
          <w:rFonts w:ascii="Times New Roman" w:hAnsi="Times New Roman"/>
          <w:szCs w:val="24"/>
        </w:rPr>
        <w:t>(accessed the 30 May 2016]).</w:t>
      </w:r>
    </w:p>
    <w:p w14:paraId="5EB72850" w14:textId="276A7F77" w:rsidR="0049085B" w:rsidRPr="004C0771" w:rsidRDefault="0049085B" w:rsidP="006233DD">
      <w:pPr>
        <w:spacing w:after="0" w:line="480" w:lineRule="auto"/>
        <w:ind w:left="720" w:hanging="720"/>
        <w:rPr>
          <w:rFonts w:ascii="Times New Roman" w:hAnsi="Times New Roman"/>
          <w:szCs w:val="24"/>
        </w:rPr>
      </w:pPr>
      <w:r w:rsidRPr="004C0771">
        <w:rPr>
          <w:rFonts w:ascii="Times New Roman" w:hAnsi="Times New Roman"/>
          <w:szCs w:val="24"/>
        </w:rPr>
        <w:t xml:space="preserve">Christiansen PV (2006) Language policy in the European Union. European/ English/ Elite/ Equal/ Esperanto Union? </w:t>
      </w:r>
      <w:r w:rsidRPr="004C0771">
        <w:rPr>
          <w:rFonts w:ascii="Times New Roman" w:hAnsi="Times New Roman"/>
          <w:i/>
          <w:szCs w:val="24"/>
        </w:rPr>
        <w:t>Language Problems &amp; Language Planning</w:t>
      </w:r>
      <w:r w:rsidRPr="004C0771">
        <w:rPr>
          <w:rFonts w:ascii="Times New Roman" w:hAnsi="Times New Roman"/>
          <w:szCs w:val="24"/>
        </w:rPr>
        <w:t xml:space="preserve"> 30 (1):2-44</w:t>
      </w:r>
      <w:bookmarkEnd w:id="12"/>
      <w:r w:rsidR="00256357" w:rsidRPr="004C0771">
        <w:rPr>
          <w:rFonts w:ascii="Times New Roman" w:hAnsi="Times New Roman"/>
          <w:szCs w:val="24"/>
        </w:rPr>
        <w:t>.</w:t>
      </w:r>
    </w:p>
    <w:p w14:paraId="33927E73" w14:textId="77954296" w:rsidR="0049085B" w:rsidRPr="004C0771" w:rsidRDefault="0049085B" w:rsidP="006233DD">
      <w:pPr>
        <w:spacing w:after="0" w:line="480" w:lineRule="auto"/>
        <w:ind w:left="720" w:hanging="720"/>
        <w:rPr>
          <w:rFonts w:ascii="Times New Roman" w:hAnsi="Times New Roman"/>
          <w:szCs w:val="24"/>
        </w:rPr>
      </w:pPr>
      <w:bookmarkStart w:id="13" w:name="_ENREF_8"/>
      <w:r w:rsidRPr="004C0771">
        <w:rPr>
          <w:rFonts w:ascii="Times New Roman" w:hAnsi="Times New Roman"/>
          <w:szCs w:val="24"/>
        </w:rPr>
        <w:t>Cogo A</w:t>
      </w:r>
      <w:r w:rsidR="00256357" w:rsidRPr="004C0771">
        <w:rPr>
          <w:rFonts w:ascii="Times New Roman" w:hAnsi="Times New Roman"/>
          <w:szCs w:val="24"/>
        </w:rPr>
        <w:t xml:space="preserve"> and</w:t>
      </w:r>
      <w:r w:rsidRPr="004C0771">
        <w:rPr>
          <w:rFonts w:ascii="Times New Roman" w:hAnsi="Times New Roman"/>
          <w:szCs w:val="24"/>
        </w:rPr>
        <w:t xml:space="preserve"> Jenkins J (2010) English as a lingua franca in Europe. A mismatch between policy and practice. </w:t>
      </w:r>
      <w:r w:rsidRPr="004C0771">
        <w:rPr>
          <w:rFonts w:ascii="Times New Roman" w:hAnsi="Times New Roman"/>
          <w:i/>
          <w:szCs w:val="24"/>
        </w:rPr>
        <w:t>European Journal of Language Policy</w:t>
      </w:r>
      <w:r w:rsidRPr="004C0771">
        <w:rPr>
          <w:rFonts w:ascii="Times New Roman" w:hAnsi="Times New Roman"/>
          <w:szCs w:val="24"/>
        </w:rPr>
        <w:t xml:space="preserve"> 2 (2):271–294</w:t>
      </w:r>
      <w:bookmarkEnd w:id="13"/>
      <w:r w:rsidR="00256357" w:rsidRPr="004C0771">
        <w:rPr>
          <w:rFonts w:ascii="Times New Roman" w:hAnsi="Times New Roman"/>
          <w:szCs w:val="24"/>
        </w:rPr>
        <w:t>.</w:t>
      </w:r>
    </w:p>
    <w:p w14:paraId="1609BF26" w14:textId="5AD4C58B" w:rsidR="0049085B" w:rsidRPr="004C0771" w:rsidRDefault="0049085B" w:rsidP="006233DD">
      <w:pPr>
        <w:spacing w:after="0" w:line="480" w:lineRule="auto"/>
        <w:ind w:left="720" w:hanging="720"/>
        <w:rPr>
          <w:rFonts w:ascii="Times New Roman" w:hAnsi="Times New Roman"/>
          <w:szCs w:val="24"/>
        </w:rPr>
      </w:pPr>
      <w:bookmarkStart w:id="14" w:name="_ENREF_9"/>
      <w:r w:rsidRPr="004C0771">
        <w:rPr>
          <w:rFonts w:ascii="Times New Roman" w:hAnsi="Times New Roman"/>
          <w:szCs w:val="24"/>
        </w:rPr>
        <w:t xml:space="preserve">De Schutter H (2007) Language policy and political philosophy: On the emerging linguistic justice debate. </w:t>
      </w:r>
      <w:r w:rsidRPr="004C0771">
        <w:rPr>
          <w:rFonts w:ascii="Times New Roman" w:hAnsi="Times New Roman"/>
          <w:i/>
          <w:szCs w:val="24"/>
        </w:rPr>
        <w:t>Language Problems &amp; Language Planning</w:t>
      </w:r>
      <w:r w:rsidRPr="004C0771">
        <w:rPr>
          <w:rFonts w:ascii="Times New Roman" w:hAnsi="Times New Roman"/>
          <w:szCs w:val="24"/>
        </w:rPr>
        <w:t xml:space="preserve"> 31 (1):1-23</w:t>
      </w:r>
      <w:bookmarkEnd w:id="14"/>
      <w:r w:rsidR="00256357" w:rsidRPr="004C0771">
        <w:rPr>
          <w:rFonts w:ascii="Times New Roman" w:hAnsi="Times New Roman"/>
          <w:szCs w:val="24"/>
        </w:rPr>
        <w:t>.</w:t>
      </w:r>
    </w:p>
    <w:p w14:paraId="0EF6BF38" w14:textId="01B8072F" w:rsidR="0049085B" w:rsidRPr="004C0771" w:rsidRDefault="0049085B" w:rsidP="006233DD">
      <w:pPr>
        <w:spacing w:after="0" w:line="480" w:lineRule="auto"/>
        <w:ind w:left="720" w:hanging="720"/>
        <w:rPr>
          <w:rFonts w:ascii="Times New Roman" w:hAnsi="Times New Roman"/>
          <w:szCs w:val="24"/>
        </w:rPr>
      </w:pPr>
      <w:bookmarkStart w:id="15" w:name="_ENREF_10"/>
      <w:r w:rsidRPr="004C0771">
        <w:rPr>
          <w:rFonts w:ascii="Times New Roman" w:hAnsi="Times New Roman"/>
          <w:szCs w:val="24"/>
        </w:rPr>
        <w:t>De Schutter H</w:t>
      </w:r>
      <w:r w:rsidR="00256357" w:rsidRPr="004C0771">
        <w:rPr>
          <w:rFonts w:ascii="Times New Roman" w:hAnsi="Times New Roman"/>
          <w:szCs w:val="24"/>
        </w:rPr>
        <w:t xml:space="preserve"> and</w:t>
      </w:r>
      <w:r w:rsidRPr="004C0771">
        <w:rPr>
          <w:rFonts w:ascii="Times New Roman" w:hAnsi="Times New Roman"/>
          <w:szCs w:val="24"/>
        </w:rPr>
        <w:t xml:space="preserve"> Robichaud D (eds) (2015) </w:t>
      </w:r>
      <w:r w:rsidRPr="004C0771">
        <w:rPr>
          <w:rFonts w:ascii="Times New Roman" w:hAnsi="Times New Roman"/>
          <w:i/>
          <w:szCs w:val="24"/>
        </w:rPr>
        <w:t>Linguistic justice. Van Parijs and his critics</w:t>
      </w:r>
      <w:r w:rsidRPr="004C0771">
        <w:rPr>
          <w:rFonts w:ascii="Times New Roman" w:hAnsi="Times New Roman"/>
          <w:szCs w:val="24"/>
        </w:rPr>
        <w:t>. Special issue of Critical Review of International S</w:t>
      </w:r>
      <w:r w:rsidR="00303CF4">
        <w:rPr>
          <w:rFonts w:ascii="Times New Roman" w:hAnsi="Times New Roman"/>
          <w:szCs w:val="24"/>
        </w:rPr>
        <w:t xml:space="preserve">ocial and Political Philosophy </w:t>
      </w:r>
      <w:r w:rsidRPr="004C0771">
        <w:rPr>
          <w:rFonts w:ascii="Times New Roman" w:hAnsi="Times New Roman"/>
          <w:szCs w:val="24"/>
        </w:rPr>
        <w:t>18</w:t>
      </w:r>
      <w:r w:rsidR="00303CF4">
        <w:rPr>
          <w:rFonts w:ascii="Times New Roman" w:hAnsi="Times New Roman"/>
          <w:szCs w:val="24"/>
        </w:rPr>
        <w:t>(</w:t>
      </w:r>
      <w:r w:rsidRPr="004C0771">
        <w:rPr>
          <w:rFonts w:ascii="Times New Roman" w:hAnsi="Times New Roman"/>
          <w:szCs w:val="24"/>
        </w:rPr>
        <w:t>2)</w:t>
      </w:r>
      <w:bookmarkEnd w:id="15"/>
      <w:r w:rsidR="00303CF4">
        <w:rPr>
          <w:rFonts w:ascii="Times New Roman" w:hAnsi="Times New Roman"/>
          <w:szCs w:val="24"/>
        </w:rPr>
        <w:t>.</w:t>
      </w:r>
    </w:p>
    <w:p w14:paraId="2B12737A" w14:textId="45966A0A" w:rsidR="0049085B" w:rsidRPr="004C0771" w:rsidRDefault="0049085B" w:rsidP="006233DD">
      <w:pPr>
        <w:spacing w:after="0" w:line="480" w:lineRule="auto"/>
        <w:ind w:left="720" w:hanging="720"/>
        <w:rPr>
          <w:rFonts w:ascii="Times New Roman" w:hAnsi="Times New Roman"/>
          <w:szCs w:val="24"/>
        </w:rPr>
      </w:pPr>
      <w:bookmarkStart w:id="16" w:name="_ENREF_11"/>
      <w:r w:rsidRPr="004C0771">
        <w:rPr>
          <w:rFonts w:ascii="Times New Roman" w:hAnsi="Times New Roman"/>
          <w:szCs w:val="24"/>
        </w:rPr>
        <w:t xml:space="preserve">De Swaan A (2001) </w:t>
      </w:r>
      <w:r w:rsidRPr="004C0771">
        <w:rPr>
          <w:rFonts w:ascii="Times New Roman" w:hAnsi="Times New Roman"/>
          <w:i/>
          <w:szCs w:val="24"/>
        </w:rPr>
        <w:t>Words of the world. The global language system</w:t>
      </w:r>
      <w:r w:rsidRPr="004C0771">
        <w:rPr>
          <w:rFonts w:ascii="Times New Roman" w:hAnsi="Times New Roman"/>
          <w:szCs w:val="24"/>
        </w:rPr>
        <w:t>. Polity Press, Cambridge (UK)</w:t>
      </w:r>
      <w:bookmarkEnd w:id="16"/>
      <w:r w:rsidR="001C1B26" w:rsidRPr="004C0771">
        <w:rPr>
          <w:rFonts w:ascii="Times New Roman" w:hAnsi="Times New Roman"/>
          <w:szCs w:val="24"/>
        </w:rPr>
        <w:t>.</w:t>
      </w:r>
    </w:p>
    <w:p w14:paraId="7DE4E8A2" w14:textId="25623709" w:rsidR="0049085B" w:rsidRPr="00782793" w:rsidRDefault="0049085B" w:rsidP="006233DD">
      <w:pPr>
        <w:spacing w:after="0" w:line="480" w:lineRule="auto"/>
        <w:ind w:left="720" w:hanging="720"/>
        <w:rPr>
          <w:rFonts w:ascii="Times New Roman" w:hAnsi="Times New Roman"/>
          <w:szCs w:val="24"/>
          <w:lang w:val="fr-FR"/>
        </w:rPr>
      </w:pPr>
      <w:bookmarkStart w:id="17" w:name="_ENREF_12"/>
      <w:r w:rsidRPr="004C0771">
        <w:rPr>
          <w:rFonts w:ascii="Times New Roman" w:hAnsi="Times New Roman"/>
          <w:szCs w:val="24"/>
        </w:rPr>
        <w:lastRenderedPageBreak/>
        <w:t xml:space="preserve">European Commission (2008) Impact assessment. Accompanying document to the communication </w:t>
      </w:r>
      <w:r w:rsidR="001C1B26" w:rsidRPr="004C0771">
        <w:rPr>
          <w:rFonts w:ascii="Times New Roman" w:hAnsi="Times New Roman"/>
          <w:szCs w:val="24"/>
        </w:rPr>
        <w:t>'</w:t>
      </w:r>
      <w:r w:rsidRPr="004C0771">
        <w:rPr>
          <w:rFonts w:ascii="Times New Roman" w:hAnsi="Times New Roman"/>
          <w:szCs w:val="24"/>
        </w:rPr>
        <w:t>Multilingualism: an asset for Europe and a shared commitment</w:t>
      </w:r>
      <w:r w:rsidR="001C1B26" w:rsidRPr="004C0771">
        <w:rPr>
          <w:rFonts w:ascii="Times New Roman" w:hAnsi="Times New Roman"/>
          <w:szCs w:val="24"/>
        </w:rPr>
        <w:t>'</w:t>
      </w:r>
      <w:r w:rsidRPr="004C0771">
        <w:rPr>
          <w:rFonts w:ascii="Times New Roman" w:hAnsi="Times New Roman"/>
          <w:szCs w:val="24"/>
        </w:rPr>
        <w:t xml:space="preserve">. </w:t>
      </w:r>
      <w:r w:rsidRPr="00782793">
        <w:rPr>
          <w:rFonts w:ascii="Times New Roman" w:hAnsi="Times New Roman"/>
          <w:szCs w:val="24"/>
          <w:lang w:val="fr-FR"/>
        </w:rPr>
        <w:t>European Commission, Brussels</w:t>
      </w:r>
      <w:bookmarkEnd w:id="17"/>
      <w:r w:rsidR="001C1B26" w:rsidRPr="00782793">
        <w:rPr>
          <w:rFonts w:ascii="Times New Roman" w:hAnsi="Times New Roman"/>
          <w:szCs w:val="24"/>
          <w:lang w:val="fr-FR"/>
        </w:rPr>
        <w:t>.</w:t>
      </w:r>
    </w:p>
    <w:p w14:paraId="51BD7C79" w14:textId="4FF29100" w:rsidR="0049085B" w:rsidRPr="004C0771" w:rsidRDefault="0049085B" w:rsidP="006233DD">
      <w:pPr>
        <w:spacing w:after="0" w:line="480" w:lineRule="auto"/>
        <w:ind w:left="720" w:hanging="720"/>
        <w:rPr>
          <w:rFonts w:ascii="Times New Roman" w:hAnsi="Times New Roman"/>
          <w:szCs w:val="24"/>
        </w:rPr>
      </w:pPr>
      <w:bookmarkStart w:id="18" w:name="_ENREF_13"/>
      <w:r w:rsidRPr="00782793">
        <w:rPr>
          <w:rFonts w:ascii="Times New Roman" w:hAnsi="Times New Roman"/>
          <w:szCs w:val="24"/>
          <w:lang w:val="fr-FR"/>
        </w:rPr>
        <w:t xml:space="preserve">European Commission (2010a) Contribution de la traduction à la société multilingue dans l'Union européenne. </w:t>
      </w:r>
      <w:r w:rsidRPr="004C0771">
        <w:rPr>
          <w:rFonts w:ascii="Times New Roman" w:hAnsi="Times New Roman"/>
          <w:szCs w:val="24"/>
        </w:rPr>
        <w:t>European Commission. Directorate-General for Translation, Brussels</w:t>
      </w:r>
      <w:bookmarkEnd w:id="18"/>
      <w:r w:rsidR="001C1B26" w:rsidRPr="004C0771">
        <w:rPr>
          <w:rFonts w:ascii="Times New Roman" w:hAnsi="Times New Roman"/>
          <w:szCs w:val="24"/>
        </w:rPr>
        <w:t>.</w:t>
      </w:r>
    </w:p>
    <w:p w14:paraId="6D5CFDE7" w14:textId="27B188B7" w:rsidR="0049085B" w:rsidRPr="004C0771" w:rsidRDefault="0049085B" w:rsidP="006233DD">
      <w:pPr>
        <w:spacing w:after="0" w:line="480" w:lineRule="auto"/>
        <w:ind w:left="720" w:hanging="720"/>
        <w:rPr>
          <w:rFonts w:ascii="Times New Roman" w:hAnsi="Times New Roman"/>
          <w:szCs w:val="24"/>
        </w:rPr>
      </w:pPr>
      <w:bookmarkStart w:id="19" w:name="_ENREF_14"/>
      <w:r w:rsidRPr="004C0771">
        <w:rPr>
          <w:rFonts w:ascii="Times New Roman" w:hAnsi="Times New Roman"/>
          <w:szCs w:val="24"/>
        </w:rPr>
        <w:t>European Commission (2010b) Youth on the Move. An initiative to unleash the potential of young people to achieve smart, sustainable and inclusive growth in the European Union. European Commission, Luxembourg</w:t>
      </w:r>
      <w:bookmarkEnd w:id="19"/>
      <w:r w:rsidR="001C1B26" w:rsidRPr="004C0771">
        <w:rPr>
          <w:rFonts w:ascii="Times New Roman" w:hAnsi="Times New Roman"/>
          <w:szCs w:val="24"/>
        </w:rPr>
        <w:t>.</w:t>
      </w:r>
    </w:p>
    <w:p w14:paraId="23857FDB" w14:textId="60D6948B" w:rsidR="0049085B" w:rsidRPr="004C0771" w:rsidRDefault="0049085B" w:rsidP="006233DD">
      <w:pPr>
        <w:spacing w:after="0" w:line="480" w:lineRule="auto"/>
        <w:ind w:left="720" w:hanging="720"/>
        <w:rPr>
          <w:rFonts w:ascii="Times New Roman" w:hAnsi="Times New Roman"/>
          <w:szCs w:val="24"/>
        </w:rPr>
      </w:pPr>
      <w:bookmarkStart w:id="20" w:name="_ENREF_15"/>
      <w:r w:rsidRPr="004C0771">
        <w:rPr>
          <w:rFonts w:ascii="Times New Roman" w:hAnsi="Times New Roman"/>
          <w:szCs w:val="24"/>
        </w:rPr>
        <w:t>European Commission (2012a) Europeans and their languages. European Commission, Brussels</w:t>
      </w:r>
      <w:bookmarkEnd w:id="20"/>
      <w:r w:rsidR="001C1B26" w:rsidRPr="004C0771">
        <w:rPr>
          <w:rFonts w:ascii="Times New Roman" w:hAnsi="Times New Roman"/>
          <w:szCs w:val="24"/>
        </w:rPr>
        <w:t>.</w:t>
      </w:r>
    </w:p>
    <w:p w14:paraId="5386AEA1" w14:textId="230D7DF3" w:rsidR="0049085B" w:rsidRPr="004C0771" w:rsidRDefault="0049085B" w:rsidP="006233DD">
      <w:pPr>
        <w:spacing w:after="0" w:line="480" w:lineRule="auto"/>
        <w:ind w:left="720" w:hanging="720"/>
        <w:rPr>
          <w:rFonts w:ascii="Times New Roman" w:hAnsi="Times New Roman"/>
          <w:szCs w:val="24"/>
        </w:rPr>
      </w:pPr>
      <w:bookmarkStart w:id="21" w:name="_ENREF_16"/>
      <w:r w:rsidRPr="004C0771">
        <w:rPr>
          <w:rFonts w:ascii="Times New Roman" w:hAnsi="Times New Roman"/>
          <w:szCs w:val="24"/>
        </w:rPr>
        <w:t>European Commission (2012b) First European survey on language competences. Executive summary. European Commission, Brussels</w:t>
      </w:r>
      <w:bookmarkEnd w:id="21"/>
      <w:r w:rsidR="001C1B26" w:rsidRPr="004C0771">
        <w:rPr>
          <w:rFonts w:ascii="Times New Roman" w:hAnsi="Times New Roman"/>
          <w:szCs w:val="24"/>
        </w:rPr>
        <w:t>.</w:t>
      </w:r>
    </w:p>
    <w:p w14:paraId="70E6278F" w14:textId="57A5AADE" w:rsidR="0049085B" w:rsidRPr="004C0771" w:rsidRDefault="0049085B" w:rsidP="006233DD">
      <w:pPr>
        <w:spacing w:after="0" w:line="480" w:lineRule="auto"/>
        <w:ind w:left="720" w:hanging="720"/>
        <w:rPr>
          <w:rFonts w:ascii="Times New Roman" w:hAnsi="Times New Roman"/>
          <w:szCs w:val="24"/>
        </w:rPr>
      </w:pPr>
      <w:bookmarkStart w:id="22" w:name="_ENREF_17"/>
      <w:r w:rsidRPr="004C0771">
        <w:rPr>
          <w:rFonts w:ascii="Times New Roman" w:hAnsi="Times New Roman"/>
          <w:szCs w:val="24"/>
        </w:rPr>
        <w:t>Eurydice (2012) Key Data on Teaching Languages at School in Europe 2012. European Commission, Brussels</w:t>
      </w:r>
      <w:bookmarkEnd w:id="22"/>
      <w:r w:rsidR="001C1B26" w:rsidRPr="004C0771">
        <w:rPr>
          <w:rFonts w:ascii="Times New Roman" w:hAnsi="Times New Roman"/>
          <w:szCs w:val="24"/>
        </w:rPr>
        <w:t>.</w:t>
      </w:r>
    </w:p>
    <w:p w14:paraId="48888752" w14:textId="0BF83F37" w:rsidR="0049085B" w:rsidRPr="004C0771" w:rsidRDefault="0049085B" w:rsidP="006233DD">
      <w:pPr>
        <w:spacing w:after="0" w:line="480" w:lineRule="auto"/>
        <w:ind w:left="720" w:hanging="720"/>
        <w:rPr>
          <w:rFonts w:ascii="Times New Roman" w:hAnsi="Times New Roman"/>
          <w:szCs w:val="24"/>
        </w:rPr>
      </w:pPr>
      <w:bookmarkStart w:id="23" w:name="_ENREF_18"/>
      <w:r w:rsidRPr="004C0771">
        <w:rPr>
          <w:rFonts w:ascii="Times New Roman" w:hAnsi="Times New Roman"/>
          <w:szCs w:val="24"/>
        </w:rPr>
        <w:t>Fidrmuc J</w:t>
      </w:r>
      <w:r w:rsidR="001C1B26" w:rsidRPr="004C0771">
        <w:rPr>
          <w:rFonts w:ascii="Times New Roman" w:hAnsi="Times New Roman"/>
          <w:szCs w:val="24"/>
        </w:rPr>
        <w:t xml:space="preserve"> and</w:t>
      </w:r>
      <w:r w:rsidRPr="004C0771">
        <w:rPr>
          <w:rFonts w:ascii="Times New Roman" w:hAnsi="Times New Roman"/>
          <w:szCs w:val="24"/>
        </w:rPr>
        <w:t xml:space="preserve"> Ginsburgh V (2007) Languages in the European Union: The quest for equality and its cost. </w:t>
      </w:r>
      <w:r w:rsidRPr="004C0771">
        <w:rPr>
          <w:rFonts w:ascii="Times New Roman" w:hAnsi="Times New Roman"/>
          <w:i/>
          <w:szCs w:val="24"/>
        </w:rPr>
        <w:t>European Economic Review</w:t>
      </w:r>
      <w:r w:rsidRPr="004C0771">
        <w:rPr>
          <w:rFonts w:ascii="Times New Roman" w:hAnsi="Times New Roman"/>
          <w:szCs w:val="24"/>
        </w:rPr>
        <w:t xml:space="preserve"> 51:1351-1369</w:t>
      </w:r>
      <w:bookmarkEnd w:id="23"/>
      <w:r w:rsidR="001C1B26" w:rsidRPr="004C0771">
        <w:rPr>
          <w:rFonts w:ascii="Times New Roman" w:hAnsi="Times New Roman"/>
          <w:szCs w:val="24"/>
        </w:rPr>
        <w:t>.</w:t>
      </w:r>
    </w:p>
    <w:p w14:paraId="38BC1DB2" w14:textId="4D9DC9BE" w:rsidR="0049085B" w:rsidRPr="004C0771" w:rsidRDefault="0049085B" w:rsidP="006233DD">
      <w:pPr>
        <w:spacing w:after="0" w:line="480" w:lineRule="auto"/>
        <w:ind w:left="720" w:hanging="720"/>
        <w:rPr>
          <w:rFonts w:ascii="Times New Roman" w:hAnsi="Times New Roman"/>
          <w:szCs w:val="24"/>
        </w:rPr>
      </w:pPr>
      <w:bookmarkStart w:id="24" w:name="_ENREF_19"/>
      <w:r w:rsidRPr="004C0771">
        <w:rPr>
          <w:rFonts w:ascii="Times New Roman" w:hAnsi="Times New Roman"/>
          <w:szCs w:val="24"/>
        </w:rPr>
        <w:t>Fidrmuc J, Ginsburgh V</w:t>
      </w:r>
      <w:r w:rsidR="00DB081C" w:rsidRPr="004C0771">
        <w:rPr>
          <w:rFonts w:ascii="Times New Roman" w:hAnsi="Times New Roman"/>
          <w:szCs w:val="24"/>
        </w:rPr>
        <w:t xml:space="preserve"> and</w:t>
      </w:r>
      <w:r w:rsidRPr="004C0771">
        <w:rPr>
          <w:rFonts w:ascii="Times New Roman" w:hAnsi="Times New Roman"/>
          <w:szCs w:val="24"/>
        </w:rPr>
        <w:t xml:space="preserve"> Weber S (2009) Voting on the choice of core languages in the European Union. </w:t>
      </w:r>
      <w:r w:rsidRPr="004C0771">
        <w:rPr>
          <w:rFonts w:ascii="Times New Roman" w:hAnsi="Times New Roman"/>
          <w:i/>
          <w:szCs w:val="24"/>
        </w:rPr>
        <w:t>European Journal of Political Economy</w:t>
      </w:r>
      <w:r w:rsidRPr="004C0771">
        <w:rPr>
          <w:rFonts w:ascii="Times New Roman" w:hAnsi="Times New Roman"/>
          <w:szCs w:val="24"/>
        </w:rPr>
        <w:t xml:space="preserve"> 25 (1):56–62</w:t>
      </w:r>
      <w:bookmarkEnd w:id="24"/>
      <w:r w:rsidR="00DB081C" w:rsidRPr="004C0771">
        <w:rPr>
          <w:rFonts w:ascii="Times New Roman" w:hAnsi="Times New Roman"/>
          <w:szCs w:val="24"/>
        </w:rPr>
        <w:t>.</w:t>
      </w:r>
    </w:p>
    <w:p w14:paraId="23CC0564" w14:textId="0302B3A9" w:rsidR="0049085B" w:rsidRPr="004C0771" w:rsidRDefault="0049085B" w:rsidP="006233DD">
      <w:pPr>
        <w:spacing w:after="0" w:line="480" w:lineRule="auto"/>
        <w:ind w:left="720" w:hanging="720"/>
        <w:rPr>
          <w:rFonts w:ascii="Times New Roman" w:hAnsi="Times New Roman"/>
          <w:szCs w:val="24"/>
        </w:rPr>
      </w:pPr>
      <w:bookmarkStart w:id="25" w:name="_ENREF_20"/>
      <w:r w:rsidRPr="004C0771">
        <w:rPr>
          <w:rFonts w:ascii="Times New Roman" w:hAnsi="Times New Roman"/>
          <w:szCs w:val="24"/>
        </w:rPr>
        <w:t>Fidrmuc J, Ginsburgh V</w:t>
      </w:r>
      <w:r w:rsidR="00DB081C" w:rsidRPr="004C0771">
        <w:rPr>
          <w:rFonts w:ascii="Times New Roman" w:hAnsi="Times New Roman"/>
          <w:szCs w:val="24"/>
        </w:rPr>
        <w:t xml:space="preserve"> and</w:t>
      </w:r>
      <w:r w:rsidRPr="004C0771">
        <w:rPr>
          <w:rFonts w:ascii="Times New Roman" w:hAnsi="Times New Roman"/>
          <w:szCs w:val="24"/>
        </w:rPr>
        <w:t xml:space="preserve"> Weber S (2010) Scenarios beyond unanimity: Could a qualified majority of Member States alleviate the burden of multilingualism in Europe? </w:t>
      </w:r>
      <w:r w:rsidRPr="00782793">
        <w:rPr>
          <w:rFonts w:ascii="Times New Roman" w:hAnsi="Times New Roman"/>
          <w:szCs w:val="24"/>
          <w:lang w:val="fr-FR"/>
        </w:rPr>
        <w:t>In: Hanf D, Malacek K</w:t>
      </w:r>
      <w:r w:rsidR="00DB081C" w:rsidRPr="00782793">
        <w:rPr>
          <w:rFonts w:ascii="Times New Roman" w:hAnsi="Times New Roman"/>
          <w:szCs w:val="24"/>
          <w:lang w:val="fr-FR"/>
        </w:rPr>
        <w:t xml:space="preserve"> and</w:t>
      </w:r>
      <w:r w:rsidRPr="00782793">
        <w:rPr>
          <w:rFonts w:ascii="Times New Roman" w:hAnsi="Times New Roman"/>
          <w:szCs w:val="24"/>
          <w:lang w:val="fr-FR"/>
        </w:rPr>
        <w:t xml:space="preserve"> Muir E (eds) </w:t>
      </w:r>
      <w:r w:rsidRPr="00782793">
        <w:rPr>
          <w:rFonts w:ascii="Times New Roman" w:hAnsi="Times New Roman"/>
          <w:i/>
          <w:szCs w:val="24"/>
          <w:lang w:val="fr-FR"/>
        </w:rPr>
        <w:t>Langues et construction européenne</w:t>
      </w:r>
      <w:r w:rsidRPr="00782793">
        <w:rPr>
          <w:rFonts w:ascii="Times New Roman" w:hAnsi="Times New Roman"/>
          <w:szCs w:val="24"/>
          <w:lang w:val="fr-FR"/>
        </w:rPr>
        <w:t xml:space="preserve">. </w:t>
      </w:r>
      <w:r w:rsidRPr="004C0771">
        <w:rPr>
          <w:rFonts w:ascii="Times New Roman" w:hAnsi="Times New Roman"/>
          <w:szCs w:val="24"/>
        </w:rPr>
        <w:t>Peter Lang, Brussels, pp 259-279</w:t>
      </w:r>
      <w:bookmarkEnd w:id="25"/>
      <w:r w:rsidR="00DB081C" w:rsidRPr="004C0771">
        <w:rPr>
          <w:rFonts w:ascii="Times New Roman" w:hAnsi="Times New Roman"/>
          <w:szCs w:val="24"/>
        </w:rPr>
        <w:t>.</w:t>
      </w:r>
    </w:p>
    <w:p w14:paraId="64F78AFE" w14:textId="0ED867F5" w:rsidR="0049085B" w:rsidRPr="00782793" w:rsidRDefault="0049085B" w:rsidP="006233DD">
      <w:pPr>
        <w:spacing w:after="0" w:line="480" w:lineRule="auto"/>
        <w:ind w:left="720" w:hanging="720"/>
        <w:rPr>
          <w:rFonts w:ascii="Times New Roman" w:hAnsi="Times New Roman"/>
          <w:szCs w:val="24"/>
          <w:lang w:val="it-IT"/>
        </w:rPr>
      </w:pPr>
      <w:bookmarkStart w:id="26" w:name="_ENREF_21"/>
      <w:r w:rsidRPr="004C0771">
        <w:rPr>
          <w:rFonts w:ascii="Times New Roman" w:hAnsi="Times New Roman"/>
          <w:szCs w:val="24"/>
        </w:rPr>
        <w:t xml:space="preserve">Gazzola M (2006) Managing multilingualism in the European Union: Language policy evaluation for the European Parliament. </w:t>
      </w:r>
      <w:r w:rsidRPr="00782793">
        <w:rPr>
          <w:rFonts w:ascii="Times New Roman" w:hAnsi="Times New Roman"/>
          <w:i/>
          <w:szCs w:val="24"/>
          <w:lang w:val="it-IT"/>
        </w:rPr>
        <w:t>Language Policy</w:t>
      </w:r>
      <w:r w:rsidRPr="00782793">
        <w:rPr>
          <w:rFonts w:ascii="Times New Roman" w:hAnsi="Times New Roman"/>
          <w:szCs w:val="24"/>
          <w:lang w:val="it-IT"/>
        </w:rPr>
        <w:t xml:space="preserve"> 5 (4):393-417</w:t>
      </w:r>
      <w:bookmarkEnd w:id="26"/>
      <w:r w:rsidR="00DB081C" w:rsidRPr="00782793">
        <w:rPr>
          <w:rFonts w:ascii="Times New Roman" w:hAnsi="Times New Roman"/>
          <w:szCs w:val="24"/>
          <w:lang w:val="it-IT"/>
        </w:rPr>
        <w:t>.</w:t>
      </w:r>
    </w:p>
    <w:p w14:paraId="079C1EEC" w14:textId="1F18EB23" w:rsidR="0049085B" w:rsidRPr="00782793" w:rsidRDefault="0049085B" w:rsidP="006233DD">
      <w:pPr>
        <w:spacing w:after="0" w:line="480" w:lineRule="auto"/>
        <w:ind w:left="720" w:hanging="720"/>
        <w:rPr>
          <w:rFonts w:ascii="Times New Roman" w:hAnsi="Times New Roman"/>
          <w:szCs w:val="24"/>
          <w:lang w:val="it-IT"/>
        </w:rPr>
      </w:pPr>
      <w:bookmarkStart w:id="27" w:name="_ENREF_22"/>
      <w:r w:rsidRPr="00782793">
        <w:rPr>
          <w:rFonts w:ascii="Times New Roman" w:hAnsi="Times New Roman"/>
          <w:szCs w:val="24"/>
          <w:lang w:val="it-IT"/>
        </w:rPr>
        <w:t xml:space="preserve">Gazzola M (2014) Partecipazione, esclusione linguistica e traduzione: Una valutazione del regime linguistico dell’Unione europea. </w:t>
      </w:r>
      <w:r w:rsidRPr="00782793">
        <w:rPr>
          <w:rFonts w:ascii="Times New Roman" w:hAnsi="Times New Roman"/>
          <w:i/>
          <w:szCs w:val="24"/>
          <w:lang w:val="it-IT"/>
        </w:rPr>
        <w:t>Studi Italiani di Linguistica Teorica e Applicata</w:t>
      </w:r>
      <w:r w:rsidRPr="00782793">
        <w:rPr>
          <w:rFonts w:ascii="Times New Roman" w:hAnsi="Times New Roman"/>
          <w:szCs w:val="24"/>
          <w:lang w:val="it-IT"/>
        </w:rPr>
        <w:t xml:space="preserve"> 43 (2):227-264</w:t>
      </w:r>
      <w:bookmarkEnd w:id="27"/>
      <w:r w:rsidR="00DB081C" w:rsidRPr="00782793">
        <w:rPr>
          <w:rFonts w:ascii="Times New Roman" w:hAnsi="Times New Roman"/>
          <w:szCs w:val="24"/>
          <w:lang w:val="it-IT"/>
        </w:rPr>
        <w:t>.</w:t>
      </w:r>
    </w:p>
    <w:p w14:paraId="0B5B05C0" w14:textId="19B31823" w:rsidR="0049085B" w:rsidRPr="004C0771" w:rsidRDefault="0049085B" w:rsidP="006233DD">
      <w:pPr>
        <w:spacing w:after="0" w:line="480" w:lineRule="auto"/>
        <w:ind w:left="720" w:hanging="720"/>
        <w:rPr>
          <w:rFonts w:ascii="Times New Roman" w:hAnsi="Times New Roman"/>
          <w:szCs w:val="24"/>
        </w:rPr>
      </w:pPr>
      <w:bookmarkStart w:id="28" w:name="_ENREF_23"/>
      <w:r w:rsidRPr="00782793">
        <w:rPr>
          <w:rFonts w:ascii="Times New Roman" w:hAnsi="Times New Roman"/>
          <w:szCs w:val="24"/>
          <w:lang w:val="it-IT"/>
        </w:rPr>
        <w:t>Gazzola M</w:t>
      </w:r>
      <w:r w:rsidR="00F871F1" w:rsidRPr="00782793">
        <w:rPr>
          <w:rFonts w:ascii="Times New Roman" w:hAnsi="Times New Roman"/>
          <w:szCs w:val="24"/>
          <w:lang w:val="it-IT"/>
        </w:rPr>
        <w:t xml:space="preserve"> and</w:t>
      </w:r>
      <w:r w:rsidRPr="00782793">
        <w:rPr>
          <w:rFonts w:ascii="Times New Roman" w:hAnsi="Times New Roman"/>
          <w:szCs w:val="24"/>
          <w:lang w:val="it-IT"/>
        </w:rPr>
        <w:t xml:space="preserve"> Grin F (2013) Is ELF more effective and fair than translation? </w:t>
      </w:r>
      <w:r w:rsidRPr="004C0771">
        <w:rPr>
          <w:rFonts w:ascii="Times New Roman" w:hAnsi="Times New Roman"/>
          <w:szCs w:val="24"/>
        </w:rPr>
        <w:t xml:space="preserve">An evaluation of the EU’s multilingual regime. </w:t>
      </w:r>
      <w:r w:rsidRPr="004C0771">
        <w:rPr>
          <w:rFonts w:ascii="Times New Roman" w:hAnsi="Times New Roman"/>
          <w:i/>
          <w:szCs w:val="24"/>
        </w:rPr>
        <w:t>International Journal of Applied Linguistics</w:t>
      </w:r>
      <w:r w:rsidRPr="004C0771">
        <w:rPr>
          <w:rFonts w:ascii="Times New Roman" w:hAnsi="Times New Roman"/>
          <w:szCs w:val="24"/>
        </w:rPr>
        <w:t xml:space="preserve"> 23 (1):93-107</w:t>
      </w:r>
      <w:bookmarkEnd w:id="28"/>
      <w:r w:rsidR="00F871F1" w:rsidRPr="004C0771">
        <w:rPr>
          <w:rFonts w:ascii="Times New Roman" w:hAnsi="Times New Roman"/>
          <w:szCs w:val="24"/>
        </w:rPr>
        <w:t>.</w:t>
      </w:r>
    </w:p>
    <w:p w14:paraId="3DF84B33" w14:textId="63991D08" w:rsidR="0049085B" w:rsidRPr="004C0771" w:rsidRDefault="0049085B" w:rsidP="006233DD">
      <w:pPr>
        <w:spacing w:after="0" w:line="480" w:lineRule="auto"/>
        <w:ind w:left="720" w:hanging="720"/>
        <w:rPr>
          <w:rFonts w:ascii="Times New Roman" w:hAnsi="Times New Roman"/>
          <w:szCs w:val="24"/>
        </w:rPr>
      </w:pPr>
      <w:bookmarkStart w:id="29" w:name="_ENREF_24"/>
      <w:r w:rsidRPr="004C0771">
        <w:rPr>
          <w:rFonts w:ascii="Times New Roman" w:hAnsi="Times New Roman"/>
          <w:szCs w:val="24"/>
        </w:rPr>
        <w:lastRenderedPageBreak/>
        <w:t>Gazzola M</w:t>
      </w:r>
      <w:r w:rsidR="00303CF4">
        <w:rPr>
          <w:rFonts w:ascii="Times New Roman" w:hAnsi="Times New Roman"/>
          <w:szCs w:val="24"/>
        </w:rPr>
        <w:t>,</w:t>
      </w:r>
      <w:r w:rsidRPr="004C0771">
        <w:rPr>
          <w:rFonts w:ascii="Times New Roman" w:hAnsi="Times New Roman"/>
          <w:szCs w:val="24"/>
        </w:rPr>
        <w:t xml:space="preserve"> Grin F</w:t>
      </w:r>
      <w:r w:rsidR="00625F42" w:rsidRPr="004C0771">
        <w:rPr>
          <w:rFonts w:ascii="Times New Roman" w:hAnsi="Times New Roman"/>
          <w:szCs w:val="24"/>
        </w:rPr>
        <w:t xml:space="preserve"> and</w:t>
      </w:r>
      <w:r w:rsidRPr="004C0771">
        <w:rPr>
          <w:rFonts w:ascii="Times New Roman" w:hAnsi="Times New Roman"/>
          <w:szCs w:val="24"/>
        </w:rPr>
        <w:t xml:space="preserve"> Wickström B-A (2016) A concise bibliography of language economics. In: Gazzola M, Wickström B-A (eds) </w:t>
      </w:r>
      <w:r w:rsidRPr="004C0771">
        <w:rPr>
          <w:rFonts w:ascii="Times New Roman" w:hAnsi="Times New Roman"/>
          <w:i/>
          <w:szCs w:val="24"/>
        </w:rPr>
        <w:t>The Economics of Language Policy</w:t>
      </w:r>
      <w:r w:rsidRPr="004C0771">
        <w:rPr>
          <w:rFonts w:ascii="Times New Roman" w:hAnsi="Times New Roman"/>
          <w:szCs w:val="24"/>
        </w:rPr>
        <w:t>. MIT Press, Cambridge (MA), pp 53-92</w:t>
      </w:r>
      <w:bookmarkEnd w:id="29"/>
      <w:r w:rsidR="00625F42" w:rsidRPr="004C0771">
        <w:rPr>
          <w:rFonts w:ascii="Times New Roman" w:hAnsi="Times New Roman"/>
          <w:szCs w:val="24"/>
        </w:rPr>
        <w:t>.</w:t>
      </w:r>
    </w:p>
    <w:p w14:paraId="7969C30F" w14:textId="7F33BF37" w:rsidR="0049085B" w:rsidRPr="004C0771" w:rsidRDefault="0049085B" w:rsidP="006233DD">
      <w:pPr>
        <w:spacing w:after="0" w:line="480" w:lineRule="auto"/>
        <w:ind w:left="720" w:hanging="720"/>
        <w:rPr>
          <w:rFonts w:ascii="Times New Roman" w:hAnsi="Times New Roman"/>
          <w:szCs w:val="24"/>
        </w:rPr>
      </w:pPr>
      <w:bookmarkStart w:id="30" w:name="_ENREF_25"/>
      <w:r w:rsidRPr="004C0771">
        <w:rPr>
          <w:rFonts w:ascii="Times New Roman" w:hAnsi="Times New Roman"/>
          <w:szCs w:val="24"/>
        </w:rPr>
        <w:t xml:space="preserve">Gerhards J (2014) Transnational </w:t>
      </w:r>
      <w:r w:rsidR="00961C21">
        <w:rPr>
          <w:rFonts w:ascii="Times New Roman" w:hAnsi="Times New Roman"/>
          <w:szCs w:val="24"/>
        </w:rPr>
        <w:t>l</w:t>
      </w:r>
      <w:r w:rsidR="00961C21" w:rsidRPr="004C0771">
        <w:rPr>
          <w:rFonts w:ascii="Times New Roman" w:hAnsi="Times New Roman"/>
          <w:szCs w:val="24"/>
        </w:rPr>
        <w:t xml:space="preserve">inguistic </w:t>
      </w:r>
      <w:r w:rsidR="00961C21">
        <w:rPr>
          <w:rFonts w:ascii="Times New Roman" w:hAnsi="Times New Roman"/>
          <w:szCs w:val="24"/>
        </w:rPr>
        <w:t>c</w:t>
      </w:r>
      <w:r w:rsidR="00961C21" w:rsidRPr="004C0771">
        <w:rPr>
          <w:rFonts w:ascii="Times New Roman" w:hAnsi="Times New Roman"/>
          <w:szCs w:val="24"/>
        </w:rPr>
        <w:t>apital</w:t>
      </w:r>
      <w:r w:rsidRPr="004C0771">
        <w:rPr>
          <w:rFonts w:ascii="Times New Roman" w:hAnsi="Times New Roman"/>
          <w:szCs w:val="24"/>
        </w:rPr>
        <w:t xml:space="preserve">. Explaining </w:t>
      </w:r>
      <w:r w:rsidR="00961C21">
        <w:rPr>
          <w:rFonts w:ascii="Times New Roman" w:hAnsi="Times New Roman"/>
          <w:szCs w:val="24"/>
        </w:rPr>
        <w:t>m</w:t>
      </w:r>
      <w:r w:rsidR="00961C21" w:rsidRPr="004C0771">
        <w:rPr>
          <w:rFonts w:ascii="Times New Roman" w:hAnsi="Times New Roman"/>
          <w:szCs w:val="24"/>
        </w:rPr>
        <w:t xml:space="preserve">ultilingualism </w:t>
      </w:r>
      <w:r w:rsidRPr="004C0771">
        <w:rPr>
          <w:rFonts w:ascii="Times New Roman" w:hAnsi="Times New Roman"/>
          <w:szCs w:val="24"/>
        </w:rPr>
        <w:t xml:space="preserve">and English </w:t>
      </w:r>
      <w:r w:rsidR="00961C21">
        <w:rPr>
          <w:rFonts w:ascii="Times New Roman" w:hAnsi="Times New Roman"/>
          <w:szCs w:val="24"/>
        </w:rPr>
        <w:t>p</w:t>
      </w:r>
      <w:r w:rsidR="00961C21" w:rsidRPr="004C0771">
        <w:rPr>
          <w:rFonts w:ascii="Times New Roman" w:hAnsi="Times New Roman"/>
          <w:szCs w:val="24"/>
        </w:rPr>
        <w:t xml:space="preserve">roficiency </w:t>
      </w:r>
      <w:r w:rsidRPr="004C0771">
        <w:rPr>
          <w:rFonts w:ascii="Times New Roman" w:hAnsi="Times New Roman"/>
          <w:szCs w:val="24"/>
        </w:rPr>
        <w:t xml:space="preserve">in 27 </w:t>
      </w:r>
      <w:r w:rsidR="00961C21">
        <w:rPr>
          <w:rFonts w:ascii="Times New Roman" w:hAnsi="Times New Roman"/>
          <w:szCs w:val="24"/>
        </w:rPr>
        <w:t>c</w:t>
      </w:r>
      <w:r w:rsidR="00961C21" w:rsidRPr="004C0771">
        <w:rPr>
          <w:rFonts w:ascii="Times New Roman" w:hAnsi="Times New Roman"/>
          <w:szCs w:val="24"/>
        </w:rPr>
        <w:t>ountries</w:t>
      </w:r>
      <w:r w:rsidRPr="004C0771">
        <w:rPr>
          <w:rFonts w:ascii="Times New Roman" w:hAnsi="Times New Roman"/>
          <w:szCs w:val="24"/>
        </w:rPr>
        <w:t xml:space="preserve">. </w:t>
      </w:r>
      <w:r w:rsidRPr="004C0771">
        <w:rPr>
          <w:rFonts w:ascii="Times New Roman" w:hAnsi="Times New Roman"/>
          <w:i/>
          <w:szCs w:val="24"/>
        </w:rPr>
        <w:t>International Sociology</w:t>
      </w:r>
      <w:r w:rsidRPr="004C0771">
        <w:rPr>
          <w:rFonts w:ascii="Times New Roman" w:hAnsi="Times New Roman"/>
          <w:szCs w:val="24"/>
        </w:rPr>
        <w:t xml:space="preserve"> 29 (1):56-74</w:t>
      </w:r>
      <w:bookmarkEnd w:id="30"/>
      <w:r w:rsidR="00625F42" w:rsidRPr="004C0771">
        <w:rPr>
          <w:rFonts w:ascii="Times New Roman" w:hAnsi="Times New Roman"/>
          <w:szCs w:val="24"/>
        </w:rPr>
        <w:t>.</w:t>
      </w:r>
    </w:p>
    <w:p w14:paraId="696D06FD" w14:textId="03FB98BF" w:rsidR="0049085B" w:rsidRPr="004C0771" w:rsidRDefault="0049085B" w:rsidP="006233DD">
      <w:pPr>
        <w:spacing w:after="0" w:line="480" w:lineRule="auto"/>
        <w:ind w:left="720" w:hanging="720"/>
        <w:rPr>
          <w:rFonts w:ascii="Times New Roman" w:hAnsi="Times New Roman"/>
          <w:szCs w:val="24"/>
        </w:rPr>
      </w:pPr>
      <w:bookmarkStart w:id="31" w:name="_ENREF_26"/>
      <w:r w:rsidRPr="004C0771">
        <w:rPr>
          <w:rFonts w:ascii="Times New Roman" w:hAnsi="Times New Roman"/>
          <w:szCs w:val="24"/>
        </w:rPr>
        <w:t>Ginsburgh V</w:t>
      </w:r>
      <w:r w:rsidR="001A37E2" w:rsidRPr="004C0771">
        <w:rPr>
          <w:rFonts w:ascii="Times New Roman" w:hAnsi="Times New Roman"/>
          <w:szCs w:val="24"/>
        </w:rPr>
        <w:t xml:space="preserve"> and</w:t>
      </w:r>
      <w:r w:rsidRPr="004C0771">
        <w:rPr>
          <w:rFonts w:ascii="Times New Roman" w:hAnsi="Times New Roman"/>
          <w:szCs w:val="24"/>
        </w:rPr>
        <w:t xml:space="preserve"> Weber S (2005) Language disenfranchisement in the European Union. </w:t>
      </w:r>
      <w:r w:rsidRPr="004C0771">
        <w:rPr>
          <w:rFonts w:ascii="Times New Roman" w:hAnsi="Times New Roman"/>
          <w:i/>
          <w:szCs w:val="24"/>
        </w:rPr>
        <w:t>Journal of Common Market Studies</w:t>
      </w:r>
      <w:r w:rsidRPr="004C0771">
        <w:rPr>
          <w:rFonts w:ascii="Times New Roman" w:hAnsi="Times New Roman"/>
          <w:szCs w:val="24"/>
        </w:rPr>
        <w:t xml:space="preserve"> 43 (2):273-286</w:t>
      </w:r>
      <w:bookmarkEnd w:id="31"/>
      <w:r w:rsidR="001A37E2" w:rsidRPr="004C0771">
        <w:rPr>
          <w:rFonts w:ascii="Times New Roman" w:hAnsi="Times New Roman"/>
          <w:szCs w:val="24"/>
        </w:rPr>
        <w:t>.</w:t>
      </w:r>
    </w:p>
    <w:p w14:paraId="16B21186" w14:textId="3C7B0491" w:rsidR="0049085B" w:rsidRPr="004C0771" w:rsidRDefault="0049085B" w:rsidP="006233DD">
      <w:pPr>
        <w:spacing w:after="0" w:line="480" w:lineRule="auto"/>
        <w:ind w:left="720" w:hanging="720"/>
        <w:rPr>
          <w:rFonts w:ascii="Times New Roman" w:hAnsi="Times New Roman"/>
          <w:szCs w:val="24"/>
        </w:rPr>
      </w:pPr>
      <w:bookmarkStart w:id="32" w:name="_ENREF_27"/>
      <w:r w:rsidRPr="004C0771">
        <w:rPr>
          <w:rFonts w:ascii="Times New Roman" w:hAnsi="Times New Roman"/>
          <w:szCs w:val="24"/>
        </w:rPr>
        <w:t xml:space="preserve">Gobbo F (2005) The European Union’s need for an international auxiliary language. </w:t>
      </w:r>
      <w:r w:rsidRPr="004C0771">
        <w:rPr>
          <w:rFonts w:ascii="Times New Roman" w:hAnsi="Times New Roman"/>
          <w:i/>
          <w:szCs w:val="24"/>
        </w:rPr>
        <w:t>Journal of Universal Language</w:t>
      </w:r>
      <w:r w:rsidRPr="004C0771">
        <w:rPr>
          <w:rFonts w:ascii="Times New Roman" w:hAnsi="Times New Roman"/>
          <w:szCs w:val="24"/>
        </w:rPr>
        <w:t xml:space="preserve"> 6:1-28</w:t>
      </w:r>
      <w:bookmarkEnd w:id="32"/>
      <w:r w:rsidR="00F0705C" w:rsidRPr="004C0771">
        <w:rPr>
          <w:rFonts w:ascii="Times New Roman" w:hAnsi="Times New Roman"/>
          <w:szCs w:val="24"/>
        </w:rPr>
        <w:t>.</w:t>
      </w:r>
    </w:p>
    <w:p w14:paraId="4856ED96" w14:textId="21FADCD7" w:rsidR="0049085B" w:rsidRPr="004C0771" w:rsidRDefault="0049085B" w:rsidP="006233DD">
      <w:pPr>
        <w:spacing w:after="0" w:line="480" w:lineRule="auto"/>
        <w:ind w:left="720" w:hanging="720"/>
        <w:rPr>
          <w:rFonts w:ascii="Times New Roman" w:hAnsi="Times New Roman"/>
          <w:szCs w:val="24"/>
        </w:rPr>
      </w:pPr>
      <w:bookmarkStart w:id="33" w:name="_ENREF_28"/>
      <w:r w:rsidRPr="004C0771">
        <w:rPr>
          <w:rFonts w:ascii="Times New Roman" w:hAnsi="Times New Roman"/>
          <w:szCs w:val="24"/>
        </w:rPr>
        <w:t xml:space="preserve">Grin F (2003) Language planning and economics. </w:t>
      </w:r>
      <w:r w:rsidRPr="004C0771">
        <w:rPr>
          <w:rFonts w:ascii="Times New Roman" w:hAnsi="Times New Roman"/>
          <w:i/>
          <w:szCs w:val="24"/>
        </w:rPr>
        <w:t>Current Issues in Language Planning</w:t>
      </w:r>
      <w:r w:rsidRPr="004C0771">
        <w:rPr>
          <w:rFonts w:ascii="Times New Roman" w:hAnsi="Times New Roman"/>
          <w:szCs w:val="24"/>
        </w:rPr>
        <w:t xml:space="preserve"> 4 (1):1-66</w:t>
      </w:r>
      <w:bookmarkEnd w:id="33"/>
      <w:r w:rsidR="003D30B7" w:rsidRPr="004C0771">
        <w:rPr>
          <w:rFonts w:ascii="Times New Roman" w:hAnsi="Times New Roman"/>
          <w:szCs w:val="24"/>
        </w:rPr>
        <w:t>.</w:t>
      </w:r>
    </w:p>
    <w:p w14:paraId="49E57E44" w14:textId="55AC190D" w:rsidR="0049085B" w:rsidRPr="00782793" w:rsidRDefault="0049085B" w:rsidP="006233DD">
      <w:pPr>
        <w:spacing w:after="0" w:line="480" w:lineRule="auto"/>
        <w:ind w:left="720" w:hanging="720"/>
        <w:rPr>
          <w:rFonts w:ascii="Times New Roman" w:hAnsi="Times New Roman"/>
          <w:szCs w:val="24"/>
          <w:lang w:val="fr-FR"/>
        </w:rPr>
      </w:pPr>
      <w:bookmarkStart w:id="34" w:name="_ENREF_29"/>
      <w:r w:rsidRPr="00782793">
        <w:rPr>
          <w:rFonts w:ascii="Times New Roman" w:hAnsi="Times New Roman"/>
          <w:szCs w:val="24"/>
          <w:lang w:val="fr-FR"/>
        </w:rPr>
        <w:t xml:space="preserve">Grin F (2004) L'anglais comme </w:t>
      </w:r>
      <w:r w:rsidRPr="00782793">
        <w:rPr>
          <w:rFonts w:ascii="Times New Roman" w:hAnsi="Times New Roman"/>
          <w:i/>
          <w:szCs w:val="24"/>
          <w:lang w:val="fr-FR"/>
        </w:rPr>
        <w:t>lingua franca</w:t>
      </w:r>
      <w:r w:rsidR="00782793">
        <w:rPr>
          <w:rFonts w:ascii="Times New Roman" w:hAnsi="Times New Roman"/>
          <w:i/>
          <w:szCs w:val="24"/>
          <w:lang w:val="fr-FR"/>
        </w:rPr>
        <w:t xml:space="preserve"> </w:t>
      </w:r>
      <w:r w:rsidRPr="00782793">
        <w:rPr>
          <w:rFonts w:ascii="Times New Roman" w:hAnsi="Times New Roman"/>
          <w:i/>
          <w:szCs w:val="24"/>
          <w:lang w:val="fr-FR"/>
        </w:rPr>
        <w:t xml:space="preserve">: </w:t>
      </w:r>
      <w:r w:rsidRPr="00782793">
        <w:rPr>
          <w:rFonts w:ascii="Times New Roman" w:hAnsi="Times New Roman"/>
          <w:szCs w:val="24"/>
          <w:lang w:val="fr-FR"/>
        </w:rPr>
        <w:t xml:space="preserve">questions de coût et d'équité. Commentaire sur l'article de Philippe Van Parijs. </w:t>
      </w:r>
      <w:r w:rsidRPr="00782793">
        <w:rPr>
          <w:rFonts w:ascii="Times New Roman" w:hAnsi="Times New Roman"/>
          <w:i/>
          <w:szCs w:val="24"/>
          <w:lang w:val="fr-FR"/>
        </w:rPr>
        <w:t>Économie publique</w:t>
      </w:r>
      <w:r w:rsidRPr="00782793">
        <w:rPr>
          <w:rFonts w:ascii="Times New Roman" w:hAnsi="Times New Roman"/>
          <w:szCs w:val="24"/>
          <w:lang w:val="fr-FR"/>
        </w:rPr>
        <w:t xml:space="preserve"> 15 (2):33-41</w:t>
      </w:r>
      <w:bookmarkEnd w:id="34"/>
      <w:r w:rsidR="003D30B7" w:rsidRPr="00782793">
        <w:rPr>
          <w:rFonts w:ascii="Times New Roman" w:hAnsi="Times New Roman"/>
          <w:szCs w:val="24"/>
          <w:lang w:val="fr-FR"/>
        </w:rPr>
        <w:t>.</w:t>
      </w:r>
    </w:p>
    <w:p w14:paraId="0429CA54" w14:textId="661F8CE2" w:rsidR="0049085B" w:rsidRPr="00782793" w:rsidRDefault="0049085B" w:rsidP="006233DD">
      <w:pPr>
        <w:spacing w:after="0" w:line="480" w:lineRule="auto"/>
        <w:ind w:left="720" w:hanging="720"/>
        <w:rPr>
          <w:rFonts w:ascii="Times New Roman" w:hAnsi="Times New Roman"/>
          <w:szCs w:val="24"/>
          <w:lang w:val="fr-FR"/>
        </w:rPr>
      </w:pPr>
      <w:bookmarkStart w:id="35" w:name="_ENREF_30"/>
      <w:r w:rsidRPr="00782793">
        <w:rPr>
          <w:rFonts w:ascii="Times New Roman" w:hAnsi="Times New Roman"/>
          <w:szCs w:val="24"/>
          <w:lang w:val="fr-FR"/>
        </w:rPr>
        <w:t>Grin F</w:t>
      </w:r>
      <w:r w:rsidR="003D30B7" w:rsidRPr="00782793">
        <w:rPr>
          <w:rFonts w:ascii="Times New Roman" w:hAnsi="Times New Roman"/>
          <w:szCs w:val="24"/>
          <w:lang w:val="fr-FR"/>
        </w:rPr>
        <w:t xml:space="preserve"> and</w:t>
      </w:r>
      <w:r w:rsidRPr="00782793">
        <w:rPr>
          <w:rFonts w:ascii="Times New Roman" w:hAnsi="Times New Roman"/>
          <w:szCs w:val="24"/>
          <w:lang w:val="fr-FR"/>
        </w:rPr>
        <w:t xml:space="preserve"> Vaillancourt F (1997) The economics of multilingualism: Overview and analytical framework. </w:t>
      </w:r>
      <w:r w:rsidRPr="00782793">
        <w:rPr>
          <w:rFonts w:ascii="Times New Roman" w:hAnsi="Times New Roman"/>
          <w:i/>
          <w:szCs w:val="24"/>
          <w:lang w:val="fr-FR"/>
        </w:rPr>
        <w:t>Annual Review of Applied Linguistics</w:t>
      </w:r>
      <w:r w:rsidRPr="00782793">
        <w:rPr>
          <w:rFonts w:ascii="Times New Roman" w:hAnsi="Times New Roman"/>
          <w:szCs w:val="24"/>
          <w:lang w:val="fr-FR"/>
        </w:rPr>
        <w:t xml:space="preserve"> 17:43-65</w:t>
      </w:r>
      <w:bookmarkEnd w:id="35"/>
      <w:r w:rsidR="003D30B7" w:rsidRPr="00782793">
        <w:rPr>
          <w:rFonts w:ascii="Times New Roman" w:hAnsi="Times New Roman"/>
          <w:szCs w:val="24"/>
          <w:lang w:val="fr-FR"/>
        </w:rPr>
        <w:t>.</w:t>
      </w:r>
    </w:p>
    <w:p w14:paraId="5243A0E7" w14:textId="636CAE77" w:rsidR="0049085B" w:rsidRPr="00782793" w:rsidRDefault="0049085B" w:rsidP="006233DD">
      <w:pPr>
        <w:spacing w:after="0" w:line="480" w:lineRule="auto"/>
        <w:ind w:left="720" w:hanging="720"/>
        <w:rPr>
          <w:rFonts w:ascii="Times New Roman" w:hAnsi="Times New Roman"/>
          <w:szCs w:val="24"/>
          <w:lang w:val="fr-FR"/>
        </w:rPr>
      </w:pPr>
      <w:bookmarkStart w:id="36" w:name="_ENREF_31"/>
      <w:r w:rsidRPr="00782793">
        <w:rPr>
          <w:rFonts w:ascii="Times New Roman" w:hAnsi="Times New Roman"/>
          <w:szCs w:val="24"/>
          <w:lang w:val="fr-FR"/>
        </w:rPr>
        <w:t>Hanf D, Malacek K</w:t>
      </w:r>
      <w:r w:rsidR="00DC7731" w:rsidRPr="00782793">
        <w:rPr>
          <w:rFonts w:ascii="Times New Roman" w:hAnsi="Times New Roman"/>
          <w:szCs w:val="24"/>
          <w:lang w:val="fr-FR"/>
        </w:rPr>
        <w:t xml:space="preserve"> and</w:t>
      </w:r>
      <w:r w:rsidRPr="00782793">
        <w:rPr>
          <w:rFonts w:ascii="Times New Roman" w:hAnsi="Times New Roman"/>
          <w:szCs w:val="24"/>
          <w:lang w:val="fr-FR"/>
        </w:rPr>
        <w:t xml:space="preserve"> Muir E (eds) (2010) </w:t>
      </w:r>
      <w:r w:rsidRPr="00782793">
        <w:rPr>
          <w:rFonts w:ascii="Times New Roman" w:hAnsi="Times New Roman"/>
          <w:i/>
          <w:szCs w:val="24"/>
          <w:lang w:val="fr-FR"/>
        </w:rPr>
        <w:t>Langues et construction européenne</w:t>
      </w:r>
      <w:r w:rsidRPr="00782793">
        <w:rPr>
          <w:rFonts w:ascii="Times New Roman" w:hAnsi="Times New Roman"/>
          <w:szCs w:val="24"/>
          <w:lang w:val="fr-FR"/>
        </w:rPr>
        <w:t>. Peter Lang, Brussels</w:t>
      </w:r>
      <w:bookmarkEnd w:id="36"/>
      <w:r w:rsidR="00DC7731" w:rsidRPr="00782793">
        <w:rPr>
          <w:rFonts w:ascii="Times New Roman" w:hAnsi="Times New Roman"/>
          <w:szCs w:val="24"/>
          <w:lang w:val="fr-FR"/>
        </w:rPr>
        <w:t>.</w:t>
      </w:r>
    </w:p>
    <w:p w14:paraId="07809417" w14:textId="3B5A72E1" w:rsidR="0049085B" w:rsidRPr="004C0771" w:rsidRDefault="0049085B" w:rsidP="006233DD">
      <w:pPr>
        <w:spacing w:after="0" w:line="480" w:lineRule="auto"/>
        <w:ind w:left="720" w:hanging="720"/>
        <w:rPr>
          <w:rFonts w:ascii="Times New Roman" w:hAnsi="Times New Roman"/>
          <w:szCs w:val="24"/>
        </w:rPr>
      </w:pPr>
      <w:bookmarkStart w:id="37" w:name="_ENREF_32"/>
      <w:r w:rsidRPr="004C0771">
        <w:rPr>
          <w:rFonts w:ascii="Times New Roman" w:hAnsi="Times New Roman"/>
          <w:szCs w:val="24"/>
        </w:rPr>
        <w:t xml:space="preserve">Ives P (2004) Language, representation, and suprastate democracy: Questions facing the European Union. In: Laycock D (ed) </w:t>
      </w:r>
      <w:r w:rsidRPr="004C0771">
        <w:rPr>
          <w:rFonts w:ascii="Times New Roman" w:hAnsi="Times New Roman"/>
          <w:i/>
          <w:szCs w:val="24"/>
        </w:rPr>
        <w:t>Representation and Democratic Theory</w:t>
      </w:r>
      <w:r w:rsidRPr="004C0771">
        <w:rPr>
          <w:rFonts w:ascii="Times New Roman" w:hAnsi="Times New Roman"/>
          <w:szCs w:val="24"/>
        </w:rPr>
        <w:t>. UBC Press, Vancouver, pp 23-47</w:t>
      </w:r>
      <w:bookmarkEnd w:id="37"/>
      <w:r w:rsidR="00DC7731" w:rsidRPr="004C0771">
        <w:rPr>
          <w:rFonts w:ascii="Times New Roman" w:hAnsi="Times New Roman"/>
          <w:szCs w:val="24"/>
        </w:rPr>
        <w:t>.</w:t>
      </w:r>
    </w:p>
    <w:p w14:paraId="6ABDE57C" w14:textId="5B6DE871" w:rsidR="0049085B" w:rsidRPr="004C0771" w:rsidRDefault="0049085B" w:rsidP="006233DD">
      <w:pPr>
        <w:spacing w:after="0" w:line="480" w:lineRule="auto"/>
        <w:ind w:left="720" w:hanging="720"/>
        <w:rPr>
          <w:rFonts w:ascii="Times New Roman" w:hAnsi="Times New Roman"/>
          <w:szCs w:val="24"/>
        </w:rPr>
      </w:pPr>
      <w:bookmarkStart w:id="38" w:name="_ENREF_33"/>
      <w:r w:rsidRPr="004C0771">
        <w:rPr>
          <w:rFonts w:ascii="Times New Roman" w:hAnsi="Times New Roman"/>
          <w:szCs w:val="24"/>
        </w:rPr>
        <w:t>Just RE, Hueth DL</w:t>
      </w:r>
      <w:r w:rsidR="00DC7731" w:rsidRPr="004C0771">
        <w:rPr>
          <w:rFonts w:ascii="Times New Roman" w:hAnsi="Times New Roman"/>
          <w:szCs w:val="24"/>
        </w:rPr>
        <w:t xml:space="preserve"> and</w:t>
      </w:r>
      <w:r w:rsidRPr="004C0771">
        <w:rPr>
          <w:rFonts w:ascii="Times New Roman" w:hAnsi="Times New Roman"/>
          <w:szCs w:val="24"/>
        </w:rPr>
        <w:t xml:space="preserve"> Schmitz A (2004) </w:t>
      </w:r>
      <w:r w:rsidRPr="004C0771">
        <w:rPr>
          <w:rFonts w:ascii="Times New Roman" w:hAnsi="Times New Roman"/>
          <w:i/>
          <w:szCs w:val="24"/>
        </w:rPr>
        <w:t>The welfare economics of public policy: A practical approach to project and policy evaluation</w:t>
      </w:r>
      <w:r w:rsidRPr="004C0771">
        <w:rPr>
          <w:rFonts w:ascii="Times New Roman" w:hAnsi="Times New Roman"/>
          <w:szCs w:val="24"/>
        </w:rPr>
        <w:t>. Edward Elgar, Cheltenham</w:t>
      </w:r>
      <w:bookmarkEnd w:id="38"/>
      <w:r w:rsidR="00DC7731" w:rsidRPr="004C0771">
        <w:rPr>
          <w:rFonts w:ascii="Times New Roman" w:hAnsi="Times New Roman"/>
          <w:szCs w:val="24"/>
        </w:rPr>
        <w:t>.</w:t>
      </w:r>
    </w:p>
    <w:p w14:paraId="1219A98E" w14:textId="2055CCBA" w:rsidR="0049085B" w:rsidRPr="004C0771" w:rsidRDefault="0049085B" w:rsidP="006233DD">
      <w:pPr>
        <w:spacing w:after="0" w:line="480" w:lineRule="auto"/>
        <w:ind w:left="720" w:hanging="720"/>
        <w:rPr>
          <w:rFonts w:ascii="Times New Roman" w:hAnsi="Times New Roman"/>
          <w:szCs w:val="24"/>
        </w:rPr>
      </w:pPr>
      <w:bookmarkStart w:id="39" w:name="_ENREF_34"/>
      <w:r w:rsidRPr="004C0771">
        <w:rPr>
          <w:rFonts w:ascii="Times New Roman" w:hAnsi="Times New Roman"/>
          <w:szCs w:val="24"/>
        </w:rPr>
        <w:t xml:space="preserve">Kraus PA (2008) </w:t>
      </w:r>
      <w:r w:rsidRPr="004C0771">
        <w:rPr>
          <w:rFonts w:ascii="Times New Roman" w:hAnsi="Times New Roman"/>
          <w:i/>
          <w:szCs w:val="24"/>
        </w:rPr>
        <w:t>A Union of diversity: Language, identity and polity-building in Europe</w:t>
      </w:r>
      <w:r w:rsidRPr="004C0771">
        <w:rPr>
          <w:rFonts w:ascii="Times New Roman" w:hAnsi="Times New Roman"/>
          <w:szCs w:val="24"/>
        </w:rPr>
        <w:t>. Cambridge University Press, Cambridge</w:t>
      </w:r>
      <w:bookmarkEnd w:id="39"/>
      <w:r w:rsidR="001801E0" w:rsidRPr="004C0771">
        <w:rPr>
          <w:rFonts w:ascii="Times New Roman" w:hAnsi="Times New Roman"/>
          <w:szCs w:val="24"/>
        </w:rPr>
        <w:t>.</w:t>
      </w:r>
    </w:p>
    <w:p w14:paraId="7D8A6873" w14:textId="169BBF03" w:rsidR="0049085B" w:rsidRPr="004C0771" w:rsidRDefault="0049085B" w:rsidP="006233DD">
      <w:pPr>
        <w:spacing w:after="0" w:line="480" w:lineRule="auto"/>
        <w:ind w:left="720" w:hanging="720"/>
        <w:rPr>
          <w:rFonts w:ascii="Times New Roman" w:hAnsi="Times New Roman"/>
          <w:szCs w:val="24"/>
        </w:rPr>
      </w:pPr>
      <w:bookmarkStart w:id="40" w:name="_ENREF_35"/>
      <w:r w:rsidRPr="004C0771">
        <w:rPr>
          <w:rFonts w:ascii="Times New Roman" w:hAnsi="Times New Roman"/>
          <w:szCs w:val="24"/>
        </w:rPr>
        <w:t xml:space="preserve">Kymlicka W (2001) </w:t>
      </w:r>
      <w:r w:rsidRPr="004C0771">
        <w:rPr>
          <w:rFonts w:ascii="Times New Roman" w:hAnsi="Times New Roman"/>
          <w:i/>
          <w:szCs w:val="24"/>
        </w:rPr>
        <w:t>Politics in the vernacular</w:t>
      </w:r>
      <w:r w:rsidRPr="004C0771">
        <w:rPr>
          <w:rFonts w:ascii="Times New Roman" w:hAnsi="Times New Roman"/>
          <w:szCs w:val="24"/>
        </w:rPr>
        <w:t>. Oxford University Press, Oxford</w:t>
      </w:r>
      <w:bookmarkEnd w:id="40"/>
      <w:r w:rsidR="001801E0" w:rsidRPr="004C0771">
        <w:rPr>
          <w:rFonts w:ascii="Times New Roman" w:hAnsi="Times New Roman"/>
          <w:szCs w:val="24"/>
        </w:rPr>
        <w:t>.</w:t>
      </w:r>
    </w:p>
    <w:p w14:paraId="41D60900" w14:textId="190F6687" w:rsidR="0049085B" w:rsidRPr="004C0771" w:rsidRDefault="0049085B" w:rsidP="006233DD">
      <w:pPr>
        <w:spacing w:after="0" w:line="480" w:lineRule="auto"/>
        <w:ind w:left="720" w:hanging="720"/>
        <w:rPr>
          <w:rFonts w:ascii="Times New Roman" w:hAnsi="Times New Roman"/>
          <w:szCs w:val="24"/>
        </w:rPr>
      </w:pPr>
      <w:bookmarkStart w:id="41" w:name="_ENREF_36"/>
      <w:r w:rsidRPr="004C0771">
        <w:rPr>
          <w:rFonts w:ascii="Times New Roman" w:hAnsi="Times New Roman"/>
          <w:szCs w:val="24"/>
        </w:rPr>
        <w:t xml:space="preserve">Lacey J (2015) Considerations on English as a </w:t>
      </w:r>
      <w:r w:rsidR="00961C21">
        <w:rPr>
          <w:rFonts w:ascii="Times New Roman" w:hAnsi="Times New Roman"/>
          <w:szCs w:val="24"/>
        </w:rPr>
        <w:t>g</w:t>
      </w:r>
      <w:r w:rsidR="00961C21" w:rsidRPr="004C0771">
        <w:rPr>
          <w:rFonts w:ascii="Times New Roman" w:hAnsi="Times New Roman"/>
          <w:szCs w:val="24"/>
        </w:rPr>
        <w:t xml:space="preserve">lobal </w:t>
      </w:r>
      <w:r w:rsidR="00961C21">
        <w:rPr>
          <w:rFonts w:ascii="Times New Roman" w:hAnsi="Times New Roman"/>
          <w:szCs w:val="24"/>
        </w:rPr>
        <w:t>l</w:t>
      </w:r>
      <w:r w:rsidR="00961C21" w:rsidRPr="004C0771">
        <w:rPr>
          <w:rFonts w:ascii="Times New Roman" w:hAnsi="Times New Roman"/>
          <w:szCs w:val="24"/>
        </w:rPr>
        <w:t xml:space="preserve">ingua </w:t>
      </w:r>
      <w:r w:rsidR="00961C21">
        <w:rPr>
          <w:rFonts w:ascii="Times New Roman" w:hAnsi="Times New Roman"/>
          <w:szCs w:val="24"/>
        </w:rPr>
        <w:t>f</w:t>
      </w:r>
      <w:r w:rsidR="00961C21" w:rsidRPr="004C0771">
        <w:rPr>
          <w:rFonts w:ascii="Times New Roman" w:hAnsi="Times New Roman"/>
          <w:szCs w:val="24"/>
        </w:rPr>
        <w:t>ranca</w:t>
      </w:r>
      <w:r w:rsidRPr="004C0771">
        <w:rPr>
          <w:rFonts w:ascii="Times New Roman" w:hAnsi="Times New Roman"/>
          <w:szCs w:val="24"/>
        </w:rPr>
        <w:t xml:space="preserve">. </w:t>
      </w:r>
      <w:r w:rsidRPr="004C0771">
        <w:rPr>
          <w:rFonts w:ascii="Times New Roman" w:hAnsi="Times New Roman"/>
          <w:i/>
          <w:szCs w:val="24"/>
        </w:rPr>
        <w:t>Political Studies Review</w:t>
      </w:r>
      <w:r w:rsidRPr="004C0771">
        <w:rPr>
          <w:rFonts w:ascii="Times New Roman" w:hAnsi="Times New Roman"/>
          <w:szCs w:val="24"/>
        </w:rPr>
        <w:t xml:space="preserve"> 13 (3):363–372</w:t>
      </w:r>
      <w:bookmarkEnd w:id="41"/>
      <w:r w:rsidR="001801E0" w:rsidRPr="004C0771">
        <w:rPr>
          <w:rFonts w:ascii="Times New Roman" w:hAnsi="Times New Roman"/>
          <w:szCs w:val="24"/>
        </w:rPr>
        <w:t>.</w:t>
      </w:r>
    </w:p>
    <w:p w14:paraId="45DD0570" w14:textId="61FABE11" w:rsidR="00105939" w:rsidRDefault="0049085B" w:rsidP="006233DD">
      <w:pPr>
        <w:spacing w:after="0" w:line="480" w:lineRule="auto"/>
        <w:ind w:left="720" w:hanging="720"/>
        <w:rPr>
          <w:rFonts w:ascii="Times New Roman" w:hAnsi="Times New Roman"/>
          <w:szCs w:val="24"/>
        </w:rPr>
      </w:pPr>
      <w:bookmarkStart w:id="42" w:name="_ENREF_37"/>
      <w:r w:rsidRPr="004C0771">
        <w:rPr>
          <w:rFonts w:ascii="Times New Roman" w:hAnsi="Times New Roman"/>
          <w:szCs w:val="24"/>
        </w:rPr>
        <w:lastRenderedPageBreak/>
        <w:t xml:space="preserve">Luoma S (2013) Self-assessment. In: Chapelle CA (ed) </w:t>
      </w:r>
      <w:r w:rsidRPr="004C0771">
        <w:rPr>
          <w:rFonts w:ascii="Times New Roman" w:hAnsi="Times New Roman"/>
          <w:i/>
          <w:szCs w:val="24"/>
        </w:rPr>
        <w:t>The Encyclopedia of Applied Linguistics</w:t>
      </w:r>
      <w:r w:rsidRPr="004C0771">
        <w:rPr>
          <w:rFonts w:ascii="Times New Roman" w:hAnsi="Times New Roman"/>
          <w:szCs w:val="24"/>
        </w:rPr>
        <w:t>. Blackwell, Oxford</w:t>
      </w:r>
      <w:r w:rsidR="00105939">
        <w:rPr>
          <w:rFonts w:ascii="Times New Roman" w:hAnsi="Times New Roman"/>
          <w:szCs w:val="24"/>
        </w:rPr>
        <w:t>. Available at</w:t>
      </w:r>
      <w:bookmarkEnd w:id="42"/>
      <w:r w:rsidR="00105939">
        <w:rPr>
          <w:rFonts w:ascii="Times New Roman" w:hAnsi="Times New Roman"/>
          <w:szCs w:val="24"/>
        </w:rPr>
        <w:t xml:space="preserve"> </w:t>
      </w:r>
      <w:r w:rsidR="008404A8" w:rsidRPr="004C0771">
        <w:rPr>
          <w:rFonts w:ascii="Times New Roman" w:hAnsi="Times New Roman"/>
          <w:szCs w:val="24"/>
        </w:rPr>
        <w:t>http://onlinelibrary.wiley.com/book/10.1002/9781405198431</w:t>
      </w:r>
      <w:bookmarkStart w:id="43" w:name="_ENREF_38"/>
      <w:r w:rsidR="00105939">
        <w:rPr>
          <w:rFonts w:ascii="Times New Roman" w:hAnsi="Times New Roman"/>
          <w:szCs w:val="24"/>
        </w:rPr>
        <w:t xml:space="preserve"> (accessed </w:t>
      </w:r>
      <w:r w:rsidR="00782793">
        <w:rPr>
          <w:rFonts w:ascii="Times New Roman" w:hAnsi="Times New Roman"/>
          <w:szCs w:val="24"/>
        </w:rPr>
        <w:t>the 30</w:t>
      </w:r>
      <w:r w:rsidR="00105939">
        <w:rPr>
          <w:rFonts w:ascii="Times New Roman" w:hAnsi="Times New Roman"/>
          <w:szCs w:val="24"/>
        </w:rPr>
        <w:t xml:space="preserve"> </w:t>
      </w:r>
      <w:r w:rsidR="00782793">
        <w:rPr>
          <w:rFonts w:ascii="Times New Roman" w:hAnsi="Times New Roman"/>
          <w:szCs w:val="24"/>
        </w:rPr>
        <w:t xml:space="preserve">May </w:t>
      </w:r>
      <w:r w:rsidR="00105939">
        <w:rPr>
          <w:rFonts w:ascii="Times New Roman" w:hAnsi="Times New Roman"/>
          <w:szCs w:val="24"/>
        </w:rPr>
        <w:t>201</w:t>
      </w:r>
      <w:r w:rsidR="00782793">
        <w:rPr>
          <w:rFonts w:ascii="Times New Roman" w:hAnsi="Times New Roman"/>
          <w:szCs w:val="24"/>
        </w:rPr>
        <w:t>6</w:t>
      </w:r>
      <w:r w:rsidR="00105939">
        <w:rPr>
          <w:rFonts w:ascii="Times New Roman" w:hAnsi="Times New Roman"/>
          <w:szCs w:val="24"/>
        </w:rPr>
        <w:t>]).</w:t>
      </w:r>
    </w:p>
    <w:p w14:paraId="4386725D" w14:textId="1C55C754" w:rsidR="0049085B" w:rsidRPr="00782793" w:rsidRDefault="0049085B" w:rsidP="006233DD">
      <w:pPr>
        <w:spacing w:after="0" w:line="480" w:lineRule="auto"/>
        <w:ind w:left="720" w:hanging="720"/>
        <w:rPr>
          <w:rFonts w:ascii="Times New Roman" w:hAnsi="Times New Roman"/>
          <w:szCs w:val="24"/>
          <w:lang w:val="de-DE"/>
        </w:rPr>
      </w:pPr>
      <w:r w:rsidRPr="004C0771">
        <w:rPr>
          <w:rFonts w:ascii="Times New Roman" w:hAnsi="Times New Roman"/>
          <w:szCs w:val="24"/>
        </w:rPr>
        <w:t>Mac Gréil M</w:t>
      </w:r>
      <w:r w:rsidR="00AF4647" w:rsidRPr="004C0771">
        <w:rPr>
          <w:rFonts w:ascii="Times New Roman" w:hAnsi="Times New Roman"/>
          <w:szCs w:val="24"/>
        </w:rPr>
        <w:t xml:space="preserve"> and</w:t>
      </w:r>
      <w:r w:rsidRPr="004C0771">
        <w:rPr>
          <w:rFonts w:ascii="Times New Roman" w:hAnsi="Times New Roman"/>
          <w:szCs w:val="24"/>
        </w:rPr>
        <w:t xml:space="preserve"> Rhatigan F (2009) The Irish language and the Irish people. Report on the attitudes towards, competence in and use of the Irish language in Republic of Ireland in 2007-'08. </w:t>
      </w:r>
      <w:r w:rsidRPr="00782793">
        <w:rPr>
          <w:rFonts w:ascii="Times New Roman" w:hAnsi="Times New Roman"/>
          <w:szCs w:val="24"/>
          <w:lang w:val="de-DE"/>
        </w:rPr>
        <w:t>National University of Ireland Maynooth</w:t>
      </w:r>
      <w:bookmarkEnd w:id="43"/>
      <w:r w:rsidR="00AF4647" w:rsidRPr="00782793">
        <w:rPr>
          <w:rFonts w:ascii="Times New Roman" w:hAnsi="Times New Roman"/>
          <w:szCs w:val="24"/>
          <w:lang w:val="de-DE"/>
        </w:rPr>
        <w:t>.</w:t>
      </w:r>
    </w:p>
    <w:p w14:paraId="17DE38DF" w14:textId="0B807DCE" w:rsidR="0049085B" w:rsidRPr="004C0771" w:rsidRDefault="0049085B" w:rsidP="006233DD">
      <w:pPr>
        <w:spacing w:after="0" w:line="480" w:lineRule="auto"/>
        <w:ind w:left="720" w:hanging="720"/>
        <w:rPr>
          <w:rFonts w:ascii="Times New Roman" w:hAnsi="Times New Roman"/>
          <w:szCs w:val="24"/>
        </w:rPr>
      </w:pPr>
      <w:bookmarkStart w:id="44" w:name="_ENREF_39"/>
      <w:r w:rsidRPr="00782793">
        <w:rPr>
          <w:rFonts w:ascii="Times New Roman" w:hAnsi="Times New Roman"/>
          <w:szCs w:val="24"/>
          <w:lang w:val="de-DE"/>
        </w:rPr>
        <w:t xml:space="preserve">Nißl S (2011) </w:t>
      </w:r>
      <w:r w:rsidRPr="00782793">
        <w:rPr>
          <w:rFonts w:ascii="Times New Roman" w:hAnsi="Times New Roman"/>
          <w:i/>
          <w:szCs w:val="24"/>
          <w:lang w:val="de-DE"/>
        </w:rPr>
        <w:t>Die Sprachenfrage in der Europäischen Union. Möglichkeiten und Grenzen einer Sprachenpolitik für Europa</w:t>
      </w:r>
      <w:r w:rsidRPr="00782793">
        <w:rPr>
          <w:rFonts w:ascii="Times New Roman" w:hAnsi="Times New Roman"/>
          <w:szCs w:val="24"/>
          <w:lang w:val="de-DE"/>
        </w:rPr>
        <w:t xml:space="preserve">. </w:t>
      </w:r>
      <w:r w:rsidRPr="004C0771">
        <w:rPr>
          <w:rFonts w:ascii="Times New Roman" w:hAnsi="Times New Roman"/>
          <w:szCs w:val="24"/>
        </w:rPr>
        <w:t>Herbert Utz, München</w:t>
      </w:r>
      <w:bookmarkEnd w:id="44"/>
      <w:r w:rsidR="00FE4367" w:rsidRPr="004C0771">
        <w:rPr>
          <w:rFonts w:ascii="Times New Roman" w:hAnsi="Times New Roman"/>
          <w:szCs w:val="24"/>
        </w:rPr>
        <w:t>.</w:t>
      </w:r>
    </w:p>
    <w:p w14:paraId="433889BF" w14:textId="3D4B4F77" w:rsidR="0049085B" w:rsidRPr="004C0771" w:rsidRDefault="0049085B" w:rsidP="006233DD">
      <w:pPr>
        <w:spacing w:after="0" w:line="480" w:lineRule="auto"/>
        <w:ind w:left="720" w:hanging="720"/>
        <w:rPr>
          <w:rFonts w:ascii="Times New Roman" w:hAnsi="Times New Roman"/>
          <w:szCs w:val="24"/>
        </w:rPr>
      </w:pPr>
      <w:bookmarkStart w:id="45" w:name="_ENREF_40"/>
      <w:r w:rsidRPr="004C0771">
        <w:rPr>
          <w:rFonts w:ascii="Times New Roman" w:hAnsi="Times New Roman"/>
          <w:szCs w:val="24"/>
        </w:rPr>
        <w:t xml:space="preserve">Patten A (2007) Theoretical foundations of European language debate. In: Castiglione D, Longman C (eds) </w:t>
      </w:r>
      <w:r w:rsidRPr="004C0771">
        <w:rPr>
          <w:rFonts w:ascii="Times New Roman" w:hAnsi="Times New Roman"/>
          <w:i/>
          <w:szCs w:val="24"/>
        </w:rPr>
        <w:t>The Language Question in Europe and Diverse Societies</w:t>
      </w:r>
      <w:r w:rsidRPr="004C0771">
        <w:rPr>
          <w:rFonts w:ascii="Times New Roman" w:hAnsi="Times New Roman"/>
          <w:szCs w:val="24"/>
        </w:rPr>
        <w:t>. Hart Publishing, Portland,</w:t>
      </w:r>
      <w:r w:rsidR="00FE4367" w:rsidRPr="004C0771">
        <w:rPr>
          <w:rFonts w:ascii="Times New Roman" w:hAnsi="Times New Roman"/>
          <w:szCs w:val="24"/>
        </w:rPr>
        <w:t xml:space="preserve"> </w:t>
      </w:r>
      <w:r w:rsidR="00562D8D" w:rsidRPr="00AC660B">
        <w:rPr>
          <w:rFonts w:ascii="Times New Roman" w:hAnsi="Times New Roman"/>
          <w:szCs w:val="24"/>
        </w:rPr>
        <w:t>pp 15-36</w:t>
      </w:r>
      <w:r w:rsidR="00FE4367" w:rsidRPr="00AC660B">
        <w:rPr>
          <w:rFonts w:ascii="Times New Roman" w:hAnsi="Times New Roman"/>
          <w:color w:val="FF0000"/>
          <w:szCs w:val="24"/>
        </w:rPr>
        <w:t>.</w:t>
      </w:r>
      <w:r w:rsidRPr="004C0771">
        <w:rPr>
          <w:rFonts w:ascii="Times New Roman" w:hAnsi="Times New Roman"/>
          <w:szCs w:val="24"/>
        </w:rPr>
        <w:t xml:space="preserve"> </w:t>
      </w:r>
      <w:bookmarkEnd w:id="45"/>
    </w:p>
    <w:p w14:paraId="6B0929D8" w14:textId="0B440466" w:rsidR="0049085B" w:rsidRPr="004C0771" w:rsidRDefault="0049085B" w:rsidP="006233DD">
      <w:pPr>
        <w:spacing w:after="0" w:line="480" w:lineRule="auto"/>
        <w:ind w:left="720" w:hanging="720"/>
        <w:rPr>
          <w:rFonts w:ascii="Times New Roman" w:hAnsi="Times New Roman"/>
          <w:szCs w:val="24"/>
        </w:rPr>
      </w:pPr>
      <w:bookmarkStart w:id="46" w:name="_ENREF_41"/>
      <w:r w:rsidRPr="004C0771">
        <w:rPr>
          <w:rFonts w:ascii="Times New Roman" w:hAnsi="Times New Roman"/>
          <w:szCs w:val="24"/>
        </w:rPr>
        <w:t>Peled Y, Ives P</w:t>
      </w:r>
      <w:r w:rsidR="004E3FBF" w:rsidRPr="004C0771">
        <w:rPr>
          <w:rFonts w:ascii="Times New Roman" w:hAnsi="Times New Roman"/>
          <w:szCs w:val="24"/>
        </w:rPr>
        <w:t xml:space="preserve"> and</w:t>
      </w:r>
      <w:r w:rsidRPr="004C0771">
        <w:rPr>
          <w:rFonts w:ascii="Times New Roman" w:hAnsi="Times New Roman"/>
          <w:szCs w:val="24"/>
        </w:rPr>
        <w:t xml:space="preserve"> Ricento T (2014) Introduction to the thematic issue: language policy and political theory. </w:t>
      </w:r>
      <w:r w:rsidRPr="004C0771">
        <w:rPr>
          <w:rFonts w:ascii="Times New Roman" w:hAnsi="Times New Roman"/>
          <w:i/>
          <w:szCs w:val="24"/>
        </w:rPr>
        <w:t>Language Policy</w:t>
      </w:r>
      <w:r w:rsidRPr="004C0771">
        <w:rPr>
          <w:rFonts w:ascii="Times New Roman" w:hAnsi="Times New Roman"/>
          <w:szCs w:val="24"/>
        </w:rPr>
        <w:t xml:space="preserve"> 13 (4):295-300</w:t>
      </w:r>
      <w:bookmarkEnd w:id="46"/>
      <w:r w:rsidR="004E3FBF" w:rsidRPr="004C0771">
        <w:rPr>
          <w:rFonts w:ascii="Times New Roman" w:hAnsi="Times New Roman"/>
          <w:szCs w:val="24"/>
        </w:rPr>
        <w:t>.</w:t>
      </w:r>
    </w:p>
    <w:p w14:paraId="59972BEB" w14:textId="37A513F1" w:rsidR="0049085B" w:rsidRPr="004C0771" w:rsidRDefault="0049085B" w:rsidP="006233DD">
      <w:pPr>
        <w:spacing w:after="0" w:line="480" w:lineRule="auto"/>
        <w:ind w:left="720" w:hanging="720"/>
        <w:rPr>
          <w:rFonts w:ascii="Times New Roman" w:hAnsi="Times New Roman"/>
          <w:szCs w:val="24"/>
        </w:rPr>
      </w:pPr>
      <w:bookmarkStart w:id="47" w:name="_ENREF_42"/>
      <w:r w:rsidRPr="004C0771">
        <w:rPr>
          <w:rFonts w:ascii="Times New Roman" w:hAnsi="Times New Roman"/>
          <w:szCs w:val="24"/>
        </w:rPr>
        <w:t xml:space="preserve">Phillipson R (2003) </w:t>
      </w:r>
      <w:r w:rsidRPr="004C0771">
        <w:rPr>
          <w:rFonts w:ascii="Times New Roman" w:hAnsi="Times New Roman"/>
          <w:i/>
          <w:szCs w:val="24"/>
        </w:rPr>
        <w:t>English-only Europe? Challenging language policy</w:t>
      </w:r>
      <w:r w:rsidRPr="004C0771">
        <w:rPr>
          <w:rFonts w:ascii="Times New Roman" w:hAnsi="Times New Roman"/>
          <w:szCs w:val="24"/>
        </w:rPr>
        <w:t>. Routledge, London</w:t>
      </w:r>
      <w:bookmarkEnd w:id="47"/>
      <w:r w:rsidR="00775387" w:rsidRPr="004C0771">
        <w:rPr>
          <w:rFonts w:ascii="Times New Roman" w:hAnsi="Times New Roman"/>
          <w:szCs w:val="24"/>
        </w:rPr>
        <w:t>.</w:t>
      </w:r>
    </w:p>
    <w:p w14:paraId="177CB84E" w14:textId="48D774B2" w:rsidR="0049085B" w:rsidRPr="004C0771" w:rsidRDefault="0049085B" w:rsidP="006233DD">
      <w:pPr>
        <w:spacing w:after="0" w:line="480" w:lineRule="auto"/>
        <w:ind w:left="720" w:hanging="720"/>
        <w:rPr>
          <w:rFonts w:ascii="Times New Roman" w:hAnsi="Times New Roman"/>
          <w:szCs w:val="24"/>
        </w:rPr>
      </w:pPr>
      <w:bookmarkStart w:id="48" w:name="_ENREF_43"/>
      <w:r w:rsidRPr="004C0771">
        <w:rPr>
          <w:rFonts w:ascii="Times New Roman" w:hAnsi="Times New Roman"/>
          <w:szCs w:val="24"/>
        </w:rPr>
        <w:t xml:space="preserve">Phillipson R (2012) Review </w:t>
      </w:r>
      <w:r w:rsidR="00961C21">
        <w:rPr>
          <w:rFonts w:ascii="Times New Roman" w:hAnsi="Times New Roman"/>
          <w:szCs w:val="24"/>
        </w:rPr>
        <w:t>e</w:t>
      </w:r>
      <w:r w:rsidR="00961C21" w:rsidRPr="004C0771">
        <w:rPr>
          <w:rFonts w:ascii="Times New Roman" w:hAnsi="Times New Roman"/>
          <w:szCs w:val="24"/>
        </w:rPr>
        <w:t>ssay</w:t>
      </w:r>
      <w:r w:rsidRPr="004C0771">
        <w:rPr>
          <w:rFonts w:ascii="Times New Roman" w:hAnsi="Times New Roman"/>
          <w:szCs w:val="24"/>
        </w:rPr>
        <w:t xml:space="preserve">: Languages, </w:t>
      </w:r>
      <w:r w:rsidR="00961C21">
        <w:rPr>
          <w:rFonts w:ascii="Times New Roman" w:hAnsi="Times New Roman"/>
          <w:szCs w:val="24"/>
        </w:rPr>
        <w:t>g</w:t>
      </w:r>
      <w:r w:rsidR="00961C21" w:rsidRPr="004C0771">
        <w:rPr>
          <w:rFonts w:ascii="Times New Roman" w:hAnsi="Times New Roman"/>
          <w:szCs w:val="24"/>
        </w:rPr>
        <w:t xml:space="preserve">enocide </w:t>
      </w:r>
      <w:r w:rsidRPr="004C0771">
        <w:rPr>
          <w:rFonts w:ascii="Times New Roman" w:hAnsi="Times New Roman"/>
          <w:szCs w:val="24"/>
        </w:rPr>
        <w:t xml:space="preserve">and </w:t>
      </w:r>
      <w:r w:rsidR="00961C21">
        <w:rPr>
          <w:rFonts w:ascii="Times New Roman" w:hAnsi="Times New Roman"/>
          <w:szCs w:val="24"/>
        </w:rPr>
        <w:t>j</w:t>
      </w:r>
      <w:r w:rsidR="00961C21" w:rsidRPr="004C0771">
        <w:rPr>
          <w:rFonts w:ascii="Times New Roman" w:hAnsi="Times New Roman"/>
          <w:szCs w:val="24"/>
        </w:rPr>
        <w:t xml:space="preserve">ustice </w:t>
      </w:r>
      <w:r w:rsidRPr="004C0771">
        <w:rPr>
          <w:rFonts w:ascii="Times New Roman" w:hAnsi="Times New Roman"/>
          <w:szCs w:val="24"/>
        </w:rPr>
        <w:t xml:space="preserve">in the European </w:t>
      </w:r>
      <w:r w:rsidR="00961C21">
        <w:rPr>
          <w:rFonts w:ascii="Times New Roman" w:hAnsi="Times New Roman"/>
          <w:szCs w:val="24"/>
        </w:rPr>
        <w:t>i</w:t>
      </w:r>
      <w:r w:rsidR="00961C21" w:rsidRPr="004C0771">
        <w:rPr>
          <w:rFonts w:ascii="Times New Roman" w:hAnsi="Times New Roman"/>
          <w:szCs w:val="24"/>
        </w:rPr>
        <w:t xml:space="preserve">ntegration </w:t>
      </w:r>
      <w:r w:rsidR="00961C21">
        <w:rPr>
          <w:rFonts w:ascii="Times New Roman" w:hAnsi="Times New Roman"/>
          <w:szCs w:val="24"/>
        </w:rPr>
        <w:t>p</w:t>
      </w:r>
      <w:r w:rsidR="00961C21" w:rsidRPr="004C0771">
        <w:rPr>
          <w:rFonts w:ascii="Times New Roman" w:hAnsi="Times New Roman"/>
          <w:szCs w:val="24"/>
        </w:rPr>
        <w:t>rocess</w:t>
      </w:r>
      <w:r w:rsidRPr="004C0771">
        <w:rPr>
          <w:rFonts w:ascii="Times New Roman" w:hAnsi="Times New Roman"/>
          <w:szCs w:val="24"/>
        </w:rPr>
        <w:t xml:space="preserve">. </w:t>
      </w:r>
      <w:r w:rsidRPr="004C0771">
        <w:rPr>
          <w:rFonts w:ascii="Times New Roman" w:hAnsi="Times New Roman"/>
          <w:i/>
          <w:szCs w:val="24"/>
        </w:rPr>
        <w:t>Journal of Contemporary European Studies</w:t>
      </w:r>
      <w:r w:rsidRPr="004C0771">
        <w:rPr>
          <w:rFonts w:ascii="Times New Roman" w:hAnsi="Times New Roman"/>
          <w:szCs w:val="24"/>
        </w:rPr>
        <w:t xml:space="preserve"> 20 (3):377-414</w:t>
      </w:r>
      <w:bookmarkEnd w:id="48"/>
      <w:r w:rsidR="00775387" w:rsidRPr="004C0771">
        <w:rPr>
          <w:rFonts w:ascii="Times New Roman" w:hAnsi="Times New Roman"/>
          <w:szCs w:val="24"/>
        </w:rPr>
        <w:t>.</w:t>
      </w:r>
    </w:p>
    <w:p w14:paraId="44B92FF6" w14:textId="2C5E3898" w:rsidR="003E4068" w:rsidRDefault="003E4068" w:rsidP="003E4068">
      <w:pPr>
        <w:spacing w:after="0" w:line="480" w:lineRule="auto"/>
        <w:ind w:left="720" w:hanging="720"/>
        <w:rPr>
          <w:rFonts w:ascii="Times New Roman" w:hAnsi="Times New Roman"/>
          <w:szCs w:val="24"/>
        </w:rPr>
      </w:pPr>
      <w:bookmarkStart w:id="49" w:name="_ENREF_44"/>
      <w:r>
        <w:rPr>
          <w:rFonts w:ascii="Times New Roman" w:hAnsi="Times New Roman"/>
          <w:szCs w:val="24"/>
        </w:rPr>
        <w:t>Pool J (1991</w:t>
      </w:r>
      <w:r w:rsidRPr="004C0771">
        <w:rPr>
          <w:rFonts w:ascii="Times New Roman" w:hAnsi="Times New Roman"/>
          <w:szCs w:val="24"/>
        </w:rPr>
        <w:t xml:space="preserve">) </w:t>
      </w:r>
      <w:r>
        <w:rPr>
          <w:rFonts w:ascii="Times New Roman" w:hAnsi="Times New Roman"/>
          <w:szCs w:val="24"/>
        </w:rPr>
        <w:t xml:space="preserve">The official language problem. </w:t>
      </w:r>
      <w:r>
        <w:rPr>
          <w:rFonts w:ascii="Times New Roman" w:hAnsi="Times New Roman"/>
          <w:i/>
          <w:szCs w:val="24"/>
        </w:rPr>
        <w:t xml:space="preserve">American Political Science Review </w:t>
      </w:r>
      <w:r>
        <w:rPr>
          <w:rFonts w:ascii="Times New Roman" w:hAnsi="Times New Roman"/>
          <w:szCs w:val="24"/>
        </w:rPr>
        <w:t>85 (2):495-514.</w:t>
      </w:r>
    </w:p>
    <w:p w14:paraId="26B74B53" w14:textId="79F9791D" w:rsidR="0049085B" w:rsidRPr="004C0771" w:rsidRDefault="0049085B" w:rsidP="006233DD">
      <w:pPr>
        <w:spacing w:after="0" w:line="480" w:lineRule="auto"/>
        <w:ind w:left="720" w:hanging="720"/>
        <w:rPr>
          <w:rFonts w:ascii="Times New Roman" w:hAnsi="Times New Roman"/>
          <w:szCs w:val="24"/>
        </w:rPr>
      </w:pPr>
      <w:r w:rsidRPr="004C0771">
        <w:rPr>
          <w:rFonts w:ascii="Times New Roman" w:hAnsi="Times New Roman"/>
          <w:szCs w:val="24"/>
        </w:rPr>
        <w:t xml:space="preserve">Pool J (1996) Optimal language regimes for the European Union. </w:t>
      </w:r>
      <w:r w:rsidRPr="004C0771">
        <w:rPr>
          <w:rFonts w:ascii="Times New Roman" w:hAnsi="Times New Roman"/>
          <w:i/>
          <w:szCs w:val="24"/>
        </w:rPr>
        <w:t>International Journal of the Sociology of Language</w:t>
      </w:r>
      <w:r w:rsidRPr="004C0771">
        <w:rPr>
          <w:rFonts w:ascii="Times New Roman" w:hAnsi="Times New Roman"/>
          <w:szCs w:val="24"/>
        </w:rPr>
        <w:t xml:space="preserve"> 121:159 - 179</w:t>
      </w:r>
      <w:bookmarkEnd w:id="49"/>
      <w:r w:rsidR="00775387" w:rsidRPr="004C0771">
        <w:rPr>
          <w:rFonts w:ascii="Times New Roman" w:hAnsi="Times New Roman"/>
          <w:szCs w:val="24"/>
        </w:rPr>
        <w:t>.</w:t>
      </w:r>
    </w:p>
    <w:p w14:paraId="60D17176" w14:textId="4D939DFA" w:rsidR="0049085B" w:rsidRPr="004C0771" w:rsidRDefault="0049085B" w:rsidP="006233DD">
      <w:pPr>
        <w:spacing w:after="0" w:line="480" w:lineRule="auto"/>
        <w:ind w:left="720" w:hanging="720"/>
        <w:rPr>
          <w:rFonts w:ascii="Times New Roman" w:hAnsi="Times New Roman"/>
          <w:szCs w:val="24"/>
        </w:rPr>
      </w:pPr>
      <w:bookmarkStart w:id="50" w:name="_ENREF_45"/>
      <w:r w:rsidRPr="004C0771">
        <w:rPr>
          <w:rFonts w:ascii="Times New Roman" w:hAnsi="Times New Roman"/>
          <w:szCs w:val="24"/>
        </w:rPr>
        <w:t xml:space="preserve">Romaine S (2013) Politics and policies of promoting multilingualism in the European Union. </w:t>
      </w:r>
      <w:r w:rsidRPr="004C0771">
        <w:rPr>
          <w:rFonts w:ascii="Times New Roman" w:hAnsi="Times New Roman"/>
          <w:i/>
          <w:szCs w:val="24"/>
        </w:rPr>
        <w:t>Language Policy</w:t>
      </w:r>
      <w:r w:rsidRPr="004C0771">
        <w:rPr>
          <w:rFonts w:ascii="Times New Roman" w:hAnsi="Times New Roman"/>
          <w:szCs w:val="24"/>
        </w:rPr>
        <w:t xml:space="preserve"> 12:115-137</w:t>
      </w:r>
      <w:bookmarkEnd w:id="50"/>
      <w:r w:rsidR="00D128CF" w:rsidRPr="004C0771">
        <w:rPr>
          <w:rFonts w:ascii="Times New Roman" w:hAnsi="Times New Roman"/>
          <w:szCs w:val="24"/>
        </w:rPr>
        <w:t>.</w:t>
      </w:r>
    </w:p>
    <w:p w14:paraId="5DFAB28D" w14:textId="2AD2B286" w:rsidR="0049085B" w:rsidRPr="004C0771" w:rsidRDefault="0049085B" w:rsidP="006233DD">
      <w:pPr>
        <w:spacing w:after="0" w:line="480" w:lineRule="auto"/>
        <w:ind w:left="720" w:hanging="720"/>
        <w:rPr>
          <w:rFonts w:ascii="Times New Roman" w:hAnsi="Times New Roman"/>
          <w:szCs w:val="24"/>
        </w:rPr>
      </w:pPr>
      <w:bookmarkStart w:id="51" w:name="_ENREF_46"/>
      <w:r w:rsidRPr="004C0771">
        <w:rPr>
          <w:rFonts w:ascii="Times New Roman" w:hAnsi="Times New Roman"/>
          <w:szCs w:val="24"/>
        </w:rPr>
        <w:t xml:space="preserve">Rose R (2008) Political </w:t>
      </w:r>
      <w:r w:rsidR="00961C21">
        <w:rPr>
          <w:rFonts w:ascii="Times New Roman" w:hAnsi="Times New Roman"/>
          <w:szCs w:val="24"/>
        </w:rPr>
        <w:t>c</w:t>
      </w:r>
      <w:r w:rsidR="00961C21" w:rsidRPr="004C0771">
        <w:rPr>
          <w:rFonts w:ascii="Times New Roman" w:hAnsi="Times New Roman"/>
          <w:szCs w:val="24"/>
        </w:rPr>
        <w:t xml:space="preserve">ommunication </w:t>
      </w:r>
      <w:r w:rsidRPr="004C0771">
        <w:rPr>
          <w:rFonts w:ascii="Times New Roman" w:hAnsi="Times New Roman"/>
          <w:szCs w:val="24"/>
        </w:rPr>
        <w:t xml:space="preserve">in a European </w:t>
      </w:r>
      <w:r w:rsidR="00961C21">
        <w:rPr>
          <w:rFonts w:ascii="Times New Roman" w:hAnsi="Times New Roman"/>
          <w:szCs w:val="24"/>
        </w:rPr>
        <w:t>p</w:t>
      </w:r>
      <w:r w:rsidR="00961C21" w:rsidRPr="004C0771">
        <w:rPr>
          <w:rFonts w:ascii="Times New Roman" w:hAnsi="Times New Roman"/>
          <w:szCs w:val="24"/>
        </w:rPr>
        <w:t xml:space="preserve">ublic </w:t>
      </w:r>
      <w:r w:rsidR="00961C21">
        <w:rPr>
          <w:rFonts w:ascii="Times New Roman" w:hAnsi="Times New Roman"/>
          <w:szCs w:val="24"/>
        </w:rPr>
        <w:t>s</w:t>
      </w:r>
      <w:r w:rsidR="00961C21" w:rsidRPr="004C0771">
        <w:rPr>
          <w:rFonts w:ascii="Times New Roman" w:hAnsi="Times New Roman"/>
          <w:szCs w:val="24"/>
        </w:rPr>
        <w:t>pace</w:t>
      </w:r>
      <w:r w:rsidRPr="004C0771">
        <w:rPr>
          <w:rFonts w:ascii="Times New Roman" w:hAnsi="Times New Roman"/>
          <w:szCs w:val="24"/>
        </w:rPr>
        <w:t xml:space="preserve">: Language, the Internet and </w:t>
      </w:r>
      <w:r w:rsidR="00961C21">
        <w:rPr>
          <w:rFonts w:ascii="Times New Roman" w:hAnsi="Times New Roman"/>
          <w:szCs w:val="24"/>
        </w:rPr>
        <w:t>u</w:t>
      </w:r>
      <w:r w:rsidR="00961C21" w:rsidRPr="004C0771">
        <w:rPr>
          <w:rFonts w:ascii="Times New Roman" w:hAnsi="Times New Roman"/>
          <w:szCs w:val="24"/>
        </w:rPr>
        <w:t xml:space="preserve">nderstanding </w:t>
      </w:r>
      <w:r w:rsidRPr="004C0771">
        <w:rPr>
          <w:rFonts w:ascii="Times New Roman" w:hAnsi="Times New Roman"/>
          <w:szCs w:val="24"/>
        </w:rPr>
        <w:t xml:space="preserve">as </w:t>
      </w:r>
      <w:r w:rsidR="00961C21">
        <w:rPr>
          <w:rFonts w:ascii="Times New Roman" w:hAnsi="Times New Roman"/>
          <w:szCs w:val="24"/>
        </w:rPr>
        <w:t>s</w:t>
      </w:r>
      <w:r w:rsidR="00961C21" w:rsidRPr="004C0771">
        <w:rPr>
          <w:rFonts w:ascii="Times New Roman" w:hAnsi="Times New Roman"/>
          <w:szCs w:val="24"/>
        </w:rPr>
        <w:t xml:space="preserve">oft </w:t>
      </w:r>
      <w:r w:rsidR="00961C21">
        <w:rPr>
          <w:rFonts w:ascii="Times New Roman" w:hAnsi="Times New Roman"/>
          <w:szCs w:val="24"/>
        </w:rPr>
        <w:t>p</w:t>
      </w:r>
      <w:r w:rsidR="00961C21" w:rsidRPr="004C0771">
        <w:rPr>
          <w:rFonts w:ascii="Times New Roman" w:hAnsi="Times New Roman"/>
          <w:szCs w:val="24"/>
        </w:rPr>
        <w:t>ower</w:t>
      </w:r>
      <w:r w:rsidRPr="004C0771">
        <w:rPr>
          <w:rFonts w:ascii="Times New Roman" w:hAnsi="Times New Roman"/>
          <w:szCs w:val="24"/>
        </w:rPr>
        <w:t xml:space="preserve">. </w:t>
      </w:r>
      <w:r w:rsidRPr="004C0771">
        <w:rPr>
          <w:rFonts w:ascii="Times New Roman" w:hAnsi="Times New Roman"/>
          <w:i/>
          <w:szCs w:val="24"/>
        </w:rPr>
        <w:t>Journal of Common Market Studies</w:t>
      </w:r>
      <w:r w:rsidRPr="004C0771">
        <w:rPr>
          <w:rFonts w:ascii="Times New Roman" w:hAnsi="Times New Roman"/>
          <w:szCs w:val="24"/>
        </w:rPr>
        <w:t xml:space="preserve"> 46 (2):451-475</w:t>
      </w:r>
      <w:bookmarkEnd w:id="51"/>
      <w:r w:rsidR="00192CA4" w:rsidRPr="004C0771">
        <w:rPr>
          <w:rFonts w:ascii="Times New Roman" w:hAnsi="Times New Roman"/>
          <w:szCs w:val="24"/>
        </w:rPr>
        <w:t>.</w:t>
      </w:r>
    </w:p>
    <w:p w14:paraId="75A0C0A2" w14:textId="67A79150" w:rsidR="0049085B" w:rsidRPr="004C0771" w:rsidRDefault="0049085B" w:rsidP="006233DD">
      <w:pPr>
        <w:spacing w:after="0" w:line="480" w:lineRule="auto"/>
        <w:ind w:left="720" w:hanging="720"/>
        <w:rPr>
          <w:rFonts w:ascii="Times New Roman" w:hAnsi="Times New Roman"/>
          <w:szCs w:val="24"/>
        </w:rPr>
      </w:pPr>
      <w:bookmarkStart w:id="52" w:name="_ENREF_47"/>
      <w:r w:rsidRPr="004C0771">
        <w:rPr>
          <w:rFonts w:ascii="Times New Roman" w:hAnsi="Times New Roman"/>
          <w:szCs w:val="24"/>
        </w:rPr>
        <w:t xml:space="preserve">Ross S (1998) Self-assessment in second language testing: A meta analysis of experimental factors. </w:t>
      </w:r>
      <w:r w:rsidRPr="004C0771">
        <w:rPr>
          <w:rFonts w:ascii="Times New Roman" w:hAnsi="Times New Roman"/>
          <w:i/>
          <w:szCs w:val="24"/>
        </w:rPr>
        <w:t>Language Testing</w:t>
      </w:r>
      <w:r w:rsidRPr="004C0771">
        <w:rPr>
          <w:rFonts w:ascii="Times New Roman" w:hAnsi="Times New Roman"/>
          <w:szCs w:val="24"/>
        </w:rPr>
        <w:t xml:space="preserve"> 15 (1):1-20</w:t>
      </w:r>
      <w:bookmarkEnd w:id="52"/>
      <w:r w:rsidR="00192CA4" w:rsidRPr="004C0771">
        <w:rPr>
          <w:rFonts w:ascii="Times New Roman" w:hAnsi="Times New Roman"/>
          <w:szCs w:val="24"/>
        </w:rPr>
        <w:t>.</w:t>
      </w:r>
    </w:p>
    <w:p w14:paraId="330AF8E5" w14:textId="4B697FAA" w:rsidR="0049085B" w:rsidRPr="00782793" w:rsidRDefault="0049085B" w:rsidP="006233DD">
      <w:pPr>
        <w:spacing w:after="0" w:line="480" w:lineRule="auto"/>
        <w:ind w:left="720" w:hanging="720"/>
        <w:rPr>
          <w:rFonts w:ascii="Times New Roman" w:hAnsi="Times New Roman"/>
          <w:szCs w:val="24"/>
          <w:lang w:val="de-DE"/>
        </w:rPr>
      </w:pPr>
      <w:bookmarkStart w:id="53" w:name="_ENREF_48"/>
      <w:r w:rsidRPr="004C0771">
        <w:rPr>
          <w:rFonts w:ascii="Times New Roman" w:hAnsi="Times New Roman"/>
          <w:szCs w:val="24"/>
        </w:rPr>
        <w:t>Scott D</w:t>
      </w:r>
      <w:r w:rsidR="00E16033" w:rsidRPr="004C0771">
        <w:rPr>
          <w:rFonts w:ascii="Times New Roman" w:hAnsi="Times New Roman"/>
          <w:szCs w:val="24"/>
        </w:rPr>
        <w:t xml:space="preserve"> and</w:t>
      </w:r>
      <w:r w:rsidRPr="004C0771">
        <w:rPr>
          <w:rFonts w:ascii="Times New Roman" w:hAnsi="Times New Roman"/>
          <w:szCs w:val="24"/>
        </w:rPr>
        <w:t xml:space="preserve"> Beadle S (2014) Improving the effectiveness of language learning: CLIL and computer assisted language learning. </w:t>
      </w:r>
      <w:r w:rsidRPr="00782793">
        <w:rPr>
          <w:rFonts w:ascii="Times New Roman" w:hAnsi="Times New Roman"/>
          <w:szCs w:val="24"/>
          <w:lang w:val="de-DE"/>
        </w:rPr>
        <w:t>European Commission, Brussels</w:t>
      </w:r>
      <w:bookmarkEnd w:id="53"/>
      <w:r w:rsidR="00E16033" w:rsidRPr="00782793">
        <w:rPr>
          <w:rFonts w:ascii="Times New Roman" w:hAnsi="Times New Roman"/>
          <w:szCs w:val="24"/>
          <w:lang w:val="de-DE"/>
        </w:rPr>
        <w:t>.</w:t>
      </w:r>
    </w:p>
    <w:p w14:paraId="46FB2E5A" w14:textId="295388F5" w:rsidR="0049085B" w:rsidRPr="004C0771" w:rsidRDefault="0049085B" w:rsidP="006233DD">
      <w:pPr>
        <w:spacing w:after="0" w:line="480" w:lineRule="auto"/>
        <w:ind w:left="720" w:hanging="720"/>
        <w:rPr>
          <w:rFonts w:ascii="Times New Roman" w:hAnsi="Times New Roman"/>
          <w:szCs w:val="24"/>
        </w:rPr>
      </w:pPr>
      <w:bookmarkStart w:id="54" w:name="_ENREF_49"/>
      <w:r w:rsidRPr="00782793">
        <w:rPr>
          <w:rFonts w:ascii="Times New Roman" w:hAnsi="Times New Roman"/>
          <w:szCs w:val="24"/>
          <w:lang w:val="de-DE"/>
        </w:rPr>
        <w:lastRenderedPageBreak/>
        <w:t>Selten R</w:t>
      </w:r>
      <w:r w:rsidR="00E16033" w:rsidRPr="00782793">
        <w:rPr>
          <w:rFonts w:ascii="Times New Roman" w:hAnsi="Times New Roman"/>
          <w:szCs w:val="24"/>
          <w:lang w:val="de-DE"/>
        </w:rPr>
        <w:t xml:space="preserve"> and</w:t>
      </w:r>
      <w:r w:rsidRPr="00782793">
        <w:rPr>
          <w:rFonts w:ascii="Times New Roman" w:hAnsi="Times New Roman"/>
          <w:szCs w:val="24"/>
          <w:lang w:val="de-DE"/>
        </w:rPr>
        <w:t xml:space="preserve"> Frank HG (2005) </w:t>
      </w:r>
      <w:r w:rsidRPr="00782793">
        <w:rPr>
          <w:rFonts w:ascii="Times New Roman" w:hAnsi="Times New Roman"/>
          <w:i/>
          <w:szCs w:val="24"/>
          <w:lang w:val="de-DE"/>
        </w:rPr>
        <w:t xml:space="preserve">Für Zweisprachigkeit in Europa/ Por dulingveco en Eŭropo. </w:t>
      </w:r>
      <w:r w:rsidRPr="004C0771">
        <w:rPr>
          <w:rFonts w:ascii="Times New Roman" w:hAnsi="Times New Roman"/>
          <w:i/>
          <w:szCs w:val="24"/>
        </w:rPr>
        <w:t>Argumente und Dokumente</w:t>
      </w:r>
      <w:r w:rsidRPr="004C0771">
        <w:rPr>
          <w:rFonts w:ascii="Times New Roman" w:hAnsi="Times New Roman"/>
          <w:szCs w:val="24"/>
        </w:rPr>
        <w:t>. Ifb Verlag, Paderborn</w:t>
      </w:r>
      <w:bookmarkEnd w:id="54"/>
      <w:r w:rsidR="00E16033" w:rsidRPr="004C0771">
        <w:rPr>
          <w:rFonts w:ascii="Times New Roman" w:hAnsi="Times New Roman"/>
          <w:szCs w:val="24"/>
        </w:rPr>
        <w:t>.</w:t>
      </w:r>
    </w:p>
    <w:p w14:paraId="2D2DFF46" w14:textId="70178C87" w:rsidR="0049085B" w:rsidRPr="004C0771" w:rsidRDefault="0049085B" w:rsidP="006233DD">
      <w:pPr>
        <w:spacing w:after="0" w:line="480" w:lineRule="auto"/>
        <w:ind w:left="720" w:hanging="720"/>
        <w:rPr>
          <w:rFonts w:ascii="Times New Roman" w:hAnsi="Times New Roman"/>
          <w:szCs w:val="24"/>
        </w:rPr>
      </w:pPr>
      <w:bookmarkStart w:id="55" w:name="_ENREF_50"/>
      <w:r w:rsidRPr="004C0771">
        <w:rPr>
          <w:rFonts w:ascii="Times New Roman" w:hAnsi="Times New Roman"/>
          <w:szCs w:val="24"/>
        </w:rPr>
        <w:t xml:space="preserve">Tosi A (ed) (2013) </w:t>
      </w:r>
      <w:r w:rsidRPr="004C0771">
        <w:rPr>
          <w:rFonts w:ascii="Times New Roman" w:hAnsi="Times New Roman"/>
          <w:i/>
          <w:szCs w:val="24"/>
        </w:rPr>
        <w:t>The EU Multilingual translation in an ecology of language perspective</w:t>
      </w:r>
      <w:r w:rsidRPr="004C0771">
        <w:rPr>
          <w:rFonts w:ascii="Times New Roman" w:hAnsi="Times New Roman"/>
          <w:szCs w:val="24"/>
        </w:rPr>
        <w:t xml:space="preserve"> vol 23 of the International Journal of Applied Linguistics. Blackwell, Oxford</w:t>
      </w:r>
      <w:bookmarkEnd w:id="55"/>
      <w:r w:rsidR="00E16033" w:rsidRPr="004C0771">
        <w:rPr>
          <w:rFonts w:ascii="Times New Roman" w:hAnsi="Times New Roman"/>
          <w:szCs w:val="24"/>
        </w:rPr>
        <w:t>.</w:t>
      </w:r>
    </w:p>
    <w:p w14:paraId="58A6EC55" w14:textId="04B9DD93" w:rsidR="0049085B" w:rsidRPr="00782793" w:rsidRDefault="0049085B" w:rsidP="006233DD">
      <w:pPr>
        <w:spacing w:after="0" w:line="480" w:lineRule="auto"/>
        <w:ind w:left="720" w:hanging="720"/>
        <w:rPr>
          <w:rFonts w:ascii="Times New Roman" w:hAnsi="Times New Roman"/>
          <w:szCs w:val="24"/>
          <w:lang w:val="fr-FR"/>
        </w:rPr>
      </w:pPr>
      <w:bookmarkStart w:id="56" w:name="_ENREF_51"/>
      <w:r w:rsidRPr="004C0771">
        <w:rPr>
          <w:rFonts w:ascii="Times New Roman" w:hAnsi="Times New Roman"/>
          <w:szCs w:val="24"/>
        </w:rPr>
        <w:t>Vaillancourt F</w:t>
      </w:r>
      <w:r w:rsidR="00FA0CE1" w:rsidRPr="004C0771">
        <w:rPr>
          <w:rFonts w:ascii="Times New Roman" w:hAnsi="Times New Roman"/>
          <w:szCs w:val="24"/>
        </w:rPr>
        <w:t xml:space="preserve"> and</w:t>
      </w:r>
      <w:r w:rsidRPr="004C0771">
        <w:rPr>
          <w:rFonts w:ascii="Times New Roman" w:hAnsi="Times New Roman"/>
          <w:szCs w:val="24"/>
        </w:rPr>
        <w:t xml:space="preserve"> Coche O (2009) </w:t>
      </w:r>
      <w:r w:rsidRPr="00AC660B">
        <w:rPr>
          <w:rFonts w:ascii="Times New Roman" w:hAnsi="Times New Roman"/>
          <w:i/>
          <w:szCs w:val="24"/>
        </w:rPr>
        <w:t>Official language policies at the federal level in Canada: Costs and benefits in 2006</w:t>
      </w:r>
      <w:r w:rsidRPr="004C0771">
        <w:rPr>
          <w:rFonts w:ascii="Times New Roman" w:hAnsi="Times New Roman"/>
          <w:szCs w:val="24"/>
        </w:rPr>
        <w:t xml:space="preserve">. </w:t>
      </w:r>
      <w:r w:rsidRPr="00782793">
        <w:rPr>
          <w:rFonts w:ascii="Times New Roman" w:hAnsi="Times New Roman"/>
          <w:szCs w:val="24"/>
          <w:lang w:val="fr-FR"/>
        </w:rPr>
        <w:t>Institut Fraser, Vancouver</w:t>
      </w:r>
      <w:bookmarkEnd w:id="56"/>
      <w:r w:rsidR="00A910E4" w:rsidRPr="00782793">
        <w:rPr>
          <w:rFonts w:ascii="Times New Roman" w:hAnsi="Times New Roman"/>
          <w:szCs w:val="24"/>
          <w:lang w:val="fr-FR"/>
        </w:rPr>
        <w:t>.</w:t>
      </w:r>
    </w:p>
    <w:p w14:paraId="16C552CC" w14:textId="5971C96E" w:rsidR="0049085B" w:rsidRPr="004C0771" w:rsidRDefault="0049085B" w:rsidP="006233DD">
      <w:pPr>
        <w:spacing w:after="0" w:line="480" w:lineRule="auto"/>
        <w:ind w:left="720" w:hanging="720"/>
        <w:rPr>
          <w:rFonts w:ascii="Times New Roman" w:hAnsi="Times New Roman"/>
          <w:szCs w:val="24"/>
        </w:rPr>
      </w:pPr>
      <w:bookmarkStart w:id="57" w:name="_ENREF_52"/>
      <w:r w:rsidRPr="00782793">
        <w:rPr>
          <w:rFonts w:ascii="Times New Roman" w:hAnsi="Times New Roman"/>
          <w:szCs w:val="24"/>
          <w:lang w:val="fr-FR"/>
        </w:rPr>
        <w:t xml:space="preserve">Van der Jeught S (2015) </w:t>
      </w:r>
      <w:r w:rsidRPr="00782793">
        <w:rPr>
          <w:rFonts w:ascii="Times New Roman" w:hAnsi="Times New Roman"/>
          <w:i/>
          <w:szCs w:val="24"/>
          <w:lang w:val="fr-FR"/>
        </w:rPr>
        <w:t>EU Language Law</w:t>
      </w:r>
      <w:r w:rsidRPr="00782793">
        <w:rPr>
          <w:rFonts w:ascii="Times New Roman" w:hAnsi="Times New Roman"/>
          <w:szCs w:val="24"/>
          <w:lang w:val="fr-FR"/>
        </w:rPr>
        <w:t xml:space="preserve">. </w:t>
      </w:r>
      <w:r w:rsidRPr="004C0771">
        <w:rPr>
          <w:rFonts w:ascii="Times New Roman" w:hAnsi="Times New Roman"/>
          <w:szCs w:val="24"/>
        </w:rPr>
        <w:t>Europa Law Publishing, Groningen</w:t>
      </w:r>
      <w:bookmarkEnd w:id="57"/>
      <w:r w:rsidR="00A910E4" w:rsidRPr="004C0771">
        <w:rPr>
          <w:rFonts w:ascii="Times New Roman" w:hAnsi="Times New Roman"/>
          <w:szCs w:val="24"/>
        </w:rPr>
        <w:t>.</w:t>
      </w:r>
    </w:p>
    <w:p w14:paraId="2B060E63" w14:textId="533E1A75" w:rsidR="007F446F" w:rsidRDefault="0049085B" w:rsidP="006233DD">
      <w:pPr>
        <w:spacing w:line="480" w:lineRule="auto"/>
        <w:ind w:left="720" w:hanging="720"/>
        <w:rPr>
          <w:rFonts w:ascii="Times New Roman" w:hAnsi="Times New Roman"/>
          <w:szCs w:val="24"/>
        </w:rPr>
      </w:pPr>
      <w:bookmarkStart w:id="58" w:name="_ENREF_53"/>
      <w:r w:rsidRPr="004C0771">
        <w:rPr>
          <w:rFonts w:ascii="Times New Roman" w:hAnsi="Times New Roman"/>
          <w:szCs w:val="24"/>
        </w:rPr>
        <w:t xml:space="preserve">Van Parijs P (2011) </w:t>
      </w:r>
      <w:r w:rsidRPr="004C0771">
        <w:rPr>
          <w:rFonts w:ascii="Times New Roman" w:hAnsi="Times New Roman"/>
          <w:i/>
          <w:szCs w:val="24"/>
        </w:rPr>
        <w:t>Linguistic justice for Europe and for the World</w:t>
      </w:r>
      <w:r w:rsidRPr="004C0771">
        <w:rPr>
          <w:rFonts w:ascii="Times New Roman" w:hAnsi="Times New Roman"/>
          <w:szCs w:val="24"/>
        </w:rPr>
        <w:t>. Oxford University Press, Oxford</w:t>
      </w:r>
      <w:bookmarkEnd w:id="58"/>
      <w:r w:rsidR="00A910E4" w:rsidRPr="004C0771">
        <w:rPr>
          <w:rFonts w:ascii="Times New Roman" w:hAnsi="Times New Roman"/>
          <w:szCs w:val="24"/>
        </w:rPr>
        <w:t>.</w:t>
      </w:r>
    </w:p>
    <w:p w14:paraId="1089E73A" w14:textId="77777777" w:rsidR="007F446F" w:rsidRDefault="007F446F">
      <w:pPr>
        <w:spacing w:after="0" w:line="240" w:lineRule="auto"/>
        <w:rPr>
          <w:rFonts w:ascii="Times New Roman" w:hAnsi="Times New Roman"/>
          <w:szCs w:val="24"/>
        </w:rPr>
      </w:pPr>
      <w:r>
        <w:rPr>
          <w:rFonts w:ascii="Times New Roman" w:hAnsi="Times New Roman"/>
          <w:szCs w:val="24"/>
        </w:rPr>
        <w:br w:type="page"/>
      </w:r>
    </w:p>
    <w:p w14:paraId="66EDFE35" w14:textId="77777777" w:rsidR="0049085B" w:rsidRPr="004C0771" w:rsidRDefault="0049085B" w:rsidP="006233DD">
      <w:pPr>
        <w:spacing w:line="480" w:lineRule="auto"/>
        <w:ind w:left="720" w:hanging="720"/>
        <w:rPr>
          <w:rFonts w:ascii="Times New Roman" w:hAnsi="Times New Roman"/>
          <w:szCs w:val="24"/>
        </w:rPr>
      </w:pPr>
    </w:p>
    <w:p w14:paraId="419BE966" w14:textId="77777777" w:rsidR="006930E9" w:rsidRPr="004C0771" w:rsidRDefault="009D68BA" w:rsidP="006233DD">
      <w:pPr>
        <w:spacing w:after="0" w:line="480" w:lineRule="auto"/>
      </w:pPr>
      <w:r w:rsidRPr="004C0771">
        <w:rPr>
          <w:rFonts w:ascii="Times New Roman" w:hAnsi="Times New Roman"/>
          <w:sz w:val="24"/>
          <w:szCs w:val="24"/>
        </w:rPr>
        <w:fldChar w:fldCharType="end"/>
      </w:r>
    </w:p>
    <w:sectPr w:rsidR="006930E9" w:rsidRPr="004C0771" w:rsidSect="007F0E7E">
      <w:endnotePr>
        <w:numFmt w:val="decimal"/>
      </w:end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973ECF" w14:textId="77777777" w:rsidR="009E1470" w:rsidRDefault="009E1470" w:rsidP="00592737">
      <w:pPr>
        <w:spacing w:after="0" w:line="240" w:lineRule="auto"/>
      </w:pPr>
      <w:r>
        <w:separator/>
      </w:r>
    </w:p>
  </w:endnote>
  <w:endnote w:type="continuationSeparator" w:id="0">
    <w:p w14:paraId="59E96CFB" w14:textId="77777777" w:rsidR="009E1470" w:rsidRDefault="009E1470" w:rsidP="005927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8C45F1" w14:textId="77777777" w:rsidR="009E1470" w:rsidRDefault="009E1470" w:rsidP="00592737">
      <w:pPr>
        <w:spacing w:after="0" w:line="240" w:lineRule="auto"/>
      </w:pPr>
      <w:r>
        <w:separator/>
      </w:r>
    </w:p>
  </w:footnote>
  <w:footnote w:type="continuationSeparator" w:id="0">
    <w:p w14:paraId="3046BA24" w14:textId="77777777" w:rsidR="009E1470" w:rsidRDefault="009E1470" w:rsidP="00592737">
      <w:pPr>
        <w:spacing w:after="0" w:line="240" w:lineRule="auto"/>
      </w:pPr>
      <w:r>
        <w:continuationSeparator/>
      </w:r>
    </w:p>
  </w:footnote>
  <w:footnote w:id="1">
    <w:p w14:paraId="135A7092" w14:textId="0BD9A229" w:rsidR="007F446F" w:rsidRPr="008224F8" w:rsidRDefault="007F446F" w:rsidP="006233DD">
      <w:pPr>
        <w:pStyle w:val="FootnoteText"/>
        <w:spacing w:line="480" w:lineRule="auto"/>
        <w:jc w:val="both"/>
        <w:rPr>
          <w:rFonts w:ascii="Times New Roman" w:hAnsi="Times New Roman"/>
          <w:lang w:val="en-US"/>
        </w:rPr>
      </w:pPr>
      <w:r w:rsidRPr="00D00897">
        <w:rPr>
          <w:rStyle w:val="FootnoteReference"/>
          <w:rFonts w:ascii="Times New Roman" w:hAnsi="Times New Roman"/>
          <w:vertAlign w:val="baseline"/>
        </w:rPr>
        <w:footnoteRef/>
      </w:r>
      <w:r>
        <w:rPr>
          <w:rFonts w:ascii="Times New Roman" w:hAnsi="Times New Roman"/>
        </w:rPr>
        <w:t>.</w:t>
      </w:r>
      <w:r w:rsidRPr="00C2298C">
        <w:rPr>
          <w:rFonts w:ascii="Times New Roman" w:hAnsi="Times New Roman"/>
        </w:rPr>
        <w:t xml:space="preserve"> </w:t>
      </w:r>
      <w:r w:rsidRPr="00C2298C">
        <w:rPr>
          <w:rFonts w:ascii="Times New Roman" w:hAnsi="Times New Roman"/>
          <w:vertAlign w:val="superscript"/>
        </w:rPr>
        <w:t xml:space="preserve"> </w:t>
      </w:r>
      <w:r w:rsidRPr="008224F8">
        <w:rPr>
          <w:rFonts w:ascii="Times New Roman" w:hAnsi="Times New Roman"/>
        </w:rPr>
        <w:t>Regulation n°1/58, regularly updated after every enlargement. For a detailed description of the history of the EU language regime, its legal basis and its practical implementation see Ammon (</w:t>
      </w:r>
      <w:hyperlink w:anchor="_ENREF_2" w:tooltip="Ammon, 2015 #1098" w:history="1">
        <w:r w:rsidRPr="008224F8">
          <w:rPr>
            <w:rFonts w:ascii="Times New Roman" w:hAnsi="Times New Roman"/>
          </w:rPr>
          <w:fldChar w:fldCharType="begin"/>
        </w:r>
        <w:r w:rsidRPr="008224F8">
          <w:rPr>
            <w:rFonts w:ascii="Times New Roman" w:hAnsi="Times New Roman"/>
          </w:rPr>
          <w:instrText xml:space="preserve"> ADDIN EN.CITE &lt;EndNote&gt;&lt;Cite ExcludeAuth="1"&gt;&lt;Author&gt;Ammon&lt;/Author&gt;&lt;Year&gt;2015&lt;/Year&gt;&lt;RecNum&gt;1098&lt;/RecNum&gt;&lt;Pages&gt;730-833&lt;/Pages&gt;&lt;DisplayText&gt;2015: 730-833&lt;/DisplayText&gt;&lt;record&gt;&lt;rec-number&gt;1098&lt;/rec-number&gt;&lt;foreign-keys&gt;&lt;key app="EN" db-id="wvvszzd93a0z5wesdfpvdv9z5wrra5p05axp"&gt;1098&lt;/key&gt;&lt;/foreign-keys&gt;&lt;ref-type name="Book"&gt;6&lt;/ref-type&gt;&lt;contributors&gt;&lt;authors&gt;&lt;author&gt;Ammon, Ulrich&lt;/author&gt;&lt;/authors&gt;&lt;/contributors&gt;&lt;titles&gt;&lt;title&gt;Die Stellung der deutschen Sprache in der Welt &lt;/title&gt;&lt;/titles&gt;&lt;dates&gt;&lt;year&gt;2015&lt;/year&gt;&lt;/dates&gt;&lt;pub-location&gt;Berlin&lt;/pub-location&gt;&lt;publisher&gt;De Gruyter&lt;/publisher&gt;&lt;urls&gt;&lt;/urls&gt;&lt;/record&gt;&lt;/Cite&gt;&lt;/EndNote&gt;</w:instrText>
        </w:r>
        <w:r w:rsidRPr="008224F8">
          <w:rPr>
            <w:rFonts w:ascii="Times New Roman" w:hAnsi="Times New Roman"/>
          </w:rPr>
          <w:fldChar w:fldCharType="separate"/>
        </w:r>
        <w:r w:rsidRPr="008224F8">
          <w:rPr>
            <w:rFonts w:ascii="Times New Roman" w:hAnsi="Times New Roman"/>
            <w:noProof/>
          </w:rPr>
          <w:t>2015: 730-833</w:t>
        </w:r>
        <w:r w:rsidRPr="008224F8">
          <w:rPr>
            <w:rFonts w:ascii="Times New Roman" w:hAnsi="Times New Roman"/>
          </w:rPr>
          <w:fldChar w:fldCharType="end"/>
        </w:r>
      </w:hyperlink>
      <w:r w:rsidRPr="008224F8">
        <w:rPr>
          <w:rFonts w:ascii="Times New Roman" w:hAnsi="Times New Roman"/>
        </w:rPr>
        <w:t>), Gazzola (</w:t>
      </w:r>
      <w:hyperlink w:anchor="_ENREF_21" w:tooltip="Gazzola, 2006 #243" w:history="1">
        <w:r w:rsidRPr="008224F8">
          <w:rPr>
            <w:rFonts w:ascii="Times New Roman" w:hAnsi="Times New Roman"/>
          </w:rPr>
          <w:fldChar w:fldCharType="begin"/>
        </w:r>
        <w:r w:rsidRPr="008224F8">
          <w:rPr>
            <w:rFonts w:ascii="Times New Roman" w:hAnsi="Times New Roman"/>
          </w:rPr>
          <w:instrText xml:space="preserve"> ADDIN EN.CITE &lt;EndNote&gt;&lt;Cite ExcludeAuth="1"&gt;&lt;Author&gt;Gazzola&lt;/Author&gt;&lt;Year&gt;2006&lt;/Year&gt;&lt;RecNum&gt;243&lt;/RecNu</w:instrText>
        </w:r>
        <w:r w:rsidRPr="008224F8">
          <w:rPr>
            <w:rFonts w:ascii="Times New Roman" w:hAnsi="Times New Roman"/>
            <w:lang w:val="en-US"/>
          </w:rPr>
          <w:instrText>m&gt;&lt;DisplayText&gt;2006&lt;/DisplayText&gt;&lt;record&gt;&lt;rec-number&gt;243&lt;/rec-number&gt;&lt;foreign-keys&gt;&lt;key app="EN" db-id="wvvszzd93a0z5wesdfpvdv9z5wrra5p05axp"&gt;243&lt;/key&gt;&lt;/foreign-keys&gt;&lt;ref-type name="Journal Article"&gt;17&lt;/ref-type&gt;&lt;contributors&gt;&lt;authors&gt;&lt;author&gt;Gazzola, Michele&lt;/author&gt;&lt;/authors&gt;&lt;/contributors&gt;&lt;titles&gt;&lt;title&gt;Managing multilingualism in the European Union: Language policy evaluation for the European Parliament&lt;/title&gt;&lt;secondary-title&gt;Language Policy&lt;/secondary-title&gt;&lt;/titles&gt;&lt;periodical&gt;&lt;full-title&gt;Language Policy&lt;/full-title&gt;&lt;/periodical&gt;&lt;pages&gt;393-417&lt;/pages&gt;&lt;volume&gt;5&lt;/volume&gt;&lt;number&gt;4&lt;/number&gt;&lt;dates&gt;&lt;year&gt;2006&lt;/year&gt;&lt;/dates&gt;&lt;urls&gt;&lt;/urls&gt;&lt;/record&gt;&lt;/Cite&gt;&lt;/EndNote&gt;</w:instrText>
        </w:r>
        <w:r w:rsidRPr="008224F8">
          <w:rPr>
            <w:rFonts w:ascii="Times New Roman" w:hAnsi="Times New Roman"/>
          </w:rPr>
          <w:fldChar w:fldCharType="separate"/>
        </w:r>
        <w:r w:rsidRPr="008224F8">
          <w:rPr>
            <w:rFonts w:ascii="Times New Roman" w:hAnsi="Times New Roman"/>
            <w:lang w:val="en-US"/>
          </w:rPr>
          <w:t>2006</w:t>
        </w:r>
        <w:r w:rsidRPr="008224F8">
          <w:rPr>
            <w:rFonts w:ascii="Times New Roman" w:hAnsi="Times New Roman"/>
          </w:rPr>
          <w:fldChar w:fldCharType="end"/>
        </w:r>
      </w:hyperlink>
      <w:r w:rsidRPr="008224F8">
        <w:rPr>
          <w:rFonts w:ascii="Times New Roman" w:hAnsi="Times New Roman"/>
          <w:lang w:val="en-US"/>
        </w:rPr>
        <w:t xml:space="preserve">), </w:t>
      </w:r>
      <w:r w:rsidRPr="008224F8">
        <w:rPr>
          <w:rFonts w:ascii="Times New Roman" w:hAnsi="Times New Roman"/>
          <w:noProof/>
          <w:lang w:val="en-US"/>
        </w:rPr>
        <w:t>Hanf</w:t>
      </w:r>
      <w:r w:rsidRPr="008224F8">
        <w:rPr>
          <w:rFonts w:ascii="Times New Roman" w:hAnsi="Times New Roman"/>
          <w:i/>
          <w:noProof/>
          <w:lang w:val="en-US"/>
        </w:rPr>
        <w:t xml:space="preserve"> </w:t>
      </w:r>
      <w:r w:rsidRPr="00C2298C">
        <w:rPr>
          <w:rFonts w:ascii="Times New Roman" w:hAnsi="Times New Roman"/>
          <w:noProof/>
          <w:lang w:val="en-US"/>
        </w:rPr>
        <w:t>et al</w:t>
      </w:r>
      <w:r w:rsidRPr="008224F8">
        <w:rPr>
          <w:rFonts w:ascii="Times New Roman" w:hAnsi="Times New Roman"/>
          <w:i/>
          <w:noProof/>
          <w:lang w:val="en-US"/>
        </w:rPr>
        <w:t>.</w:t>
      </w:r>
      <w:r w:rsidRPr="008224F8">
        <w:rPr>
          <w:rFonts w:ascii="Times New Roman" w:hAnsi="Times New Roman"/>
          <w:noProof/>
          <w:lang w:val="en-US"/>
        </w:rPr>
        <w:t xml:space="preserve"> (</w:t>
      </w:r>
      <w:hyperlink w:anchor="_ENREF_31" w:tooltip="Hanf, 2010 #938" w:history="1">
        <w:r w:rsidRPr="008224F8">
          <w:rPr>
            <w:rFonts w:ascii="Times New Roman" w:hAnsi="Times New Roman"/>
          </w:rPr>
          <w:fldChar w:fldCharType="begin"/>
        </w:r>
        <w:r w:rsidRPr="008224F8">
          <w:rPr>
            <w:rFonts w:ascii="Times New Roman" w:hAnsi="Times New Roman"/>
            <w:lang w:val="en-US"/>
          </w:rPr>
          <w:instrText xml:space="preserve"> ADDIN EN.CITE &lt;EndNote&gt;&lt;Cite ExcludeAuth="1"&gt;&lt;Author&gt;Hanf&lt;/Author&gt;&lt;Year&gt;2010&lt;/Year&gt;&lt;RecNum&gt;938&lt;/RecNum&gt;&lt;Pages&gt;81-162&lt;/Pages&gt;&lt;DisplayText&gt;2010: 81-162&lt;/DisplayText&gt;&lt;record&gt;&lt;rec-number&gt;938&lt;/rec-number&gt;&lt;foreign-keys&gt;&lt;key app="EN" db-id="wvvszzd93a0z5wesdfpvdv9z5wrra5p05axp"&gt;938&lt;/key&gt;&lt;/foreign-keys&gt;&lt;ref-type name="Edited Book"&gt;28&lt;/ref-type&gt;&lt;contributors&gt;&lt;authors&gt;&lt;author&gt;Hanf, Dominik&lt;/author&gt;&lt;author&gt;Malacek, Klaus&lt;/author&gt;&lt;author&gt;Muir, Elise&lt;/author&gt;&lt;/authors&gt;&lt;/contributors&gt;&lt;titles&gt;&lt;title&gt;Langues et construction européenne&lt;/title&gt;&lt;/titles&gt;&lt;dates&gt;&lt;year&gt;2010&lt;/year&gt;&lt;/dates&gt;&lt;pub-location&gt;Brussels&lt;/pub-location&gt;&lt;publisher&gt;Peter Lang&lt;/publisher&gt;&lt;urls&gt;&lt;/urls&gt;&lt;/record&gt;&lt;/Cite&gt;&lt;/EndNote&gt;</w:instrText>
        </w:r>
        <w:r w:rsidRPr="008224F8">
          <w:rPr>
            <w:rFonts w:ascii="Times New Roman" w:hAnsi="Times New Roman"/>
          </w:rPr>
          <w:fldChar w:fldCharType="separate"/>
        </w:r>
        <w:r w:rsidRPr="008224F8">
          <w:rPr>
            <w:rFonts w:ascii="Times New Roman" w:hAnsi="Times New Roman"/>
            <w:noProof/>
            <w:lang w:val="en-US"/>
          </w:rPr>
          <w:t>2010: 81-162</w:t>
        </w:r>
        <w:r w:rsidRPr="008224F8">
          <w:rPr>
            <w:rFonts w:ascii="Times New Roman" w:hAnsi="Times New Roman"/>
          </w:rPr>
          <w:fldChar w:fldCharType="end"/>
        </w:r>
      </w:hyperlink>
      <w:r w:rsidRPr="008224F8">
        <w:rPr>
          <w:rFonts w:ascii="Times New Roman" w:hAnsi="Times New Roman"/>
          <w:noProof/>
          <w:lang w:val="en-US"/>
        </w:rPr>
        <w:t>)</w:t>
      </w:r>
      <w:r>
        <w:rPr>
          <w:rFonts w:ascii="Times New Roman" w:hAnsi="Times New Roman"/>
          <w:noProof/>
          <w:lang w:val="en-US"/>
        </w:rPr>
        <w:t xml:space="preserve">, </w:t>
      </w:r>
      <w:r w:rsidRPr="008224F8">
        <w:rPr>
          <w:rFonts w:ascii="Times New Roman" w:hAnsi="Times New Roman"/>
          <w:noProof/>
          <w:lang w:val="en-US"/>
        </w:rPr>
        <w:t xml:space="preserve">Nißl </w:t>
      </w:r>
      <w:r w:rsidRPr="008224F8">
        <w:rPr>
          <w:rFonts w:ascii="Times New Roman" w:hAnsi="Times New Roman"/>
          <w:lang w:val="en-US"/>
        </w:rPr>
        <w:t>(</w:t>
      </w:r>
      <w:hyperlink w:anchor="_ENREF_39" w:tooltip="Nißl, 2011 #802" w:history="1">
        <w:r w:rsidRPr="008224F8">
          <w:rPr>
            <w:rFonts w:ascii="Times New Roman" w:hAnsi="Times New Roman"/>
          </w:rPr>
          <w:fldChar w:fldCharType="begin"/>
        </w:r>
        <w:r w:rsidRPr="008224F8">
          <w:rPr>
            <w:rFonts w:ascii="Times New Roman" w:hAnsi="Times New Roman"/>
            <w:lang w:val="en-US"/>
          </w:rPr>
          <w:instrText xml:space="preserve"> ADDIN EN.CITE &lt;EndNote&gt;&lt;Cite ExcludeAuth="1"&gt;&lt;Author&gt;Nißl&lt;/Author&gt;&lt;Year&gt;2011&lt;/Year&gt;&lt;RecNum&gt;802&lt;/RecNum&gt;&lt;Pages&gt;72-127&lt;/Pages&gt;&lt;DisplayText&gt;2011: 72-127&lt;/DisplayText&gt;&lt;record&gt;&lt;rec-number&gt;802&lt;/rec-number&gt;&lt;foreign-keys&gt;&lt;key app="EN" db-id="wvvszzd93a0z5wesdfpvdv9z5wrra5p05axp"&gt;802&lt;/key&gt;&lt;/foreign-keys&gt;&lt;ref-type name="Book"&gt;6&lt;/ref-type&gt;&lt;contributors&gt;&lt;authors&gt;&lt;author&gt;Nißl, Sandra&lt;/author&gt;&lt;/authors&gt;&lt;/contributors&gt;&lt;titles&gt;&lt;title&gt;Die Sprachenfrage in der Europäischen Union. Möglichkeiten und Grenzen einer Sprachenpolitik für Europa&lt;/title&gt;&lt;/titles&gt;&lt;dates&gt;&lt;year&gt;2011&lt;/year&gt;&lt;/dates&gt;&lt;pub-location&gt;München&lt;/pub-location&gt;&lt;publisher&gt;Herbert Utz&lt;/publisher&gt;&lt;urls&gt;&lt;/urls&gt;&lt;/record&gt;&lt;/Cite&gt;&lt;/EndNote&gt;</w:instrText>
        </w:r>
        <w:r w:rsidRPr="008224F8">
          <w:rPr>
            <w:rFonts w:ascii="Times New Roman" w:hAnsi="Times New Roman"/>
          </w:rPr>
          <w:fldChar w:fldCharType="separate"/>
        </w:r>
        <w:r w:rsidRPr="008224F8">
          <w:rPr>
            <w:rFonts w:ascii="Times New Roman" w:hAnsi="Times New Roman"/>
            <w:noProof/>
            <w:lang w:val="en-US"/>
          </w:rPr>
          <w:t>2011: 72-127</w:t>
        </w:r>
        <w:r w:rsidRPr="008224F8">
          <w:rPr>
            <w:rFonts w:ascii="Times New Roman" w:hAnsi="Times New Roman"/>
          </w:rPr>
          <w:fldChar w:fldCharType="end"/>
        </w:r>
      </w:hyperlink>
      <w:r w:rsidRPr="008224F8">
        <w:rPr>
          <w:rFonts w:ascii="Times New Roman" w:hAnsi="Times New Roman"/>
          <w:lang w:val="en-US"/>
        </w:rPr>
        <w:t xml:space="preserve">), </w:t>
      </w:r>
      <w:r>
        <w:rPr>
          <w:rFonts w:ascii="Times New Roman" w:hAnsi="Times New Roman"/>
          <w:noProof/>
          <w:lang w:val="en-US"/>
        </w:rPr>
        <w:t>and</w:t>
      </w:r>
      <w:r w:rsidRPr="00280325">
        <w:rPr>
          <w:rFonts w:ascii="Times New Roman" w:hAnsi="Times New Roman"/>
        </w:rPr>
        <w:t xml:space="preserve"> </w:t>
      </w:r>
      <w:r w:rsidRPr="008224F8">
        <w:rPr>
          <w:rFonts w:ascii="Times New Roman" w:hAnsi="Times New Roman"/>
        </w:rPr>
        <w:t xml:space="preserve">Van der </w:t>
      </w:r>
      <w:proofErr w:type="spellStart"/>
      <w:r w:rsidRPr="008224F8">
        <w:rPr>
          <w:rFonts w:ascii="Times New Roman" w:hAnsi="Times New Roman"/>
        </w:rPr>
        <w:t>Jeught</w:t>
      </w:r>
      <w:proofErr w:type="spellEnd"/>
      <w:r w:rsidRPr="008224F8">
        <w:rPr>
          <w:rFonts w:ascii="Times New Roman" w:hAnsi="Times New Roman"/>
        </w:rPr>
        <w:t xml:space="preserve"> (</w:t>
      </w:r>
      <w:hyperlink w:anchor="_ENREF_52" w:tooltip="Van der Jeught, 2015 #1156" w:history="1">
        <w:r w:rsidRPr="008224F8">
          <w:rPr>
            <w:rFonts w:ascii="Times New Roman" w:hAnsi="Times New Roman"/>
          </w:rPr>
          <w:fldChar w:fldCharType="begin"/>
        </w:r>
        <w:r w:rsidRPr="008224F8">
          <w:rPr>
            <w:rFonts w:ascii="Times New Roman" w:hAnsi="Times New Roman"/>
          </w:rPr>
          <w:instrText xml:space="preserve"> ADDIN EN.CITE &lt;EndNote&gt;&lt;Cite ExcludeAuth="1"&gt;&lt;Author&gt;Van der Jeught&lt;/Author&gt;&lt;Year&gt;2015&lt;/Year&gt;&lt;RecNum&gt;1156&lt;/RecNum&gt;&lt;DisplayText&gt;2015&lt;/DisplayText&gt;&lt;record&gt;&lt;rec-number&gt;1156&lt;/rec-number&gt;&lt;foreign-keys&gt;&lt;key app="EN" db-id="wvvszzd93a0z5wesdfpvdv9z5wrra5p05axp"&gt;1156&lt;/key&gt;&lt;/foreign-keys&gt;&lt;ref-type name="Book"&gt;6&lt;/ref-type&gt;&lt;contributors&gt;&lt;authors&gt;&lt;author&gt;Van der Jeught, Stefaan&lt;/author&gt;&lt;/authors&gt;&lt;/contributors&gt;&lt;titles&gt;&lt;title&gt;EU Language Law&lt;/title&gt;&lt;/titles&gt;&lt;dates&gt;&lt;year&gt;2015&lt;/year&gt;&lt;/dates&gt;&lt;pub-location&gt;Groningen&lt;/pub-location&gt;&lt;publisher&gt;Europa Law Publishing&lt;/publisher&gt;&lt;urls&gt;&lt;/urls&gt;&lt;/record&gt;&lt;/Cite&gt;&lt;/EndNote&gt;</w:instrText>
        </w:r>
        <w:r w:rsidRPr="008224F8">
          <w:rPr>
            <w:rFonts w:ascii="Times New Roman" w:hAnsi="Times New Roman"/>
          </w:rPr>
          <w:fldChar w:fldCharType="separate"/>
        </w:r>
        <w:r w:rsidRPr="008224F8">
          <w:rPr>
            <w:rFonts w:ascii="Times New Roman" w:hAnsi="Times New Roman"/>
            <w:noProof/>
          </w:rPr>
          <w:t>2015</w:t>
        </w:r>
        <w:r w:rsidRPr="008224F8">
          <w:rPr>
            <w:rFonts w:ascii="Times New Roman" w:hAnsi="Times New Roman"/>
          </w:rPr>
          <w:fldChar w:fldCharType="end"/>
        </w:r>
      </w:hyperlink>
      <w:r w:rsidRPr="008224F8">
        <w:rPr>
          <w:rFonts w:ascii="Times New Roman" w:hAnsi="Times New Roman"/>
        </w:rPr>
        <w:t>)</w:t>
      </w:r>
      <w:r>
        <w:rPr>
          <w:rFonts w:ascii="Times New Roman" w:hAnsi="Times New Roman"/>
        </w:rPr>
        <w:t>.</w:t>
      </w:r>
    </w:p>
  </w:footnote>
  <w:footnote w:id="2">
    <w:p w14:paraId="2214CE33" w14:textId="53CBE87A" w:rsidR="007F446F" w:rsidRPr="006233DD" w:rsidRDefault="007F446F" w:rsidP="006233DD">
      <w:pPr>
        <w:pStyle w:val="FootnoteText"/>
        <w:spacing w:line="480" w:lineRule="auto"/>
        <w:jc w:val="both"/>
        <w:rPr>
          <w:rFonts w:ascii="Times New Roman" w:hAnsi="Times New Roman"/>
          <w:lang w:val="en-US"/>
        </w:rPr>
      </w:pPr>
      <w:r w:rsidRPr="00BD6F39">
        <w:rPr>
          <w:rStyle w:val="FootnoteReference"/>
          <w:rFonts w:ascii="Times New Roman" w:hAnsi="Times New Roman"/>
          <w:vertAlign w:val="baseline"/>
        </w:rPr>
        <w:footnoteRef/>
      </w:r>
      <w:r>
        <w:rPr>
          <w:rFonts w:ascii="Times New Roman" w:hAnsi="Times New Roman"/>
          <w:lang w:val="en-US"/>
        </w:rPr>
        <w:t>.</w:t>
      </w:r>
      <w:r w:rsidRPr="008224F8">
        <w:rPr>
          <w:rFonts w:ascii="Times New Roman" w:hAnsi="Times New Roman"/>
          <w:lang w:val="en-US"/>
        </w:rPr>
        <w:t xml:space="preserve"> </w:t>
      </w:r>
      <w:r w:rsidRPr="008224F8">
        <w:rPr>
          <w:rFonts w:ascii="Times New Roman" w:hAnsi="Times New Roman"/>
        </w:rPr>
        <w:t>In the area of applied linguistics see Ammon (</w:t>
      </w:r>
      <w:hyperlink w:anchor="_ENREF_1" w:tooltip="Ammon, 2006 #824" w:history="1">
        <w:r w:rsidRPr="008224F8">
          <w:rPr>
            <w:rFonts w:ascii="Times New Roman" w:hAnsi="Times New Roman"/>
          </w:rPr>
          <w:fldChar w:fldCharType="begin"/>
        </w:r>
        <w:r w:rsidRPr="008224F8">
          <w:rPr>
            <w:rFonts w:ascii="Times New Roman" w:hAnsi="Times New Roman"/>
          </w:rPr>
          <w:instrText xml:space="preserve"> ADDIN EN.CITE &lt;EndNote&gt;&lt;Cite ExcludeAuth="1"&gt;&lt;Author&gt;Ammon&lt;/Author&gt;&lt;Year&gt;2006&lt;/Year&gt;&lt;RecNum&gt;824&lt;/RecNum&gt;&lt;DisplayText&gt;2006&lt;/DisplayText&gt;&lt;record&gt;&lt;rec-number&gt;824&lt;/rec-number&gt;&lt;foreign-keys&gt;&lt;key app="EN" db-id="wvvszzd93a0z5wesdfpvdv9z5wrra5p05axp"&gt;824&lt;/key&gt;&lt;/foreign-keys&gt;&lt;ref-type name="Journal Article"&gt;17&lt;/ref-type&gt;&lt;contributors&gt;&lt;authors&gt;&lt;author&gt;Ammon, Ulrich&lt;/author&gt;&lt;/authors&gt;&lt;/contributors&gt;&lt;titles&gt;&lt;title&gt;Language conflicts in the European Union. On finding a politically acceptable and practicable solution for EU institutions that satisfies diverging interests&lt;/title&gt;&lt;secondary-title&gt;International Journal of Applied Linguistics&lt;/secondary-title&gt;&lt;/titles&gt;&lt;periodical&gt;&lt;full-title&gt;International Journal of Applied Linguistics&lt;/full-title&gt;&lt;/periodical&gt;&lt;pages&gt;319-338&lt;/pages&gt;&lt;volume&gt;16&lt;/volume&gt;&lt;dates&gt;&lt;year&gt;2006&lt;/year&gt;&lt;/dates&gt;&lt;urls&gt;&lt;/urls&gt;&lt;/record&gt;&lt;/Cite&gt;&lt;/EndNote&gt;</w:instrText>
        </w:r>
        <w:r w:rsidRPr="008224F8">
          <w:rPr>
            <w:rFonts w:ascii="Times New Roman" w:hAnsi="Times New Roman"/>
          </w:rPr>
          <w:fldChar w:fldCharType="separate"/>
        </w:r>
        <w:r w:rsidRPr="008224F8">
          <w:rPr>
            <w:rFonts w:ascii="Times New Roman" w:hAnsi="Times New Roman"/>
            <w:noProof/>
          </w:rPr>
          <w:t>2006</w:t>
        </w:r>
        <w:r w:rsidRPr="008224F8">
          <w:rPr>
            <w:rFonts w:ascii="Times New Roman" w:hAnsi="Times New Roman"/>
          </w:rPr>
          <w:fldChar w:fldCharType="end"/>
        </w:r>
      </w:hyperlink>
      <w:r w:rsidRPr="008224F8">
        <w:rPr>
          <w:rFonts w:ascii="Times New Roman" w:hAnsi="Times New Roman"/>
        </w:rPr>
        <w:t xml:space="preserve">, </w:t>
      </w:r>
      <w:hyperlink w:anchor="_ENREF_2" w:tooltip="Ammon, 2015 #1098" w:history="1">
        <w:r w:rsidRPr="008224F8">
          <w:rPr>
            <w:rFonts w:ascii="Times New Roman" w:hAnsi="Times New Roman"/>
          </w:rPr>
          <w:fldChar w:fldCharType="begin"/>
        </w:r>
        <w:r w:rsidRPr="008224F8">
          <w:rPr>
            <w:rFonts w:ascii="Times New Roman" w:hAnsi="Times New Roman"/>
          </w:rPr>
          <w:instrText xml:space="preserve"> ADDIN EN.CITE &lt;EndNote&gt;&lt;Cite ExcludeAuth="1"&gt;&lt;Author&gt;Ammon&lt;/Author&gt;&lt;Year&gt;2015&lt;/Year&gt;&lt;RecNum&gt;1098&lt;/RecNum&gt;&lt;Pages&gt;730-833&lt;/Pages&gt;&lt;DisplayText&gt;2015: 730-833&lt;/DisplayText&gt;&lt;record&gt;&lt;rec-number&gt;1098&lt;/rec-number&gt;&lt;foreign-keys&gt;&lt;key app="EN" db-id="wvvszzd93a0z5wesdfpvdv9z5wrra5p05axp"&gt;1098&lt;/key&gt;&lt;/foreign-keys&gt;&lt;ref-type name="Book"&gt;6&lt;/ref-type&gt;&lt;contributors&gt;&lt;authors&gt;&lt;author&gt;Ammon, Ulrich&lt;/author&gt;&lt;/authors&gt;&lt;/contributors&gt;&lt;titles&gt;&lt;title&gt;Die Stellung der deutschen Sprache in der Welt &lt;/title&gt;&lt;/titles&gt;&lt;dates&gt;&lt;year&gt;2015&lt;/year&gt;&lt;/dates&gt;&lt;pub-location&gt;Berlin&lt;/pub-location&gt;&lt;publisher&gt;De Gruyter&lt;/publisher&gt;&lt;urls&gt;&lt;/urls&gt;&lt;/record&gt;&lt;/Cite&gt;&lt;/EndNote&gt;</w:instrText>
        </w:r>
        <w:r w:rsidRPr="008224F8">
          <w:rPr>
            <w:rFonts w:ascii="Times New Roman" w:hAnsi="Times New Roman"/>
          </w:rPr>
          <w:fldChar w:fldCharType="separate"/>
        </w:r>
        <w:r w:rsidRPr="008224F8">
          <w:rPr>
            <w:rFonts w:ascii="Times New Roman" w:hAnsi="Times New Roman"/>
            <w:noProof/>
          </w:rPr>
          <w:t>2015: 730-833</w:t>
        </w:r>
        <w:r w:rsidRPr="008224F8">
          <w:rPr>
            <w:rFonts w:ascii="Times New Roman" w:hAnsi="Times New Roman"/>
          </w:rPr>
          <w:fldChar w:fldCharType="end"/>
        </w:r>
      </w:hyperlink>
      <w:r w:rsidRPr="008224F8">
        <w:rPr>
          <w:rFonts w:ascii="Times New Roman" w:hAnsi="Times New Roman"/>
        </w:rPr>
        <w:t>), Phillipson (</w:t>
      </w:r>
      <w:hyperlink w:anchor="_ENREF_42" w:tooltip="Phillipson, 2003 #178" w:history="1">
        <w:r w:rsidRPr="008224F8">
          <w:rPr>
            <w:rFonts w:ascii="Times New Roman" w:hAnsi="Times New Roman"/>
          </w:rPr>
          <w:fldChar w:fldCharType="begin"/>
        </w:r>
        <w:r w:rsidRPr="008224F8">
          <w:rPr>
            <w:rFonts w:ascii="Times New Roman" w:hAnsi="Times New Roman"/>
          </w:rPr>
          <w:instrText xml:space="preserve"> ADDIN EN.CITE &lt;EndNote&gt;&lt;Cite ExcludeAuth="1"&gt;&lt;Author&gt;Phillipson&lt;/Author&gt;&lt;Year&gt;2003&lt;/Year&gt;&lt;RecNum&gt;178&lt;/RecNum&gt;&lt;DisplayText&gt;2003&lt;/DisplayText&gt;&lt;record&gt;&lt;rec-number&gt;178&lt;/rec-number&gt;&lt;foreign-keys&gt;&lt;key app="EN" db-id="wvvszzd93a0z5wesdfpvdv9z5wrra5p05axp"&gt;178&lt;/key&gt;&lt;/foreign-keys&gt;&lt;ref-type name="Book"&gt;6&lt;/ref-type&gt;&lt;contributors&gt;&lt;authors&gt;&lt;author&gt;Phillipson, Robert&lt;/author&gt;&lt;/authors&gt;&lt;/contributors&gt;&lt;titles&gt;&lt;title&gt;English-only Europe? Challenging language policy&lt;/title&gt;&lt;/titles&gt;&lt;dates&gt;&lt;year&gt;2003&lt;/year&gt;&lt;/dates&gt;&lt;pub-location&gt;London&lt;/pub-location&gt;&lt;publisher&gt;Routledge&lt;/publisher&gt;&lt;urls&gt;&lt;/urls&gt;&lt;/record&gt;&lt;/Cite&gt;&lt;/EndNote&gt;</w:instrText>
        </w:r>
        <w:r w:rsidRPr="008224F8">
          <w:rPr>
            <w:rFonts w:ascii="Times New Roman" w:hAnsi="Times New Roman"/>
          </w:rPr>
          <w:fldChar w:fldCharType="separate"/>
        </w:r>
        <w:r w:rsidRPr="008224F8">
          <w:rPr>
            <w:rFonts w:ascii="Times New Roman" w:hAnsi="Times New Roman"/>
            <w:noProof/>
          </w:rPr>
          <w:t>2003</w:t>
        </w:r>
        <w:r w:rsidRPr="008224F8">
          <w:rPr>
            <w:rFonts w:ascii="Times New Roman" w:hAnsi="Times New Roman"/>
          </w:rPr>
          <w:fldChar w:fldCharType="end"/>
        </w:r>
      </w:hyperlink>
      <w:r w:rsidRPr="008224F8">
        <w:rPr>
          <w:rFonts w:ascii="Times New Roman" w:hAnsi="Times New Roman"/>
        </w:rPr>
        <w:t>), and Romaine (</w:t>
      </w:r>
      <w:hyperlink w:anchor="_ENREF_45" w:tooltip="Romaine, 2013 #884" w:history="1">
        <w:r w:rsidRPr="008224F8">
          <w:rPr>
            <w:rFonts w:ascii="Times New Roman" w:hAnsi="Times New Roman"/>
          </w:rPr>
          <w:fldChar w:fldCharType="begin"/>
        </w:r>
        <w:r w:rsidRPr="008224F8">
          <w:rPr>
            <w:rFonts w:ascii="Times New Roman" w:hAnsi="Times New Roman"/>
          </w:rPr>
          <w:instrText xml:space="preserve"> ADDIN EN.CITE &lt;EndNote&gt;&lt;Cite ExcludeAuth="1"&gt;&lt;Author&gt;Romaine&lt;/Author&gt;&lt;Year&gt;2013&lt;/Year&gt;&lt;RecNum&gt;884&lt;/RecNum&gt;&lt;DisplayText&gt;2013&lt;/DisplayText&gt;&lt;record&gt;&lt;rec-number&gt;884&lt;/rec-number&gt;&lt;foreign-keys&gt;&lt;key app="EN" db-id="wvvszzd93a0z5wesdfpvdv9z5wrra5p05axp"&gt;884&lt;/key&gt;&lt;/foreign-keys&gt;&lt;ref-type name="Journal Article"&gt;17&lt;/ref-type&gt;&lt;contributors&gt;&lt;authors&gt;&lt;author&gt;Romaine, Suzanne&lt;/author&gt;&lt;/authors&gt;&lt;/contributors&gt;&lt;titles&gt;&lt;title&gt;Politics and policies of promoting multilingualism in the European Union&lt;/title&gt;&lt;secondary-title&gt;Language Policy&lt;/secondary-title&gt;&lt;/titles&gt;&lt;periodical&gt;&lt;full-title&gt;Language Policy&lt;/full-title&gt;&lt;/periodical&gt;&lt;pages&gt;115-137&lt;/pages&gt;&lt;volume&gt;12&lt;/volume&gt;&lt;dates&gt;&lt;year&gt;2013&lt;/year&gt;&lt;/dates&gt;&lt;urls&gt;&lt;/urls&gt;&lt;/record&gt;&lt;/Cite&gt;&lt;/EndNote&gt;</w:instrText>
        </w:r>
        <w:r w:rsidRPr="008224F8">
          <w:rPr>
            <w:rFonts w:ascii="Times New Roman" w:hAnsi="Times New Roman"/>
          </w:rPr>
          <w:fldChar w:fldCharType="separate"/>
        </w:r>
        <w:r w:rsidRPr="008224F8">
          <w:rPr>
            <w:rFonts w:ascii="Times New Roman" w:hAnsi="Times New Roman"/>
            <w:noProof/>
          </w:rPr>
          <w:t>2013</w:t>
        </w:r>
        <w:r w:rsidRPr="008224F8">
          <w:rPr>
            <w:rFonts w:ascii="Times New Roman" w:hAnsi="Times New Roman"/>
          </w:rPr>
          <w:fldChar w:fldCharType="end"/>
        </w:r>
      </w:hyperlink>
      <w:r w:rsidRPr="008224F8">
        <w:rPr>
          <w:rFonts w:ascii="Times New Roman" w:hAnsi="Times New Roman"/>
          <w:noProof/>
        </w:rPr>
        <w:t>);</w:t>
      </w:r>
      <w:r w:rsidRPr="008224F8">
        <w:rPr>
          <w:rFonts w:ascii="Times New Roman" w:hAnsi="Times New Roman"/>
        </w:rPr>
        <w:t xml:space="preserve"> Tosi (</w:t>
      </w:r>
      <w:hyperlink w:anchor="_ENREF_50" w:tooltip="Tosi, 2013 #886" w:history="1">
        <w:r w:rsidRPr="008224F8">
          <w:rPr>
            <w:rFonts w:ascii="Times New Roman" w:hAnsi="Times New Roman"/>
          </w:rPr>
          <w:fldChar w:fldCharType="begin"/>
        </w:r>
        <w:r w:rsidRPr="008224F8">
          <w:rPr>
            <w:rFonts w:ascii="Times New Roman" w:hAnsi="Times New Roman"/>
          </w:rPr>
          <w:instrText xml:space="preserve"> ADDIN EN.CITE &lt;EndNote&gt;&lt;Cite ExcludeAuth="1"&gt;&lt;Author&gt;Tosi&lt;/Author&gt;&lt;Year&gt;2013&lt;/Year&gt;&lt;RecNum&gt;886&lt;/RecNum&gt;&lt;DisplayText&gt;2013&lt;/DisplayText&gt;&lt;record&gt;&lt;rec-number&gt;886&lt;/rec-number&gt;&lt;foreign-keys&gt;&lt;key app="EN" db-id="wvvszzd93a0z5wesdfpvdv9z5wrra5p05axp"&gt;886&lt;/key&gt;&lt;/foreign-keys&gt;&lt;ref-type name="Edited Book"&gt;28&lt;/ref-type&gt;&lt;contributors&gt;&lt;authors&gt;&lt;author&gt;Tosi, Arturo&lt;/author&gt;&lt;/authors&gt;&lt;/contributors&gt;&lt;titles&gt;&lt;title&gt;The EU Multilingual translation in an ecology of language perspective&lt;/title&gt;&lt;secondary-title&gt;International Journal of Applied Linguistics&lt;/secondary-title&gt;&lt;/titles&gt;&lt;periodical&gt;&lt;full-title&gt;International Journal of Applied Linguistics&lt;/full-title&gt;&lt;/periodical&gt;&lt;volume&gt;23 of the International Journal of Applied Linguistics&lt;/volume&gt;&lt;dates&gt;&lt;year&gt;2013&lt;/year&gt;&lt;/dates&gt;&lt;pub-location&gt;Oxford&lt;/pub-location&gt;&lt;publisher&gt;Blackwell&lt;/publisher&gt;&lt;urls&gt;&lt;/urls&gt;&lt;/record&gt;&lt;/Cite&gt;&lt;/EndNote&gt;</w:instrText>
        </w:r>
        <w:r w:rsidRPr="008224F8">
          <w:rPr>
            <w:rFonts w:ascii="Times New Roman" w:hAnsi="Times New Roman"/>
          </w:rPr>
          <w:fldChar w:fldCharType="separate"/>
        </w:r>
        <w:r w:rsidRPr="008224F8">
          <w:rPr>
            <w:rFonts w:ascii="Times New Roman" w:hAnsi="Times New Roman"/>
            <w:noProof/>
          </w:rPr>
          <w:t>2013</w:t>
        </w:r>
        <w:r w:rsidRPr="008224F8">
          <w:rPr>
            <w:rFonts w:ascii="Times New Roman" w:hAnsi="Times New Roman"/>
          </w:rPr>
          <w:fldChar w:fldCharType="end"/>
        </w:r>
      </w:hyperlink>
      <w:r w:rsidRPr="008224F8">
        <w:rPr>
          <w:rFonts w:ascii="Times New Roman" w:hAnsi="Times New Roman"/>
          <w:lang w:val="en-US"/>
        </w:rPr>
        <w:t>)</w:t>
      </w:r>
      <w:r w:rsidRPr="008224F8">
        <w:rPr>
          <w:rFonts w:ascii="Times New Roman" w:hAnsi="Times New Roman"/>
        </w:rPr>
        <w:t xml:space="preserve"> collects different articles from translation studies; in </w:t>
      </w:r>
      <w:r w:rsidRPr="008224F8">
        <w:rPr>
          <w:rFonts w:ascii="Times New Roman" w:hAnsi="Times New Roman"/>
          <w:lang w:val="en-US"/>
        </w:rPr>
        <w:t xml:space="preserve">political science see, among others, </w:t>
      </w:r>
      <w:proofErr w:type="spellStart"/>
      <w:r w:rsidRPr="00831391">
        <w:rPr>
          <w:rFonts w:ascii="Times New Roman" w:hAnsi="Times New Roman"/>
          <w:lang w:val="en-US"/>
        </w:rPr>
        <w:t>Barbier</w:t>
      </w:r>
      <w:proofErr w:type="spellEnd"/>
      <w:r w:rsidRPr="00831391">
        <w:rPr>
          <w:rFonts w:ascii="Times New Roman" w:hAnsi="Times New Roman"/>
          <w:lang w:val="en-US"/>
        </w:rPr>
        <w:t xml:space="preserve"> (</w:t>
      </w:r>
      <w:hyperlink w:anchor="_ENREF_6" w:tooltip="Barbier, 2015 #1108" w:history="1">
        <w:r w:rsidRPr="008224F8">
          <w:rPr>
            <w:rFonts w:ascii="Times New Roman" w:hAnsi="Times New Roman"/>
            <w:lang w:val="en-US"/>
          </w:rPr>
          <w:fldChar w:fldCharType="begin"/>
        </w:r>
        <w:r w:rsidRPr="00831391">
          <w:rPr>
            <w:rFonts w:ascii="Times New Roman" w:hAnsi="Times New Roman"/>
            <w:lang w:val="en-US"/>
          </w:rPr>
          <w:instrText xml:space="preserve"> ADDIN EN.CITE &lt;EndNote&gt;&lt;Cite ExcludeAuth="1"&gt;&lt;Author&gt;Barbier&lt;/Author&gt;&lt;Year&gt;2015&lt;/Year&gt;&lt;RecNum&gt;1108&lt;/RecNum&gt;&lt;DisplayText&gt;2015&lt;/DisplayText&gt;&lt;record&gt;&lt;rec-number&gt;1108&lt;/rec-number&gt;&lt;foreign-keys&gt;&lt;key app="EN" db-id="wvvszzd93a0z5wesdfpvdv9z5wrra5p05axp"&gt;1108&lt;/key&gt;&lt;/foreign-keys&gt;&lt;ref-type name="Journal Article"&gt;17&lt;/ref-type&gt;&lt;contributors&gt;&lt;authors&gt;&lt;author&gt;Barbier, Jean-Claude&lt;/author&gt;&lt;/authors&gt;&lt;/contributors&gt;&lt;titles&gt;&lt;title&gt;English speaking, a hidden political factor of European politics and European integration&lt;/title&gt;&lt;secondary-title&gt;Politiche Sociali/Social Policies&lt;/secondary-title&gt;&lt;/titles&gt;&lt;periodical&gt;&lt;full-title&gt;Politiche Sociali/Social Policies&lt;/full-title&gt;&lt;/periodical&gt;&lt;pages&gt;185-218&lt;/pages&gt;&lt;number&gt;2&lt;/number&gt;&lt;dates&gt;&lt;year&gt;2015&lt;/year&gt;&lt;/dates&gt;&lt;urls&gt;&lt;/urls&gt;&lt;/record&gt;&lt;/Cite&gt;&lt;/EndNote&gt;</w:instrText>
        </w:r>
        <w:r w:rsidRPr="008224F8">
          <w:rPr>
            <w:rFonts w:ascii="Times New Roman" w:hAnsi="Times New Roman"/>
            <w:lang w:val="en-US"/>
          </w:rPr>
          <w:fldChar w:fldCharType="separate"/>
        </w:r>
        <w:r w:rsidRPr="00831391">
          <w:rPr>
            <w:rFonts w:ascii="Times New Roman" w:hAnsi="Times New Roman"/>
            <w:noProof/>
            <w:lang w:val="en-US"/>
          </w:rPr>
          <w:t>2015</w:t>
        </w:r>
        <w:r w:rsidRPr="008224F8">
          <w:rPr>
            <w:rFonts w:ascii="Times New Roman" w:hAnsi="Times New Roman"/>
            <w:lang w:val="en-US"/>
          </w:rPr>
          <w:fldChar w:fldCharType="end"/>
        </w:r>
      </w:hyperlink>
      <w:r w:rsidRPr="00831391">
        <w:rPr>
          <w:rFonts w:ascii="Times New Roman" w:hAnsi="Times New Roman"/>
          <w:lang w:val="en-US"/>
        </w:rPr>
        <w:t>)</w:t>
      </w:r>
      <w:r>
        <w:rPr>
          <w:rFonts w:ascii="Times New Roman" w:hAnsi="Times New Roman"/>
          <w:lang w:val="en-US"/>
        </w:rPr>
        <w:t xml:space="preserve">, </w:t>
      </w:r>
      <w:r w:rsidRPr="008224F8">
        <w:rPr>
          <w:rFonts w:ascii="Times New Roman" w:hAnsi="Times New Roman"/>
          <w:lang w:val="en-US"/>
        </w:rPr>
        <w:t xml:space="preserve">De </w:t>
      </w:r>
      <w:proofErr w:type="spellStart"/>
      <w:r w:rsidRPr="008224F8">
        <w:rPr>
          <w:rFonts w:ascii="Times New Roman" w:hAnsi="Times New Roman"/>
          <w:lang w:val="en-US"/>
        </w:rPr>
        <w:t>Swaan</w:t>
      </w:r>
      <w:proofErr w:type="spellEnd"/>
      <w:r w:rsidRPr="008224F8">
        <w:rPr>
          <w:rFonts w:ascii="Times New Roman" w:hAnsi="Times New Roman"/>
          <w:lang w:val="en-US"/>
        </w:rPr>
        <w:t xml:space="preserve"> (</w:t>
      </w:r>
      <w:r w:rsidRPr="008224F8">
        <w:rPr>
          <w:rFonts w:ascii="Times New Roman" w:hAnsi="Times New Roman"/>
          <w:lang w:val="de-DE"/>
        </w:rPr>
        <w:fldChar w:fldCharType="begin"/>
      </w:r>
      <w:r w:rsidRPr="008224F8">
        <w:rPr>
          <w:rFonts w:ascii="Times New Roman" w:hAnsi="Times New Roman"/>
          <w:lang w:val="en-US"/>
        </w:rPr>
        <w:instrText xml:space="preserve"> ADDIN EN.C</w:instrText>
      </w:r>
      <w:r w:rsidRPr="000D3147">
        <w:rPr>
          <w:rFonts w:ascii="Times New Roman" w:hAnsi="Times New Roman"/>
          <w:lang w:val="en-US"/>
        </w:rPr>
        <w:instrText>ITE &lt;EndNote&gt;&lt;Cite ExcludeAuth="1"&gt;&lt;Author&gt;De Swaan&lt;/Author&gt;&lt;Year&gt;2001&lt;/Year&gt;&lt;RecNum&gt;73&lt;/RecNum&gt;&lt;DisplayText&gt;2001&lt;/DisplayText&gt;&lt;record&gt;&lt;rec-number&gt;73&lt;/rec-number&gt;&lt;foreign-keys&gt;&lt;key app="EN" db-id="wvvszzd93a0z5wesdfpvdv9z5wrra5p05axp"&gt;73&lt;/key&gt;&lt;/foreign-keys&gt;&lt;ref-type name="Book"&gt;6&lt;/ref-type&gt;&lt;contributors&gt;&lt;authors&gt;&lt;author&gt;De Swaan, Abram&lt;/author&gt;&lt;/authors&gt;&lt;/contributors&gt;&lt;titles&gt;&lt;title&gt;Words of the world. The global language system&lt;/title&gt;&lt;/titles&gt;&lt;pages&gt;vii+253&lt;/pages&gt;&lt;dates&gt;&lt;year&gt;2001&lt;/year&gt;&lt;/dates&gt;&lt;pub-location&gt;Cambridge (UK)&lt;/pub-location&gt;&lt;publisher&gt;Polity Press&lt;/publisher&gt;&lt;urls&gt;&lt;/urls&gt;&lt;/record&gt;&lt;/Cite&gt;&lt;/EndNote&gt;</w:instrText>
      </w:r>
      <w:r w:rsidRPr="008224F8">
        <w:rPr>
          <w:rFonts w:ascii="Times New Roman" w:hAnsi="Times New Roman"/>
          <w:lang w:val="de-DE"/>
        </w:rPr>
        <w:fldChar w:fldCharType="separate"/>
      </w:r>
      <w:r w:rsidRPr="000D3147">
        <w:rPr>
          <w:rFonts w:ascii="Times New Roman" w:hAnsi="Times New Roman"/>
          <w:noProof/>
          <w:lang w:val="en-US"/>
        </w:rPr>
        <w:t>2001</w:t>
      </w:r>
      <w:r w:rsidRPr="008224F8">
        <w:rPr>
          <w:rFonts w:ascii="Times New Roman" w:hAnsi="Times New Roman"/>
          <w:lang w:val="de-DE"/>
        </w:rPr>
        <w:fldChar w:fldCharType="end"/>
      </w:r>
      <w:r w:rsidRPr="000D3147">
        <w:rPr>
          <w:rFonts w:ascii="Times New Roman" w:hAnsi="Times New Roman"/>
          <w:lang w:val="en-US"/>
        </w:rPr>
        <w:t>), Ives (</w:t>
      </w:r>
      <w:hyperlink w:anchor="_ENREF_32" w:tooltip="Ives, 2004 #107" w:history="1">
        <w:r w:rsidRPr="008224F8">
          <w:rPr>
            <w:rFonts w:ascii="Times New Roman" w:hAnsi="Times New Roman"/>
            <w:lang w:val="de-DE"/>
          </w:rPr>
          <w:fldChar w:fldCharType="begin"/>
        </w:r>
        <w:r w:rsidRPr="000D3147">
          <w:rPr>
            <w:rFonts w:ascii="Times New Roman" w:hAnsi="Times New Roman"/>
            <w:lang w:val="en-US"/>
          </w:rPr>
          <w:instrText xml:space="preserve"> ADDIN EN.CITE &lt;EndNote&gt;&lt;Cite ExcludeAuth="1"&gt;&lt;Author&gt;Ives&lt;/Author&gt;&lt;Year&gt;2004&lt;/Year&gt;&lt;RecNum&gt;107&lt;/RecNum&gt;&lt;DisplayText&gt;2004&lt;/DisplayText&gt;&lt;record&gt;&lt;rec-number&gt;107&lt;/rec-number&gt;&lt;foreign-keys&gt;&lt;key app="EN" db-id="wvvszzd93a0z5wesdfpvdv9z5wrra5p05axp"&gt;107&lt;/key&gt;&lt;/foreign-keys&gt;&lt;ref-type name="Book Section"&gt;5&lt;/ref-type&gt;&lt;contributors&gt;&lt;authors&gt;&lt;author&gt;Ives, Peter&lt;/author&gt;&lt;/authors&gt;&lt;secondary-authors&gt;&lt;author&gt;Laycock, David&lt;/author&gt;&lt;/secondary-authors&gt;&lt;/contributors&gt;&lt;titles&gt;&lt;title&gt;Language, representation, and suprastate democracy: Questions facing the European Union&lt;/title&gt;&lt;secondary-title&gt;Representation and Democratic Theory&lt;/secondary-title&gt;&lt;/titles&gt;&lt;pages&gt;23-47&lt;/pages&gt;&lt;dates&gt;&lt;year&gt;2004&lt;/year&gt;&lt;/dates&gt;&lt;pub-location&gt;Vancouver&lt;/pub-location&gt;&lt;publisher&gt;UBC Press&lt;/publisher&gt;&lt;urls&gt;&lt;/urls&gt;&lt;/record</w:instrText>
        </w:r>
        <w:r w:rsidRPr="007F446F">
          <w:rPr>
            <w:rFonts w:ascii="Times New Roman" w:hAnsi="Times New Roman"/>
          </w:rPr>
          <w:instrText>&gt;&lt;/Cite&gt;&lt;/EndNote&gt;</w:instrText>
        </w:r>
        <w:r w:rsidRPr="008224F8">
          <w:rPr>
            <w:rFonts w:ascii="Times New Roman" w:hAnsi="Times New Roman"/>
            <w:lang w:val="de-DE"/>
          </w:rPr>
          <w:fldChar w:fldCharType="separate"/>
        </w:r>
        <w:r w:rsidRPr="007F446F">
          <w:rPr>
            <w:rFonts w:ascii="Times New Roman" w:hAnsi="Times New Roman"/>
            <w:noProof/>
          </w:rPr>
          <w:t>2004</w:t>
        </w:r>
        <w:r w:rsidRPr="008224F8">
          <w:rPr>
            <w:rFonts w:ascii="Times New Roman" w:hAnsi="Times New Roman"/>
            <w:lang w:val="de-DE"/>
          </w:rPr>
          <w:fldChar w:fldCharType="end"/>
        </w:r>
      </w:hyperlink>
      <w:r w:rsidRPr="007F446F">
        <w:rPr>
          <w:rFonts w:ascii="Times New Roman" w:hAnsi="Times New Roman"/>
        </w:rPr>
        <w:t>), Kraus (</w:t>
      </w:r>
      <w:hyperlink w:anchor="_ENREF_34" w:tooltip="Kraus, 2008 #797" w:history="1">
        <w:r w:rsidRPr="008224F8">
          <w:rPr>
            <w:rFonts w:ascii="Times New Roman" w:hAnsi="Times New Roman"/>
            <w:lang w:val="de-DE"/>
          </w:rPr>
          <w:fldChar w:fldCharType="begin"/>
        </w:r>
        <w:r w:rsidRPr="007F446F">
          <w:rPr>
            <w:rFonts w:ascii="Times New Roman" w:hAnsi="Times New Roman"/>
          </w:rPr>
          <w:instrText xml:space="preserve"> ADDIN EN.CITE &lt;EndNote&gt;&lt;Cite ExcludeAuth="1"&gt;&lt;Author&gt;Kraus&lt;/Author&gt;&lt;Year&gt;2008&lt;/Year&gt;&lt;RecNum&gt;797&lt;/RecNum&gt;&lt;DisplayText&gt;2008&lt;/DisplayText&gt;&lt;record&gt;&lt;rec-number&gt;797&lt;/rec-number&gt;&lt;foreign-keys&gt;&lt;key app="EN" db-id="wvvszzd93a0z5wesdfpvdv9z5wrra5p05axp"&gt;797&lt;/key&gt;&lt;/foreign-keys&gt;&lt;ref-type name="Book"&gt;6&lt;/ref-type&gt;&lt;contributors&gt;&lt;authors&gt;&lt;author&gt;Kraus, Peter A.&lt;/author&gt;&lt;/authors&gt;&lt;/contributors&gt;&lt;titles&gt;&lt;title&gt;A Union of diversity: Language, identity and polity-building in Europe&lt;/title&gt;&lt;/titles&gt;&lt;dates&gt;&lt;year&gt;2008&lt;/year&gt;&lt;/dates&gt;&lt;pub-location&gt;Cambridge&lt;/pub-location&gt;&lt;publisher&gt;Cambridge University Press&lt;/publisher&gt;&lt;urls&gt;&lt;/urls&gt;&lt;/record&gt;&lt;/Cite&gt;&lt;/EndNote&gt;</w:instrText>
        </w:r>
        <w:r w:rsidRPr="008224F8">
          <w:rPr>
            <w:rFonts w:ascii="Times New Roman" w:hAnsi="Times New Roman"/>
            <w:lang w:val="de-DE"/>
          </w:rPr>
          <w:fldChar w:fldCharType="separate"/>
        </w:r>
        <w:r w:rsidRPr="007F446F">
          <w:rPr>
            <w:rFonts w:ascii="Times New Roman" w:hAnsi="Times New Roman"/>
            <w:noProof/>
          </w:rPr>
          <w:t>2008</w:t>
        </w:r>
        <w:r w:rsidRPr="008224F8">
          <w:rPr>
            <w:rFonts w:ascii="Times New Roman" w:hAnsi="Times New Roman"/>
            <w:lang w:val="de-DE"/>
          </w:rPr>
          <w:fldChar w:fldCharType="end"/>
        </w:r>
      </w:hyperlink>
      <w:r w:rsidRPr="007F446F">
        <w:rPr>
          <w:rFonts w:ascii="Times New Roman" w:hAnsi="Times New Roman"/>
        </w:rPr>
        <w:t>) and Pool (</w:t>
      </w:r>
      <w:hyperlink w:anchor="_ENREF_44" w:tooltip="Pool, 1996 #64" w:history="1">
        <w:r w:rsidRPr="008224F8">
          <w:rPr>
            <w:rFonts w:ascii="Times New Roman" w:hAnsi="Times New Roman"/>
            <w:lang w:val="de-DE"/>
          </w:rPr>
          <w:fldChar w:fldCharType="begin"/>
        </w:r>
        <w:r w:rsidRPr="007F446F">
          <w:rPr>
            <w:rFonts w:ascii="Times New Roman" w:hAnsi="Times New Roman"/>
          </w:rPr>
          <w:instrText xml:space="preserve"> ADDIN EN.CITE &lt;EndNote&gt;&lt;Cite ExcludeAuth="1"&gt;&lt;Author&gt;Pool&lt;/Author&gt;&lt;Year&gt;1996&lt;/Year&gt;&lt;RecNum&gt;64&lt;/RecNum&gt;&lt;DisplayText&gt;1996&lt;/DisplayText&gt;&lt;record&gt;&lt;rec-number&gt;64&lt;/rec-number&gt;&lt;foreign-keys&gt;&lt;key app="EN" db-id="wvvszzd93a0z5wesdfpvdv9z5wrra5p05axp"&gt;64&lt;/key&gt;&lt;/foreign-keys&gt;&lt;ref-type name="Journal Article"&gt;17&lt;/ref-type&gt;&lt;contributors&gt;&lt;authors&gt;&lt;author&gt;Pool, Jonathan&lt;/author&gt;&lt;/authors&gt;&lt;/contributors&gt;&lt;titles&gt;&lt;title&gt;Optimal language regimes for the European Union&lt;/title&gt;&lt;secondary-title&gt;International Journal of the Sociology of Language&lt;/secondary-title&gt;&lt;/titles&gt;&lt;periodical&gt;&lt;full-title&gt;International Journal of the Sociology of Language&lt;/full-title&gt;&lt;/periodical&gt;&lt;pages&gt;159 - 179&lt;/pages&gt;&lt;volume&gt;121&lt;/volume&gt;&lt;dates&gt;&lt;year&gt;1996&lt;/year&gt;&lt;/dates&gt;&lt;urls&gt;&lt;/urls&gt;&lt;/record&gt;&lt;/Cite&gt;&lt;/EndNote&gt;</w:instrText>
        </w:r>
        <w:r w:rsidRPr="008224F8">
          <w:rPr>
            <w:rFonts w:ascii="Times New Roman" w:hAnsi="Times New Roman"/>
            <w:lang w:val="de-DE"/>
          </w:rPr>
          <w:fldChar w:fldCharType="separate"/>
        </w:r>
        <w:r w:rsidRPr="007F446F">
          <w:rPr>
            <w:rFonts w:ascii="Times New Roman" w:hAnsi="Times New Roman"/>
            <w:noProof/>
          </w:rPr>
          <w:t>1996</w:t>
        </w:r>
        <w:r w:rsidRPr="008224F8">
          <w:rPr>
            <w:rFonts w:ascii="Times New Roman" w:hAnsi="Times New Roman"/>
            <w:lang w:val="de-DE"/>
          </w:rPr>
          <w:fldChar w:fldCharType="end"/>
        </w:r>
      </w:hyperlink>
      <w:r w:rsidRPr="007F446F">
        <w:rPr>
          <w:rFonts w:ascii="Times New Roman" w:hAnsi="Times New Roman"/>
        </w:rPr>
        <w:t xml:space="preserve">). </w:t>
      </w:r>
      <w:r w:rsidRPr="00781858">
        <w:rPr>
          <w:rFonts w:ascii="Times New Roman" w:hAnsi="Times New Roman"/>
          <w:lang w:val="en-US"/>
        </w:rPr>
        <w:t xml:space="preserve">Finally, valuable contributions come from political philosophy (Patten, </w:t>
      </w:r>
      <w:hyperlink w:anchor="_ENREF_40" w:tooltip="Patten, 2007 #936" w:history="1">
        <w:r w:rsidRPr="008224F8">
          <w:rPr>
            <w:rFonts w:ascii="Times New Roman" w:hAnsi="Times New Roman"/>
            <w:lang w:val="de-DE"/>
          </w:rPr>
          <w:fldChar w:fldCharType="begin"/>
        </w:r>
        <w:r w:rsidRPr="00781858">
          <w:rPr>
            <w:rFonts w:ascii="Times New Roman" w:hAnsi="Times New Roman"/>
            <w:lang w:val="en-US"/>
          </w:rPr>
          <w:instrText xml:space="preserve"> ADDIN EN.CITE &lt;EndNote&gt;&lt;Cite ExcludeAuth="1"&gt;&lt;Author&gt;Patten&lt;/Author&gt;&lt;Year&gt;2007&lt;/Year&gt;&lt;RecNum&gt;936&lt;/RecNum&gt;&lt;DisplayText&gt;2007&lt;/DisplayText&gt;&lt;record&gt;&lt;rec-number&gt;936&lt;/rec-number&gt;&lt;foreign-keys&gt;&lt;key app="EN" db-id="wvvszzd93a0z5wesdfpvdv9z5wrra5p05axp"&gt;936&lt;/key&gt;&lt;/foreign-keys&gt;&lt;ref-type name="Book Section"&gt;5&lt;/ref-type&gt;&lt;contributors&gt;&lt;authors&gt;&lt;author&gt;Patten, Alain&lt;/author&gt;&lt;/authors&gt;&lt;secondary-authors&gt;&lt;author&gt;Castiglione, Dario&lt;/author&gt;&lt;author&gt;Longman, Chris&lt;/author&gt;&lt;/secondary-authors&gt;&lt;/contributors&gt;&lt;titles&gt;&lt;title&gt;Theoretical foundations of European language debate&lt;/title&gt;&lt;secondary-title&gt;The Language Question in Europe and Diverse Societies&lt;/secondary-title&gt;&lt;/titles&gt;&lt;dates&gt;&lt;year&gt;2007&lt;/year&gt;&lt;/dates&gt;&lt;pub-location&gt;Portland&lt;/pub-location&gt;&lt;publisher&gt;Hart Publishing&lt;/publisher&gt;&lt;urls&gt;&lt;/urls&gt;&lt;/record&gt;&lt;/Cite&gt;&lt;/EndNote&gt;</w:instrText>
        </w:r>
        <w:r w:rsidRPr="008224F8">
          <w:rPr>
            <w:rFonts w:ascii="Times New Roman" w:hAnsi="Times New Roman"/>
            <w:lang w:val="de-DE"/>
          </w:rPr>
          <w:fldChar w:fldCharType="separate"/>
        </w:r>
        <w:r w:rsidRPr="00781858">
          <w:rPr>
            <w:rFonts w:ascii="Times New Roman" w:hAnsi="Times New Roman"/>
            <w:noProof/>
            <w:lang w:val="en-US"/>
          </w:rPr>
          <w:t>2007</w:t>
        </w:r>
        <w:r w:rsidRPr="008224F8">
          <w:rPr>
            <w:rFonts w:ascii="Times New Roman" w:hAnsi="Times New Roman"/>
            <w:lang w:val="de-DE"/>
          </w:rPr>
          <w:fldChar w:fldCharType="end"/>
        </w:r>
      </w:hyperlink>
      <w:r w:rsidRPr="00781858">
        <w:rPr>
          <w:rFonts w:ascii="Times New Roman" w:hAnsi="Times New Roman"/>
          <w:lang w:val="en-US"/>
        </w:rPr>
        <w:t xml:space="preserve">; Van </w:t>
      </w:r>
      <w:proofErr w:type="spellStart"/>
      <w:r w:rsidRPr="00781858">
        <w:rPr>
          <w:rFonts w:ascii="Times New Roman" w:hAnsi="Times New Roman"/>
          <w:lang w:val="en-US"/>
        </w:rPr>
        <w:t>Parijs</w:t>
      </w:r>
      <w:proofErr w:type="spellEnd"/>
      <w:r w:rsidRPr="00781858">
        <w:rPr>
          <w:rFonts w:ascii="Times New Roman" w:hAnsi="Times New Roman"/>
          <w:lang w:val="en-US"/>
        </w:rPr>
        <w:t xml:space="preserve">, </w:t>
      </w:r>
      <w:hyperlink w:anchor="_ENREF_53" w:tooltip="Van Parijs, 2011 #794" w:history="1">
        <w:r w:rsidRPr="008224F8">
          <w:rPr>
            <w:rFonts w:ascii="Times New Roman" w:hAnsi="Times New Roman"/>
            <w:lang w:val="de-DE"/>
          </w:rPr>
          <w:fldChar w:fldCharType="begin"/>
        </w:r>
        <w:r w:rsidRPr="00781858">
          <w:rPr>
            <w:rFonts w:ascii="Times New Roman" w:hAnsi="Times New Roman"/>
            <w:lang w:val="en-US"/>
          </w:rPr>
          <w:instrText xml:space="preserve"> ADDIN EN.CITE &lt;EndNote&gt;&lt;Cite ExcludeAuth="1"&gt;&lt;Author&gt;Van Parijs&lt;/Author&gt;&lt;Year&gt;2011&lt;/Year&gt;&lt;RecNum&gt;794&lt;/RecNum&gt;&lt;DisplayText&gt;2011&lt;/DisplayText&gt;&lt;record&gt;&lt;rec-number&gt;794&lt;/rec-number&gt;&lt;foreign-keys&gt;&lt;key app="EN" db-id="wvvszzd93a0z5wesdfpvdv9z5wrra5p05axp"&gt;794&lt;/key&gt;&lt;/foreign-keys&gt;&lt;ref-type name="Book"&gt;6&lt;/ref-type&gt;&lt;contributors&gt;&lt;authors&gt;&lt;author&gt;Van Parijs, Philippe&lt;/author&gt;&lt;/authors&gt;&lt;/contributors&gt;&lt;titles&gt;&lt;title&gt;Linguistic justice for Europe and for the World&lt;/title&gt;&lt;/titles&gt;&lt;dates&gt;&lt;year&gt;20</w:instrText>
        </w:r>
        <w:r w:rsidRPr="006233DD">
          <w:rPr>
            <w:rFonts w:ascii="Times New Roman" w:hAnsi="Times New Roman"/>
            <w:lang w:val="en-US"/>
          </w:rPr>
          <w:instrText>11&lt;/year&gt;&lt;/dates&gt;&lt;pub-location&gt;Oxford&lt;/pub-location&gt;&lt;publisher&gt;Oxford University Press&lt;/publisher&gt;&lt;urls&gt;&lt;/urls&gt;&lt;/record&gt;&lt;/Cite&gt;&lt;/EndNote&gt;</w:instrText>
        </w:r>
        <w:r w:rsidRPr="008224F8">
          <w:rPr>
            <w:rFonts w:ascii="Times New Roman" w:hAnsi="Times New Roman"/>
            <w:lang w:val="de-DE"/>
          </w:rPr>
          <w:fldChar w:fldCharType="separate"/>
        </w:r>
        <w:r w:rsidRPr="006233DD">
          <w:rPr>
            <w:rFonts w:ascii="Times New Roman" w:hAnsi="Times New Roman"/>
            <w:noProof/>
            <w:lang w:val="en-US"/>
          </w:rPr>
          <w:t>2011</w:t>
        </w:r>
        <w:r w:rsidRPr="008224F8">
          <w:rPr>
            <w:rFonts w:ascii="Times New Roman" w:hAnsi="Times New Roman"/>
            <w:lang w:val="de-DE"/>
          </w:rPr>
          <w:fldChar w:fldCharType="end"/>
        </w:r>
      </w:hyperlink>
      <w:r w:rsidRPr="006233DD">
        <w:rPr>
          <w:rFonts w:ascii="Times New Roman" w:hAnsi="Times New Roman"/>
          <w:lang w:val="en-US"/>
        </w:rPr>
        <w:t>).</w:t>
      </w:r>
    </w:p>
  </w:footnote>
  <w:footnote w:id="3">
    <w:p w14:paraId="3E6681B0" w14:textId="6B0B748E" w:rsidR="007F446F" w:rsidRPr="008224F8" w:rsidRDefault="007F446F" w:rsidP="006233DD">
      <w:pPr>
        <w:pStyle w:val="FootnoteText"/>
        <w:spacing w:line="480" w:lineRule="auto"/>
        <w:jc w:val="both"/>
        <w:rPr>
          <w:rFonts w:ascii="Times New Roman" w:hAnsi="Times New Roman"/>
          <w:lang w:val="en-US"/>
        </w:rPr>
      </w:pPr>
      <w:r w:rsidRPr="00BD6F39">
        <w:rPr>
          <w:rStyle w:val="FootnoteReference"/>
          <w:rFonts w:ascii="Times New Roman" w:hAnsi="Times New Roman"/>
          <w:vertAlign w:val="baseline"/>
        </w:rPr>
        <w:footnoteRef/>
      </w:r>
      <w:r>
        <w:rPr>
          <w:rFonts w:ascii="Times New Roman" w:hAnsi="Times New Roman"/>
          <w:lang w:val="en-US"/>
        </w:rPr>
        <w:t>.</w:t>
      </w:r>
      <w:r w:rsidRPr="00BD6F39">
        <w:rPr>
          <w:rFonts w:ascii="Times New Roman" w:hAnsi="Times New Roman"/>
          <w:lang w:val="en-US"/>
        </w:rPr>
        <w:t xml:space="preserve"> </w:t>
      </w:r>
      <w:r w:rsidRPr="008224F8">
        <w:rPr>
          <w:rFonts w:ascii="Times New Roman" w:hAnsi="Times New Roman"/>
          <w:lang w:val="en-US"/>
        </w:rPr>
        <w:t xml:space="preserve">In Romania, 58% of the sample did not answer to questions on knowledge of foreign languages. In the Netherlands, </w:t>
      </w:r>
      <w:r>
        <w:rPr>
          <w:rFonts w:ascii="Times New Roman" w:hAnsi="Times New Roman"/>
          <w:lang w:val="en-US"/>
        </w:rPr>
        <w:t>no</w:t>
      </w:r>
      <w:r w:rsidRPr="008224F8">
        <w:rPr>
          <w:rFonts w:ascii="Times New Roman" w:hAnsi="Times New Roman"/>
          <w:lang w:val="en-US"/>
        </w:rPr>
        <w:t xml:space="preserve"> information on the level of knowledge of foreign languages</w:t>
      </w:r>
      <w:r>
        <w:rPr>
          <w:rFonts w:ascii="Times New Roman" w:hAnsi="Times New Roman"/>
          <w:lang w:val="en-US"/>
        </w:rPr>
        <w:t xml:space="preserve"> is available</w:t>
      </w:r>
      <w:r w:rsidRPr="008224F8">
        <w:rPr>
          <w:rFonts w:ascii="Times New Roman" w:hAnsi="Times New Roman"/>
          <w:lang w:val="en-US"/>
        </w:rPr>
        <w:t xml:space="preserve">. Since </w:t>
      </w:r>
      <w:r>
        <w:rPr>
          <w:rFonts w:ascii="Times New Roman" w:hAnsi="Times New Roman"/>
          <w:lang w:val="en-US"/>
        </w:rPr>
        <w:t xml:space="preserve">this article </w:t>
      </w:r>
      <w:r w:rsidRPr="008224F8">
        <w:rPr>
          <w:rFonts w:ascii="Times New Roman" w:hAnsi="Times New Roman"/>
          <w:lang w:val="en-US"/>
        </w:rPr>
        <w:t>deal</w:t>
      </w:r>
      <w:r>
        <w:rPr>
          <w:rFonts w:ascii="Times New Roman" w:hAnsi="Times New Roman"/>
          <w:lang w:val="en-US"/>
        </w:rPr>
        <w:t>s</w:t>
      </w:r>
      <w:r w:rsidRPr="008224F8">
        <w:rPr>
          <w:rFonts w:ascii="Times New Roman" w:hAnsi="Times New Roman"/>
          <w:lang w:val="en-US"/>
        </w:rPr>
        <w:t xml:space="preserve"> with aggregate observations for Europe as a whole, using only partial sample for those two countries would bias aggregate estimates.</w:t>
      </w:r>
    </w:p>
  </w:footnote>
  <w:footnote w:id="4">
    <w:p w14:paraId="35CF3F82" w14:textId="7441EE14" w:rsidR="007F446F" w:rsidRPr="008224F8" w:rsidRDefault="007F446F" w:rsidP="006233DD">
      <w:pPr>
        <w:spacing w:after="0" w:line="480" w:lineRule="auto"/>
        <w:jc w:val="both"/>
        <w:rPr>
          <w:rFonts w:ascii="Times New Roman" w:hAnsi="Times New Roman"/>
          <w:sz w:val="20"/>
          <w:szCs w:val="20"/>
        </w:rPr>
      </w:pPr>
      <w:r w:rsidRPr="00BD6F39">
        <w:rPr>
          <w:rStyle w:val="FootnoteReference"/>
          <w:rFonts w:ascii="Times New Roman" w:hAnsi="Times New Roman"/>
          <w:sz w:val="20"/>
          <w:szCs w:val="20"/>
          <w:vertAlign w:val="baseline"/>
        </w:rPr>
        <w:footnoteRef/>
      </w:r>
      <w:r>
        <w:rPr>
          <w:rFonts w:ascii="Times New Roman" w:hAnsi="Times New Roman"/>
          <w:sz w:val="20"/>
          <w:szCs w:val="20"/>
          <w:lang w:val="en-US"/>
        </w:rPr>
        <w:t>.</w:t>
      </w:r>
      <w:r w:rsidRPr="00BD6F39">
        <w:rPr>
          <w:rFonts w:ascii="Times New Roman" w:hAnsi="Times New Roman"/>
          <w:sz w:val="20"/>
          <w:szCs w:val="20"/>
          <w:lang w:val="en-US"/>
        </w:rPr>
        <w:t xml:space="preserve"> </w:t>
      </w:r>
      <w:r w:rsidRPr="008224F8">
        <w:rPr>
          <w:rFonts w:ascii="Times New Roman" w:hAnsi="Times New Roman"/>
          <w:sz w:val="20"/>
          <w:szCs w:val="20"/>
          <w:lang w:val="en-US"/>
        </w:rPr>
        <w:t>N</w:t>
      </w:r>
      <w:r w:rsidRPr="008224F8">
        <w:rPr>
          <w:rFonts w:ascii="Times New Roman" w:hAnsi="Times New Roman"/>
          <w:sz w:val="20"/>
          <w:szCs w:val="20"/>
        </w:rPr>
        <w:t xml:space="preserve">o data exist on the level of proficiency for the third, fourth, fifth, sixth and seventh foreign language spoken by respondents (if any). Nevertheless, this is not likely to substantially bias </w:t>
      </w:r>
      <w:proofErr w:type="spellStart"/>
      <w:r w:rsidRPr="008224F8">
        <w:rPr>
          <w:rFonts w:ascii="Times New Roman" w:hAnsi="Times New Roman"/>
          <w:sz w:val="20"/>
          <w:szCs w:val="20"/>
        </w:rPr>
        <w:t>D</w:t>
      </w:r>
      <w:r w:rsidRPr="008224F8">
        <w:rPr>
          <w:rFonts w:ascii="Times New Roman" w:hAnsi="Times New Roman"/>
          <w:sz w:val="20"/>
          <w:szCs w:val="20"/>
          <w:vertAlign w:val="subscript"/>
        </w:rPr>
        <w:t>r</w:t>
      </w:r>
      <w:r w:rsidRPr="008224F8">
        <w:rPr>
          <w:rFonts w:ascii="Times New Roman" w:hAnsi="Times New Roman"/>
          <w:sz w:val="20"/>
          <w:szCs w:val="20"/>
        </w:rPr>
        <w:t>.</w:t>
      </w:r>
      <w:proofErr w:type="spellEnd"/>
      <w:r w:rsidRPr="008224F8">
        <w:rPr>
          <w:rFonts w:ascii="Times New Roman" w:hAnsi="Times New Roman"/>
          <w:sz w:val="20"/>
          <w:szCs w:val="20"/>
        </w:rPr>
        <w:t xml:space="preserve"> The AES rank</w:t>
      </w:r>
      <w:r>
        <w:rPr>
          <w:rFonts w:ascii="Times New Roman" w:hAnsi="Times New Roman"/>
          <w:sz w:val="20"/>
          <w:szCs w:val="20"/>
        </w:rPr>
        <w:t>s respondents’ foreign languages</w:t>
      </w:r>
      <w:r w:rsidRPr="008224F8">
        <w:rPr>
          <w:rFonts w:ascii="Times New Roman" w:hAnsi="Times New Roman"/>
          <w:sz w:val="20"/>
          <w:szCs w:val="20"/>
        </w:rPr>
        <w:t xml:space="preserve"> according to the level of proficiency in such languages. Thus, better spoken languages come first. It is quite unlikely that a large percentage of respondents are equally ‘proficient’ in three or four foreign languages </w:t>
      </w:r>
      <w:r>
        <w:rPr>
          <w:rFonts w:ascii="Times New Roman" w:hAnsi="Times New Roman"/>
          <w:sz w:val="20"/>
          <w:szCs w:val="20"/>
        </w:rPr>
        <w:t xml:space="preserve">in addition to </w:t>
      </w:r>
      <w:r w:rsidRPr="008224F8">
        <w:rPr>
          <w:rFonts w:ascii="Times New Roman" w:hAnsi="Times New Roman"/>
          <w:sz w:val="20"/>
          <w:szCs w:val="20"/>
        </w:rPr>
        <w:t>their mother tongue(s).</w:t>
      </w:r>
    </w:p>
  </w:footnote>
  <w:footnote w:id="5">
    <w:p w14:paraId="045CF937" w14:textId="2D2ADE37" w:rsidR="007F446F" w:rsidRPr="008224F8" w:rsidRDefault="007F446F" w:rsidP="006233DD">
      <w:pPr>
        <w:pStyle w:val="FootnoteText"/>
        <w:spacing w:line="480" w:lineRule="auto"/>
        <w:jc w:val="both"/>
        <w:rPr>
          <w:rFonts w:ascii="Times New Roman" w:hAnsi="Times New Roman"/>
        </w:rPr>
      </w:pPr>
      <w:r w:rsidRPr="00BD6F39">
        <w:rPr>
          <w:rStyle w:val="FootnoteReference"/>
          <w:rFonts w:ascii="Times New Roman" w:hAnsi="Times New Roman"/>
          <w:vertAlign w:val="baseline"/>
        </w:rPr>
        <w:footnoteRef/>
      </w:r>
      <w:r>
        <w:rPr>
          <w:rFonts w:ascii="Times New Roman" w:hAnsi="Times New Roman"/>
        </w:rPr>
        <w:t>.</w:t>
      </w:r>
      <w:r w:rsidRPr="00BD6F39">
        <w:rPr>
          <w:rFonts w:ascii="Times New Roman" w:hAnsi="Times New Roman"/>
        </w:rPr>
        <w:t xml:space="preserve"> </w:t>
      </w:r>
      <w:r w:rsidRPr="008224F8">
        <w:rPr>
          <w:rFonts w:ascii="Times New Roman" w:hAnsi="Times New Roman"/>
        </w:rPr>
        <w:t xml:space="preserve">No respondent </w:t>
      </w:r>
      <w:proofErr w:type="gramStart"/>
      <w:r w:rsidRPr="008224F8">
        <w:rPr>
          <w:rFonts w:ascii="Times New Roman" w:hAnsi="Times New Roman"/>
        </w:rPr>
        <w:t>declare</w:t>
      </w:r>
      <w:proofErr w:type="gramEnd"/>
      <w:r w:rsidRPr="008224F8">
        <w:rPr>
          <w:rFonts w:ascii="Times New Roman" w:hAnsi="Times New Roman"/>
        </w:rPr>
        <w:t xml:space="preserve"> to know Bulgarian as a first or second foreign language in Bulgaria.</w:t>
      </w:r>
      <w:r>
        <w:rPr>
          <w:rFonts w:ascii="Times New Roman" w:hAnsi="Times New Roman"/>
        </w:rPr>
        <w:t xml:space="preserve"> T</w:t>
      </w:r>
      <w:r w:rsidRPr="008224F8">
        <w:rPr>
          <w:rFonts w:ascii="Times New Roman" w:hAnsi="Times New Roman"/>
        </w:rPr>
        <w:t>his is not credible, because at least some non-native speakers of Bulgarian living in Bulgaria must be proficient in this language. This might artificially inflate the value of D</w:t>
      </w:r>
      <w:r w:rsidRPr="008224F8">
        <w:rPr>
          <w:rFonts w:ascii="Times New Roman" w:hAnsi="Times New Roman"/>
          <w:vertAlign w:val="subscript"/>
        </w:rPr>
        <w:t>a</w:t>
      </w:r>
      <w:r w:rsidRPr="008224F8">
        <w:rPr>
          <w:rFonts w:ascii="Times New Roman" w:hAnsi="Times New Roman"/>
        </w:rPr>
        <w:t xml:space="preserve"> and D</w:t>
      </w:r>
      <w:r w:rsidRPr="008224F8">
        <w:rPr>
          <w:rFonts w:ascii="Times New Roman" w:hAnsi="Times New Roman"/>
          <w:vertAlign w:val="subscript"/>
        </w:rPr>
        <w:t>r</w:t>
      </w:r>
      <w:r w:rsidRPr="008224F8">
        <w:rPr>
          <w:rFonts w:ascii="Times New Roman" w:hAnsi="Times New Roman"/>
        </w:rPr>
        <w:t xml:space="preserve"> </w:t>
      </w:r>
      <w:r>
        <w:rPr>
          <w:rFonts w:ascii="Times New Roman" w:hAnsi="Times New Roman"/>
        </w:rPr>
        <w:t>in</w:t>
      </w:r>
      <w:r w:rsidRPr="008224F8">
        <w:rPr>
          <w:rFonts w:ascii="Times New Roman" w:hAnsi="Times New Roman"/>
        </w:rPr>
        <w:t xml:space="preserve"> this country.</w:t>
      </w:r>
    </w:p>
  </w:footnote>
  <w:footnote w:id="6">
    <w:p w14:paraId="7DD15E10" w14:textId="2CF0C248" w:rsidR="007F446F" w:rsidRPr="008224F8" w:rsidRDefault="007F446F" w:rsidP="006233DD">
      <w:pPr>
        <w:pStyle w:val="FootnoteText"/>
        <w:spacing w:line="480" w:lineRule="auto"/>
        <w:jc w:val="both"/>
        <w:rPr>
          <w:rFonts w:ascii="Times New Roman" w:hAnsi="Times New Roman"/>
        </w:rPr>
      </w:pPr>
      <w:r w:rsidRPr="00BD6F39">
        <w:rPr>
          <w:rStyle w:val="FootnoteReference"/>
          <w:rFonts w:ascii="Times New Roman" w:hAnsi="Times New Roman"/>
          <w:vertAlign w:val="baseline"/>
        </w:rPr>
        <w:footnoteRef/>
      </w:r>
      <w:r>
        <w:rPr>
          <w:rFonts w:ascii="Times New Roman" w:hAnsi="Times New Roman"/>
        </w:rPr>
        <w:t>.</w:t>
      </w:r>
      <w:r w:rsidRPr="00BD6F39">
        <w:rPr>
          <w:rFonts w:ascii="Times New Roman" w:hAnsi="Times New Roman"/>
        </w:rPr>
        <w:t xml:space="preserve"> </w:t>
      </w:r>
      <w:r w:rsidRPr="008224F8">
        <w:rPr>
          <w:rFonts w:ascii="Times New Roman" w:hAnsi="Times New Roman"/>
        </w:rPr>
        <w:t>In some countries, t</w:t>
      </w:r>
      <w:r w:rsidRPr="008224F8">
        <w:rPr>
          <w:rFonts w:ascii="Times New Roman" w:hAnsi="Times New Roman"/>
          <w:color w:val="000000"/>
        </w:rPr>
        <w:t>he</w:t>
      </w:r>
      <w:r>
        <w:rPr>
          <w:rFonts w:ascii="Times New Roman" w:hAnsi="Times New Roman"/>
          <w:color w:val="000000"/>
        </w:rPr>
        <w:t xml:space="preserve"> </w:t>
      </w:r>
      <w:r w:rsidRPr="008224F8">
        <w:rPr>
          <w:rFonts w:ascii="Times New Roman" w:hAnsi="Times New Roman"/>
          <w:color w:val="000000"/>
        </w:rPr>
        <w:t xml:space="preserve">distribution of </w:t>
      </w:r>
      <w:r>
        <w:rPr>
          <w:rFonts w:ascii="Times New Roman" w:hAnsi="Times New Roman"/>
          <w:color w:val="000000"/>
        </w:rPr>
        <w:t xml:space="preserve">statistical </w:t>
      </w:r>
      <w:r w:rsidRPr="008224F8">
        <w:rPr>
          <w:rFonts w:ascii="Times New Roman" w:hAnsi="Times New Roman"/>
          <w:color w:val="000000"/>
        </w:rPr>
        <w:t xml:space="preserve">observations </w:t>
      </w:r>
      <w:proofErr w:type="gramStart"/>
      <w:r>
        <w:rPr>
          <w:rFonts w:ascii="Times New Roman" w:hAnsi="Times New Roman"/>
          <w:color w:val="000000"/>
        </w:rPr>
        <w:t>as regards</w:t>
      </w:r>
      <w:proofErr w:type="gramEnd"/>
      <w:r>
        <w:rPr>
          <w:rFonts w:ascii="Times New Roman" w:hAnsi="Times New Roman"/>
          <w:color w:val="000000"/>
        </w:rPr>
        <w:t xml:space="preserve"> the variable ‘</w:t>
      </w:r>
      <w:r w:rsidRPr="008224F8">
        <w:rPr>
          <w:rFonts w:ascii="Times New Roman" w:hAnsi="Times New Roman"/>
          <w:color w:val="000000"/>
        </w:rPr>
        <w:t>income</w:t>
      </w:r>
      <w:r>
        <w:rPr>
          <w:rFonts w:ascii="Times New Roman" w:hAnsi="Times New Roman"/>
          <w:color w:val="000000"/>
        </w:rPr>
        <w:t xml:space="preserve"> status’ </w:t>
      </w:r>
      <w:r w:rsidRPr="008224F8">
        <w:rPr>
          <w:rFonts w:ascii="Times New Roman" w:hAnsi="Times New Roman"/>
          <w:color w:val="000000"/>
        </w:rPr>
        <w:t>is skewed towards the lowest deciles. In other countries it is skewed towards the highest deciles. This should not be possible because, by definition, a decile must contain 10% of the total number of statistical observations.</w:t>
      </w:r>
    </w:p>
  </w:footnote>
  <w:footnote w:id="7">
    <w:p w14:paraId="641276A9" w14:textId="2D3E1078" w:rsidR="007F446F" w:rsidRPr="008224F8" w:rsidRDefault="007F446F" w:rsidP="006233DD">
      <w:pPr>
        <w:pStyle w:val="FootnoteText"/>
        <w:spacing w:line="480" w:lineRule="auto"/>
        <w:jc w:val="both"/>
        <w:rPr>
          <w:rFonts w:ascii="Times New Roman" w:hAnsi="Times New Roman"/>
        </w:rPr>
      </w:pPr>
      <w:r w:rsidRPr="00BD6F39">
        <w:rPr>
          <w:rStyle w:val="FootnoteReference"/>
          <w:rFonts w:ascii="Times New Roman" w:hAnsi="Times New Roman"/>
          <w:vertAlign w:val="baseline"/>
        </w:rPr>
        <w:footnoteRef/>
      </w:r>
      <w:r>
        <w:rPr>
          <w:rFonts w:ascii="Times New Roman" w:hAnsi="Times New Roman"/>
        </w:rPr>
        <w:t>.</w:t>
      </w:r>
      <w:r w:rsidRPr="00BD6F39">
        <w:rPr>
          <w:rFonts w:ascii="Times New Roman" w:hAnsi="Times New Roman"/>
        </w:rPr>
        <w:t xml:space="preserve"> </w:t>
      </w:r>
      <w:r w:rsidRPr="008224F8">
        <w:rPr>
          <w:rFonts w:ascii="Times New Roman" w:hAnsi="Times New Roman"/>
        </w:rPr>
        <w:t xml:space="preserve">The Spearman’s correlation tests the correlation between ordinal monotonically related variables, and it </w:t>
      </w:r>
      <w:r>
        <w:rPr>
          <w:rFonts w:ascii="Times New Roman" w:hAnsi="Times New Roman"/>
        </w:rPr>
        <w:t>was</w:t>
      </w:r>
      <w:r w:rsidRPr="008224F8">
        <w:rPr>
          <w:rFonts w:ascii="Times New Roman" w:hAnsi="Times New Roman"/>
        </w:rPr>
        <w:t xml:space="preserve"> chosen because unlike the Pearson’s correlation coefficient there is no requirement for normality. Recall that </w:t>
      </w:r>
      <w:r w:rsidRPr="008224F8">
        <w:rPr>
          <w:rFonts w:ascii="Times New Roman" w:hAnsi="Times New Roman"/>
          <w:i/>
        </w:rPr>
        <w:t>ρ</w:t>
      </w:r>
      <w:r w:rsidRPr="008224F8">
        <w:rPr>
          <w:rFonts w:ascii="Times New Roman" w:hAnsi="Times New Roman"/>
        </w:rPr>
        <w:t xml:space="preserve"> can take values from +1 (perfect positive association of ranks) to -1 (perfect negative association of ranks).</w:t>
      </w:r>
    </w:p>
  </w:footnote>
  <w:footnote w:id="8">
    <w:p w14:paraId="53849432" w14:textId="77777777" w:rsidR="007F446F" w:rsidRPr="008224F8" w:rsidRDefault="007F446F" w:rsidP="00873719">
      <w:pPr>
        <w:pStyle w:val="FootnoteText"/>
        <w:spacing w:line="480" w:lineRule="auto"/>
        <w:jc w:val="both"/>
        <w:rPr>
          <w:rFonts w:ascii="Times New Roman" w:hAnsi="Times New Roman"/>
          <w:lang w:val="en-US"/>
        </w:rPr>
      </w:pPr>
      <w:r w:rsidRPr="00BD6F39">
        <w:rPr>
          <w:rStyle w:val="FootnoteReference"/>
          <w:rFonts w:ascii="Times New Roman" w:hAnsi="Times New Roman"/>
          <w:vertAlign w:val="baseline"/>
        </w:rPr>
        <w:footnoteRef/>
      </w:r>
      <w:r>
        <w:rPr>
          <w:rFonts w:ascii="Times New Roman" w:hAnsi="Times New Roman"/>
          <w:lang w:val="en-US"/>
        </w:rPr>
        <w:t>.</w:t>
      </w:r>
      <w:r w:rsidRPr="00BD6F39">
        <w:rPr>
          <w:rFonts w:ascii="Times New Roman" w:hAnsi="Times New Roman"/>
          <w:lang w:val="en-US"/>
        </w:rPr>
        <w:t xml:space="preserve"> </w:t>
      </w:r>
      <w:r w:rsidRPr="008224F8">
        <w:rPr>
          <w:rFonts w:ascii="Times New Roman" w:hAnsi="Times New Roman"/>
          <w:lang w:val="en-US"/>
        </w:rPr>
        <w:t xml:space="preserve">The </w:t>
      </w:r>
      <w:r w:rsidRPr="008224F8">
        <w:rPr>
          <w:rFonts w:ascii="Times New Roman" w:hAnsi="Times New Roman"/>
        </w:rPr>
        <w:t>‘primary’ level corresponds to 6% of the sample, the ‘lower secondary’ to 18%, the ‘upper secondary’ to 43% (usually this level corresponds to the end of compulsory education), the ‘post-secondary non-tertiary’ to 4%, and the ‘tertiary’ to 28%. The ‘pre-primary’ level of education (0.8% of the sample) is ignored.</w:t>
      </w:r>
    </w:p>
  </w:footnote>
  <w:footnote w:id="9">
    <w:p w14:paraId="60614CEA" w14:textId="53BD6D65" w:rsidR="007F446F" w:rsidRPr="008224F8" w:rsidRDefault="007F446F" w:rsidP="006233DD">
      <w:pPr>
        <w:pStyle w:val="FootnoteText"/>
        <w:spacing w:line="480" w:lineRule="auto"/>
        <w:jc w:val="both"/>
        <w:rPr>
          <w:rFonts w:ascii="Times New Roman" w:hAnsi="Times New Roman"/>
          <w:lang w:val="en-US"/>
        </w:rPr>
      </w:pPr>
      <w:r w:rsidRPr="00BD6F39">
        <w:rPr>
          <w:rStyle w:val="FootnoteReference"/>
          <w:rFonts w:ascii="Times New Roman" w:hAnsi="Times New Roman"/>
          <w:vertAlign w:val="baseline"/>
        </w:rPr>
        <w:footnoteRef/>
      </w:r>
      <w:r>
        <w:rPr>
          <w:rFonts w:ascii="Times New Roman" w:hAnsi="Times New Roman"/>
          <w:lang w:val="en-US"/>
        </w:rPr>
        <w:t>.</w:t>
      </w:r>
      <w:r w:rsidRPr="00BD6F39">
        <w:rPr>
          <w:rFonts w:ascii="Times New Roman" w:hAnsi="Times New Roman"/>
          <w:lang w:val="en-US"/>
        </w:rPr>
        <w:t xml:space="preserve"> </w:t>
      </w:r>
      <w:r>
        <w:rPr>
          <w:rFonts w:ascii="Times New Roman" w:hAnsi="Times New Roman"/>
        </w:rPr>
        <w:t>I</w:t>
      </w:r>
      <w:r w:rsidRPr="008224F8">
        <w:rPr>
          <w:rFonts w:ascii="Times New Roman" w:hAnsi="Times New Roman"/>
        </w:rPr>
        <w:t xml:space="preserve"> focus on the </w:t>
      </w:r>
      <w:r>
        <w:rPr>
          <w:rFonts w:ascii="Times New Roman" w:hAnsi="Times New Roman"/>
        </w:rPr>
        <w:t xml:space="preserve">following groups, formally </w:t>
      </w:r>
      <w:r w:rsidRPr="008224F8">
        <w:rPr>
          <w:rFonts w:ascii="Times New Roman" w:hAnsi="Times New Roman"/>
        </w:rPr>
        <w:t xml:space="preserve">defined in the AES as ‘people carrying out a job or profession’, which includes unpaid work for a family business, holding an apprenticeship or paid traineeship (69% of the sample), ‘unemployed’ (10%), ‘retired’ (8%), ‘permanently disabled’ (3%), and people ‘fulfilling domestic tasks’ (7%). </w:t>
      </w:r>
      <w:r>
        <w:rPr>
          <w:rFonts w:ascii="Times New Roman" w:hAnsi="Times New Roman"/>
        </w:rPr>
        <w:t xml:space="preserve">Table 5 </w:t>
      </w:r>
      <w:r w:rsidRPr="008224F8">
        <w:rPr>
          <w:rFonts w:ascii="Times New Roman" w:hAnsi="Times New Roman"/>
        </w:rPr>
        <w:t>disregards other formally defined occupational statuses</w:t>
      </w:r>
      <w:r>
        <w:rPr>
          <w:rFonts w:ascii="Times New Roman" w:hAnsi="Times New Roman"/>
        </w:rPr>
        <w:t>, that is,</w:t>
      </w:r>
      <w:r w:rsidRPr="008224F8">
        <w:rPr>
          <w:rFonts w:ascii="Times New Roman" w:hAnsi="Times New Roman"/>
        </w:rPr>
        <w:t xml:space="preserve"> ‘pupils, students, people in training’, and respondents ‘involved in compulsory military service’ as they represent </w:t>
      </w:r>
      <w:r>
        <w:rPr>
          <w:rFonts w:ascii="Times New Roman" w:hAnsi="Times New Roman"/>
        </w:rPr>
        <w:t>a small percentage</w:t>
      </w:r>
      <w:r w:rsidRPr="008224F8">
        <w:rPr>
          <w:rFonts w:ascii="Times New Roman" w:hAnsi="Times New Roman"/>
        </w:rPr>
        <w:t xml:space="preserve"> of the sample. </w:t>
      </w:r>
      <w:r w:rsidRPr="008224F8">
        <w:rPr>
          <w:rFonts w:ascii="Times New Roman" w:hAnsi="Times New Roman"/>
          <w:lang w:val="en-US"/>
        </w:rPr>
        <w:t xml:space="preserve">In Hungary, the answers ‘retired’, ‘permanently </w:t>
      </w:r>
      <w:proofErr w:type="gramStart"/>
      <w:r w:rsidRPr="008224F8">
        <w:rPr>
          <w:rFonts w:ascii="Times New Roman" w:hAnsi="Times New Roman"/>
          <w:lang w:val="en-US"/>
        </w:rPr>
        <w:t>disabled‘</w:t>
      </w:r>
      <w:proofErr w:type="gramEnd"/>
      <w:r w:rsidRPr="008224F8">
        <w:rPr>
          <w:rFonts w:ascii="Times New Roman" w:hAnsi="Times New Roman"/>
          <w:lang w:val="en-US"/>
        </w:rPr>
        <w:t xml:space="preserve">, people ‘fulfilling domestic tasks‘, ‘pupils, students, people in training‘, and respondents ‘involved in compulsory military service‘ were merged in one single variable. Nevertheless, this does not affect the </w:t>
      </w:r>
      <w:r>
        <w:rPr>
          <w:rFonts w:ascii="Times New Roman" w:hAnsi="Times New Roman"/>
          <w:lang w:val="en-US"/>
        </w:rPr>
        <w:t xml:space="preserve">reliability </w:t>
      </w:r>
      <w:r w:rsidRPr="008224F8">
        <w:rPr>
          <w:rFonts w:ascii="Times New Roman" w:hAnsi="Times New Roman"/>
          <w:lang w:val="en-US"/>
        </w:rPr>
        <w:t>of our results.</w:t>
      </w:r>
    </w:p>
  </w:footnote>
  <w:footnote w:id="10">
    <w:p w14:paraId="2D389145" w14:textId="5B91324B" w:rsidR="007F446F" w:rsidRDefault="007F446F" w:rsidP="007F22FF">
      <w:pPr>
        <w:spacing w:line="480" w:lineRule="auto"/>
      </w:pPr>
      <w:r>
        <w:rPr>
          <w:rFonts w:ascii="Times New Roman" w:hAnsi="Times New Roman"/>
        </w:rPr>
        <w:t xml:space="preserve">10. </w:t>
      </w:r>
      <w:r w:rsidRPr="00C2298C">
        <w:rPr>
          <w:rFonts w:ascii="Times New Roman" w:eastAsia="Times New Roman" w:hAnsi="Times New Roman"/>
          <w:sz w:val="20"/>
          <w:szCs w:val="24"/>
          <w:lang w:val="en-US" w:eastAsia="it-IT"/>
        </w:rPr>
        <w:t>As one of the reviewers of this article has noted, the EU could use funds from Cohesion Poli</w:t>
      </w:r>
      <w:r>
        <w:rPr>
          <w:rFonts w:ascii="Times New Roman" w:eastAsia="Times New Roman" w:hAnsi="Times New Roman"/>
          <w:sz w:val="20"/>
          <w:szCs w:val="24"/>
          <w:lang w:val="en-US" w:eastAsia="it-IT"/>
        </w:rPr>
        <w:t>cy to support language learning</w:t>
      </w:r>
      <w:r w:rsidRPr="00C2298C">
        <w:rPr>
          <w:rFonts w:ascii="Times New Roman" w:eastAsia="Times New Roman" w:hAnsi="Times New Roman"/>
          <w:sz w:val="20"/>
          <w:szCs w:val="24"/>
          <w:lang w:val="en-US" w:eastAsia="it-IT"/>
        </w:rPr>
        <w:t xml:space="preserve">. </w:t>
      </w:r>
      <w:proofErr w:type="gramStart"/>
      <w:r w:rsidRPr="00C2298C">
        <w:rPr>
          <w:rFonts w:ascii="Times New Roman" w:eastAsia="Times New Roman" w:hAnsi="Times New Roman"/>
          <w:sz w:val="20"/>
          <w:szCs w:val="24"/>
          <w:lang w:val="en-US" w:eastAsia="it-IT"/>
        </w:rPr>
        <w:t>In particular, the</w:t>
      </w:r>
      <w:proofErr w:type="gramEnd"/>
      <w:r w:rsidRPr="00C2298C">
        <w:rPr>
          <w:rFonts w:ascii="Times New Roman" w:eastAsia="Times New Roman" w:hAnsi="Times New Roman"/>
          <w:sz w:val="20"/>
          <w:szCs w:val="24"/>
          <w:lang w:val="en-US" w:eastAsia="it-IT"/>
        </w:rPr>
        <w:t xml:space="preserve"> so-called Objective 3 is dedicated to education, training and employment. This would be consistent with the </w:t>
      </w:r>
      <w:r w:rsidRPr="007F22FF">
        <w:rPr>
          <w:rStyle w:val="Emphasis"/>
          <w:rFonts w:ascii="Times New Roman" w:hAnsi="Times New Roman"/>
          <w:sz w:val="20"/>
          <w:szCs w:val="24"/>
          <w:lang w:val="en-US"/>
        </w:rPr>
        <w:t>Council conclusions of 20 May 2014 on multilingualism and the development of language competences</w:t>
      </w:r>
      <w:r>
        <w:rPr>
          <w:rStyle w:val="Emphasis"/>
          <w:rFonts w:ascii="Times New Roman" w:hAnsi="Times New Roman"/>
          <w:sz w:val="20"/>
          <w:szCs w:val="24"/>
          <w:lang w:val="en-US"/>
        </w:rPr>
        <w:t xml:space="preserve"> </w:t>
      </w:r>
      <w:r w:rsidRPr="00C35B84">
        <w:rPr>
          <w:rStyle w:val="Emphasis"/>
          <w:rFonts w:ascii="Times New Roman" w:hAnsi="Times New Roman"/>
          <w:i w:val="0"/>
          <w:sz w:val="20"/>
          <w:szCs w:val="24"/>
          <w:lang w:val="en-US"/>
        </w:rPr>
        <w:t>(OJ C 183, 14.6.2014, p. 26–29)</w:t>
      </w:r>
      <w:r>
        <w:rPr>
          <w:rStyle w:val="Emphasis"/>
          <w:rFonts w:ascii="Times New Roman" w:hAnsi="Times New Roman"/>
          <w:i w:val="0"/>
          <w:sz w:val="20"/>
          <w:szCs w:val="24"/>
          <w:lang w:val="en-US"/>
        </w:rPr>
        <w:t xml:space="preserve">, and with the </w:t>
      </w:r>
      <w:r w:rsidRPr="00C35B84">
        <w:rPr>
          <w:rStyle w:val="Emphasis"/>
          <w:rFonts w:ascii="Times New Roman" w:hAnsi="Times New Roman"/>
          <w:sz w:val="20"/>
          <w:szCs w:val="24"/>
          <w:lang w:val="en-US"/>
        </w:rPr>
        <w:t>Council</w:t>
      </w:r>
      <w:r w:rsidRPr="00C2298C">
        <w:rPr>
          <w:rStyle w:val="Emphasis"/>
          <w:rFonts w:ascii="Times New Roman" w:hAnsi="Times New Roman"/>
          <w:sz w:val="20"/>
          <w:szCs w:val="24"/>
          <w:lang w:val="en-US"/>
        </w:rPr>
        <w:t xml:space="preserve"> Resolution</w:t>
      </w:r>
      <w:r w:rsidRPr="00C2298C">
        <w:rPr>
          <w:rStyle w:val="st"/>
          <w:rFonts w:ascii="Times New Roman" w:hAnsi="Times New Roman"/>
          <w:sz w:val="20"/>
          <w:szCs w:val="24"/>
          <w:lang w:val="en-US"/>
        </w:rPr>
        <w:t xml:space="preserve"> </w:t>
      </w:r>
      <w:r w:rsidRPr="00C2298C">
        <w:rPr>
          <w:rStyle w:val="st"/>
          <w:rFonts w:ascii="Times New Roman" w:hAnsi="Times New Roman"/>
          <w:i/>
          <w:sz w:val="20"/>
          <w:szCs w:val="24"/>
          <w:lang w:val="en-US"/>
        </w:rPr>
        <w:t>of 21 November 2008 on a</w:t>
      </w:r>
      <w:r w:rsidRPr="00C2298C">
        <w:rPr>
          <w:rStyle w:val="st"/>
          <w:rFonts w:ascii="Times New Roman" w:hAnsi="Times New Roman"/>
          <w:sz w:val="20"/>
          <w:szCs w:val="24"/>
          <w:lang w:val="en-US"/>
        </w:rPr>
        <w:t xml:space="preserve"> </w:t>
      </w:r>
      <w:r w:rsidRPr="00C2298C">
        <w:rPr>
          <w:rStyle w:val="Emphasis"/>
          <w:rFonts w:ascii="Times New Roman" w:hAnsi="Times New Roman"/>
          <w:sz w:val="20"/>
          <w:szCs w:val="24"/>
          <w:lang w:val="en-US"/>
        </w:rPr>
        <w:t xml:space="preserve">European strategy for multilingualism </w:t>
      </w:r>
      <w:r>
        <w:rPr>
          <w:rStyle w:val="Emphasis"/>
          <w:rFonts w:ascii="Times New Roman" w:hAnsi="Times New Roman"/>
          <w:i w:val="0"/>
          <w:sz w:val="20"/>
          <w:szCs w:val="24"/>
          <w:lang w:val="en-US"/>
        </w:rPr>
        <w:t>(OJ C320/1, 16/12/2008: 1-3)</w:t>
      </w:r>
      <w:r w:rsidRPr="00C2298C">
        <w:rPr>
          <w:rFonts w:ascii="Times New Roman" w:eastAsia="Times New Roman" w:hAnsi="Times New Roman"/>
          <w:sz w:val="20"/>
          <w:szCs w:val="24"/>
          <w:lang w:val="en-US" w:eastAsia="it-IT"/>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61F85"/>
    <w:multiLevelType w:val="hybridMultilevel"/>
    <w:tmpl w:val="BB88E11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16283299"/>
    <w:multiLevelType w:val="hybridMultilevel"/>
    <w:tmpl w:val="BF7A65B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0A76D0A"/>
    <w:multiLevelType w:val="hybridMultilevel"/>
    <w:tmpl w:val="BF62BCE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FC53577"/>
    <w:multiLevelType w:val="hybridMultilevel"/>
    <w:tmpl w:val="A2B4727E"/>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578C57F0"/>
    <w:multiLevelType w:val="hybridMultilevel"/>
    <w:tmpl w:val="A6D6E0B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Springer - J Int Comp Trade&lt;/Style&gt;&lt;LeftDelim&gt;{&lt;/LeftDelim&gt;&lt;RightDelim&gt;}&lt;/RightDelim&gt;&lt;FontName&gt;Times New Roman&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wvvszzd93a0z5wesdfpvdv9z5wrra5p05axp&quot;&gt;Libreria Generale EndNote&lt;record-ids&gt;&lt;item&gt;50&lt;/item&gt;&lt;item&gt;64&lt;/item&gt;&lt;item&gt;68&lt;/item&gt;&lt;item&gt;73&lt;/item&gt;&lt;item&gt;75&lt;/item&gt;&lt;item&gt;107&lt;/item&gt;&lt;item&gt;159&lt;/item&gt;&lt;item&gt;178&lt;/item&gt;&lt;item&gt;194&lt;/item&gt;&lt;item&gt;238&lt;/item&gt;&lt;item&gt;239&lt;/item&gt;&lt;item&gt;243&lt;/item&gt;&lt;item&gt;794&lt;/item&gt;&lt;item&gt;797&lt;/item&gt;&lt;item&gt;802&lt;/item&gt;&lt;item&gt;804&lt;/item&gt;&lt;item&gt;808&lt;/item&gt;&lt;item&gt;809&lt;/item&gt;&lt;item&gt;814&lt;/item&gt;&lt;item&gt;824&lt;/item&gt;&lt;item&gt;861&lt;/item&gt;&lt;item&gt;880&lt;/item&gt;&lt;item&gt;884&lt;/item&gt;&lt;item&gt;885&lt;/item&gt;&lt;item&gt;886&lt;/item&gt;&lt;item&gt;898&lt;/item&gt;&lt;item&gt;909&lt;/item&gt;&lt;item&gt;928&lt;/item&gt;&lt;item&gt;933&lt;/item&gt;&lt;item&gt;936&lt;/item&gt;&lt;item&gt;938&lt;/item&gt;&lt;item&gt;940&lt;/item&gt;&lt;item&gt;948&lt;/item&gt;&lt;item&gt;1045&lt;/item&gt;&lt;item&gt;1046&lt;/item&gt;&lt;item&gt;1047&lt;/item&gt;&lt;item&gt;1055&lt;/item&gt;&lt;item&gt;1069&lt;/item&gt;&lt;item&gt;1070&lt;/item&gt;&lt;item&gt;1089&lt;/item&gt;&lt;item&gt;1097&lt;/item&gt;&lt;item&gt;1098&lt;/item&gt;&lt;item&gt;1108&lt;/item&gt;&lt;item&gt;1145&lt;/item&gt;&lt;item&gt;1146&lt;/item&gt;&lt;item&gt;1156&lt;/item&gt;&lt;item&gt;1161&lt;/item&gt;&lt;item&gt;1162&lt;/item&gt;&lt;item&gt;1163&lt;/item&gt;&lt;item&gt;1167&lt;/item&gt;&lt;item&gt;1168&lt;/item&gt;&lt;item&gt;1169&lt;/item&gt;&lt;item&gt;1210&lt;/item&gt;&lt;/record-ids&gt;&lt;/item&gt;&lt;/Libraries&gt;"/>
  </w:docVars>
  <w:rsids>
    <w:rsidRoot w:val="00502C55"/>
    <w:rsid w:val="00001905"/>
    <w:rsid w:val="000032CC"/>
    <w:rsid w:val="00003E65"/>
    <w:rsid w:val="0000587C"/>
    <w:rsid w:val="00007B1D"/>
    <w:rsid w:val="000104FB"/>
    <w:rsid w:val="00010910"/>
    <w:rsid w:val="00012ED7"/>
    <w:rsid w:val="00016D50"/>
    <w:rsid w:val="000172B5"/>
    <w:rsid w:val="00020518"/>
    <w:rsid w:val="00020B61"/>
    <w:rsid w:val="00021272"/>
    <w:rsid w:val="00021EEE"/>
    <w:rsid w:val="000230E3"/>
    <w:rsid w:val="00024BD0"/>
    <w:rsid w:val="00025D4A"/>
    <w:rsid w:val="0002611C"/>
    <w:rsid w:val="00026E46"/>
    <w:rsid w:val="00026EC8"/>
    <w:rsid w:val="000276A1"/>
    <w:rsid w:val="00027E9F"/>
    <w:rsid w:val="000320D7"/>
    <w:rsid w:val="00032B33"/>
    <w:rsid w:val="0003355E"/>
    <w:rsid w:val="00033BDD"/>
    <w:rsid w:val="00034C76"/>
    <w:rsid w:val="00036C9A"/>
    <w:rsid w:val="00037278"/>
    <w:rsid w:val="00037B89"/>
    <w:rsid w:val="00043C88"/>
    <w:rsid w:val="00055D48"/>
    <w:rsid w:val="000569C6"/>
    <w:rsid w:val="00063B7D"/>
    <w:rsid w:val="00063EC8"/>
    <w:rsid w:val="0006535C"/>
    <w:rsid w:val="00065891"/>
    <w:rsid w:val="0007015A"/>
    <w:rsid w:val="00071CF0"/>
    <w:rsid w:val="00073D0C"/>
    <w:rsid w:val="00081D65"/>
    <w:rsid w:val="00081EC6"/>
    <w:rsid w:val="00083069"/>
    <w:rsid w:val="00083A13"/>
    <w:rsid w:val="00087327"/>
    <w:rsid w:val="0008765D"/>
    <w:rsid w:val="000901B0"/>
    <w:rsid w:val="00092851"/>
    <w:rsid w:val="00093BD5"/>
    <w:rsid w:val="00097AD6"/>
    <w:rsid w:val="000A0D2D"/>
    <w:rsid w:val="000A1175"/>
    <w:rsid w:val="000A3113"/>
    <w:rsid w:val="000A408B"/>
    <w:rsid w:val="000A508C"/>
    <w:rsid w:val="000A54CF"/>
    <w:rsid w:val="000A5D7A"/>
    <w:rsid w:val="000B1240"/>
    <w:rsid w:val="000B1298"/>
    <w:rsid w:val="000B2428"/>
    <w:rsid w:val="000B2A8E"/>
    <w:rsid w:val="000B5983"/>
    <w:rsid w:val="000C0B2B"/>
    <w:rsid w:val="000C1FCD"/>
    <w:rsid w:val="000C555D"/>
    <w:rsid w:val="000C589D"/>
    <w:rsid w:val="000C6566"/>
    <w:rsid w:val="000C78C0"/>
    <w:rsid w:val="000D137C"/>
    <w:rsid w:val="000D14FB"/>
    <w:rsid w:val="000D1728"/>
    <w:rsid w:val="000D1F3D"/>
    <w:rsid w:val="000D2579"/>
    <w:rsid w:val="000D3147"/>
    <w:rsid w:val="000D5E03"/>
    <w:rsid w:val="000D7D93"/>
    <w:rsid w:val="000E3600"/>
    <w:rsid w:val="000E44A8"/>
    <w:rsid w:val="000E6D7F"/>
    <w:rsid w:val="000F223A"/>
    <w:rsid w:val="000F54F5"/>
    <w:rsid w:val="000F5A63"/>
    <w:rsid w:val="000F5A73"/>
    <w:rsid w:val="000F5E44"/>
    <w:rsid w:val="000F7F3C"/>
    <w:rsid w:val="0010033A"/>
    <w:rsid w:val="00100515"/>
    <w:rsid w:val="0010163D"/>
    <w:rsid w:val="0010286A"/>
    <w:rsid w:val="001036F0"/>
    <w:rsid w:val="00104E16"/>
    <w:rsid w:val="00104FF8"/>
    <w:rsid w:val="00105939"/>
    <w:rsid w:val="00105C62"/>
    <w:rsid w:val="001101CE"/>
    <w:rsid w:val="001139C6"/>
    <w:rsid w:val="00113E23"/>
    <w:rsid w:val="0011405F"/>
    <w:rsid w:val="001142DA"/>
    <w:rsid w:val="00114C45"/>
    <w:rsid w:val="00116039"/>
    <w:rsid w:val="0011698B"/>
    <w:rsid w:val="00120901"/>
    <w:rsid w:val="00122FAB"/>
    <w:rsid w:val="00124BFC"/>
    <w:rsid w:val="00126B44"/>
    <w:rsid w:val="001310A8"/>
    <w:rsid w:val="00131561"/>
    <w:rsid w:val="00132282"/>
    <w:rsid w:val="00132D32"/>
    <w:rsid w:val="00141501"/>
    <w:rsid w:val="0014215D"/>
    <w:rsid w:val="00142874"/>
    <w:rsid w:val="0014554A"/>
    <w:rsid w:val="001511C6"/>
    <w:rsid w:val="001517EE"/>
    <w:rsid w:val="00151FB3"/>
    <w:rsid w:val="00152C3D"/>
    <w:rsid w:val="0015393E"/>
    <w:rsid w:val="001553F2"/>
    <w:rsid w:val="001556B2"/>
    <w:rsid w:val="00160E54"/>
    <w:rsid w:val="00161B08"/>
    <w:rsid w:val="00161F6A"/>
    <w:rsid w:val="00162D53"/>
    <w:rsid w:val="00162E4A"/>
    <w:rsid w:val="0016325E"/>
    <w:rsid w:val="001637A7"/>
    <w:rsid w:val="0016397A"/>
    <w:rsid w:val="001642EE"/>
    <w:rsid w:val="00164DAC"/>
    <w:rsid w:val="001654E6"/>
    <w:rsid w:val="001668F9"/>
    <w:rsid w:val="00166B77"/>
    <w:rsid w:val="00171BBA"/>
    <w:rsid w:val="00172ACE"/>
    <w:rsid w:val="0017335A"/>
    <w:rsid w:val="00173DDE"/>
    <w:rsid w:val="00174392"/>
    <w:rsid w:val="001744BF"/>
    <w:rsid w:val="00174A69"/>
    <w:rsid w:val="00174B0F"/>
    <w:rsid w:val="00176637"/>
    <w:rsid w:val="001801E0"/>
    <w:rsid w:val="00182612"/>
    <w:rsid w:val="001829E8"/>
    <w:rsid w:val="00184983"/>
    <w:rsid w:val="00184DBD"/>
    <w:rsid w:val="00185238"/>
    <w:rsid w:val="001868A1"/>
    <w:rsid w:val="00187A6C"/>
    <w:rsid w:val="00187C70"/>
    <w:rsid w:val="00187EC4"/>
    <w:rsid w:val="00192CA4"/>
    <w:rsid w:val="00193DB3"/>
    <w:rsid w:val="00195A79"/>
    <w:rsid w:val="00196BB7"/>
    <w:rsid w:val="00197D3E"/>
    <w:rsid w:val="001A2BC2"/>
    <w:rsid w:val="001A37E2"/>
    <w:rsid w:val="001A7B1B"/>
    <w:rsid w:val="001B16A9"/>
    <w:rsid w:val="001B24C3"/>
    <w:rsid w:val="001B44CF"/>
    <w:rsid w:val="001C11A3"/>
    <w:rsid w:val="001C1B26"/>
    <w:rsid w:val="001C1CF5"/>
    <w:rsid w:val="001C65AA"/>
    <w:rsid w:val="001C78A9"/>
    <w:rsid w:val="001D455F"/>
    <w:rsid w:val="001D56ED"/>
    <w:rsid w:val="001D63F5"/>
    <w:rsid w:val="001E07CB"/>
    <w:rsid w:val="001E0B7D"/>
    <w:rsid w:val="001E1E9B"/>
    <w:rsid w:val="001E2CE9"/>
    <w:rsid w:val="001E3EE7"/>
    <w:rsid w:val="001E3EEC"/>
    <w:rsid w:val="001E560D"/>
    <w:rsid w:val="001F07D2"/>
    <w:rsid w:val="001F0DA4"/>
    <w:rsid w:val="001F0DCC"/>
    <w:rsid w:val="001F39B8"/>
    <w:rsid w:val="001F69D5"/>
    <w:rsid w:val="001F7B15"/>
    <w:rsid w:val="00202101"/>
    <w:rsid w:val="00202B9E"/>
    <w:rsid w:val="002051AE"/>
    <w:rsid w:val="0020767B"/>
    <w:rsid w:val="00207769"/>
    <w:rsid w:val="00211EDC"/>
    <w:rsid w:val="00212600"/>
    <w:rsid w:val="00213E32"/>
    <w:rsid w:val="002140BC"/>
    <w:rsid w:val="002162B3"/>
    <w:rsid w:val="002165BA"/>
    <w:rsid w:val="00222E19"/>
    <w:rsid w:val="002252F3"/>
    <w:rsid w:val="0023216D"/>
    <w:rsid w:val="0023273F"/>
    <w:rsid w:val="00235FE0"/>
    <w:rsid w:val="00240716"/>
    <w:rsid w:val="00241D49"/>
    <w:rsid w:val="0024424F"/>
    <w:rsid w:val="00244CCA"/>
    <w:rsid w:val="00247EB3"/>
    <w:rsid w:val="00250C77"/>
    <w:rsid w:val="002551D0"/>
    <w:rsid w:val="00256357"/>
    <w:rsid w:val="0026181A"/>
    <w:rsid w:val="00261F89"/>
    <w:rsid w:val="00262983"/>
    <w:rsid w:val="00263BEE"/>
    <w:rsid w:val="002648EB"/>
    <w:rsid w:val="00264EBC"/>
    <w:rsid w:val="00264F2E"/>
    <w:rsid w:val="00267985"/>
    <w:rsid w:val="00272645"/>
    <w:rsid w:val="00273A38"/>
    <w:rsid w:val="00273ACD"/>
    <w:rsid w:val="00273F7B"/>
    <w:rsid w:val="00275D63"/>
    <w:rsid w:val="0027606C"/>
    <w:rsid w:val="00280325"/>
    <w:rsid w:val="002821DC"/>
    <w:rsid w:val="0028224F"/>
    <w:rsid w:val="00282C13"/>
    <w:rsid w:val="002832D0"/>
    <w:rsid w:val="00283E93"/>
    <w:rsid w:val="00285966"/>
    <w:rsid w:val="00286AA5"/>
    <w:rsid w:val="002871FE"/>
    <w:rsid w:val="00292870"/>
    <w:rsid w:val="00293181"/>
    <w:rsid w:val="00294737"/>
    <w:rsid w:val="002974F2"/>
    <w:rsid w:val="00297F6B"/>
    <w:rsid w:val="00297F96"/>
    <w:rsid w:val="002A4871"/>
    <w:rsid w:val="002A4E09"/>
    <w:rsid w:val="002B0C03"/>
    <w:rsid w:val="002B1C4B"/>
    <w:rsid w:val="002B36E6"/>
    <w:rsid w:val="002B4B80"/>
    <w:rsid w:val="002B4D36"/>
    <w:rsid w:val="002B6041"/>
    <w:rsid w:val="002B70A2"/>
    <w:rsid w:val="002C0DFC"/>
    <w:rsid w:val="002C3A60"/>
    <w:rsid w:val="002C581F"/>
    <w:rsid w:val="002C7145"/>
    <w:rsid w:val="002C79E9"/>
    <w:rsid w:val="002D3878"/>
    <w:rsid w:val="002D390D"/>
    <w:rsid w:val="002D6D09"/>
    <w:rsid w:val="002E0E57"/>
    <w:rsid w:val="002E1152"/>
    <w:rsid w:val="002E1A0D"/>
    <w:rsid w:val="002E2377"/>
    <w:rsid w:val="002E2550"/>
    <w:rsid w:val="002E25FC"/>
    <w:rsid w:val="002E2FF7"/>
    <w:rsid w:val="002E3FD4"/>
    <w:rsid w:val="002E4B3E"/>
    <w:rsid w:val="002E58CE"/>
    <w:rsid w:val="002E5D3E"/>
    <w:rsid w:val="002E61A9"/>
    <w:rsid w:val="002E6DC7"/>
    <w:rsid w:val="002E77FE"/>
    <w:rsid w:val="002F0322"/>
    <w:rsid w:val="002F0435"/>
    <w:rsid w:val="002F0DD8"/>
    <w:rsid w:val="002F2E5C"/>
    <w:rsid w:val="002F4976"/>
    <w:rsid w:val="002F5403"/>
    <w:rsid w:val="002F6A2F"/>
    <w:rsid w:val="00300A29"/>
    <w:rsid w:val="00300C76"/>
    <w:rsid w:val="00303BDF"/>
    <w:rsid w:val="00303CF4"/>
    <w:rsid w:val="003050E9"/>
    <w:rsid w:val="0030574C"/>
    <w:rsid w:val="0030597E"/>
    <w:rsid w:val="00305A83"/>
    <w:rsid w:val="003060C4"/>
    <w:rsid w:val="00306127"/>
    <w:rsid w:val="003068D7"/>
    <w:rsid w:val="0030774D"/>
    <w:rsid w:val="003077BC"/>
    <w:rsid w:val="00310194"/>
    <w:rsid w:val="00311B78"/>
    <w:rsid w:val="0031207D"/>
    <w:rsid w:val="00312ED4"/>
    <w:rsid w:val="00313D3D"/>
    <w:rsid w:val="00315D2B"/>
    <w:rsid w:val="0031605B"/>
    <w:rsid w:val="003161FB"/>
    <w:rsid w:val="00316567"/>
    <w:rsid w:val="0031731A"/>
    <w:rsid w:val="00317A3E"/>
    <w:rsid w:val="003212C3"/>
    <w:rsid w:val="0032208C"/>
    <w:rsid w:val="00322D90"/>
    <w:rsid w:val="00323153"/>
    <w:rsid w:val="00324A73"/>
    <w:rsid w:val="003263F8"/>
    <w:rsid w:val="00326A1E"/>
    <w:rsid w:val="00330360"/>
    <w:rsid w:val="00330C2B"/>
    <w:rsid w:val="003342A8"/>
    <w:rsid w:val="00334B68"/>
    <w:rsid w:val="003369AC"/>
    <w:rsid w:val="00337AF2"/>
    <w:rsid w:val="00337EC5"/>
    <w:rsid w:val="00340160"/>
    <w:rsid w:val="003411F2"/>
    <w:rsid w:val="003430B0"/>
    <w:rsid w:val="003430B8"/>
    <w:rsid w:val="003478DA"/>
    <w:rsid w:val="003501D0"/>
    <w:rsid w:val="00352CDD"/>
    <w:rsid w:val="003554FF"/>
    <w:rsid w:val="00356279"/>
    <w:rsid w:val="0036097E"/>
    <w:rsid w:val="003618C5"/>
    <w:rsid w:val="003620AA"/>
    <w:rsid w:val="0036614D"/>
    <w:rsid w:val="003674BE"/>
    <w:rsid w:val="00367AFE"/>
    <w:rsid w:val="00371F27"/>
    <w:rsid w:val="00372F1F"/>
    <w:rsid w:val="003742F9"/>
    <w:rsid w:val="00374AB7"/>
    <w:rsid w:val="003761BC"/>
    <w:rsid w:val="00376EBB"/>
    <w:rsid w:val="00377F3F"/>
    <w:rsid w:val="00380630"/>
    <w:rsid w:val="003839D3"/>
    <w:rsid w:val="00383F9F"/>
    <w:rsid w:val="0038432F"/>
    <w:rsid w:val="00384922"/>
    <w:rsid w:val="00392577"/>
    <w:rsid w:val="003951CD"/>
    <w:rsid w:val="003979C0"/>
    <w:rsid w:val="00397D3D"/>
    <w:rsid w:val="003A1D22"/>
    <w:rsid w:val="003A49BC"/>
    <w:rsid w:val="003A51C4"/>
    <w:rsid w:val="003A547B"/>
    <w:rsid w:val="003A5E7B"/>
    <w:rsid w:val="003B1514"/>
    <w:rsid w:val="003B47C5"/>
    <w:rsid w:val="003B6665"/>
    <w:rsid w:val="003B6C06"/>
    <w:rsid w:val="003B7EED"/>
    <w:rsid w:val="003C0211"/>
    <w:rsid w:val="003C0E27"/>
    <w:rsid w:val="003C1512"/>
    <w:rsid w:val="003C1BDA"/>
    <w:rsid w:val="003C39E8"/>
    <w:rsid w:val="003C49D9"/>
    <w:rsid w:val="003C5379"/>
    <w:rsid w:val="003C5B6E"/>
    <w:rsid w:val="003C76A1"/>
    <w:rsid w:val="003D04E0"/>
    <w:rsid w:val="003D1250"/>
    <w:rsid w:val="003D238B"/>
    <w:rsid w:val="003D2F28"/>
    <w:rsid w:val="003D30B7"/>
    <w:rsid w:val="003D4FAB"/>
    <w:rsid w:val="003D57E7"/>
    <w:rsid w:val="003D64BE"/>
    <w:rsid w:val="003D684A"/>
    <w:rsid w:val="003D6EF0"/>
    <w:rsid w:val="003D77C9"/>
    <w:rsid w:val="003E4068"/>
    <w:rsid w:val="003E4C09"/>
    <w:rsid w:val="003E4FB3"/>
    <w:rsid w:val="003E52E1"/>
    <w:rsid w:val="003E5872"/>
    <w:rsid w:val="003E66C2"/>
    <w:rsid w:val="003E6C21"/>
    <w:rsid w:val="003F2F65"/>
    <w:rsid w:val="003F309F"/>
    <w:rsid w:val="003F48A2"/>
    <w:rsid w:val="003F6759"/>
    <w:rsid w:val="003F70FA"/>
    <w:rsid w:val="003F7A49"/>
    <w:rsid w:val="00401E4C"/>
    <w:rsid w:val="00403F64"/>
    <w:rsid w:val="004052F6"/>
    <w:rsid w:val="00412174"/>
    <w:rsid w:val="00413B94"/>
    <w:rsid w:val="00413BA6"/>
    <w:rsid w:val="00415A02"/>
    <w:rsid w:val="004220D1"/>
    <w:rsid w:val="00423A50"/>
    <w:rsid w:val="00424B93"/>
    <w:rsid w:val="00424E6C"/>
    <w:rsid w:val="00425434"/>
    <w:rsid w:val="0042554D"/>
    <w:rsid w:val="0042673E"/>
    <w:rsid w:val="00427023"/>
    <w:rsid w:val="00430567"/>
    <w:rsid w:val="00430D52"/>
    <w:rsid w:val="00431C3A"/>
    <w:rsid w:val="00431D56"/>
    <w:rsid w:val="004328C2"/>
    <w:rsid w:val="00433ED0"/>
    <w:rsid w:val="00434E7B"/>
    <w:rsid w:val="0043578C"/>
    <w:rsid w:val="00437E80"/>
    <w:rsid w:val="0044332B"/>
    <w:rsid w:val="00450E70"/>
    <w:rsid w:val="004512DD"/>
    <w:rsid w:val="00451DC9"/>
    <w:rsid w:val="004528B1"/>
    <w:rsid w:val="00452BF4"/>
    <w:rsid w:val="00453321"/>
    <w:rsid w:val="00453CC5"/>
    <w:rsid w:val="00454E2A"/>
    <w:rsid w:val="00455857"/>
    <w:rsid w:val="004575C1"/>
    <w:rsid w:val="0045779A"/>
    <w:rsid w:val="0046461D"/>
    <w:rsid w:val="00465602"/>
    <w:rsid w:val="00466FBC"/>
    <w:rsid w:val="004704AB"/>
    <w:rsid w:val="0047103D"/>
    <w:rsid w:val="0047130A"/>
    <w:rsid w:val="00471BE9"/>
    <w:rsid w:val="00472498"/>
    <w:rsid w:val="004727EB"/>
    <w:rsid w:val="00475C51"/>
    <w:rsid w:val="00476686"/>
    <w:rsid w:val="00476C12"/>
    <w:rsid w:val="004801EF"/>
    <w:rsid w:val="004809F7"/>
    <w:rsid w:val="004830C4"/>
    <w:rsid w:val="004851CD"/>
    <w:rsid w:val="004879A7"/>
    <w:rsid w:val="0049085B"/>
    <w:rsid w:val="00491AD2"/>
    <w:rsid w:val="00492217"/>
    <w:rsid w:val="00492934"/>
    <w:rsid w:val="00493812"/>
    <w:rsid w:val="00493AB9"/>
    <w:rsid w:val="00493D3B"/>
    <w:rsid w:val="00494ED1"/>
    <w:rsid w:val="00495CBE"/>
    <w:rsid w:val="0049662A"/>
    <w:rsid w:val="00496E22"/>
    <w:rsid w:val="0049774D"/>
    <w:rsid w:val="004A0A95"/>
    <w:rsid w:val="004A1E1D"/>
    <w:rsid w:val="004A2885"/>
    <w:rsid w:val="004A3C99"/>
    <w:rsid w:val="004A522E"/>
    <w:rsid w:val="004B0C3B"/>
    <w:rsid w:val="004B10D7"/>
    <w:rsid w:val="004B4BED"/>
    <w:rsid w:val="004B5B2D"/>
    <w:rsid w:val="004B5D6E"/>
    <w:rsid w:val="004B6D76"/>
    <w:rsid w:val="004C051B"/>
    <w:rsid w:val="004C0771"/>
    <w:rsid w:val="004C297B"/>
    <w:rsid w:val="004C396A"/>
    <w:rsid w:val="004C4DAF"/>
    <w:rsid w:val="004C59CE"/>
    <w:rsid w:val="004C767F"/>
    <w:rsid w:val="004D0211"/>
    <w:rsid w:val="004D0A69"/>
    <w:rsid w:val="004D11B3"/>
    <w:rsid w:val="004D4B31"/>
    <w:rsid w:val="004D66E9"/>
    <w:rsid w:val="004D68E7"/>
    <w:rsid w:val="004E010B"/>
    <w:rsid w:val="004E2500"/>
    <w:rsid w:val="004E3FBF"/>
    <w:rsid w:val="004E72D8"/>
    <w:rsid w:val="004E7900"/>
    <w:rsid w:val="004F0221"/>
    <w:rsid w:val="004F15DC"/>
    <w:rsid w:val="004F214F"/>
    <w:rsid w:val="004F2E4F"/>
    <w:rsid w:val="004F2FE8"/>
    <w:rsid w:val="004F351A"/>
    <w:rsid w:val="004F52D7"/>
    <w:rsid w:val="004F55BD"/>
    <w:rsid w:val="004F5BE6"/>
    <w:rsid w:val="004F5DAE"/>
    <w:rsid w:val="004F7BB9"/>
    <w:rsid w:val="005013D6"/>
    <w:rsid w:val="0050254C"/>
    <w:rsid w:val="0050260D"/>
    <w:rsid w:val="00502B71"/>
    <w:rsid w:val="00502BA0"/>
    <w:rsid w:val="00502C55"/>
    <w:rsid w:val="00504090"/>
    <w:rsid w:val="00510B86"/>
    <w:rsid w:val="00511640"/>
    <w:rsid w:val="0051221C"/>
    <w:rsid w:val="00514727"/>
    <w:rsid w:val="00517E8F"/>
    <w:rsid w:val="00524928"/>
    <w:rsid w:val="00526E3E"/>
    <w:rsid w:val="0052785F"/>
    <w:rsid w:val="005341DA"/>
    <w:rsid w:val="00534DEB"/>
    <w:rsid w:val="00536609"/>
    <w:rsid w:val="00540A64"/>
    <w:rsid w:val="0054397B"/>
    <w:rsid w:val="00543FC7"/>
    <w:rsid w:val="0054431F"/>
    <w:rsid w:val="00544F4E"/>
    <w:rsid w:val="0054578A"/>
    <w:rsid w:val="00547727"/>
    <w:rsid w:val="00547EAF"/>
    <w:rsid w:val="00550B32"/>
    <w:rsid w:val="005526BC"/>
    <w:rsid w:val="005539A8"/>
    <w:rsid w:val="005611B9"/>
    <w:rsid w:val="00562D8D"/>
    <w:rsid w:val="00563E33"/>
    <w:rsid w:val="005650AA"/>
    <w:rsid w:val="0056617D"/>
    <w:rsid w:val="00567DE0"/>
    <w:rsid w:val="005728D0"/>
    <w:rsid w:val="00575226"/>
    <w:rsid w:val="005756B9"/>
    <w:rsid w:val="00576CB5"/>
    <w:rsid w:val="005810CA"/>
    <w:rsid w:val="00581B31"/>
    <w:rsid w:val="005829D4"/>
    <w:rsid w:val="005840CA"/>
    <w:rsid w:val="0058584D"/>
    <w:rsid w:val="00586D93"/>
    <w:rsid w:val="005873EA"/>
    <w:rsid w:val="00587B8D"/>
    <w:rsid w:val="00590933"/>
    <w:rsid w:val="00590B77"/>
    <w:rsid w:val="00592462"/>
    <w:rsid w:val="00592737"/>
    <w:rsid w:val="00592AD0"/>
    <w:rsid w:val="00592F13"/>
    <w:rsid w:val="0059367D"/>
    <w:rsid w:val="0059376B"/>
    <w:rsid w:val="00594A4B"/>
    <w:rsid w:val="00595CF1"/>
    <w:rsid w:val="00595D35"/>
    <w:rsid w:val="0059743B"/>
    <w:rsid w:val="005A37E7"/>
    <w:rsid w:val="005A3CC4"/>
    <w:rsid w:val="005A4CD9"/>
    <w:rsid w:val="005A53B3"/>
    <w:rsid w:val="005A55C3"/>
    <w:rsid w:val="005B3598"/>
    <w:rsid w:val="005B5CD0"/>
    <w:rsid w:val="005B67A7"/>
    <w:rsid w:val="005C0765"/>
    <w:rsid w:val="005C3F04"/>
    <w:rsid w:val="005C4C70"/>
    <w:rsid w:val="005C521D"/>
    <w:rsid w:val="005C562D"/>
    <w:rsid w:val="005C5A5F"/>
    <w:rsid w:val="005C6F48"/>
    <w:rsid w:val="005C7A29"/>
    <w:rsid w:val="005C7E16"/>
    <w:rsid w:val="005D159A"/>
    <w:rsid w:val="005D41AB"/>
    <w:rsid w:val="005D510A"/>
    <w:rsid w:val="005D5300"/>
    <w:rsid w:val="005E180A"/>
    <w:rsid w:val="005E3E61"/>
    <w:rsid w:val="005E43B0"/>
    <w:rsid w:val="005E567F"/>
    <w:rsid w:val="005E604B"/>
    <w:rsid w:val="005E7375"/>
    <w:rsid w:val="005F2019"/>
    <w:rsid w:val="005F2DC2"/>
    <w:rsid w:val="005F3747"/>
    <w:rsid w:val="005F57F3"/>
    <w:rsid w:val="005F5B83"/>
    <w:rsid w:val="005F69E1"/>
    <w:rsid w:val="005F7352"/>
    <w:rsid w:val="0060018D"/>
    <w:rsid w:val="00600209"/>
    <w:rsid w:val="0060150B"/>
    <w:rsid w:val="00603803"/>
    <w:rsid w:val="00606FCB"/>
    <w:rsid w:val="0061020F"/>
    <w:rsid w:val="0061084D"/>
    <w:rsid w:val="00610E1E"/>
    <w:rsid w:val="00613064"/>
    <w:rsid w:val="00614364"/>
    <w:rsid w:val="00615CDF"/>
    <w:rsid w:val="0061693C"/>
    <w:rsid w:val="006172D9"/>
    <w:rsid w:val="00622B8E"/>
    <w:rsid w:val="006233DD"/>
    <w:rsid w:val="0062386F"/>
    <w:rsid w:val="00623C72"/>
    <w:rsid w:val="00624FF6"/>
    <w:rsid w:val="006258CD"/>
    <w:rsid w:val="00625F42"/>
    <w:rsid w:val="00625FCA"/>
    <w:rsid w:val="00627EBD"/>
    <w:rsid w:val="00631F53"/>
    <w:rsid w:val="00633BDC"/>
    <w:rsid w:val="00633EA0"/>
    <w:rsid w:val="00634B11"/>
    <w:rsid w:val="0063503C"/>
    <w:rsid w:val="00635C5D"/>
    <w:rsid w:val="00635FD9"/>
    <w:rsid w:val="00636274"/>
    <w:rsid w:val="00636593"/>
    <w:rsid w:val="006367C1"/>
    <w:rsid w:val="006368CD"/>
    <w:rsid w:val="00641FE8"/>
    <w:rsid w:val="006425C6"/>
    <w:rsid w:val="00645233"/>
    <w:rsid w:val="0064689B"/>
    <w:rsid w:val="00647325"/>
    <w:rsid w:val="00647824"/>
    <w:rsid w:val="00650BB0"/>
    <w:rsid w:val="006530AA"/>
    <w:rsid w:val="00653238"/>
    <w:rsid w:val="006533DF"/>
    <w:rsid w:val="00653C0B"/>
    <w:rsid w:val="00654456"/>
    <w:rsid w:val="00656268"/>
    <w:rsid w:val="00656693"/>
    <w:rsid w:val="00661A09"/>
    <w:rsid w:val="00661D05"/>
    <w:rsid w:val="00662730"/>
    <w:rsid w:val="00663960"/>
    <w:rsid w:val="00664BC5"/>
    <w:rsid w:val="0066603D"/>
    <w:rsid w:val="00666ABB"/>
    <w:rsid w:val="00666B4D"/>
    <w:rsid w:val="006673A0"/>
    <w:rsid w:val="006706C9"/>
    <w:rsid w:val="00673021"/>
    <w:rsid w:val="00674615"/>
    <w:rsid w:val="006748DC"/>
    <w:rsid w:val="006757C1"/>
    <w:rsid w:val="00675B6E"/>
    <w:rsid w:val="00680BBE"/>
    <w:rsid w:val="00680D6F"/>
    <w:rsid w:val="006836CC"/>
    <w:rsid w:val="00684AF0"/>
    <w:rsid w:val="00684DAF"/>
    <w:rsid w:val="00686B33"/>
    <w:rsid w:val="0069038C"/>
    <w:rsid w:val="00692DF0"/>
    <w:rsid w:val="006930E9"/>
    <w:rsid w:val="00694234"/>
    <w:rsid w:val="00694F15"/>
    <w:rsid w:val="0069518B"/>
    <w:rsid w:val="0069728F"/>
    <w:rsid w:val="006A0BDE"/>
    <w:rsid w:val="006A1594"/>
    <w:rsid w:val="006A2EC1"/>
    <w:rsid w:val="006A4245"/>
    <w:rsid w:val="006A7A38"/>
    <w:rsid w:val="006B31CA"/>
    <w:rsid w:val="006B359C"/>
    <w:rsid w:val="006B3996"/>
    <w:rsid w:val="006B3C7D"/>
    <w:rsid w:val="006B635C"/>
    <w:rsid w:val="006B6AD5"/>
    <w:rsid w:val="006C1185"/>
    <w:rsid w:val="006C1EE1"/>
    <w:rsid w:val="006C77D1"/>
    <w:rsid w:val="006C7E68"/>
    <w:rsid w:val="006D32EF"/>
    <w:rsid w:val="006D773C"/>
    <w:rsid w:val="006E1AB6"/>
    <w:rsid w:val="006E1BE3"/>
    <w:rsid w:val="006E4C63"/>
    <w:rsid w:val="006E7E68"/>
    <w:rsid w:val="006F3650"/>
    <w:rsid w:val="006F37B5"/>
    <w:rsid w:val="006F6363"/>
    <w:rsid w:val="006F7906"/>
    <w:rsid w:val="0070598D"/>
    <w:rsid w:val="00705CBA"/>
    <w:rsid w:val="00706DA7"/>
    <w:rsid w:val="007107B0"/>
    <w:rsid w:val="00711F44"/>
    <w:rsid w:val="00713276"/>
    <w:rsid w:val="007144BF"/>
    <w:rsid w:val="00714CAA"/>
    <w:rsid w:val="0071589B"/>
    <w:rsid w:val="007167E0"/>
    <w:rsid w:val="00716880"/>
    <w:rsid w:val="00722ADF"/>
    <w:rsid w:val="00726FE1"/>
    <w:rsid w:val="00730857"/>
    <w:rsid w:val="00730A1D"/>
    <w:rsid w:val="00732653"/>
    <w:rsid w:val="0073278D"/>
    <w:rsid w:val="00733078"/>
    <w:rsid w:val="007350CF"/>
    <w:rsid w:val="00735BD8"/>
    <w:rsid w:val="0073761E"/>
    <w:rsid w:val="00737963"/>
    <w:rsid w:val="00740AA1"/>
    <w:rsid w:val="007410B4"/>
    <w:rsid w:val="00741E6E"/>
    <w:rsid w:val="00742009"/>
    <w:rsid w:val="007427BA"/>
    <w:rsid w:val="00742D71"/>
    <w:rsid w:val="007433AA"/>
    <w:rsid w:val="007434C2"/>
    <w:rsid w:val="00743A02"/>
    <w:rsid w:val="007447E7"/>
    <w:rsid w:val="00745F1E"/>
    <w:rsid w:val="00750762"/>
    <w:rsid w:val="00751E1D"/>
    <w:rsid w:val="007536A3"/>
    <w:rsid w:val="00753D0E"/>
    <w:rsid w:val="00754C38"/>
    <w:rsid w:val="00754FA2"/>
    <w:rsid w:val="00757FA2"/>
    <w:rsid w:val="00760728"/>
    <w:rsid w:val="00760BC1"/>
    <w:rsid w:val="0076168A"/>
    <w:rsid w:val="0076229B"/>
    <w:rsid w:val="00767629"/>
    <w:rsid w:val="00767CAB"/>
    <w:rsid w:val="00774220"/>
    <w:rsid w:val="00774222"/>
    <w:rsid w:val="0077513E"/>
    <w:rsid w:val="007751A4"/>
    <w:rsid w:val="00775387"/>
    <w:rsid w:val="007753D2"/>
    <w:rsid w:val="00780170"/>
    <w:rsid w:val="00781858"/>
    <w:rsid w:val="00781931"/>
    <w:rsid w:val="00782793"/>
    <w:rsid w:val="00783ADA"/>
    <w:rsid w:val="00786A07"/>
    <w:rsid w:val="00791029"/>
    <w:rsid w:val="00792428"/>
    <w:rsid w:val="00795213"/>
    <w:rsid w:val="0079552D"/>
    <w:rsid w:val="007A0C3A"/>
    <w:rsid w:val="007A1C86"/>
    <w:rsid w:val="007A237A"/>
    <w:rsid w:val="007A4364"/>
    <w:rsid w:val="007A6BEE"/>
    <w:rsid w:val="007B1B05"/>
    <w:rsid w:val="007B2420"/>
    <w:rsid w:val="007B3E0F"/>
    <w:rsid w:val="007B5E74"/>
    <w:rsid w:val="007C4E2A"/>
    <w:rsid w:val="007C5A91"/>
    <w:rsid w:val="007C61C7"/>
    <w:rsid w:val="007D04F3"/>
    <w:rsid w:val="007D3B45"/>
    <w:rsid w:val="007D3D36"/>
    <w:rsid w:val="007D41CA"/>
    <w:rsid w:val="007D5CE4"/>
    <w:rsid w:val="007D64E0"/>
    <w:rsid w:val="007D7012"/>
    <w:rsid w:val="007E06D9"/>
    <w:rsid w:val="007E1AB7"/>
    <w:rsid w:val="007E3E28"/>
    <w:rsid w:val="007F0278"/>
    <w:rsid w:val="007F0A26"/>
    <w:rsid w:val="007F0E7E"/>
    <w:rsid w:val="007F1951"/>
    <w:rsid w:val="007F22FF"/>
    <w:rsid w:val="007F446F"/>
    <w:rsid w:val="007F45D7"/>
    <w:rsid w:val="007F5929"/>
    <w:rsid w:val="007F5F75"/>
    <w:rsid w:val="007F683A"/>
    <w:rsid w:val="007F7B80"/>
    <w:rsid w:val="00801647"/>
    <w:rsid w:val="008028EA"/>
    <w:rsid w:val="00810222"/>
    <w:rsid w:val="00813A8B"/>
    <w:rsid w:val="00814AC6"/>
    <w:rsid w:val="008172AE"/>
    <w:rsid w:val="0082247C"/>
    <w:rsid w:val="008224F8"/>
    <w:rsid w:val="008227AC"/>
    <w:rsid w:val="00823BDD"/>
    <w:rsid w:val="0082488C"/>
    <w:rsid w:val="00827AD5"/>
    <w:rsid w:val="00831391"/>
    <w:rsid w:val="00832741"/>
    <w:rsid w:val="00833C3F"/>
    <w:rsid w:val="008404A8"/>
    <w:rsid w:val="00841A10"/>
    <w:rsid w:val="00842F70"/>
    <w:rsid w:val="00844FB7"/>
    <w:rsid w:val="00845EE2"/>
    <w:rsid w:val="00852BE6"/>
    <w:rsid w:val="008538A6"/>
    <w:rsid w:val="00853E2E"/>
    <w:rsid w:val="00854C97"/>
    <w:rsid w:val="0085707F"/>
    <w:rsid w:val="008578AB"/>
    <w:rsid w:val="00857D0B"/>
    <w:rsid w:val="008602EB"/>
    <w:rsid w:val="00861044"/>
    <w:rsid w:val="008632DF"/>
    <w:rsid w:val="00863B24"/>
    <w:rsid w:val="008662CF"/>
    <w:rsid w:val="00873719"/>
    <w:rsid w:val="00876407"/>
    <w:rsid w:val="00876801"/>
    <w:rsid w:val="0088075F"/>
    <w:rsid w:val="00881883"/>
    <w:rsid w:val="00883D06"/>
    <w:rsid w:val="00884273"/>
    <w:rsid w:val="008862FF"/>
    <w:rsid w:val="00891BA1"/>
    <w:rsid w:val="00893722"/>
    <w:rsid w:val="008950F5"/>
    <w:rsid w:val="00896CC8"/>
    <w:rsid w:val="00897212"/>
    <w:rsid w:val="008A13A0"/>
    <w:rsid w:val="008A19B3"/>
    <w:rsid w:val="008A6E74"/>
    <w:rsid w:val="008A748F"/>
    <w:rsid w:val="008A7BD6"/>
    <w:rsid w:val="008B09A8"/>
    <w:rsid w:val="008B2BD7"/>
    <w:rsid w:val="008B433F"/>
    <w:rsid w:val="008B6ED4"/>
    <w:rsid w:val="008B7F19"/>
    <w:rsid w:val="008C03A9"/>
    <w:rsid w:val="008C4689"/>
    <w:rsid w:val="008C59FE"/>
    <w:rsid w:val="008C69A6"/>
    <w:rsid w:val="008C6C94"/>
    <w:rsid w:val="008D05C4"/>
    <w:rsid w:val="008D3C78"/>
    <w:rsid w:val="008D65F6"/>
    <w:rsid w:val="008E2256"/>
    <w:rsid w:val="008E346F"/>
    <w:rsid w:val="008E3691"/>
    <w:rsid w:val="008E3C8F"/>
    <w:rsid w:val="008E41EF"/>
    <w:rsid w:val="008E57DF"/>
    <w:rsid w:val="008F186C"/>
    <w:rsid w:val="008F2098"/>
    <w:rsid w:val="008F3D7E"/>
    <w:rsid w:val="008F5C34"/>
    <w:rsid w:val="008F6EBB"/>
    <w:rsid w:val="008F7E6C"/>
    <w:rsid w:val="00900E94"/>
    <w:rsid w:val="00901205"/>
    <w:rsid w:val="00903E0B"/>
    <w:rsid w:val="00905000"/>
    <w:rsid w:val="00905021"/>
    <w:rsid w:val="00906341"/>
    <w:rsid w:val="00906D77"/>
    <w:rsid w:val="00907F78"/>
    <w:rsid w:val="00912049"/>
    <w:rsid w:val="0091253C"/>
    <w:rsid w:val="00913017"/>
    <w:rsid w:val="00915118"/>
    <w:rsid w:val="00915140"/>
    <w:rsid w:val="0091548C"/>
    <w:rsid w:val="00916C0B"/>
    <w:rsid w:val="00920D66"/>
    <w:rsid w:val="00921D2A"/>
    <w:rsid w:val="00923E8C"/>
    <w:rsid w:val="0092685B"/>
    <w:rsid w:val="00926B2E"/>
    <w:rsid w:val="009300A2"/>
    <w:rsid w:val="00930DE5"/>
    <w:rsid w:val="0093346B"/>
    <w:rsid w:val="00934814"/>
    <w:rsid w:val="00934A77"/>
    <w:rsid w:val="00934EE2"/>
    <w:rsid w:val="00935E4A"/>
    <w:rsid w:val="009364D0"/>
    <w:rsid w:val="00937FF8"/>
    <w:rsid w:val="00942BBF"/>
    <w:rsid w:val="00942C32"/>
    <w:rsid w:val="00943C09"/>
    <w:rsid w:val="00943C90"/>
    <w:rsid w:val="00943E9E"/>
    <w:rsid w:val="00945870"/>
    <w:rsid w:val="0095025D"/>
    <w:rsid w:val="0095192B"/>
    <w:rsid w:val="009523CC"/>
    <w:rsid w:val="0095274F"/>
    <w:rsid w:val="009527B8"/>
    <w:rsid w:val="0095489D"/>
    <w:rsid w:val="00954B67"/>
    <w:rsid w:val="009579B5"/>
    <w:rsid w:val="00957B03"/>
    <w:rsid w:val="00957E83"/>
    <w:rsid w:val="00960C2F"/>
    <w:rsid w:val="00961C21"/>
    <w:rsid w:val="00962ECE"/>
    <w:rsid w:val="00963897"/>
    <w:rsid w:val="009656E0"/>
    <w:rsid w:val="00966A1C"/>
    <w:rsid w:val="009675CD"/>
    <w:rsid w:val="009701D0"/>
    <w:rsid w:val="00970A7E"/>
    <w:rsid w:val="00970B4B"/>
    <w:rsid w:val="00970B99"/>
    <w:rsid w:val="00971D65"/>
    <w:rsid w:val="00971F79"/>
    <w:rsid w:val="009746E3"/>
    <w:rsid w:val="00974E42"/>
    <w:rsid w:val="00975349"/>
    <w:rsid w:val="00975562"/>
    <w:rsid w:val="00976318"/>
    <w:rsid w:val="00980C14"/>
    <w:rsid w:val="00982D4F"/>
    <w:rsid w:val="00982D98"/>
    <w:rsid w:val="00984D45"/>
    <w:rsid w:val="00985881"/>
    <w:rsid w:val="00986445"/>
    <w:rsid w:val="009911AA"/>
    <w:rsid w:val="00992765"/>
    <w:rsid w:val="0099385F"/>
    <w:rsid w:val="009945B3"/>
    <w:rsid w:val="00994725"/>
    <w:rsid w:val="00994D15"/>
    <w:rsid w:val="0099596E"/>
    <w:rsid w:val="00995E75"/>
    <w:rsid w:val="009962F0"/>
    <w:rsid w:val="00997E0E"/>
    <w:rsid w:val="009A090C"/>
    <w:rsid w:val="009A1A7A"/>
    <w:rsid w:val="009A31FA"/>
    <w:rsid w:val="009A400F"/>
    <w:rsid w:val="009A6280"/>
    <w:rsid w:val="009A6D17"/>
    <w:rsid w:val="009B0126"/>
    <w:rsid w:val="009B2DC9"/>
    <w:rsid w:val="009B4D00"/>
    <w:rsid w:val="009C4106"/>
    <w:rsid w:val="009C4666"/>
    <w:rsid w:val="009C514B"/>
    <w:rsid w:val="009C5E52"/>
    <w:rsid w:val="009C622D"/>
    <w:rsid w:val="009D1620"/>
    <w:rsid w:val="009D54F2"/>
    <w:rsid w:val="009D5A23"/>
    <w:rsid w:val="009D68BA"/>
    <w:rsid w:val="009D7272"/>
    <w:rsid w:val="009D7E2F"/>
    <w:rsid w:val="009E0783"/>
    <w:rsid w:val="009E1470"/>
    <w:rsid w:val="009E42B6"/>
    <w:rsid w:val="009E4D13"/>
    <w:rsid w:val="009E668E"/>
    <w:rsid w:val="009E6936"/>
    <w:rsid w:val="009E6C96"/>
    <w:rsid w:val="009E6D02"/>
    <w:rsid w:val="009E7DC9"/>
    <w:rsid w:val="009F12B7"/>
    <w:rsid w:val="009F5DFF"/>
    <w:rsid w:val="009F61D7"/>
    <w:rsid w:val="009F6BEE"/>
    <w:rsid w:val="009F7634"/>
    <w:rsid w:val="009F7785"/>
    <w:rsid w:val="00A014E6"/>
    <w:rsid w:val="00A031D8"/>
    <w:rsid w:val="00A04E77"/>
    <w:rsid w:val="00A06D37"/>
    <w:rsid w:val="00A1211D"/>
    <w:rsid w:val="00A1247B"/>
    <w:rsid w:val="00A124DC"/>
    <w:rsid w:val="00A14457"/>
    <w:rsid w:val="00A14C77"/>
    <w:rsid w:val="00A1509B"/>
    <w:rsid w:val="00A155C9"/>
    <w:rsid w:val="00A15982"/>
    <w:rsid w:val="00A15B6F"/>
    <w:rsid w:val="00A161D2"/>
    <w:rsid w:val="00A17F61"/>
    <w:rsid w:val="00A215B0"/>
    <w:rsid w:val="00A22EF3"/>
    <w:rsid w:val="00A24670"/>
    <w:rsid w:val="00A24DB9"/>
    <w:rsid w:val="00A24E31"/>
    <w:rsid w:val="00A251E0"/>
    <w:rsid w:val="00A27702"/>
    <w:rsid w:val="00A27F1A"/>
    <w:rsid w:val="00A304F1"/>
    <w:rsid w:val="00A3198C"/>
    <w:rsid w:val="00A36003"/>
    <w:rsid w:val="00A366BC"/>
    <w:rsid w:val="00A368F3"/>
    <w:rsid w:val="00A37868"/>
    <w:rsid w:val="00A40A38"/>
    <w:rsid w:val="00A42FEB"/>
    <w:rsid w:val="00A45E3B"/>
    <w:rsid w:val="00A47874"/>
    <w:rsid w:val="00A47E7B"/>
    <w:rsid w:val="00A5287E"/>
    <w:rsid w:val="00A52EB9"/>
    <w:rsid w:val="00A530A5"/>
    <w:rsid w:val="00A53443"/>
    <w:rsid w:val="00A542A2"/>
    <w:rsid w:val="00A57FA0"/>
    <w:rsid w:val="00A6114D"/>
    <w:rsid w:val="00A62726"/>
    <w:rsid w:val="00A62735"/>
    <w:rsid w:val="00A6543C"/>
    <w:rsid w:val="00A65B54"/>
    <w:rsid w:val="00A67D5B"/>
    <w:rsid w:val="00A70E39"/>
    <w:rsid w:val="00A7141D"/>
    <w:rsid w:val="00A72C84"/>
    <w:rsid w:val="00A75239"/>
    <w:rsid w:val="00A76AD4"/>
    <w:rsid w:val="00A822C3"/>
    <w:rsid w:val="00A82DDB"/>
    <w:rsid w:val="00A84082"/>
    <w:rsid w:val="00A84FEB"/>
    <w:rsid w:val="00A85EBF"/>
    <w:rsid w:val="00A87556"/>
    <w:rsid w:val="00A87EFF"/>
    <w:rsid w:val="00A910E4"/>
    <w:rsid w:val="00A91EF8"/>
    <w:rsid w:val="00A92BA7"/>
    <w:rsid w:val="00A92D70"/>
    <w:rsid w:val="00A92E02"/>
    <w:rsid w:val="00A94925"/>
    <w:rsid w:val="00A962E3"/>
    <w:rsid w:val="00AA06CC"/>
    <w:rsid w:val="00AA26E4"/>
    <w:rsid w:val="00AA38E7"/>
    <w:rsid w:val="00AA3C55"/>
    <w:rsid w:val="00AA4EB0"/>
    <w:rsid w:val="00AB0166"/>
    <w:rsid w:val="00AB1F69"/>
    <w:rsid w:val="00AB2B9D"/>
    <w:rsid w:val="00AB3808"/>
    <w:rsid w:val="00AB42E5"/>
    <w:rsid w:val="00AB483D"/>
    <w:rsid w:val="00AB4D94"/>
    <w:rsid w:val="00AB67D1"/>
    <w:rsid w:val="00AB6D75"/>
    <w:rsid w:val="00AB761C"/>
    <w:rsid w:val="00AC1641"/>
    <w:rsid w:val="00AC23E5"/>
    <w:rsid w:val="00AC4F7F"/>
    <w:rsid w:val="00AC5A77"/>
    <w:rsid w:val="00AC660B"/>
    <w:rsid w:val="00AC6855"/>
    <w:rsid w:val="00AC6BB0"/>
    <w:rsid w:val="00AC72E7"/>
    <w:rsid w:val="00AC7370"/>
    <w:rsid w:val="00AC74D8"/>
    <w:rsid w:val="00AD23AA"/>
    <w:rsid w:val="00AD40EA"/>
    <w:rsid w:val="00AD7CD0"/>
    <w:rsid w:val="00AD7D45"/>
    <w:rsid w:val="00AE00E1"/>
    <w:rsid w:val="00AE1D09"/>
    <w:rsid w:val="00AE3159"/>
    <w:rsid w:val="00AE602F"/>
    <w:rsid w:val="00AE6AC4"/>
    <w:rsid w:val="00AE7849"/>
    <w:rsid w:val="00AF12E3"/>
    <w:rsid w:val="00AF2D6A"/>
    <w:rsid w:val="00AF4647"/>
    <w:rsid w:val="00AF5456"/>
    <w:rsid w:val="00AF56D1"/>
    <w:rsid w:val="00AF7E2E"/>
    <w:rsid w:val="00AF7FE7"/>
    <w:rsid w:val="00B01905"/>
    <w:rsid w:val="00B01C7A"/>
    <w:rsid w:val="00B0242C"/>
    <w:rsid w:val="00B02D99"/>
    <w:rsid w:val="00B05E8C"/>
    <w:rsid w:val="00B079DB"/>
    <w:rsid w:val="00B10233"/>
    <w:rsid w:val="00B106F6"/>
    <w:rsid w:val="00B11E27"/>
    <w:rsid w:val="00B123CE"/>
    <w:rsid w:val="00B125B8"/>
    <w:rsid w:val="00B134E8"/>
    <w:rsid w:val="00B13AA8"/>
    <w:rsid w:val="00B2090B"/>
    <w:rsid w:val="00B221E8"/>
    <w:rsid w:val="00B2469D"/>
    <w:rsid w:val="00B24813"/>
    <w:rsid w:val="00B30D91"/>
    <w:rsid w:val="00B32727"/>
    <w:rsid w:val="00B32F0C"/>
    <w:rsid w:val="00B34478"/>
    <w:rsid w:val="00B369E0"/>
    <w:rsid w:val="00B3721A"/>
    <w:rsid w:val="00B40147"/>
    <w:rsid w:val="00B41665"/>
    <w:rsid w:val="00B46E94"/>
    <w:rsid w:val="00B500FA"/>
    <w:rsid w:val="00B50791"/>
    <w:rsid w:val="00B50ACB"/>
    <w:rsid w:val="00B53D81"/>
    <w:rsid w:val="00B55D95"/>
    <w:rsid w:val="00B609EB"/>
    <w:rsid w:val="00B62029"/>
    <w:rsid w:val="00B62051"/>
    <w:rsid w:val="00B6291D"/>
    <w:rsid w:val="00B63C01"/>
    <w:rsid w:val="00B65BD5"/>
    <w:rsid w:val="00B65C97"/>
    <w:rsid w:val="00B66535"/>
    <w:rsid w:val="00B6676B"/>
    <w:rsid w:val="00B67D23"/>
    <w:rsid w:val="00B70873"/>
    <w:rsid w:val="00B716E0"/>
    <w:rsid w:val="00B71E94"/>
    <w:rsid w:val="00B721DB"/>
    <w:rsid w:val="00B74539"/>
    <w:rsid w:val="00B74B32"/>
    <w:rsid w:val="00B74DF3"/>
    <w:rsid w:val="00B74E27"/>
    <w:rsid w:val="00B75F6D"/>
    <w:rsid w:val="00B77D84"/>
    <w:rsid w:val="00B80238"/>
    <w:rsid w:val="00B817EF"/>
    <w:rsid w:val="00B8379B"/>
    <w:rsid w:val="00B905C9"/>
    <w:rsid w:val="00B90D2A"/>
    <w:rsid w:val="00B90FAA"/>
    <w:rsid w:val="00B9246C"/>
    <w:rsid w:val="00B95272"/>
    <w:rsid w:val="00B95D24"/>
    <w:rsid w:val="00B95EBF"/>
    <w:rsid w:val="00BA2E9C"/>
    <w:rsid w:val="00BA412B"/>
    <w:rsid w:val="00BA7393"/>
    <w:rsid w:val="00BB14C6"/>
    <w:rsid w:val="00BB22CA"/>
    <w:rsid w:val="00BB3726"/>
    <w:rsid w:val="00BB54F9"/>
    <w:rsid w:val="00BB7253"/>
    <w:rsid w:val="00BB7D34"/>
    <w:rsid w:val="00BC094A"/>
    <w:rsid w:val="00BC0A59"/>
    <w:rsid w:val="00BC4738"/>
    <w:rsid w:val="00BD153D"/>
    <w:rsid w:val="00BD285E"/>
    <w:rsid w:val="00BD3913"/>
    <w:rsid w:val="00BD441E"/>
    <w:rsid w:val="00BD5309"/>
    <w:rsid w:val="00BD5AE6"/>
    <w:rsid w:val="00BD6F39"/>
    <w:rsid w:val="00BD7319"/>
    <w:rsid w:val="00BE1DDD"/>
    <w:rsid w:val="00BE21B0"/>
    <w:rsid w:val="00BE27B6"/>
    <w:rsid w:val="00BF070C"/>
    <w:rsid w:val="00BF1435"/>
    <w:rsid w:val="00BF2E5B"/>
    <w:rsid w:val="00BF375E"/>
    <w:rsid w:val="00BF7259"/>
    <w:rsid w:val="00C009CD"/>
    <w:rsid w:val="00C00B17"/>
    <w:rsid w:val="00C039A6"/>
    <w:rsid w:val="00C04E65"/>
    <w:rsid w:val="00C0698A"/>
    <w:rsid w:val="00C14F7F"/>
    <w:rsid w:val="00C15083"/>
    <w:rsid w:val="00C20C36"/>
    <w:rsid w:val="00C21D18"/>
    <w:rsid w:val="00C21FE9"/>
    <w:rsid w:val="00C22740"/>
    <w:rsid w:val="00C2298C"/>
    <w:rsid w:val="00C236DA"/>
    <w:rsid w:val="00C24229"/>
    <w:rsid w:val="00C25125"/>
    <w:rsid w:val="00C25C35"/>
    <w:rsid w:val="00C26866"/>
    <w:rsid w:val="00C31199"/>
    <w:rsid w:val="00C33920"/>
    <w:rsid w:val="00C34652"/>
    <w:rsid w:val="00C356EC"/>
    <w:rsid w:val="00C3576E"/>
    <w:rsid w:val="00C35B84"/>
    <w:rsid w:val="00C3629D"/>
    <w:rsid w:val="00C3717A"/>
    <w:rsid w:val="00C405EE"/>
    <w:rsid w:val="00C435BA"/>
    <w:rsid w:val="00C43FFE"/>
    <w:rsid w:val="00C45AC7"/>
    <w:rsid w:val="00C45FC5"/>
    <w:rsid w:val="00C4650E"/>
    <w:rsid w:val="00C47353"/>
    <w:rsid w:val="00C51E0F"/>
    <w:rsid w:val="00C53134"/>
    <w:rsid w:val="00C53BD2"/>
    <w:rsid w:val="00C5452F"/>
    <w:rsid w:val="00C572A7"/>
    <w:rsid w:val="00C602E8"/>
    <w:rsid w:val="00C614D7"/>
    <w:rsid w:val="00C65D11"/>
    <w:rsid w:val="00C7071F"/>
    <w:rsid w:val="00C71B92"/>
    <w:rsid w:val="00C71D37"/>
    <w:rsid w:val="00C721F6"/>
    <w:rsid w:val="00C72BBB"/>
    <w:rsid w:val="00C72D71"/>
    <w:rsid w:val="00C75A48"/>
    <w:rsid w:val="00C75ABD"/>
    <w:rsid w:val="00C802DC"/>
    <w:rsid w:val="00C80326"/>
    <w:rsid w:val="00C826A8"/>
    <w:rsid w:val="00C83F86"/>
    <w:rsid w:val="00C86B17"/>
    <w:rsid w:val="00C87C96"/>
    <w:rsid w:val="00C90A65"/>
    <w:rsid w:val="00C9144F"/>
    <w:rsid w:val="00C941D7"/>
    <w:rsid w:val="00C975D0"/>
    <w:rsid w:val="00CA2024"/>
    <w:rsid w:val="00CA26D5"/>
    <w:rsid w:val="00CA2B15"/>
    <w:rsid w:val="00CA2B86"/>
    <w:rsid w:val="00CA5B6D"/>
    <w:rsid w:val="00CB67DA"/>
    <w:rsid w:val="00CC1136"/>
    <w:rsid w:val="00CC62DD"/>
    <w:rsid w:val="00CC72EA"/>
    <w:rsid w:val="00CC770C"/>
    <w:rsid w:val="00CD0EF8"/>
    <w:rsid w:val="00CD3944"/>
    <w:rsid w:val="00CD5513"/>
    <w:rsid w:val="00CD6276"/>
    <w:rsid w:val="00CD6A90"/>
    <w:rsid w:val="00CD6C2B"/>
    <w:rsid w:val="00CD7499"/>
    <w:rsid w:val="00CD7EB1"/>
    <w:rsid w:val="00CE2B85"/>
    <w:rsid w:val="00CE68E2"/>
    <w:rsid w:val="00CE7396"/>
    <w:rsid w:val="00CE7F07"/>
    <w:rsid w:val="00CF07F3"/>
    <w:rsid w:val="00CF380C"/>
    <w:rsid w:val="00CF3F05"/>
    <w:rsid w:val="00CF40DC"/>
    <w:rsid w:val="00CF46DA"/>
    <w:rsid w:val="00CF4ADE"/>
    <w:rsid w:val="00CF5159"/>
    <w:rsid w:val="00CF7FED"/>
    <w:rsid w:val="00D002AC"/>
    <w:rsid w:val="00D00897"/>
    <w:rsid w:val="00D00CBE"/>
    <w:rsid w:val="00D01043"/>
    <w:rsid w:val="00D06EB1"/>
    <w:rsid w:val="00D1142E"/>
    <w:rsid w:val="00D12444"/>
    <w:rsid w:val="00D128CF"/>
    <w:rsid w:val="00D12A42"/>
    <w:rsid w:val="00D13686"/>
    <w:rsid w:val="00D14890"/>
    <w:rsid w:val="00D15810"/>
    <w:rsid w:val="00D17242"/>
    <w:rsid w:val="00D17A29"/>
    <w:rsid w:val="00D20899"/>
    <w:rsid w:val="00D20BE6"/>
    <w:rsid w:val="00D23718"/>
    <w:rsid w:val="00D2575E"/>
    <w:rsid w:val="00D25E20"/>
    <w:rsid w:val="00D268F9"/>
    <w:rsid w:val="00D26EEC"/>
    <w:rsid w:val="00D3021A"/>
    <w:rsid w:val="00D31D69"/>
    <w:rsid w:val="00D31E07"/>
    <w:rsid w:val="00D31E24"/>
    <w:rsid w:val="00D32213"/>
    <w:rsid w:val="00D3284F"/>
    <w:rsid w:val="00D35DFF"/>
    <w:rsid w:val="00D40C06"/>
    <w:rsid w:val="00D41C86"/>
    <w:rsid w:val="00D4430E"/>
    <w:rsid w:val="00D44C5B"/>
    <w:rsid w:val="00D45FA4"/>
    <w:rsid w:val="00D51E9F"/>
    <w:rsid w:val="00D52DD2"/>
    <w:rsid w:val="00D53139"/>
    <w:rsid w:val="00D53751"/>
    <w:rsid w:val="00D55575"/>
    <w:rsid w:val="00D567A1"/>
    <w:rsid w:val="00D56C21"/>
    <w:rsid w:val="00D5758F"/>
    <w:rsid w:val="00D60BDC"/>
    <w:rsid w:val="00D60CD6"/>
    <w:rsid w:val="00D620D5"/>
    <w:rsid w:val="00D621EA"/>
    <w:rsid w:val="00D638D4"/>
    <w:rsid w:val="00D64065"/>
    <w:rsid w:val="00D65848"/>
    <w:rsid w:val="00D65C86"/>
    <w:rsid w:val="00D65C8C"/>
    <w:rsid w:val="00D7195B"/>
    <w:rsid w:val="00D73000"/>
    <w:rsid w:val="00D73E91"/>
    <w:rsid w:val="00D74D7F"/>
    <w:rsid w:val="00D74F25"/>
    <w:rsid w:val="00D74FD3"/>
    <w:rsid w:val="00D75238"/>
    <w:rsid w:val="00D765E0"/>
    <w:rsid w:val="00D77230"/>
    <w:rsid w:val="00D809EE"/>
    <w:rsid w:val="00D81D25"/>
    <w:rsid w:val="00D84699"/>
    <w:rsid w:val="00D86E4E"/>
    <w:rsid w:val="00D87E95"/>
    <w:rsid w:val="00D901C2"/>
    <w:rsid w:val="00D91600"/>
    <w:rsid w:val="00D921B9"/>
    <w:rsid w:val="00D92873"/>
    <w:rsid w:val="00D932C7"/>
    <w:rsid w:val="00D951B5"/>
    <w:rsid w:val="00D9596F"/>
    <w:rsid w:val="00D95E16"/>
    <w:rsid w:val="00D96637"/>
    <w:rsid w:val="00D9748F"/>
    <w:rsid w:val="00DA2E5A"/>
    <w:rsid w:val="00DA34B4"/>
    <w:rsid w:val="00DA3B9F"/>
    <w:rsid w:val="00DA4662"/>
    <w:rsid w:val="00DA4E08"/>
    <w:rsid w:val="00DA66FF"/>
    <w:rsid w:val="00DB0308"/>
    <w:rsid w:val="00DB081C"/>
    <w:rsid w:val="00DB1C2E"/>
    <w:rsid w:val="00DB2833"/>
    <w:rsid w:val="00DB3678"/>
    <w:rsid w:val="00DB4D66"/>
    <w:rsid w:val="00DB7283"/>
    <w:rsid w:val="00DB72B9"/>
    <w:rsid w:val="00DB7F8B"/>
    <w:rsid w:val="00DC1BD8"/>
    <w:rsid w:val="00DC24FD"/>
    <w:rsid w:val="00DC3F34"/>
    <w:rsid w:val="00DC4AE1"/>
    <w:rsid w:val="00DC64B6"/>
    <w:rsid w:val="00DC6DF1"/>
    <w:rsid w:val="00DC7731"/>
    <w:rsid w:val="00DD05A7"/>
    <w:rsid w:val="00DD0CFD"/>
    <w:rsid w:val="00DD1C59"/>
    <w:rsid w:val="00DD3428"/>
    <w:rsid w:val="00DD38B3"/>
    <w:rsid w:val="00DD3A51"/>
    <w:rsid w:val="00DD3F31"/>
    <w:rsid w:val="00DD65E1"/>
    <w:rsid w:val="00DE29BE"/>
    <w:rsid w:val="00DE3F04"/>
    <w:rsid w:val="00DE4AC7"/>
    <w:rsid w:val="00DE5448"/>
    <w:rsid w:val="00DE5767"/>
    <w:rsid w:val="00DE6A3D"/>
    <w:rsid w:val="00DF084A"/>
    <w:rsid w:val="00DF0E05"/>
    <w:rsid w:val="00DF1CBD"/>
    <w:rsid w:val="00DF1F90"/>
    <w:rsid w:val="00DF284E"/>
    <w:rsid w:val="00DF571F"/>
    <w:rsid w:val="00DF6265"/>
    <w:rsid w:val="00DF62F0"/>
    <w:rsid w:val="00DF6693"/>
    <w:rsid w:val="00E0036A"/>
    <w:rsid w:val="00E007D2"/>
    <w:rsid w:val="00E022D1"/>
    <w:rsid w:val="00E023A4"/>
    <w:rsid w:val="00E02D90"/>
    <w:rsid w:val="00E038A7"/>
    <w:rsid w:val="00E046DF"/>
    <w:rsid w:val="00E05F1F"/>
    <w:rsid w:val="00E10951"/>
    <w:rsid w:val="00E12BCA"/>
    <w:rsid w:val="00E1384F"/>
    <w:rsid w:val="00E16033"/>
    <w:rsid w:val="00E16167"/>
    <w:rsid w:val="00E1715A"/>
    <w:rsid w:val="00E1775E"/>
    <w:rsid w:val="00E21390"/>
    <w:rsid w:val="00E21514"/>
    <w:rsid w:val="00E216B5"/>
    <w:rsid w:val="00E228C2"/>
    <w:rsid w:val="00E228FB"/>
    <w:rsid w:val="00E230ED"/>
    <w:rsid w:val="00E2450A"/>
    <w:rsid w:val="00E253DF"/>
    <w:rsid w:val="00E25763"/>
    <w:rsid w:val="00E25BD6"/>
    <w:rsid w:val="00E260A9"/>
    <w:rsid w:val="00E30577"/>
    <w:rsid w:val="00E306ED"/>
    <w:rsid w:val="00E31ACD"/>
    <w:rsid w:val="00E32153"/>
    <w:rsid w:val="00E3257E"/>
    <w:rsid w:val="00E33351"/>
    <w:rsid w:val="00E37FB6"/>
    <w:rsid w:val="00E42486"/>
    <w:rsid w:val="00E42C14"/>
    <w:rsid w:val="00E42C39"/>
    <w:rsid w:val="00E4437B"/>
    <w:rsid w:val="00E4478D"/>
    <w:rsid w:val="00E44C2C"/>
    <w:rsid w:val="00E51225"/>
    <w:rsid w:val="00E5421C"/>
    <w:rsid w:val="00E54680"/>
    <w:rsid w:val="00E54DCB"/>
    <w:rsid w:val="00E56945"/>
    <w:rsid w:val="00E56FF2"/>
    <w:rsid w:val="00E57C9E"/>
    <w:rsid w:val="00E6169E"/>
    <w:rsid w:val="00E63E92"/>
    <w:rsid w:val="00E65E58"/>
    <w:rsid w:val="00E67FBD"/>
    <w:rsid w:val="00E70CC4"/>
    <w:rsid w:val="00E714E3"/>
    <w:rsid w:val="00E71D50"/>
    <w:rsid w:val="00E72257"/>
    <w:rsid w:val="00E72881"/>
    <w:rsid w:val="00E75946"/>
    <w:rsid w:val="00E7599F"/>
    <w:rsid w:val="00E75CF8"/>
    <w:rsid w:val="00E77700"/>
    <w:rsid w:val="00E77BD4"/>
    <w:rsid w:val="00E80AB1"/>
    <w:rsid w:val="00E8179A"/>
    <w:rsid w:val="00E84BCD"/>
    <w:rsid w:val="00E87288"/>
    <w:rsid w:val="00E8733B"/>
    <w:rsid w:val="00E92627"/>
    <w:rsid w:val="00E931FD"/>
    <w:rsid w:val="00E93F25"/>
    <w:rsid w:val="00E960EC"/>
    <w:rsid w:val="00E9696E"/>
    <w:rsid w:val="00E96FFC"/>
    <w:rsid w:val="00EA060C"/>
    <w:rsid w:val="00EA0E8F"/>
    <w:rsid w:val="00EA312E"/>
    <w:rsid w:val="00EA33E3"/>
    <w:rsid w:val="00EA5185"/>
    <w:rsid w:val="00EA5335"/>
    <w:rsid w:val="00EB0362"/>
    <w:rsid w:val="00EB358B"/>
    <w:rsid w:val="00EB3CC7"/>
    <w:rsid w:val="00EB628C"/>
    <w:rsid w:val="00EB76C4"/>
    <w:rsid w:val="00EB76E7"/>
    <w:rsid w:val="00EC33A2"/>
    <w:rsid w:val="00EC43C9"/>
    <w:rsid w:val="00EC44CE"/>
    <w:rsid w:val="00ED07C8"/>
    <w:rsid w:val="00ED11BF"/>
    <w:rsid w:val="00ED17FF"/>
    <w:rsid w:val="00EE2755"/>
    <w:rsid w:val="00EE281D"/>
    <w:rsid w:val="00EE29F1"/>
    <w:rsid w:val="00EE544D"/>
    <w:rsid w:val="00EE5CB6"/>
    <w:rsid w:val="00EE5E5C"/>
    <w:rsid w:val="00EF04E5"/>
    <w:rsid w:val="00F0053A"/>
    <w:rsid w:val="00F0307D"/>
    <w:rsid w:val="00F03E6F"/>
    <w:rsid w:val="00F04356"/>
    <w:rsid w:val="00F05B5C"/>
    <w:rsid w:val="00F0705C"/>
    <w:rsid w:val="00F0756F"/>
    <w:rsid w:val="00F075D0"/>
    <w:rsid w:val="00F11618"/>
    <w:rsid w:val="00F117B4"/>
    <w:rsid w:val="00F141F9"/>
    <w:rsid w:val="00F17559"/>
    <w:rsid w:val="00F21302"/>
    <w:rsid w:val="00F2158F"/>
    <w:rsid w:val="00F22102"/>
    <w:rsid w:val="00F24FED"/>
    <w:rsid w:val="00F266CE"/>
    <w:rsid w:val="00F30DCC"/>
    <w:rsid w:val="00F31CF2"/>
    <w:rsid w:val="00F35359"/>
    <w:rsid w:val="00F35694"/>
    <w:rsid w:val="00F367CD"/>
    <w:rsid w:val="00F37A02"/>
    <w:rsid w:val="00F41C7D"/>
    <w:rsid w:val="00F42DB8"/>
    <w:rsid w:val="00F43119"/>
    <w:rsid w:val="00F46284"/>
    <w:rsid w:val="00F50120"/>
    <w:rsid w:val="00F50506"/>
    <w:rsid w:val="00F50AB3"/>
    <w:rsid w:val="00F50F83"/>
    <w:rsid w:val="00F5192C"/>
    <w:rsid w:val="00F52170"/>
    <w:rsid w:val="00F53270"/>
    <w:rsid w:val="00F53E7A"/>
    <w:rsid w:val="00F5529F"/>
    <w:rsid w:val="00F55D84"/>
    <w:rsid w:val="00F57109"/>
    <w:rsid w:val="00F57679"/>
    <w:rsid w:val="00F60155"/>
    <w:rsid w:val="00F6184F"/>
    <w:rsid w:val="00F633EB"/>
    <w:rsid w:val="00F6346B"/>
    <w:rsid w:val="00F64006"/>
    <w:rsid w:val="00F643F7"/>
    <w:rsid w:val="00F6496F"/>
    <w:rsid w:val="00F64B6A"/>
    <w:rsid w:val="00F66223"/>
    <w:rsid w:val="00F67393"/>
    <w:rsid w:val="00F67AA1"/>
    <w:rsid w:val="00F70EE0"/>
    <w:rsid w:val="00F7224F"/>
    <w:rsid w:val="00F7353B"/>
    <w:rsid w:val="00F73E01"/>
    <w:rsid w:val="00F766BD"/>
    <w:rsid w:val="00F77ED1"/>
    <w:rsid w:val="00F77EFB"/>
    <w:rsid w:val="00F8202C"/>
    <w:rsid w:val="00F8278B"/>
    <w:rsid w:val="00F82C9D"/>
    <w:rsid w:val="00F83460"/>
    <w:rsid w:val="00F8401D"/>
    <w:rsid w:val="00F84083"/>
    <w:rsid w:val="00F85BDB"/>
    <w:rsid w:val="00F86328"/>
    <w:rsid w:val="00F871F1"/>
    <w:rsid w:val="00F9156D"/>
    <w:rsid w:val="00F91F89"/>
    <w:rsid w:val="00F9395F"/>
    <w:rsid w:val="00F93F04"/>
    <w:rsid w:val="00F95EF9"/>
    <w:rsid w:val="00F96826"/>
    <w:rsid w:val="00F9687C"/>
    <w:rsid w:val="00F97635"/>
    <w:rsid w:val="00FA0A5D"/>
    <w:rsid w:val="00FA0CE1"/>
    <w:rsid w:val="00FA0DB8"/>
    <w:rsid w:val="00FA11F4"/>
    <w:rsid w:val="00FA3083"/>
    <w:rsid w:val="00FA5586"/>
    <w:rsid w:val="00FA5B47"/>
    <w:rsid w:val="00FA61B9"/>
    <w:rsid w:val="00FA6EDD"/>
    <w:rsid w:val="00FA7242"/>
    <w:rsid w:val="00FA7EF8"/>
    <w:rsid w:val="00FB09EE"/>
    <w:rsid w:val="00FB5AC9"/>
    <w:rsid w:val="00FB5CF2"/>
    <w:rsid w:val="00FB62D3"/>
    <w:rsid w:val="00FC0C74"/>
    <w:rsid w:val="00FC4C04"/>
    <w:rsid w:val="00FC5235"/>
    <w:rsid w:val="00FC75BE"/>
    <w:rsid w:val="00FD05EA"/>
    <w:rsid w:val="00FD1BA8"/>
    <w:rsid w:val="00FD2105"/>
    <w:rsid w:val="00FD2E4D"/>
    <w:rsid w:val="00FD3A39"/>
    <w:rsid w:val="00FD4139"/>
    <w:rsid w:val="00FD4D83"/>
    <w:rsid w:val="00FD6314"/>
    <w:rsid w:val="00FD65F4"/>
    <w:rsid w:val="00FE4367"/>
    <w:rsid w:val="00FE4E97"/>
    <w:rsid w:val="00FF01D4"/>
    <w:rsid w:val="00FF0464"/>
    <w:rsid w:val="00FF301F"/>
    <w:rsid w:val="00FF5B6E"/>
    <w:rsid w:val="00FF67F6"/>
    <w:rsid w:val="00FF6F68"/>
    <w:rsid w:val="00FF6FC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I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FB8082"/>
  <w15:docId w15:val="{553E472C-CDA7-473D-8F22-3B6D1546A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IE" w:eastAsia="en-IE"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45F1E"/>
    <w:pPr>
      <w:spacing w:after="200" w:line="276" w:lineRule="auto"/>
    </w:pPr>
    <w:rPr>
      <w:lang w:val="en-GB" w:eastAsia="en-US"/>
    </w:rPr>
  </w:style>
  <w:style w:type="paragraph" w:styleId="Heading1">
    <w:name w:val="heading 1"/>
    <w:basedOn w:val="Normal"/>
    <w:next w:val="Normal"/>
    <w:link w:val="Heading1Char"/>
    <w:uiPriority w:val="99"/>
    <w:qFormat/>
    <w:rsid w:val="00592737"/>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592737"/>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9"/>
    <w:qFormat/>
    <w:rsid w:val="00152C3D"/>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92737"/>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592737"/>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152C3D"/>
    <w:rPr>
      <w:rFonts w:ascii="Cambria" w:hAnsi="Cambria" w:cs="Times New Roman"/>
      <w:b/>
      <w:bCs/>
      <w:color w:val="4F81BD"/>
    </w:rPr>
  </w:style>
  <w:style w:type="paragraph" w:styleId="FootnoteText">
    <w:name w:val="footnote text"/>
    <w:aliases w:val="Note de bas de page doctorat"/>
    <w:basedOn w:val="Normal"/>
    <w:link w:val="FootnoteTextChar"/>
    <w:uiPriority w:val="99"/>
    <w:rsid w:val="00592737"/>
    <w:pPr>
      <w:spacing w:after="0" w:line="240" w:lineRule="auto"/>
    </w:pPr>
    <w:rPr>
      <w:sz w:val="20"/>
      <w:szCs w:val="20"/>
    </w:rPr>
  </w:style>
  <w:style w:type="character" w:customStyle="1" w:styleId="FootnoteTextChar">
    <w:name w:val="Footnote Text Char"/>
    <w:aliases w:val="Note de bas de page doctorat Char"/>
    <w:basedOn w:val="DefaultParagraphFont"/>
    <w:link w:val="FootnoteText"/>
    <w:uiPriority w:val="99"/>
    <w:locked/>
    <w:rsid w:val="00592737"/>
    <w:rPr>
      <w:rFonts w:ascii="Calibri" w:hAnsi="Calibri" w:cs="Times New Roman"/>
      <w:sz w:val="20"/>
      <w:szCs w:val="20"/>
    </w:rPr>
  </w:style>
  <w:style w:type="character" w:styleId="FootnoteReference">
    <w:name w:val="footnote reference"/>
    <w:basedOn w:val="DefaultParagraphFont"/>
    <w:uiPriority w:val="99"/>
    <w:semiHidden/>
    <w:rsid w:val="00592737"/>
    <w:rPr>
      <w:rFonts w:cs="Times New Roman"/>
      <w:vertAlign w:val="superscript"/>
    </w:rPr>
  </w:style>
  <w:style w:type="character" w:styleId="Hyperlink">
    <w:name w:val="Hyperlink"/>
    <w:basedOn w:val="DefaultParagraphFont"/>
    <w:uiPriority w:val="99"/>
    <w:rsid w:val="00592737"/>
    <w:rPr>
      <w:rFonts w:cs="Times New Roman"/>
      <w:color w:val="0000FF"/>
      <w:u w:val="single"/>
    </w:rPr>
  </w:style>
  <w:style w:type="paragraph" w:styleId="Header">
    <w:name w:val="header"/>
    <w:basedOn w:val="Normal"/>
    <w:link w:val="HeaderChar"/>
    <w:uiPriority w:val="99"/>
    <w:rsid w:val="008D05C4"/>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8D05C4"/>
    <w:rPr>
      <w:rFonts w:cs="Times New Roman"/>
    </w:rPr>
  </w:style>
  <w:style w:type="paragraph" w:styleId="Footer">
    <w:name w:val="footer"/>
    <w:basedOn w:val="Normal"/>
    <w:link w:val="FooterChar"/>
    <w:uiPriority w:val="99"/>
    <w:rsid w:val="008D05C4"/>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8D05C4"/>
    <w:rPr>
      <w:rFonts w:cs="Times New Roman"/>
    </w:rPr>
  </w:style>
  <w:style w:type="paragraph" w:styleId="Caption">
    <w:name w:val="caption"/>
    <w:basedOn w:val="Normal"/>
    <w:next w:val="Normal"/>
    <w:uiPriority w:val="99"/>
    <w:qFormat/>
    <w:rsid w:val="00D23718"/>
    <w:pPr>
      <w:spacing w:line="240" w:lineRule="auto"/>
    </w:pPr>
    <w:rPr>
      <w:b/>
      <w:bCs/>
      <w:color w:val="4F81BD"/>
      <w:sz w:val="18"/>
      <w:szCs w:val="18"/>
    </w:rPr>
  </w:style>
  <w:style w:type="table" w:customStyle="1" w:styleId="LightShading1">
    <w:name w:val="Light Shading1"/>
    <w:uiPriority w:val="99"/>
    <w:rsid w:val="00D23718"/>
    <w:rPr>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603803"/>
    <w:rPr>
      <w:rFonts w:cs="Times New Roman"/>
      <w:sz w:val="16"/>
      <w:szCs w:val="16"/>
    </w:rPr>
  </w:style>
  <w:style w:type="paragraph" w:styleId="CommentText">
    <w:name w:val="annotation text"/>
    <w:basedOn w:val="Normal"/>
    <w:link w:val="CommentTextChar"/>
    <w:uiPriority w:val="99"/>
    <w:semiHidden/>
    <w:rsid w:val="00603803"/>
    <w:pPr>
      <w:spacing w:line="240" w:lineRule="auto"/>
    </w:pPr>
    <w:rPr>
      <w:sz w:val="20"/>
      <w:szCs w:val="20"/>
    </w:rPr>
  </w:style>
  <w:style w:type="character" w:customStyle="1" w:styleId="CommentTextChar">
    <w:name w:val="Comment Text Char"/>
    <w:basedOn w:val="DefaultParagraphFont"/>
    <w:link w:val="CommentText"/>
    <w:uiPriority w:val="99"/>
    <w:semiHidden/>
    <w:locked/>
    <w:rsid w:val="00603803"/>
    <w:rPr>
      <w:rFonts w:cs="Times New Roman"/>
      <w:sz w:val="20"/>
      <w:szCs w:val="20"/>
    </w:rPr>
  </w:style>
  <w:style w:type="paragraph" w:styleId="CommentSubject">
    <w:name w:val="annotation subject"/>
    <w:basedOn w:val="CommentText"/>
    <w:next w:val="CommentText"/>
    <w:link w:val="CommentSubjectChar"/>
    <w:uiPriority w:val="99"/>
    <w:semiHidden/>
    <w:rsid w:val="00603803"/>
    <w:rPr>
      <w:b/>
      <w:bCs/>
    </w:rPr>
  </w:style>
  <w:style w:type="character" w:customStyle="1" w:styleId="CommentSubjectChar">
    <w:name w:val="Comment Subject Char"/>
    <w:basedOn w:val="CommentTextChar"/>
    <w:link w:val="CommentSubject"/>
    <w:uiPriority w:val="99"/>
    <w:semiHidden/>
    <w:locked/>
    <w:rsid w:val="00603803"/>
    <w:rPr>
      <w:rFonts w:cs="Times New Roman"/>
      <w:b/>
      <w:bCs/>
      <w:sz w:val="20"/>
      <w:szCs w:val="20"/>
    </w:rPr>
  </w:style>
  <w:style w:type="paragraph" w:styleId="BalloonText">
    <w:name w:val="Balloon Text"/>
    <w:basedOn w:val="Normal"/>
    <w:link w:val="BalloonTextChar"/>
    <w:uiPriority w:val="99"/>
    <w:semiHidden/>
    <w:rsid w:val="006038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03803"/>
    <w:rPr>
      <w:rFonts w:ascii="Tahoma" w:hAnsi="Tahoma" w:cs="Tahoma"/>
      <w:sz w:val="16"/>
      <w:szCs w:val="16"/>
    </w:rPr>
  </w:style>
  <w:style w:type="paragraph" w:styleId="NormalWeb">
    <w:name w:val="Normal (Web)"/>
    <w:basedOn w:val="Normal"/>
    <w:uiPriority w:val="99"/>
    <w:rsid w:val="00AB0166"/>
    <w:pPr>
      <w:spacing w:before="100" w:beforeAutospacing="1" w:after="100" w:afterAutospacing="1" w:line="240" w:lineRule="auto"/>
    </w:pPr>
    <w:rPr>
      <w:rFonts w:ascii="Times New Roman" w:eastAsia="Times New Roman" w:hAnsi="Times New Roman"/>
      <w:sz w:val="24"/>
      <w:szCs w:val="24"/>
      <w:lang w:eastAsia="fr-CH"/>
    </w:rPr>
  </w:style>
  <w:style w:type="paragraph" w:styleId="ListParagraph">
    <w:name w:val="List Paragraph"/>
    <w:basedOn w:val="Normal"/>
    <w:uiPriority w:val="99"/>
    <w:qFormat/>
    <w:rsid w:val="008C03A9"/>
    <w:pPr>
      <w:ind w:left="720"/>
      <w:contextualSpacing/>
    </w:pPr>
  </w:style>
  <w:style w:type="table" w:customStyle="1" w:styleId="LightShading2">
    <w:name w:val="Light Shading2"/>
    <w:uiPriority w:val="99"/>
    <w:rsid w:val="00BE21B0"/>
    <w:rPr>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paragraph" w:customStyle="1" w:styleId="Default">
    <w:name w:val="Default"/>
    <w:rsid w:val="00743A02"/>
    <w:pPr>
      <w:autoSpaceDE w:val="0"/>
      <w:autoSpaceDN w:val="0"/>
      <w:adjustRightInd w:val="0"/>
    </w:pPr>
    <w:rPr>
      <w:rFonts w:ascii="Times New Roman" w:hAnsi="Times New Roman"/>
      <w:color w:val="000000"/>
      <w:sz w:val="24"/>
      <w:szCs w:val="24"/>
      <w:lang w:val="it-IT"/>
    </w:rPr>
  </w:style>
  <w:style w:type="paragraph" w:styleId="EndnoteText">
    <w:name w:val="endnote text"/>
    <w:basedOn w:val="Normal"/>
    <w:link w:val="EndnoteTextChar"/>
    <w:uiPriority w:val="99"/>
    <w:unhideWhenUsed/>
    <w:rsid w:val="007F45D7"/>
    <w:pPr>
      <w:spacing w:after="0" w:line="240" w:lineRule="auto"/>
    </w:pPr>
    <w:rPr>
      <w:sz w:val="20"/>
      <w:szCs w:val="20"/>
    </w:rPr>
  </w:style>
  <w:style w:type="character" w:customStyle="1" w:styleId="EndnoteTextChar">
    <w:name w:val="Endnote Text Char"/>
    <w:basedOn w:val="DefaultParagraphFont"/>
    <w:link w:val="EndnoteText"/>
    <w:uiPriority w:val="99"/>
    <w:rsid w:val="007F45D7"/>
    <w:rPr>
      <w:sz w:val="20"/>
      <w:szCs w:val="20"/>
      <w:lang w:val="fr-CH" w:eastAsia="en-US"/>
    </w:rPr>
  </w:style>
  <w:style w:type="character" w:styleId="EndnoteReference">
    <w:name w:val="endnote reference"/>
    <w:basedOn w:val="DefaultParagraphFont"/>
    <w:uiPriority w:val="99"/>
    <w:semiHidden/>
    <w:unhideWhenUsed/>
    <w:rsid w:val="007F45D7"/>
    <w:rPr>
      <w:vertAlign w:val="superscript"/>
    </w:rPr>
  </w:style>
  <w:style w:type="character" w:styleId="FollowedHyperlink">
    <w:name w:val="FollowedHyperlink"/>
    <w:basedOn w:val="DefaultParagraphFont"/>
    <w:uiPriority w:val="99"/>
    <w:semiHidden/>
    <w:unhideWhenUsed/>
    <w:rsid w:val="007F45D7"/>
    <w:rPr>
      <w:color w:val="800080" w:themeColor="followedHyperlink"/>
      <w:u w:val="single"/>
    </w:rPr>
  </w:style>
  <w:style w:type="paragraph" w:styleId="Revision">
    <w:name w:val="Revision"/>
    <w:hidden/>
    <w:uiPriority w:val="99"/>
    <w:semiHidden/>
    <w:rsid w:val="00992765"/>
    <w:rPr>
      <w:lang w:val="fr-CH" w:eastAsia="en-US"/>
    </w:rPr>
  </w:style>
  <w:style w:type="character" w:styleId="Strong">
    <w:name w:val="Strong"/>
    <w:basedOn w:val="DefaultParagraphFont"/>
    <w:uiPriority w:val="22"/>
    <w:qFormat/>
    <w:locked/>
    <w:rsid w:val="00E44C2C"/>
    <w:rPr>
      <w:b/>
      <w:bCs/>
    </w:rPr>
  </w:style>
  <w:style w:type="paragraph" w:customStyle="1" w:styleId="ParagrapheDoctorat">
    <w:name w:val="Paragraphe Doctorat"/>
    <w:basedOn w:val="Normal"/>
    <w:link w:val="ParagrapheDoctoratCharChar"/>
    <w:uiPriority w:val="99"/>
    <w:rsid w:val="000F7F3C"/>
    <w:pPr>
      <w:spacing w:after="0" w:line="360" w:lineRule="auto"/>
      <w:ind w:firstLine="284"/>
      <w:jc w:val="both"/>
    </w:pPr>
    <w:rPr>
      <w:rFonts w:ascii="Verdana" w:eastAsia="Batang" w:hAnsi="Verdana"/>
      <w:sz w:val="20"/>
      <w:szCs w:val="24"/>
      <w:lang w:eastAsia="fr-FR"/>
    </w:rPr>
  </w:style>
  <w:style w:type="character" w:customStyle="1" w:styleId="ParagrapheDoctoratCharChar">
    <w:name w:val="Paragraphe Doctorat Char Char"/>
    <w:basedOn w:val="DefaultParagraphFont"/>
    <w:link w:val="ParagrapheDoctorat"/>
    <w:uiPriority w:val="99"/>
    <w:locked/>
    <w:rsid w:val="000F7F3C"/>
    <w:rPr>
      <w:rFonts w:ascii="Verdana" w:eastAsia="Batang" w:hAnsi="Verdana"/>
      <w:sz w:val="20"/>
      <w:szCs w:val="24"/>
      <w:lang w:val="en-GB" w:eastAsia="fr-FR"/>
    </w:rPr>
  </w:style>
  <w:style w:type="paragraph" w:customStyle="1" w:styleId="LgendeDoctorat">
    <w:name w:val="Légende Doctorat"/>
    <w:basedOn w:val="Caption"/>
    <w:uiPriority w:val="99"/>
    <w:rsid w:val="000F7F3C"/>
    <w:pPr>
      <w:spacing w:before="120" w:after="120"/>
    </w:pPr>
    <w:rPr>
      <w:rFonts w:ascii="Verdana" w:eastAsia="Times New Roman" w:hAnsi="Verdana"/>
      <w:color w:val="auto"/>
      <w:sz w:val="16"/>
      <w:szCs w:val="16"/>
      <w:lang w:eastAsia="fr-FR"/>
    </w:rPr>
  </w:style>
  <w:style w:type="character" w:customStyle="1" w:styleId="st">
    <w:name w:val="st"/>
    <w:basedOn w:val="DefaultParagraphFont"/>
    <w:rsid w:val="009E6936"/>
  </w:style>
  <w:style w:type="character" w:styleId="Emphasis">
    <w:name w:val="Emphasis"/>
    <w:basedOn w:val="DefaultParagraphFont"/>
    <w:uiPriority w:val="20"/>
    <w:qFormat/>
    <w:locked/>
    <w:rsid w:val="009E6936"/>
    <w:rPr>
      <w:i/>
      <w:iCs/>
    </w:rPr>
  </w:style>
  <w:style w:type="paragraph" w:customStyle="1" w:styleId="Style1">
    <w:name w:val="Style1"/>
    <w:basedOn w:val="CommentText"/>
    <w:link w:val="Style1Char"/>
    <w:qFormat/>
    <w:rsid w:val="00745F1E"/>
  </w:style>
  <w:style w:type="character" w:customStyle="1" w:styleId="Style1Char">
    <w:name w:val="Style1 Char"/>
    <w:basedOn w:val="CommentTextChar"/>
    <w:link w:val="Style1"/>
    <w:rsid w:val="00745F1E"/>
    <w:rPr>
      <w:rFonts w:cs="Times New Roman"/>
      <w:sz w:val="20"/>
      <w:szCs w:val="20"/>
      <w:lang w:val="en-GB" w:eastAsia="en-US"/>
    </w:rPr>
  </w:style>
  <w:style w:type="table" w:styleId="PlainTable2">
    <w:name w:val="Plain Table 2"/>
    <w:basedOn w:val="TableNormal"/>
    <w:uiPriority w:val="42"/>
    <w:rsid w:val="007F446F"/>
    <w:rPr>
      <w:rFonts w:asciiTheme="minorHAnsi" w:eastAsiaTheme="minorHAnsi" w:hAnsiTheme="minorHAnsi" w:cstheme="minorBidi"/>
      <w:lang w:val="it-IT"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6085380">
      <w:marLeft w:val="0"/>
      <w:marRight w:val="0"/>
      <w:marTop w:val="0"/>
      <w:marBottom w:val="0"/>
      <w:divBdr>
        <w:top w:val="none" w:sz="0" w:space="0" w:color="auto"/>
        <w:left w:val="none" w:sz="0" w:space="0" w:color="auto"/>
        <w:bottom w:val="none" w:sz="0" w:space="0" w:color="auto"/>
        <w:right w:val="none" w:sz="0" w:space="0" w:color="auto"/>
      </w:divBdr>
    </w:div>
    <w:div w:id="626085382">
      <w:marLeft w:val="0"/>
      <w:marRight w:val="0"/>
      <w:marTop w:val="0"/>
      <w:marBottom w:val="0"/>
      <w:divBdr>
        <w:top w:val="none" w:sz="0" w:space="0" w:color="auto"/>
        <w:left w:val="none" w:sz="0" w:space="0" w:color="auto"/>
        <w:bottom w:val="none" w:sz="0" w:space="0" w:color="auto"/>
        <w:right w:val="none" w:sz="0" w:space="0" w:color="auto"/>
      </w:divBdr>
    </w:div>
    <w:div w:id="626085383">
      <w:marLeft w:val="0"/>
      <w:marRight w:val="0"/>
      <w:marTop w:val="0"/>
      <w:marBottom w:val="0"/>
      <w:divBdr>
        <w:top w:val="none" w:sz="0" w:space="0" w:color="auto"/>
        <w:left w:val="none" w:sz="0" w:space="0" w:color="auto"/>
        <w:bottom w:val="none" w:sz="0" w:space="0" w:color="auto"/>
        <w:right w:val="none" w:sz="0" w:space="0" w:color="auto"/>
      </w:divBdr>
      <w:divsChild>
        <w:div w:id="626085397">
          <w:marLeft w:val="1166"/>
          <w:marRight w:val="0"/>
          <w:marTop w:val="91"/>
          <w:marBottom w:val="0"/>
          <w:divBdr>
            <w:top w:val="none" w:sz="0" w:space="0" w:color="auto"/>
            <w:left w:val="none" w:sz="0" w:space="0" w:color="auto"/>
            <w:bottom w:val="none" w:sz="0" w:space="0" w:color="auto"/>
            <w:right w:val="none" w:sz="0" w:space="0" w:color="auto"/>
          </w:divBdr>
        </w:div>
        <w:div w:id="626085398">
          <w:marLeft w:val="1166"/>
          <w:marRight w:val="0"/>
          <w:marTop w:val="91"/>
          <w:marBottom w:val="0"/>
          <w:divBdr>
            <w:top w:val="none" w:sz="0" w:space="0" w:color="auto"/>
            <w:left w:val="none" w:sz="0" w:space="0" w:color="auto"/>
            <w:bottom w:val="none" w:sz="0" w:space="0" w:color="auto"/>
            <w:right w:val="none" w:sz="0" w:space="0" w:color="auto"/>
          </w:divBdr>
        </w:div>
      </w:divsChild>
    </w:div>
    <w:div w:id="626085384">
      <w:marLeft w:val="0"/>
      <w:marRight w:val="0"/>
      <w:marTop w:val="0"/>
      <w:marBottom w:val="0"/>
      <w:divBdr>
        <w:top w:val="none" w:sz="0" w:space="0" w:color="auto"/>
        <w:left w:val="none" w:sz="0" w:space="0" w:color="auto"/>
        <w:bottom w:val="none" w:sz="0" w:space="0" w:color="auto"/>
        <w:right w:val="none" w:sz="0" w:space="0" w:color="auto"/>
      </w:divBdr>
    </w:div>
    <w:div w:id="626085385">
      <w:marLeft w:val="0"/>
      <w:marRight w:val="0"/>
      <w:marTop w:val="0"/>
      <w:marBottom w:val="0"/>
      <w:divBdr>
        <w:top w:val="none" w:sz="0" w:space="0" w:color="auto"/>
        <w:left w:val="none" w:sz="0" w:space="0" w:color="auto"/>
        <w:bottom w:val="none" w:sz="0" w:space="0" w:color="auto"/>
        <w:right w:val="none" w:sz="0" w:space="0" w:color="auto"/>
      </w:divBdr>
    </w:div>
    <w:div w:id="626085386">
      <w:marLeft w:val="0"/>
      <w:marRight w:val="0"/>
      <w:marTop w:val="0"/>
      <w:marBottom w:val="0"/>
      <w:divBdr>
        <w:top w:val="none" w:sz="0" w:space="0" w:color="auto"/>
        <w:left w:val="none" w:sz="0" w:space="0" w:color="auto"/>
        <w:bottom w:val="none" w:sz="0" w:space="0" w:color="auto"/>
        <w:right w:val="none" w:sz="0" w:space="0" w:color="auto"/>
      </w:divBdr>
    </w:div>
    <w:div w:id="626085387">
      <w:marLeft w:val="0"/>
      <w:marRight w:val="0"/>
      <w:marTop w:val="0"/>
      <w:marBottom w:val="0"/>
      <w:divBdr>
        <w:top w:val="none" w:sz="0" w:space="0" w:color="auto"/>
        <w:left w:val="none" w:sz="0" w:space="0" w:color="auto"/>
        <w:bottom w:val="none" w:sz="0" w:space="0" w:color="auto"/>
        <w:right w:val="none" w:sz="0" w:space="0" w:color="auto"/>
      </w:divBdr>
    </w:div>
    <w:div w:id="626085390">
      <w:marLeft w:val="0"/>
      <w:marRight w:val="0"/>
      <w:marTop w:val="0"/>
      <w:marBottom w:val="0"/>
      <w:divBdr>
        <w:top w:val="none" w:sz="0" w:space="0" w:color="auto"/>
        <w:left w:val="none" w:sz="0" w:space="0" w:color="auto"/>
        <w:bottom w:val="none" w:sz="0" w:space="0" w:color="auto"/>
        <w:right w:val="none" w:sz="0" w:space="0" w:color="auto"/>
      </w:divBdr>
    </w:div>
    <w:div w:id="626085391">
      <w:marLeft w:val="0"/>
      <w:marRight w:val="0"/>
      <w:marTop w:val="0"/>
      <w:marBottom w:val="0"/>
      <w:divBdr>
        <w:top w:val="none" w:sz="0" w:space="0" w:color="auto"/>
        <w:left w:val="none" w:sz="0" w:space="0" w:color="auto"/>
        <w:bottom w:val="none" w:sz="0" w:space="0" w:color="auto"/>
        <w:right w:val="none" w:sz="0" w:space="0" w:color="auto"/>
      </w:divBdr>
    </w:div>
    <w:div w:id="626085393">
      <w:marLeft w:val="0"/>
      <w:marRight w:val="0"/>
      <w:marTop w:val="0"/>
      <w:marBottom w:val="0"/>
      <w:divBdr>
        <w:top w:val="none" w:sz="0" w:space="0" w:color="auto"/>
        <w:left w:val="none" w:sz="0" w:space="0" w:color="auto"/>
        <w:bottom w:val="none" w:sz="0" w:space="0" w:color="auto"/>
        <w:right w:val="none" w:sz="0" w:space="0" w:color="auto"/>
      </w:divBdr>
    </w:div>
    <w:div w:id="626085395">
      <w:marLeft w:val="0"/>
      <w:marRight w:val="0"/>
      <w:marTop w:val="0"/>
      <w:marBottom w:val="0"/>
      <w:divBdr>
        <w:top w:val="none" w:sz="0" w:space="0" w:color="auto"/>
        <w:left w:val="none" w:sz="0" w:space="0" w:color="auto"/>
        <w:bottom w:val="none" w:sz="0" w:space="0" w:color="auto"/>
        <w:right w:val="none" w:sz="0" w:space="0" w:color="auto"/>
      </w:divBdr>
    </w:div>
    <w:div w:id="626085396">
      <w:marLeft w:val="0"/>
      <w:marRight w:val="0"/>
      <w:marTop w:val="0"/>
      <w:marBottom w:val="0"/>
      <w:divBdr>
        <w:top w:val="none" w:sz="0" w:space="0" w:color="auto"/>
        <w:left w:val="none" w:sz="0" w:space="0" w:color="auto"/>
        <w:bottom w:val="none" w:sz="0" w:space="0" w:color="auto"/>
        <w:right w:val="none" w:sz="0" w:space="0" w:color="auto"/>
      </w:divBdr>
      <w:divsChild>
        <w:div w:id="626085379">
          <w:marLeft w:val="806"/>
          <w:marRight w:val="0"/>
          <w:marTop w:val="106"/>
          <w:marBottom w:val="0"/>
          <w:divBdr>
            <w:top w:val="none" w:sz="0" w:space="0" w:color="auto"/>
            <w:left w:val="none" w:sz="0" w:space="0" w:color="auto"/>
            <w:bottom w:val="none" w:sz="0" w:space="0" w:color="auto"/>
            <w:right w:val="none" w:sz="0" w:space="0" w:color="auto"/>
          </w:divBdr>
        </w:div>
        <w:div w:id="626085381">
          <w:marLeft w:val="1800"/>
          <w:marRight w:val="0"/>
          <w:marTop w:val="86"/>
          <w:marBottom w:val="0"/>
          <w:divBdr>
            <w:top w:val="none" w:sz="0" w:space="0" w:color="auto"/>
            <w:left w:val="none" w:sz="0" w:space="0" w:color="auto"/>
            <w:bottom w:val="none" w:sz="0" w:space="0" w:color="auto"/>
            <w:right w:val="none" w:sz="0" w:space="0" w:color="auto"/>
          </w:divBdr>
        </w:div>
        <w:div w:id="626085388">
          <w:marLeft w:val="1800"/>
          <w:marRight w:val="0"/>
          <w:marTop w:val="86"/>
          <w:marBottom w:val="0"/>
          <w:divBdr>
            <w:top w:val="none" w:sz="0" w:space="0" w:color="auto"/>
            <w:left w:val="none" w:sz="0" w:space="0" w:color="auto"/>
            <w:bottom w:val="none" w:sz="0" w:space="0" w:color="auto"/>
            <w:right w:val="none" w:sz="0" w:space="0" w:color="auto"/>
          </w:divBdr>
        </w:div>
        <w:div w:id="626085389">
          <w:marLeft w:val="1800"/>
          <w:marRight w:val="0"/>
          <w:marTop w:val="86"/>
          <w:marBottom w:val="0"/>
          <w:divBdr>
            <w:top w:val="none" w:sz="0" w:space="0" w:color="auto"/>
            <w:left w:val="none" w:sz="0" w:space="0" w:color="auto"/>
            <w:bottom w:val="none" w:sz="0" w:space="0" w:color="auto"/>
            <w:right w:val="none" w:sz="0" w:space="0" w:color="auto"/>
          </w:divBdr>
        </w:div>
        <w:div w:id="626085392">
          <w:marLeft w:val="1800"/>
          <w:marRight w:val="0"/>
          <w:marTop w:val="86"/>
          <w:marBottom w:val="0"/>
          <w:divBdr>
            <w:top w:val="none" w:sz="0" w:space="0" w:color="auto"/>
            <w:left w:val="none" w:sz="0" w:space="0" w:color="auto"/>
            <w:bottom w:val="none" w:sz="0" w:space="0" w:color="auto"/>
            <w:right w:val="none" w:sz="0" w:space="0" w:color="auto"/>
          </w:divBdr>
        </w:div>
        <w:div w:id="626085394">
          <w:marLeft w:val="1800"/>
          <w:marRight w:val="0"/>
          <w:marTop w:val="86"/>
          <w:marBottom w:val="0"/>
          <w:divBdr>
            <w:top w:val="none" w:sz="0" w:space="0" w:color="auto"/>
            <w:left w:val="none" w:sz="0" w:space="0" w:color="auto"/>
            <w:bottom w:val="none" w:sz="0" w:space="0" w:color="auto"/>
            <w:right w:val="none" w:sz="0" w:space="0" w:color="auto"/>
          </w:divBdr>
        </w:div>
      </w:divsChild>
    </w:div>
    <w:div w:id="626085399">
      <w:marLeft w:val="0"/>
      <w:marRight w:val="0"/>
      <w:marTop w:val="0"/>
      <w:marBottom w:val="0"/>
      <w:divBdr>
        <w:top w:val="none" w:sz="0" w:space="0" w:color="auto"/>
        <w:left w:val="none" w:sz="0" w:space="0" w:color="auto"/>
        <w:bottom w:val="none" w:sz="0" w:space="0" w:color="auto"/>
        <w:right w:val="none" w:sz="0" w:space="0" w:color="auto"/>
      </w:divBdr>
    </w:div>
    <w:div w:id="626085400">
      <w:marLeft w:val="0"/>
      <w:marRight w:val="0"/>
      <w:marTop w:val="0"/>
      <w:marBottom w:val="0"/>
      <w:divBdr>
        <w:top w:val="none" w:sz="0" w:space="0" w:color="auto"/>
        <w:left w:val="none" w:sz="0" w:space="0" w:color="auto"/>
        <w:bottom w:val="none" w:sz="0" w:space="0" w:color="auto"/>
        <w:right w:val="none" w:sz="0" w:space="0" w:color="auto"/>
      </w:divBdr>
    </w:div>
    <w:div w:id="956371244">
      <w:bodyDiv w:val="1"/>
      <w:marLeft w:val="0"/>
      <w:marRight w:val="0"/>
      <w:marTop w:val="0"/>
      <w:marBottom w:val="0"/>
      <w:divBdr>
        <w:top w:val="none" w:sz="0" w:space="0" w:color="auto"/>
        <w:left w:val="none" w:sz="0" w:space="0" w:color="auto"/>
        <w:bottom w:val="none" w:sz="0" w:space="0" w:color="auto"/>
        <w:right w:val="none" w:sz="0" w:space="0" w:color="auto"/>
      </w:divBdr>
    </w:div>
    <w:div w:id="1047221181">
      <w:bodyDiv w:val="1"/>
      <w:marLeft w:val="0"/>
      <w:marRight w:val="0"/>
      <w:marTop w:val="0"/>
      <w:marBottom w:val="0"/>
      <w:divBdr>
        <w:top w:val="none" w:sz="0" w:space="0" w:color="auto"/>
        <w:left w:val="none" w:sz="0" w:space="0" w:color="auto"/>
        <w:bottom w:val="none" w:sz="0" w:space="0" w:color="auto"/>
        <w:right w:val="none" w:sz="0" w:space="0" w:color="auto"/>
      </w:divBdr>
    </w:div>
    <w:div w:id="1155023907">
      <w:bodyDiv w:val="1"/>
      <w:marLeft w:val="0"/>
      <w:marRight w:val="0"/>
      <w:marTop w:val="0"/>
      <w:marBottom w:val="0"/>
      <w:divBdr>
        <w:top w:val="none" w:sz="0" w:space="0" w:color="auto"/>
        <w:left w:val="none" w:sz="0" w:space="0" w:color="auto"/>
        <w:bottom w:val="none" w:sz="0" w:space="0" w:color="auto"/>
        <w:right w:val="none" w:sz="0" w:space="0" w:color="auto"/>
      </w:divBdr>
    </w:div>
    <w:div w:id="1169518807">
      <w:bodyDiv w:val="1"/>
      <w:marLeft w:val="0"/>
      <w:marRight w:val="0"/>
      <w:marTop w:val="0"/>
      <w:marBottom w:val="0"/>
      <w:divBdr>
        <w:top w:val="none" w:sz="0" w:space="0" w:color="auto"/>
        <w:left w:val="none" w:sz="0" w:space="0" w:color="auto"/>
        <w:bottom w:val="none" w:sz="0" w:space="0" w:color="auto"/>
        <w:right w:val="none" w:sz="0" w:space="0" w:color="auto"/>
      </w:divBdr>
    </w:div>
    <w:div w:id="1203248259">
      <w:bodyDiv w:val="1"/>
      <w:marLeft w:val="0"/>
      <w:marRight w:val="0"/>
      <w:marTop w:val="0"/>
      <w:marBottom w:val="0"/>
      <w:divBdr>
        <w:top w:val="none" w:sz="0" w:space="0" w:color="auto"/>
        <w:left w:val="none" w:sz="0" w:space="0" w:color="auto"/>
        <w:bottom w:val="none" w:sz="0" w:space="0" w:color="auto"/>
        <w:right w:val="none" w:sz="0" w:space="0" w:color="auto"/>
      </w:divBdr>
    </w:div>
    <w:div w:id="1522236144">
      <w:bodyDiv w:val="1"/>
      <w:marLeft w:val="0"/>
      <w:marRight w:val="0"/>
      <w:marTop w:val="0"/>
      <w:marBottom w:val="0"/>
      <w:divBdr>
        <w:top w:val="none" w:sz="0" w:space="0" w:color="auto"/>
        <w:left w:val="none" w:sz="0" w:space="0" w:color="auto"/>
        <w:bottom w:val="none" w:sz="0" w:space="0" w:color="auto"/>
        <w:right w:val="none" w:sz="0" w:space="0" w:color="auto"/>
      </w:divBdr>
      <w:divsChild>
        <w:div w:id="2078630664">
          <w:marLeft w:val="0"/>
          <w:marRight w:val="0"/>
          <w:marTop w:val="0"/>
          <w:marBottom w:val="0"/>
          <w:divBdr>
            <w:top w:val="none" w:sz="0" w:space="0" w:color="auto"/>
            <w:left w:val="none" w:sz="0" w:space="0" w:color="auto"/>
            <w:bottom w:val="none" w:sz="0" w:space="0" w:color="auto"/>
            <w:right w:val="none" w:sz="0" w:space="0" w:color="auto"/>
          </w:divBdr>
        </w:div>
      </w:divsChild>
    </w:div>
    <w:div w:id="1724987425">
      <w:bodyDiv w:val="1"/>
      <w:marLeft w:val="0"/>
      <w:marRight w:val="0"/>
      <w:marTop w:val="0"/>
      <w:marBottom w:val="0"/>
      <w:divBdr>
        <w:top w:val="none" w:sz="0" w:space="0" w:color="auto"/>
        <w:left w:val="none" w:sz="0" w:space="0" w:color="auto"/>
        <w:bottom w:val="none" w:sz="0" w:space="0" w:color="auto"/>
        <w:right w:val="none" w:sz="0" w:space="0" w:color="auto"/>
      </w:divBdr>
    </w:div>
    <w:div w:id="1833598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zzola@hu-berlin.d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7B53F2-EB86-441D-956D-EDA994800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38</Pages>
  <Words>16828</Words>
  <Characters>95926</Characters>
  <Application>Microsoft Office Word</Application>
  <DocSecurity>0</DocSecurity>
  <Lines>799</Lines>
  <Paragraphs>225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Language policy and linguistic justice in the European Union: The socio-economic effects of multilingualism</vt:lpstr>
    </vt:vector>
  </TitlesOfParts>
  <Company>Microsoft</Company>
  <LinksUpToDate>false</LinksUpToDate>
  <CharactersWithSpaces>112529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Anastasia Ershova</dc:creator>
  <cp:lastModifiedBy>Gazzola, Michele</cp:lastModifiedBy>
  <cp:revision>3</cp:revision>
  <cp:lastPrinted>2016-05-11T15:01:00Z</cp:lastPrinted>
  <dcterms:created xsi:type="dcterms:W3CDTF">2019-02-26T11:04:00Z</dcterms:created>
  <dcterms:modified xsi:type="dcterms:W3CDTF">2019-02-26T11:10:00Z</dcterms:modified>
</cp:coreProperties>
</file>