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295AB" w14:textId="77777777" w:rsidR="007F20BC" w:rsidRDefault="007F20BC" w:rsidP="00F2048E">
      <w:pPr>
        <w:rPr>
          <w:lang w:val="en-US"/>
        </w:rPr>
      </w:pPr>
      <w:bookmarkStart w:id="0" w:name="_GoBack"/>
      <w:bookmarkEnd w:id="0"/>
      <w:r w:rsidRPr="007F20BC">
        <w:rPr>
          <w:rFonts w:asciiTheme="majorHAnsi" w:eastAsiaTheme="majorEastAsia" w:hAnsiTheme="majorHAnsi" w:cstheme="majorBidi"/>
          <w:b/>
          <w:bCs/>
          <w:color w:val="365F91" w:themeColor="accent1" w:themeShade="BF"/>
          <w:sz w:val="24"/>
          <w:szCs w:val="28"/>
          <w:lang w:val="en-US"/>
        </w:rPr>
        <w:t>Abstract</w:t>
      </w:r>
    </w:p>
    <w:p w14:paraId="1B8484EF" w14:textId="06D43C5F" w:rsidR="007F20BC" w:rsidRDefault="00C9384C" w:rsidP="00A86E67">
      <w:pPr>
        <w:jc w:val="both"/>
        <w:rPr>
          <w:lang w:val="en-US"/>
        </w:rPr>
      </w:pPr>
      <w:r>
        <w:rPr>
          <w:lang w:val="en-US"/>
        </w:rPr>
        <w:t>Despite frequent occurrence of wildfires aroun</w:t>
      </w:r>
      <w:r w:rsidR="007B3596">
        <w:rPr>
          <w:lang w:val="en-US"/>
        </w:rPr>
        <w:t>d the world</w:t>
      </w:r>
      <w:r w:rsidR="00655AFF">
        <w:rPr>
          <w:lang w:val="en-US"/>
        </w:rPr>
        <w:t>,</w:t>
      </w:r>
      <w:r>
        <w:rPr>
          <w:lang w:val="en-US"/>
        </w:rPr>
        <w:t xml:space="preserve"> </w:t>
      </w:r>
      <w:r w:rsidR="006D0D56">
        <w:rPr>
          <w:lang w:val="en-US"/>
        </w:rPr>
        <w:t xml:space="preserve">the </w:t>
      </w:r>
      <w:r w:rsidR="00A86E67">
        <w:rPr>
          <w:lang w:val="en-US"/>
        </w:rPr>
        <w:t>role</w:t>
      </w:r>
      <w:r w:rsidR="006D0D56">
        <w:rPr>
          <w:lang w:val="en-US"/>
        </w:rPr>
        <w:t xml:space="preserve"> of wildfire</w:t>
      </w:r>
      <w:r w:rsidR="00A86E67">
        <w:rPr>
          <w:lang w:val="en-US"/>
        </w:rPr>
        <w:t xml:space="preserve">s has rarely been </w:t>
      </w:r>
      <w:r w:rsidR="006D0D56">
        <w:rPr>
          <w:lang w:val="en-US"/>
        </w:rPr>
        <w:t xml:space="preserve">taken into account in risk assessment of </w:t>
      </w:r>
      <w:r w:rsidR="00ED2ECC">
        <w:rPr>
          <w:lang w:val="en-US"/>
        </w:rPr>
        <w:t>process plants</w:t>
      </w:r>
      <w:r w:rsidR="00655AFF">
        <w:rPr>
          <w:lang w:val="en-US"/>
        </w:rPr>
        <w:t xml:space="preserve"> in wildlands, especially that </w:t>
      </w:r>
      <w:r w:rsidR="00A86E67">
        <w:rPr>
          <w:lang w:val="en-US"/>
        </w:rPr>
        <w:t xml:space="preserve">large inventory of flammable </w:t>
      </w:r>
      <w:r w:rsidR="00655AFF">
        <w:rPr>
          <w:lang w:val="en-US"/>
        </w:rPr>
        <w:t>petroleum</w:t>
      </w:r>
      <w:r w:rsidR="00A86E67">
        <w:rPr>
          <w:lang w:val="en-US"/>
        </w:rPr>
        <w:t xml:space="preserve"> </w:t>
      </w:r>
      <w:r w:rsidR="00655AFF">
        <w:rPr>
          <w:lang w:val="en-US"/>
        </w:rPr>
        <w:t>products</w:t>
      </w:r>
      <w:r w:rsidR="00A86E67">
        <w:rPr>
          <w:lang w:val="en-US"/>
        </w:rPr>
        <w:t xml:space="preserve"> in contact with the heat of wildfire can lead to </w:t>
      </w:r>
      <w:r w:rsidR="00655AFF">
        <w:rPr>
          <w:lang w:val="en-US"/>
        </w:rPr>
        <w:t>severe domino effects</w:t>
      </w:r>
      <w:r w:rsidR="00A86E67">
        <w:rPr>
          <w:lang w:val="en-US"/>
        </w:rPr>
        <w:t xml:space="preserve">. </w:t>
      </w:r>
      <w:r w:rsidR="00655AFF">
        <w:rPr>
          <w:lang w:val="en-US"/>
        </w:rPr>
        <w:t>W</w:t>
      </w:r>
      <w:r w:rsidR="00A86E67">
        <w:rPr>
          <w:lang w:val="en-US"/>
        </w:rPr>
        <w:t xml:space="preserve">e have </w:t>
      </w:r>
      <w:r w:rsidR="00655AFF">
        <w:rPr>
          <w:lang w:val="en-US"/>
        </w:rPr>
        <w:t xml:space="preserve">developed a dynamic risk assessment framework by integrating available </w:t>
      </w:r>
      <w:r w:rsidR="00ED2ECC">
        <w:rPr>
          <w:lang w:val="en-US"/>
        </w:rPr>
        <w:t>models</w:t>
      </w:r>
      <w:r w:rsidR="00655AFF">
        <w:rPr>
          <w:lang w:val="en-US"/>
        </w:rPr>
        <w:t xml:space="preserve"> of fire spread and domino effect analysis with online maps of wildfire characteristics such as ignition probability and heat intensity</w:t>
      </w:r>
      <w:r w:rsidR="00ED2ECC">
        <w:rPr>
          <w:lang w:val="en-US"/>
        </w:rPr>
        <w:t xml:space="preserve"> </w:t>
      </w:r>
      <w:r w:rsidR="00ED2ECC" w:rsidRPr="00ED2ECC">
        <w:rPr>
          <w:highlight w:val="yellow"/>
          <w:lang w:val="en-US"/>
        </w:rPr>
        <w:t>to investigate the impact of wildfires on oil facilities</w:t>
      </w:r>
      <w:r w:rsidR="00655AFF">
        <w:rPr>
          <w:lang w:val="en-US"/>
        </w:rPr>
        <w:t>. The framework</w:t>
      </w:r>
      <w:r w:rsidR="006879F1">
        <w:rPr>
          <w:lang w:val="en-US"/>
        </w:rPr>
        <w:t xml:space="preserve"> is modular, so one can readily enhance its accuracy by replacing the current techniques with more sophisticated ones. </w:t>
      </w:r>
      <w:r w:rsidR="005336F5">
        <w:rPr>
          <w:lang w:val="en-US"/>
        </w:rPr>
        <w:t>The application of the methodology is dem</w:t>
      </w:r>
      <w:r w:rsidR="00F053CA">
        <w:rPr>
          <w:lang w:val="en-US"/>
        </w:rPr>
        <w:t xml:space="preserve">onstrated on an oil terminal. </w:t>
      </w:r>
      <w:r w:rsidR="006879F1">
        <w:rPr>
          <w:lang w:val="en-US"/>
        </w:rPr>
        <w:t xml:space="preserve"> </w:t>
      </w:r>
      <w:r w:rsidR="00655AFF">
        <w:rPr>
          <w:lang w:val="en-US"/>
        </w:rPr>
        <w:t xml:space="preserve">  </w:t>
      </w:r>
    </w:p>
    <w:p w14:paraId="45EC8710" w14:textId="6A6EA539" w:rsidR="0034195E" w:rsidRDefault="00BD5406" w:rsidP="00A86E67">
      <w:pPr>
        <w:jc w:val="both"/>
        <w:rPr>
          <w:lang w:val="en-US"/>
        </w:rPr>
      </w:pPr>
      <w:r w:rsidRPr="00BD5406">
        <w:rPr>
          <w:rFonts w:asciiTheme="majorHAnsi" w:eastAsiaTheme="majorEastAsia" w:hAnsiTheme="majorHAnsi" w:cstheme="majorBidi"/>
          <w:b/>
          <w:bCs/>
          <w:color w:val="365F91" w:themeColor="accent1" w:themeShade="BF"/>
          <w:lang w:val="en-US"/>
        </w:rPr>
        <w:t>Keywords:</w:t>
      </w:r>
      <w:r w:rsidRPr="00BD5406">
        <w:rPr>
          <w:lang w:val="en-US"/>
        </w:rPr>
        <w:t xml:space="preserve"> </w:t>
      </w:r>
      <w:r>
        <w:rPr>
          <w:lang w:val="en-US"/>
        </w:rPr>
        <w:t>Wildfire; Nat</w:t>
      </w:r>
      <w:r w:rsidR="00104D2C">
        <w:rPr>
          <w:lang w:val="en-US"/>
        </w:rPr>
        <w:t>ech</w:t>
      </w:r>
      <w:r w:rsidR="00B2709C">
        <w:rPr>
          <w:lang w:val="en-US"/>
        </w:rPr>
        <w:t xml:space="preserve"> </w:t>
      </w:r>
      <w:r>
        <w:rPr>
          <w:lang w:val="en-US"/>
        </w:rPr>
        <w:t>risk assessment;</w:t>
      </w:r>
      <w:r w:rsidR="00AB6352">
        <w:rPr>
          <w:lang w:val="en-US"/>
        </w:rPr>
        <w:t xml:space="preserve"> Domino effect; </w:t>
      </w:r>
      <w:r w:rsidR="008A6BC0">
        <w:rPr>
          <w:lang w:val="en-US"/>
        </w:rPr>
        <w:t>Oil terminal</w:t>
      </w:r>
      <w:r w:rsidR="00AB6352">
        <w:rPr>
          <w:lang w:val="en-US"/>
        </w:rPr>
        <w:t xml:space="preserve">; </w:t>
      </w:r>
      <w:r w:rsidR="0034195E">
        <w:rPr>
          <w:lang w:val="en-US"/>
        </w:rPr>
        <w:t xml:space="preserve">Dynamic </w:t>
      </w:r>
      <w:r w:rsidR="00B2709C">
        <w:rPr>
          <w:lang w:val="en-US"/>
        </w:rPr>
        <w:t xml:space="preserve">Bayesian </w:t>
      </w:r>
      <w:r w:rsidR="005E1778">
        <w:rPr>
          <w:lang w:val="en-US"/>
        </w:rPr>
        <w:t>network; C</w:t>
      </w:r>
      <w:r w:rsidR="00B82053">
        <w:rPr>
          <w:lang w:val="en-US"/>
        </w:rPr>
        <w:t>ost-benefit analysis.</w:t>
      </w:r>
    </w:p>
    <w:p w14:paraId="1E063A2B" w14:textId="77777777" w:rsidR="0034195E" w:rsidRDefault="0034195E" w:rsidP="0034195E">
      <w:pPr>
        <w:rPr>
          <w:lang w:val="en-US"/>
        </w:rPr>
      </w:pPr>
      <w:r>
        <w:rPr>
          <w:lang w:val="en-US"/>
        </w:rPr>
        <w:br w:type="page"/>
      </w:r>
    </w:p>
    <w:p w14:paraId="6FF256CA" w14:textId="77777777" w:rsidR="00F2048E" w:rsidRDefault="00F2048E" w:rsidP="00C629ED">
      <w:pPr>
        <w:pStyle w:val="Heading1"/>
        <w:rPr>
          <w:lang w:val="en-US"/>
        </w:rPr>
      </w:pPr>
      <w:r>
        <w:rPr>
          <w:lang w:val="en-US"/>
        </w:rPr>
        <w:lastRenderedPageBreak/>
        <w:t>Introduction</w:t>
      </w:r>
    </w:p>
    <w:p w14:paraId="3EF8750D" w14:textId="62A96F89" w:rsidR="00B24DF9" w:rsidRPr="009732C8" w:rsidRDefault="00F84969" w:rsidP="00BA79FB">
      <w:pPr>
        <w:jc w:val="both"/>
        <w:rPr>
          <w:lang w:val="en-US"/>
        </w:rPr>
      </w:pPr>
      <w:r>
        <w:rPr>
          <w:lang w:val="en-US"/>
        </w:rPr>
        <w:t>Natech</w:t>
      </w:r>
      <w:r w:rsidR="00165FEC">
        <w:rPr>
          <w:lang w:val="en-US"/>
        </w:rPr>
        <w:t>s</w:t>
      </w:r>
      <w:r>
        <w:rPr>
          <w:lang w:val="en-US"/>
        </w:rPr>
        <w:t xml:space="preserve"> </w:t>
      </w:r>
      <w:r w:rsidR="00165FEC">
        <w:rPr>
          <w:lang w:val="en-US"/>
        </w:rPr>
        <w:t>are</w:t>
      </w:r>
      <w:r>
        <w:rPr>
          <w:lang w:val="en-US"/>
        </w:rPr>
        <w:t xml:space="preserve"> referred to technological accident</w:t>
      </w:r>
      <w:r w:rsidR="00165FEC">
        <w:rPr>
          <w:lang w:val="en-US"/>
        </w:rPr>
        <w:t>s</w:t>
      </w:r>
      <w:r>
        <w:rPr>
          <w:lang w:val="en-US"/>
        </w:rPr>
        <w:t xml:space="preserve"> such as release of hazardous materials, fires or explosions</w:t>
      </w:r>
      <w:r w:rsidR="00E64326">
        <w:rPr>
          <w:lang w:val="en-US"/>
        </w:rPr>
        <w:t xml:space="preserve"> in industrial plants</w:t>
      </w:r>
      <w:r>
        <w:rPr>
          <w:lang w:val="en-US"/>
        </w:rPr>
        <w:t xml:space="preserve"> which are triggered by natural disasters like earthq</w:t>
      </w:r>
      <w:r w:rsidR="00902089">
        <w:rPr>
          <w:lang w:val="en-US"/>
        </w:rPr>
        <w:t xml:space="preserve">uakes, floods, </w:t>
      </w:r>
      <w:r w:rsidR="00165FEC">
        <w:rPr>
          <w:lang w:val="en-US"/>
        </w:rPr>
        <w:t xml:space="preserve">and </w:t>
      </w:r>
      <w:r w:rsidR="00902089">
        <w:rPr>
          <w:lang w:val="en-US"/>
        </w:rPr>
        <w:t xml:space="preserve">hurricanes. </w:t>
      </w:r>
      <w:r>
        <w:rPr>
          <w:lang w:val="en-US"/>
        </w:rPr>
        <w:t>Compared to normal techno</w:t>
      </w:r>
      <w:r w:rsidR="00BC0FD0">
        <w:rPr>
          <w:lang w:val="en-US"/>
        </w:rPr>
        <w:t>lo</w:t>
      </w:r>
      <w:r>
        <w:rPr>
          <w:lang w:val="en-US"/>
        </w:rPr>
        <w:t xml:space="preserve">gical accidents, which </w:t>
      </w:r>
      <w:r w:rsidR="00D52E98">
        <w:rPr>
          <w:lang w:val="en-US"/>
        </w:rPr>
        <w:t>are a ma</w:t>
      </w:r>
      <w:r w:rsidR="00740B24">
        <w:rPr>
          <w:lang w:val="en-US"/>
        </w:rPr>
        <w:t xml:space="preserve">tter of random failures or human error, natechs usually give rise to more catastrophic consequences </w:t>
      </w:r>
      <w:r w:rsidR="00231191">
        <w:rPr>
          <w:lang w:val="en-US"/>
        </w:rPr>
        <w:t>since</w:t>
      </w:r>
      <w:r w:rsidR="00740B24">
        <w:rPr>
          <w:lang w:val="en-US"/>
        </w:rPr>
        <w:t xml:space="preserve"> the likelihood of simultaneous damage </w:t>
      </w:r>
      <w:r w:rsidR="004F525E">
        <w:rPr>
          <w:lang w:val="en-US"/>
        </w:rPr>
        <w:t>to</w:t>
      </w:r>
      <w:r w:rsidR="00740B24">
        <w:rPr>
          <w:lang w:val="en-US"/>
        </w:rPr>
        <w:t xml:space="preserve"> hazardous units (e.g., large storage tanks) and </w:t>
      </w:r>
      <w:r w:rsidR="006F30C6">
        <w:rPr>
          <w:lang w:val="en-US"/>
        </w:rPr>
        <w:t>domino</w:t>
      </w:r>
      <w:r w:rsidR="00740B24">
        <w:rPr>
          <w:lang w:val="en-US"/>
        </w:rPr>
        <w:t xml:space="preserve"> effects </w:t>
      </w:r>
      <w:r w:rsidR="00BA79FB">
        <w:rPr>
          <w:lang w:val="en-US"/>
        </w:rPr>
        <w:t xml:space="preserve">(chain of accidents) </w:t>
      </w:r>
      <w:r w:rsidR="00740B24">
        <w:rPr>
          <w:lang w:val="en-US"/>
        </w:rPr>
        <w:t xml:space="preserve">is much higher. </w:t>
      </w:r>
      <w:r w:rsidR="006F30C6">
        <w:rPr>
          <w:lang w:val="en-US"/>
        </w:rPr>
        <w:t>S</w:t>
      </w:r>
      <w:r w:rsidR="00740B24">
        <w:rPr>
          <w:lang w:val="en-US"/>
        </w:rPr>
        <w:t xml:space="preserve">ubstantial release of petroleum products </w:t>
      </w:r>
      <w:r w:rsidR="006F30C6">
        <w:rPr>
          <w:lang w:val="en-US"/>
        </w:rPr>
        <w:t>due to Hurricane Katrina in 2005 in the United Sta</w:t>
      </w:r>
      <w:r w:rsidR="00D52E98">
        <w:rPr>
          <w:lang w:val="en-US"/>
        </w:rPr>
        <w:t>t</w:t>
      </w:r>
      <w:r w:rsidR="006F30C6">
        <w:rPr>
          <w:lang w:val="en-US"/>
        </w:rPr>
        <w:t xml:space="preserve">es (the second largest oil spill disaster </w:t>
      </w:r>
      <w:r w:rsidR="006F30C6" w:rsidRPr="009732C8">
        <w:rPr>
          <w:lang w:val="en-US"/>
        </w:rPr>
        <w:t xml:space="preserve">after the BP spill in the Gulf of Mexico in 2010) and fires in a refinery in Turkey due to the Kocaeli earthquake in 1999 are some examples among the others. Aside from direct damage </w:t>
      </w:r>
      <w:r w:rsidR="004F525E" w:rsidRPr="009732C8">
        <w:rPr>
          <w:lang w:val="en-US"/>
        </w:rPr>
        <w:t xml:space="preserve">to industrial plants </w:t>
      </w:r>
      <w:r w:rsidR="006F30C6" w:rsidRPr="009732C8">
        <w:rPr>
          <w:lang w:val="en-US"/>
        </w:rPr>
        <w:t xml:space="preserve">caused by natechs, simultaneous damage to other infrastructures such as communication </w:t>
      </w:r>
      <w:r w:rsidR="00BA79FB" w:rsidRPr="009732C8">
        <w:rPr>
          <w:lang w:val="en-US"/>
        </w:rPr>
        <w:t xml:space="preserve">and power grids, pipelines, and transportation network hampers emergency response procedures, </w:t>
      </w:r>
      <w:r w:rsidR="00231191">
        <w:rPr>
          <w:lang w:val="en-US"/>
        </w:rPr>
        <w:t xml:space="preserve">and </w:t>
      </w:r>
      <w:r w:rsidR="00BA79FB" w:rsidRPr="009732C8">
        <w:rPr>
          <w:lang w:val="en-US"/>
        </w:rPr>
        <w:t>thus aggrava</w:t>
      </w:r>
      <w:r w:rsidR="00D52E98">
        <w:rPr>
          <w:lang w:val="en-US"/>
        </w:rPr>
        <w:t>t</w:t>
      </w:r>
      <w:r w:rsidR="00231191">
        <w:rPr>
          <w:lang w:val="en-US"/>
        </w:rPr>
        <w:t>e</w:t>
      </w:r>
      <w:r w:rsidR="00BA79FB" w:rsidRPr="009732C8">
        <w:rPr>
          <w:lang w:val="en-US"/>
        </w:rPr>
        <w:t xml:space="preserve"> the extent and severity of consequences</w:t>
      </w:r>
      <w:r w:rsidR="00902089" w:rsidRPr="009732C8">
        <w:rPr>
          <w:lang w:val="en-US"/>
        </w:rPr>
        <w:t xml:space="preserve"> (Campedel, 2008, Krausmann and Mushtaq, 20</w:t>
      </w:r>
      <w:r w:rsidR="005E0D49" w:rsidRPr="009732C8">
        <w:rPr>
          <w:lang w:val="en-US"/>
        </w:rPr>
        <w:t>08</w:t>
      </w:r>
      <w:r w:rsidR="00902089" w:rsidRPr="009732C8">
        <w:rPr>
          <w:lang w:val="en-US"/>
        </w:rPr>
        <w:t>)</w:t>
      </w:r>
      <w:r w:rsidR="00BA79FB" w:rsidRPr="009732C8">
        <w:rPr>
          <w:lang w:val="en-US"/>
        </w:rPr>
        <w:t>.</w:t>
      </w:r>
    </w:p>
    <w:p w14:paraId="66041690" w14:textId="77777777" w:rsidR="007401E3" w:rsidRDefault="007937BB" w:rsidP="00BA79FB">
      <w:pPr>
        <w:jc w:val="both"/>
        <w:rPr>
          <w:lang w:val="en-US"/>
        </w:rPr>
      </w:pPr>
      <w:r w:rsidRPr="009732C8">
        <w:rPr>
          <w:lang w:val="en-US"/>
        </w:rPr>
        <w:t xml:space="preserve">Due to </w:t>
      </w:r>
      <w:r w:rsidR="004F525E" w:rsidRPr="009732C8">
        <w:rPr>
          <w:lang w:val="en-US"/>
        </w:rPr>
        <w:t>an</w:t>
      </w:r>
      <w:r w:rsidRPr="009732C8">
        <w:rPr>
          <w:lang w:val="en-US"/>
        </w:rPr>
        <w:t xml:space="preserve"> ever-increasing growth of industrial facilities and </w:t>
      </w:r>
      <w:r w:rsidR="00231191">
        <w:rPr>
          <w:lang w:val="en-US"/>
        </w:rPr>
        <w:t xml:space="preserve">thus </w:t>
      </w:r>
      <w:r w:rsidRPr="009732C8">
        <w:rPr>
          <w:lang w:val="en-US"/>
        </w:rPr>
        <w:t xml:space="preserve">the prolonging interface with nature </w:t>
      </w:r>
      <w:r w:rsidR="00CC4C42">
        <w:rPr>
          <w:lang w:val="en-US"/>
        </w:rPr>
        <w:t>on</w:t>
      </w:r>
      <w:r w:rsidRPr="009732C8">
        <w:rPr>
          <w:lang w:val="en-US"/>
        </w:rPr>
        <w:t xml:space="preserve"> one hand, and anticipated increase in the frequency and severity of </w:t>
      </w:r>
      <w:r w:rsidR="007048EC" w:rsidRPr="009732C8">
        <w:rPr>
          <w:lang w:val="en-US"/>
        </w:rPr>
        <w:t>climatic</w:t>
      </w:r>
      <w:r w:rsidRPr="009732C8">
        <w:rPr>
          <w:lang w:val="en-US"/>
        </w:rPr>
        <w:t xml:space="preserve"> disasters</w:t>
      </w:r>
      <w:r w:rsidR="007048EC" w:rsidRPr="009732C8">
        <w:rPr>
          <w:lang w:val="en-US"/>
        </w:rPr>
        <w:t xml:space="preserve"> (floods, hurricanes, forest fires, etc.) </w:t>
      </w:r>
      <w:r w:rsidR="00CC4C42">
        <w:rPr>
          <w:lang w:val="en-US"/>
        </w:rPr>
        <w:t>on</w:t>
      </w:r>
      <w:r w:rsidR="007048EC" w:rsidRPr="009732C8">
        <w:rPr>
          <w:lang w:val="en-US"/>
        </w:rPr>
        <w:t xml:space="preserve"> the other hand, </w:t>
      </w:r>
      <w:r w:rsidR="00D84596" w:rsidRPr="009732C8">
        <w:rPr>
          <w:lang w:val="en-US"/>
        </w:rPr>
        <w:t xml:space="preserve">the occurrence of </w:t>
      </w:r>
      <w:r w:rsidR="007048EC" w:rsidRPr="009732C8">
        <w:rPr>
          <w:lang w:val="en-US"/>
        </w:rPr>
        <w:t>natech</w:t>
      </w:r>
      <w:r w:rsidR="00440336" w:rsidRPr="009732C8">
        <w:rPr>
          <w:lang w:val="en-US"/>
        </w:rPr>
        <w:t>s</w:t>
      </w:r>
      <w:r w:rsidR="007048EC" w:rsidRPr="009732C8">
        <w:rPr>
          <w:lang w:val="en-US"/>
        </w:rPr>
        <w:t xml:space="preserve"> have been foreseen an increasing trend (Parry et al., 2007).</w:t>
      </w:r>
      <w:r w:rsidR="00205225" w:rsidRPr="009732C8">
        <w:rPr>
          <w:lang w:val="en-US"/>
        </w:rPr>
        <w:t xml:space="preserve"> </w:t>
      </w:r>
      <w:r w:rsidR="004570FE" w:rsidRPr="009732C8">
        <w:rPr>
          <w:lang w:val="en-US"/>
        </w:rPr>
        <w:t xml:space="preserve">According to a research conducted by the European Joint Research Centre (Forzieri et al., 2017), </w:t>
      </w:r>
      <w:r w:rsidR="005E2507" w:rsidRPr="009732C8">
        <w:rPr>
          <w:lang w:val="en-US"/>
        </w:rPr>
        <w:t xml:space="preserve">weather-related disasters </w:t>
      </w:r>
      <w:r w:rsidR="00483B62" w:rsidRPr="009732C8">
        <w:rPr>
          <w:lang w:val="en-US"/>
        </w:rPr>
        <w:t xml:space="preserve">such as </w:t>
      </w:r>
      <w:r w:rsidR="005E2507" w:rsidRPr="009732C8">
        <w:rPr>
          <w:lang w:val="en-US"/>
        </w:rPr>
        <w:t>heatwaves and cold spells, wildfires, droughts, floods and windstorms</w:t>
      </w:r>
      <w:r w:rsidR="00483B62" w:rsidRPr="009732C8">
        <w:rPr>
          <w:lang w:val="en-US"/>
        </w:rPr>
        <w:t xml:space="preserve"> are expected to affect around two-thirds of the European population annually by the end of this century, potentially leading to a 50-fold higher fatalities (compared to today)</w:t>
      </w:r>
      <w:r w:rsidR="005E2507" w:rsidRPr="009732C8">
        <w:rPr>
          <w:lang w:val="en-US"/>
        </w:rPr>
        <w:t>.</w:t>
      </w:r>
      <w:r w:rsidR="00483B62" w:rsidRPr="009732C8">
        <w:rPr>
          <w:lang w:val="en-US"/>
        </w:rPr>
        <w:t xml:space="preserve"> </w:t>
      </w:r>
    </w:p>
    <w:p w14:paraId="4556D7CF" w14:textId="77777777" w:rsidR="007401E3" w:rsidRDefault="003D2E5E" w:rsidP="00F6471E">
      <w:pPr>
        <w:spacing w:after="240"/>
        <w:jc w:val="both"/>
        <w:rPr>
          <w:lang w:val="en-US"/>
        </w:rPr>
      </w:pPr>
      <w:r w:rsidRPr="009732C8">
        <w:t>T</w:t>
      </w:r>
      <w:r w:rsidR="005D2AB4" w:rsidRPr="009732C8">
        <w:t>he hazard of wildfires has long been recognized</w:t>
      </w:r>
      <w:r w:rsidR="00231191">
        <w:t>,</w:t>
      </w:r>
      <w:r w:rsidR="005D2AB4" w:rsidRPr="009732C8">
        <w:t xml:space="preserve"> and there </w:t>
      </w:r>
      <w:r w:rsidR="00E43104" w:rsidRPr="009732C8">
        <w:t>has been</w:t>
      </w:r>
      <w:r w:rsidR="005D2AB4" w:rsidRPr="009732C8">
        <w:t xml:space="preserve"> an exhaustive amount of work devoted to their modeling and ecological risk assessment</w:t>
      </w:r>
      <w:r w:rsidR="00F514AE" w:rsidRPr="009732C8">
        <w:t xml:space="preserve"> (</w:t>
      </w:r>
      <w:r w:rsidR="00282DF6" w:rsidRPr="009732C8">
        <w:t xml:space="preserve">Preisler et al., 2004; </w:t>
      </w:r>
      <w:r w:rsidR="00F514AE" w:rsidRPr="009732C8">
        <w:t xml:space="preserve">Scott et al., </w:t>
      </w:r>
      <w:r w:rsidR="003C5249" w:rsidRPr="009732C8">
        <w:t xml:space="preserve">2012, </w:t>
      </w:r>
      <w:r w:rsidR="00F514AE" w:rsidRPr="009732C8">
        <w:t>2013</w:t>
      </w:r>
      <w:r w:rsidR="003C5249" w:rsidRPr="009732C8">
        <w:t>; Lozano et al., 2016</w:t>
      </w:r>
      <w:r w:rsidR="00F514AE" w:rsidRPr="009732C8">
        <w:t>)</w:t>
      </w:r>
      <w:r w:rsidRPr="009732C8">
        <w:t>. Wildfires can be categorized as hydro-geological events which are bound to increase especially due to climate change: every degree in warming associates with a 12% increase in lightni</w:t>
      </w:r>
      <w:r w:rsidR="00D52E98">
        <w:t xml:space="preserve">ng activity, as one </w:t>
      </w:r>
      <w:r w:rsidR="00C80050">
        <w:t xml:space="preserve">of </w:t>
      </w:r>
      <w:r w:rsidR="00D52E98">
        <w:t>the trigger</w:t>
      </w:r>
      <w:r w:rsidRPr="009732C8">
        <w:t xml:space="preserve">s of wildfires (Romps et al., 2014). </w:t>
      </w:r>
      <w:r w:rsidR="005E75F1" w:rsidRPr="009732C8">
        <w:t>Likewise,</w:t>
      </w:r>
      <w:r w:rsidRPr="009732C8">
        <w:t xml:space="preserve"> for every degree in warming</w:t>
      </w:r>
      <w:r w:rsidR="005E75F1" w:rsidRPr="009732C8">
        <w:t>,</w:t>
      </w:r>
      <w:r w:rsidRPr="009732C8">
        <w:t xml:space="preserve"> 15% more precipitation is needed to offset the risk of wildfires (Flannigan et al., 2016). </w:t>
      </w:r>
      <w:r w:rsidR="00E43104" w:rsidRPr="009732C8">
        <w:t xml:space="preserve">Despite the risk of wildfires (Figure </w:t>
      </w:r>
      <w:r w:rsidR="007401E3">
        <w:t>1</w:t>
      </w:r>
      <w:r w:rsidR="00E43104" w:rsidRPr="009732C8">
        <w:t xml:space="preserve">), their hazard has not yet, to our best knowledge, been accounted for in natech risk assessment of </w:t>
      </w:r>
      <w:r w:rsidR="00914010" w:rsidRPr="009732C8">
        <w:t>industrial plants</w:t>
      </w:r>
      <w:r w:rsidR="00E43104" w:rsidRPr="009732C8">
        <w:t xml:space="preserve">. </w:t>
      </w:r>
      <w:r w:rsidR="007401E3" w:rsidRPr="009732C8">
        <w:rPr>
          <w:lang w:val="en-US"/>
        </w:rPr>
        <w:t xml:space="preserve">In Europe, for example, Seveso Directive III (2012) has only recently mandated the member states to consider the probability of natural disasters in the risk assessment of major accident scenarios when preparing safety reports (Article 10), with an explicit mention of floods and earthquakes in the Annex II. The most of </w:t>
      </w:r>
      <w:r w:rsidR="007401E3" w:rsidRPr="009732C8">
        <w:rPr>
          <w:lang w:val="en-US"/>
        </w:rPr>
        <w:lastRenderedPageBreak/>
        <w:t>European countries that consider natechs have</w:t>
      </w:r>
      <w:r w:rsidR="007401E3">
        <w:rPr>
          <w:lang w:val="en-US"/>
        </w:rPr>
        <w:t xml:space="preserve"> likewise limited their program</w:t>
      </w:r>
      <w:r w:rsidR="007401E3" w:rsidRPr="009732C8">
        <w:rPr>
          <w:lang w:val="en-US"/>
        </w:rPr>
        <w:t>s to only a few natural hazards</w:t>
      </w:r>
      <w:r w:rsidR="007401E3">
        <w:rPr>
          <w:lang w:val="en-US"/>
        </w:rPr>
        <w:t>, mainly flood and earthquake</w:t>
      </w:r>
      <w:r w:rsidR="007401E3" w:rsidRPr="009732C8">
        <w:rPr>
          <w:lang w:val="en-US"/>
        </w:rPr>
        <w:t xml:space="preserve"> (Krausmann and Baranzini, 2012). </w:t>
      </w:r>
    </w:p>
    <w:p w14:paraId="42006621" w14:textId="77777777" w:rsidR="00ED2ECC" w:rsidRPr="009732C8" w:rsidRDefault="00ED2ECC" w:rsidP="00F6471E">
      <w:pPr>
        <w:spacing w:after="240"/>
        <w:jc w:val="both"/>
        <w:rPr>
          <w:lang w:val="en-US"/>
        </w:rPr>
      </w:pPr>
    </w:p>
    <w:p w14:paraId="0AD8E403" w14:textId="77777777" w:rsidR="007401E3" w:rsidRPr="009732C8" w:rsidRDefault="007401E3" w:rsidP="007401E3">
      <w:pPr>
        <w:jc w:val="center"/>
        <w:rPr>
          <w:lang w:val="en-US"/>
        </w:rPr>
      </w:pPr>
      <w:r w:rsidRPr="009732C8">
        <w:rPr>
          <w:lang w:eastAsia="en-CA"/>
        </w:rPr>
        <w:drawing>
          <wp:inline distT="0" distB="0" distL="0" distR="0" wp14:anchorId="21AE0F8D" wp14:editId="486B3878">
            <wp:extent cx="3437534" cy="32760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3437534" cy="3276000"/>
                    </a:xfrm>
                    <a:prstGeom prst="rect">
                      <a:avLst/>
                    </a:prstGeom>
                  </pic:spPr>
                </pic:pic>
              </a:graphicData>
            </a:graphic>
          </wp:inline>
        </w:drawing>
      </w:r>
    </w:p>
    <w:p w14:paraId="3DAFF09A" w14:textId="65AA4550" w:rsidR="007401E3" w:rsidRPr="009732C8" w:rsidRDefault="007401E3" w:rsidP="007401E3">
      <w:pPr>
        <w:jc w:val="center"/>
        <w:rPr>
          <w:lang w:val="en-US"/>
        </w:rPr>
      </w:pPr>
      <w:r w:rsidRPr="009732C8">
        <w:rPr>
          <w:lang w:val="en-US"/>
        </w:rPr>
        <w:t xml:space="preserve">Figure </w:t>
      </w:r>
      <w:r w:rsidR="00CD2652">
        <w:rPr>
          <w:lang w:val="en-US"/>
        </w:rPr>
        <w:t>1</w:t>
      </w:r>
      <w:r w:rsidRPr="009732C8">
        <w:rPr>
          <w:lang w:val="en-US"/>
        </w:rPr>
        <w:t xml:space="preserve">. Wildfire danger forecast as of August 17, 2017 (The European Forest Fire Information System). </w:t>
      </w:r>
    </w:p>
    <w:p w14:paraId="6B7166EB" w14:textId="77777777" w:rsidR="007401E3" w:rsidRDefault="007401E3" w:rsidP="00A61E0C">
      <w:pPr>
        <w:jc w:val="both"/>
      </w:pPr>
    </w:p>
    <w:p w14:paraId="7E40DDE0" w14:textId="47E376F5" w:rsidR="009F7C37" w:rsidRPr="009732C8" w:rsidRDefault="00AE31D4" w:rsidP="009F7C37">
      <w:pPr>
        <w:jc w:val="both"/>
      </w:pPr>
      <w:r w:rsidRPr="009732C8">
        <w:t>Wildfires, like other types of fire, can be defined usin</w:t>
      </w:r>
      <w:r w:rsidR="009E3ACD" w:rsidRPr="009732C8">
        <w:t>g</w:t>
      </w:r>
      <w:r w:rsidRPr="009732C8">
        <w:t xml:space="preserve"> the fire triangle</w:t>
      </w:r>
      <w:r w:rsidR="009E3ACD" w:rsidRPr="009732C8">
        <w:t>,</w:t>
      </w:r>
      <w:r w:rsidRPr="009732C8">
        <w:t xml:space="preserve"> co</w:t>
      </w:r>
      <w:r w:rsidR="00D52E98">
        <w:t>nsisting of fuel (trees, grasse</w:t>
      </w:r>
      <w:r w:rsidRPr="009732C8">
        <w:t>s, shrubs, houses,</w:t>
      </w:r>
      <w:r w:rsidR="009E3ACD" w:rsidRPr="009732C8">
        <w:t xml:space="preserve"> </w:t>
      </w:r>
      <w:r w:rsidRPr="009732C8">
        <w:t>etc), oxygen, and heat source. Lightning, burning campfires or cigarettes, hot winds, and even the sun can ignite a wildfire although four out of five of wildfires have reportedly started by people (National Geographic).</w:t>
      </w:r>
      <w:r w:rsidR="00223084">
        <w:t xml:space="preserve"> </w:t>
      </w:r>
      <w:r w:rsidRPr="009732C8">
        <w:t>Wildfire</w:t>
      </w:r>
      <w:r w:rsidR="007401E3">
        <w:t>s</w:t>
      </w:r>
      <w:r w:rsidRPr="009732C8">
        <w:t xml:space="preserve"> </w:t>
      </w:r>
      <w:r w:rsidR="007401E3">
        <w:t>are</w:t>
      </w:r>
      <w:r w:rsidRPr="009732C8">
        <w:t xml:space="preserve"> more complicated than other fires </w:t>
      </w:r>
      <w:r w:rsidR="009F7C37" w:rsidRPr="009732C8">
        <w:t xml:space="preserve">in the sense that </w:t>
      </w:r>
      <w:r w:rsidRPr="009732C8">
        <w:t xml:space="preserve">as </w:t>
      </w:r>
      <w:r w:rsidR="00223084">
        <w:t>they</w:t>
      </w:r>
      <w:r w:rsidRPr="009732C8">
        <w:t xml:space="preserve"> grow large</w:t>
      </w:r>
      <w:r w:rsidR="00481D6B" w:rsidRPr="009732C8">
        <w:t xml:space="preserve"> enough</w:t>
      </w:r>
      <w:r w:rsidRPr="009732C8">
        <w:t xml:space="preserve"> </w:t>
      </w:r>
      <w:r w:rsidR="00223084">
        <w:t>they</w:t>
      </w:r>
      <w:r w:rsidR="009F7C37" w:rsidRPr="009732C8">
        <w:t xml:space="preserve"> create </w:t>
      </w:r>
      <w:r w:rsidR="00223084">
        <w:t>their</w:t>
      </w:r>
      <w:r w:rsidR="009F7C37" w:rsidRPr="009732C8">
        <w:t xml:space="preserve"> own weather and increase </w:t>
      </w:r>
      <w:r w:rsidR="00223084">
        <w:t xml:space="preserve">their </w:t>
      </w:r>
      <w:r w:rsidR="009F7C37" w:rsidRPr="009732C8">
        <w:t xml:space="preserve">speed. A wildfire can move at </w:t>
      </w:r>
      <w:r w:rsidR="00481D6B" w:rsidRPr="009732C8">
        <w:t xml:space="preserve">a </w:t>
      </w:r>
      <w:r w:rsidR="009F7C37" w:rsidRPr="009732C8">
        <w:t xml:space="preserve">speed </w:t>
      </w:r>
      <w:r w:rsidR="00481D6B" w:rsidRPr="009732C8">
        <w:t xml:space="preserve">of </w:t>
      </w:r>
      <w:r w:rsidR="009F7C37" w:rsidRPr="009732C8">
        <w:t xml:space="preserve">up to 23 km/hr and the flames can reach </w:t>
      </w:r>
      <w:r w:rsidR="00481D6B" w:rsidRPr="009732C8">
        <w:t>a heigh</w:t>
      </w:r>
      <w:r w:rsidR="00D52E98">
        <w:t>t</w:t>
      </w:r>
      <w:r w:rsidR="00481D6B" w:rsidRPr="009732C8">
        <w:t xml:space="preserve"> of </w:t>
      </w:r>
      <w:r w:rsidR="009F7C37" w:rsidRPr="009732C8">
        <w:t xml:space="preserve">up to 100 m. </w:t>
      </w:r>
      <w:r w:rsidR="009F7C37" w:rsidRPr="009732C8">
        <w:rPr>
          <w:lang w:val="en-US"/>
        </w:rPr>
        <w:t xml:space="preserve">A favorite </w:t>
      </w:r>
      <w:r w:rsidR="009F7C37" w:rsidRPr="009732C8">
        <w:t>wind not only speeds up the wildfire spread but also can carry spark</w:t>
      </w:r>
      <w:r w:rsidR="00CC4C42">
        <w:t>s</w:t>
      </w:r>
      <w:r w:rsidR="009F7C37" w:rsidRPr="009732C8">
        <w:t xml:space="preserve"> and embers kilometers away, helping fire jump over roads and rivers. </w:t>
      </w:r>
    </w:p>
    <w:p w14:paraId="6E1A45F3" w14:textId="24D0D5D9" w:rsidR="0086164C" w:rsidRPr="009732C8" w:rsidRDefault="00E43104" w:rsidP="0014457D">
      <w:pPr>
        <w:jc w:val="both"/>
        <w:rPr>
          <w:lang w:val="en-US"/>
        </w:rPr>
      </w:pPr>
      <w:r w:rsidRPr="009732C8">
        <w:rPr>
          <w:lang w:val="en-US"/>
        </w:rPr>
        <w:t xml:space="preserve">In wildfire risk assessment, the ignition likelihood, burn probability (the probability that wildfire </w:t>
      </w:r>
      <w:r w:rsidR="00223084">
        <w:rPr>
          <w:lang w:val="en-US"/>
        </w:rPr>
        <w:t>spreads</w:t>
      </w:r>
      <w:r w:rsidRPr="009732C8">
        <w:rPr>
          <w:lang w:val="en-US"/>
        </w:rPr>
        <w:t xml:space="preserve"> to a certain spot), fire intensity, flame height, </w:t>
      </w:r>
      <w:r w:rsidR="00223084">
        <w:rPr>
          <w:lang w:val="en-US"/>
        </w:rPr>
        <w:t xml:space="preserve">and </w:t>
      </w:r>
      <w:r w:rsidRPr="009732C8">
        <w:rPr>
          <w:lang w:val="en-US"/>
        </w:rPr>
        <w:t>type of exposure (people, the environment, assets)</w:t>
      </w:r>
      <w:r w:rsidR="00223084">
        <w:rPr>
          <w:lang w:val="en-US"/>
        </w:rPr>
        <w:t xml:space="preserve"> </w:t>
      </w:r>
      <w:r w:rsidRPr="009732C8">
        <w:rPr>
          <w:lang w:val="en-US"/>
        </w:rPr>
        <w:t>are the main factors to take into account (Scott et al., 2013). In wildfire</w:t>
      </w:r>
      <w:r w:rsidR="0058659C" w:rsidRPr="009732C8">
        <w:rPr>
          <w:lang w:val="en-US"/>
        </w:rPr>
        <w:t>-</w:t>
      </w:r>
      <w:r w:rsidR="00223084">
        <w:rPr>
          <w:lang w:val="en-US"/>
        </w:rPr>
        <w:t>related</w:t>
      </w:r>
      <w:r w:rsidRPr="009732C8">
        <w:rPr>
          <w:lang w:val="en-US"/>
        </w:rPr>
        <w:t xml:space="preserve"> </w:t>
      </w:r>
      <w:r w:rsidRPr="009732C8">
        <w:rPr>
          <w:lang w:val="en-US"/>
        </w:rPr>
        <w:lastRenderedPageBreak/>
        <w:t>risk assessment</w:t>
      </w:r>
      <w:r w:rsidR="0058659C" w:rsidRPr="009732C8">
        <w:rPr>
          <w:lang w:val="en-US"/>
        </w:rPr>
        <w:t xml:space="preserve"> of process plants</w:t>
      </w:r>
      <w:r w:rsidRPr="009732C8">
        <w:rPr>
          <w:lang w:val="en-US"/>
        </w:rPr>
        <w:t xml:space="preserve">, the foregoing factors seem to play the key role </w:t>
      </w:r>
      <w:r w:rsidR="0058659C" w:rsidRPr="009732C8">
        <w:rPr>
          <w:lang w:val="en-US"/>
        </w:rPr>
        <w:t>although</w:t>
      </w:r>
      <w:r w:rsidRPr="009732C8">
        <w:rPr>
          <w:lang w:val="en-US"/>
        </w:rPr>
        <w:t xml:space="preserve"> due to the large inventory </w:t>
      </w:r>
      <w:r w:rsidR="0058659C" w:rsidRPr="009732C8">
        <w:rPr>
          <w:lang w:val="en-US"/>
        </w:rPr>
        <w:t>of hazardous chemicals</w:t>
      </w:r>
      <w:r w:rsidRPr="009732C8">
        <w:rPr>
          <w:lang w:val="en-US"/>
        </w:rPr>
        <w:t xml:space="preserve"> the severity and extent of the envisaged consequences could be far worse especially with the possibility of domino effects.</w:t>
      </w:r>
      <w:r w:rsidR="00223084">
        <w:rPr>
          <w:lang w:val="en-US"/>
        </w:rPr>
        <w:t xml:space="preserve"> </w:t>
      </w:r>
      <w:r w:rsidR="0086164C" w:rsidRPr="009732C8">
        <w:rPr>
          <w:lang w:val="en-US"/>
        </w:rPr>
        <w:t xml:space="preserve">Domino effects in process plants refer to a chain of accidents (fires and explosions) triggered by a primary fire or explosion so that the total consequences are much severer than that of the primary </w:t>
      </w:r>
      <w:r w:rsidR="002D1446" w:rsidRPr="009732C8">
        <w:rPr>
          <w:lang w:val="en-US"/>
        </w:rPr>
        <w:t>event</w:t>
      </w:r>
      <w:r w:rsidR="0086164C" w:rsidRPr="009732C8">
        <w:rPr>
          <w:lang w:val="en-US"/>
        </w:rPr>
        <w:t>.</w:t>
      </w:r>
      <w:r w:rsidR="002D1446" w:rsidRPr="009732C8">
        <w:rPr>
          <w:lang w:val="en-US"/>
        </w:rPr>
        <w:t xml:space="preserve"> In domino scenarios, the escalation of </w:t>
      </w:r>
      <w:r w:rsidR="00223084">
        <w:rPr>
          <w:lang w:val="en-US"/>
        </w:rPr>
        <w:t>a</w:t>
      </w:r>
      <w:r w:rsidR="002D1446" w:rsidRPr="009732C8">
        <w:rPr>
          <w:lang w:val="en-US"/>
        </w:rPr>
        <w:t xml:space="preserve"> primary </w:t>
      </w:r>
      <w:r w:rsidR="00223084">
        <w:rPr>
          <w:lang w:val="en-US"/>
        </w:rPr>
        <w:t>fire, for instance,</w:t>
      </w:r>
      <w:r w:rsidR="002D1446" w:rsidRPr="009732C8">
        <w:rPr>
          <w:lang w:val="en-US"/>
        </w:rPr>
        <w:t xml:space="preserve"> to </w:t>
      </w:r>
      <w:r w:rsidR="00223084">
        <w:rPr>
          <w:lang w:val="en-US"/>
        </w:rPr>
        <w:t xml:space="preserve">an adjacent </w:t>
      </w:r>
      <w:r w:rsidR="002D1446" w:rsidRPr="009732C8">
        <w:rPr>
          <w:lang w:val="en-US"/>
        </w:rPr>
        <w:t xml:space="preserve">unit takes place </w:t>
      </w:r>
      <w:r w:rsidR="00223084">
        <w:rPr>
          <w:lang w:val="en-US"/>
        </w:rPr>
        <w:t>if</w:t>
      </w:r>
      <w:r w:rsidR="002D1446" w:rsidRPr="009732C8">
        <w:rPr>
          <w:lang w:val="en-US"/>
        </w:rPr>
        <w:t xml:space="preserve"> the magnitude of </w:t>
      </w:r>
      <w:r w:rsidR="00223084">
        <w:rPr>
          <w:lang w:val="en-US"/>
        </w:rPr>
        <w:t xml:space="preserve">heat intensity </w:t>
      </w:r>
      <w:r w:rsidR="002D1446" w:rsidRPr="009732C8">
        <w:rPr>
          <w:lang w:val="en-US"/>
        </w:rPr>
        <w:t xml:space="preserve">received by </w:t>
      </w:r>
      <w:r w:rsidR="00223084">
        <w:rPr>
          <w:lang w:val="en-US"/>
        </w:rPr>
        <w:t>the</w:t>
      </w:r>
      <w:r w:rsidR="002D1446" w:rsidRPr="009732C8">
        <w:rPr>
          <w:lang w:val="en-US"/>
        </w:rPr>
        <w:t xml:space="preserve"> unit </w:t>
      </w:r>
      <w:r w:rsidR="00223084">
        <w:rPr>
          <w:lang w:val="en-US"/>
        </w:rPr>
        <w:t xml:space="preserve">is </w:t>
      </w:r>
      <w:r w:rsidR="002D1446" w:rsidRPr="009732C8">
        <w:rPr>
          <w:lang w:val="en-US"/>
        </w:rPr>
        <w:t xml:space="preserve">larger than </w:t>
      </w:r>
      <w:r w:rsidR="00223084">
        <w:rPr>
          <w:lang w:val="en-US"/>
        </w:rPr>
        <w:t xml:space="preserve">a </w:t>
      </w:r>
      <w:r w:rsidR="002D1446" w:rsidRPr="009732C8">
        <w:rPr>
          <w:lang w:val="en-US"/>
        </w:rPr>
        <w:t>respective threshold</w:t>
      </w:r>
      <w:r w:rsidR="00223084">
        <w:rPr>
          <w:lang w:val="en-US"/>
        </w:rPr>
        <w:t xml:space="preserve"> (e.g., 15 kW/m</w:t>
      </w:r>
      <w:r w:rsidR="00223084" w:rsidRPr="00223084">
        <w:rPr>
          <w:vertAlign w:val="superscript"/>
          <w:lang w:val="en-US"/>
        </w:rPr>
        <w:t>2</w:t>
      </w:r>
      <w:r w:rsidR="00223084">
        <w:rPr>
          <w:lang w:val="en-US"/>
        </w:rPr>
        <w:t xml:space="preserve"> for atmospheric storage tanks);</w:t>
      </w:r>
      <w:r w:rsidR="002D1446" w:rsidRPr="009732C8">
        <w:rPr>
          <w:lang w:val="en-US"/>
        </w:rPr>
        <w:t xml:space="preserve"> </w:t>
      </w:r>
      <w:r w:rsidR="003A751C" w:rsidRPr="009732C8">
        <w:rPr>
          <w:lang w:val="en-US"/>
        </w:rPr>
        <w:t xml:space="preserve">the </w:t>
      </w:r>
      <w:r w:rsidR="002D1446" w:rsidRPr="009732C8">
        <w:rPr>
          <w:lang w:val="en-US"/>
        </w:rPr>
        <w:t xml:space="preserve">neighboring unit is </w:t>
      </w:r>
      <w:r w:rsidR="00223084">
        <w:rPr>
          <w:lang w:val="en-US"/>
        </w:rPr>
        <w:t xml:space="preserve">then </w:t>
      </w:r>
      <w:r w:rsidR="002D1446" w:rsidRPr="009732C8">
        <w:rPr>
          <w:lang w:val="en-US"/>
        </w:rPr>
        <w:t xml:space="preserve">expected to be damaged and </w:t>
      </w:r>
      <w:r w:rsidR="00223084">
        <w:rPr>
          <w:lang w:val="en-US"/>
        </w:rPr>
        <w:t xml:space="preserve">thus </w:t>
      </w:r>
      <w:r w:rsidR="002D1446" w:rsidRPr="009732C8">
        <w:rPr>
          <w:lang w:val="en-US"/>
        </w:rPr>
        <w:t>be engag</w:t>
      </w:r>
      <w:r w:rsidR="006D66E1" w:rsidRPr="009732C8">
        <w:rPr>
          <w:lang w:val="en-US"/>
        </w:rPr>
        <w:t xml:space="preserve">ed in the chain of </w:t>
      </w:r>
      <w:r w:rsidR="00223084">
        <w:rPr>
          <w:lang w:val="en-US"/>
        </w:rPr>
        <w:t>fires</w:t>
      </w:r>
      <w:r w:rsidR="006D66E1" w:rsidRPr="009732C8">
        <w:rPr>
          <w:lang w:val="en-US"/>
        </w:rPr>
        <w:t xml:space="preserve">. </w:t>
      </w:r>
    </w:p>
    <w:p w14:paraId="00FA62AF" w14:textId="4764D575" w:rsidR="008440AF" w:rsidRPr="009732C8" w:rsidRDefault="00E72CCE" w:rsidP="0014457D">
      <w:pPr>
        <w:jc w:val="both"/>
        <w:rPr>
          <w:lang w:val="en-US"/>
        </w:rPr>
      </w:pPr>
      <w:r w:rsidRPr="009732C8">
        <w:rPr>
          <w:lang w:val="en-US"/>
        </w:rPr>
        <w:t>Many methodologies have been developed</w:t>
      </w:r>
      <w:r w:rsidR="005F3715" w:rsidRPr="009732C8">
        <w:rPr>
          <w:lang w:val="en-US"/>
        </w:rPr>
        <w:t xml:space="preserve"> to model </w:t>
      </w:r>
      <w:r w:rsidR="00223084">
        <w:rPr>
          <w:lang w:val="en-US"/>
        </w:rPr>
        <w:t xml:space="preserve">the spread of </w:t>
      </w:r>
      <w:r w:rsidR="005F3715" w:rsidRPr="009732C8">
        <w:rPr>
          <w:lang w:val="en-US"/>
        </w:rPr>
        <w:t>different types of wildfire such as surface fire (Rothermel, 1972), crown (or canopy) fire (Rothermel, 1991), and transition between surface and crown (</w:t>
      </w:r>
      <w:r w:rsidR="0058659C" w:rsidRPr="009732C8">
        <w:rPr>
          <w:lang w:val="en-US"/>
        </w:rPr>
        <w:t>v</w:t>
      </w:r>
      <w:r w:rsidR="005F3715" w:rsidRPr="009732C8">
        <w:rPr>
          <w:lang w:val="en-US"/>
        </w:rPr>
        <w:t xml:space="preserve">an Wagner, 1977). Subsequently, a number of </w:t>
      </w:r>
      <w:r w:rsidRPr="009732C8">
        <w:rPr>
          <w:lang w:val="en-US"/>
        </w:rPr>
        <w:t>software tools</w:t>
      </w:r>
      <w:r w:rsidR="00927C1B" w:rsidRPr="009732C8">
        <w:rPr>
          <w:lang w:val="en-US"/>
        </w:rPr>
        <w:t xml:space="preserve"> such as </w:t>
      </w:r>
      <w:r w:rsidR="0014457D" w:rsidRPr="009732C8">
        <w:rPr>
          <w:lang w:val="en-US"/>
        </w:rPr>
        <w:t xml:space="preserve">FARSITE (Finney, 1998), FlamMap5 (Finney, 2006), FSPro (Finney et al., 2011a), and </w:t>
      </w:r>
      <w:r w:rsidR="00927C1B" w:rsidRPr="009732C8">
        <w:rPr>
          <w:lang w:val="en-US"/>
        </w:rPr>
        <w:t>FSim (</w:t>
      </w:r>
      <w:r w:rsidR="0014457D" w:rsidRPr="009732C8">
        <w:rPr>
          <w:lang w:val="en-US"/>
        </w:rPr>
        <w:t>Finney et al., 2011b</w:t>
      </w:r>
      <w:r w:rsidR="00927C1B" w:rsidRPr="009732C8">
        <w:rPr>
          <w:lang w:val="en-US"/>
        </w:rPr>
        <w:t xml:space="preserve">) </w:t>
      </w:r>
      <w:r w:rsidR="002E3735">
        <w:rPr>
          <w:lang w:val="en-US"/>
        </w:rPr>
        <w:t>has been developed</w:t>
      </w:r>
      <w:r w:rsidR="0014457D" w:rsidRPr="009732C8">
        <w:rPr>
          <w:lang w:val="en-US"/>
        </w:rPr>
        <w:t xml:space="preserve"> </w:t>
      </w:r>
      <w:r w:rsidRPr="009732C8">
        <w:rPr>
          <w:lang w:val="en-US"/>
        </w:rPr>
        <w:t>to pred</w:t>
      </w:r>
      <w:r w:rsidR="00D52E98">
        <w:rPr>
          <w:lang w:val="en-US"/>
        </w:rPr>
        <w:t>ic</w:t>
      </w:r>
      <w:r w:rsidRPr="009732C8">
        <w:rPr>
          <w:lang w:val="en-US"/>
        </w:rPr>
        <w:t>t the likelihood and model the spread of wildfires based on historical records of wildfires</w:t>
      </w:r>
      <w:r w:rsidR="0014457D" w:rsidRPr="009732C8">
        <w:rPr>
          <w:lang w:val="en-US"/>
        </w:rPr>
        <w:t xml:space="preserve"> in the region</w:t>
      </w:r>
      <w:r w:rsidRPr="009732C8">
        <w:rPr>
          <w:lang w:val="en-US"/>
        </w:rPr>
        <w:t xml:space="preserve">, weather conditions, type and density of </w:t>
      </w:r>
      <w:r w:rsidR="0058659C" w:rsidRPr="009732C8">
        <w:rPr>
          <w:lang w:val="en-US"/>
        </w:rPr>
        <w:t>vegetation</w:t>
      </w:r>
      <w:r w:rsidRPr="009732C8">
        <w:rPr>
          <w:lang w:val="en-US"/>
        </w:rPr>
        <w:t xml:space="preserve"> in the landscape of interest (also known as fuelscape), and also the topology of the landscape</w:t>
      </w:r>
      <w:r w:rsidR="0014457D" w:rsidRPr="009732C8">
        <w:rPr>
          <w:lang w:val="en-US"/>
        </w:rPr>
        <w:t xml:space="preserve">. </w:t>
      </w:r>
    </w:p>
    <w:p w14:paraId="142D0180" w14:textId="08EC47C3" w:rsidR="00D2134B" w:rsidRPr="009732C8" w:rsidRDefault="003A751C" w:rsidP="0086164C">
      <w:pPr>
        <w:jc w:val="both"/>
        <w:rPr>
          <w:lang w:val="en-US"/>
        </w:rPr>
      </w:pPr>
      <w:r w:rsidRPr="009732C8">
        <w:rPr>
          <w:lang w:val="en-US"/>
        </w:rPr>
        <w:t>There have been</w:t>
      </w:r>
      <w:r w:rsidR="0014457D" w:rsidRPr="009732C8">
        <w:rPr>
          <w:lang w:val="en-US"/>
        </w:rPr>
        <w:t xml:space="preserve"> extensive </w:t>
      </w:r>
      <w:r w:rsidR="007E1BAB" w:rsidRPr="009732C8">
        <w:rPr>
          <w:lang w:val="en-US"/>
        </w:rPr>
        <w:t xml:space="preserve">studies on </w:t>
      </w:r>
      <w:r w:rsidR="0014457D" w:rsidRPr="009732C8">
        <w:rPr>
          <w:lang w:val="en-US"/>
        </w:rPr>
        <w:t xml:space="preserve">wildfire modeling </w:t>
      </w:r>
      <w:r w:rsidR="007E1BAB" w:rsidRPr="009732C8">
        <w:rPr>
          <w:lang w:val="en-US"/>
        </w:rPr>
        <w:t>(e.g., the ones mentioned above)</w:t>
      </w:r>
      <w:r w:rsidR="00183B10" w:rsidRPr="009732C8">
        <w:rPr>
          <w:lang w:val="en-US"/>
        </w:rPr>
        <w:t>,</w:t>
      </w:r>
      <w:r w:rsidR="007E1BAB" w:rsidRPr="009732C8">
        <w:rPr>
          <w:lang w:val="en-US"/>
        </w:rPr>
        <w:t xml:space="preserve"> </w:t>
      </w:r>
      <w:r w:rsidR="0014457D" w:rsidRPr="009732C8">
        <w:rPr>
          <w:lang w:val="en-US"/>
        </w:rPr>
        <w:t xml:space="preserve">vulnerability assessment of process equipment to external fires </w:t>
      </w:r>
      <w:r w:rsidR="007E1BAB" w:rsidRPr="009732C8">
        <w:rPr>
          <w:lang w:val="en-US"/>
        </w:rPr>
        <w:t>(</w:t>
      </w:r>
      <w:r w:rsidR="00183B10" w:rsidRPr="009732C8">
        <w:rPr>
          <w:lang w:val="en-US"/>
        </w:rPr>
        <w:t xml:space="preserve">Vilchez et al., 2001; Cozzani et al., </w:t>
      </w:r>
      <w:r w:rsidR="005847A7" w:rsidRPr="009732C8">
        <w:rPr>
          <w:lang w:val="en-US"/>
        </w:rPr>
        <w:t>2006</w:t>
      </w:r>
      <w:r w:rsidR="00183B10" w:rsidRPr="009732C8">
        <w:rPr>
          <w:lang w:val="en-US"/>
        </w:rPr>
        <w:t>; Mingguang and Jiang, 2008; Landucci et al., 2009; Casal, 2017), and domino effect</w:t>
      </w:r>
      <w:r w:rsidR="005847A7" w:rsidRPr="009732C8">
        <w:rPr>
          <w:lang w:val="en-US"/>
        </w:rPr>
        <w:t xml:space="preserve"> modeling</w:t>
      </w:r>
      <w:r w:rsidR="00183B10" w:rsidRPr="009732C8">
        <w:rPr>
          <w:lang w:val="en-US"/>
        </w:rPr>
        <w:t xml:space="preserve"> in process plants (Bagster </w:t>
      </w:r>
      <w:r w:rsidR="00707311" w:rsidRPr="009732C8">
        <w:rPr>
          <w:lang w:val="en-US"/>
        </w:rPr>
        <w:t>and Pitblado</w:t>
      </w:r>
      <w:r w:rsidR="00183B10" w:rsidRPr="009732C8">
        <w:rPr>
          <w:lang w:val="en-US"/>
        </w:rPr>
        <w:t>, 1991; Gledhill and Lines, 1998; Khan and Abbasi, 2001; Cozzani et al., 200</w:t>
      </w:r>
      <w:r w:rsidR="005847A7" w:rsidRPr="009732C8">
        <w:rPr>
          <w:lang w:val="en-US"/>
        </w:rPr>
        <w:t>5</w:t>
      </w:r>
      <w:r w:rsidR="00183B10" w:rsidRPr="009732C8">
        <w:rPr>
          <w:lang w:val="en-US"/>
        </w:rPr>
        <w:t>; Abdolhamidzadel et al., 2010; Khakzad et al., 2013</w:t>
      </w:r>
      <w:r w:rsidR="00D2134B" w:rsidRPr="009732C8">
        <w:rPr>
          <w:lang w:val="en-US"/>
        </w:rPr>
        <w:t xml:space="preserve">, </w:t>
      </w:r>
      <w:r w:rsidR="00CE6D60" w:rsidRPr="00CE6D60">
        <w:rPr>
          <w:lang w:val="en-US"/>
        </w:rPr>
        <w:t>Dadashzadeh</w:t>
      </w:r>
      <w:r w:rsidR="00CE6D60">
        <w:rPr>
          <w:lang w:val="en-US"/>
        </w:rPr>
        <w:t xml:space="preserve"> et a., 2014; </w:t>
      </w:r>
      <w:r w:rsidR="00D2134B" w:rsidRPr="009732C8">
        <w:rPr>
          <w:lang w:val="en-US"/>
        </w:rPr>
        <w:t>Khakzad, 2015</w:t>
      </w:r>
      <w:r w:rsidR="0086164C" w:rsidRPr="009732C8">
        <w:rPr>
          <w:lang w:val="en-US"/>
        </w:rPr>
        <w:t>)</w:t>
      </w:r>
      <w:r w:rsidR="00D2134B" w:rsidRPr="009732C8">
        <w:rPr>
          <w:lang w:val="en-US"/>
        </w:rPr>
        <w:t>.</w:t>
      </w:r>
      <w:r w:rsidRPr="009732C8">
        <w:rPr>
          <w:lang w:val="en-US"/>
        </w:rPr>
        <w:t xml:space="preserve"> </w:t>
      </w:r>
      <w:r w:rsidR="00D2134B" w:rsidRPr="009732C8">
        <w:rPr>
          <w:lang w:val="en-US"/>
        </w:rPr>
        <w:t>H</w:t>
      </w:r>
      <w:r w:rsidRPr="009732C8">
        <w:rPr>
          <w:lang w:val="en-US"/>
        </w:rPr>
        <w:t xml:space="preserve">owever, to the best of our knowledge, </w:t>
      </w:r>
      <w:r w:rsidR="003C5866" w:rsidRPr="009732C8">
        <w:rPr>
          <w:lang w:val="en-US"/>
        </w:rPr>
        <w:t>there has been no work devoted to the wildfire</w:t>
      </w:r>
      <w:r w:rsidR="00D2134B" w:rsidRPr="009732C8">
        <w:rPr>
          <w:lang w:val="en-US"/>
        </w:rPr>
        <w:t>-related</w:t>
      </w:r>
      <w:r w:rsidR="003C5866" w:rsidRPr="009732C8">
        <w:rPr>
          <w:lang w:val="en-US"/>
        </w:rPr>
        <w:t xml:space="preserve"> risk assessment</w:t>
      </w:r>
      <w:r w:rsidR="00D2134B" w:rsidRPr="009732C8">
        <w:rPr>
          <w:lang w:val="en-US"/>
        </w:rPr>
        <w:t xml:space="preserve"> in industrial plants</w:t>
      </w:r>
      <w:r w:rsidR="003C5866" w:rsidRPr="009732C8">
        <w:rPr>
          <w:lang w:val="en-US"/>
        </w:rPr>
        <w:t xml:space="preserve">. </w:t>
      </w:r>
    </w:p>
    <w:p w14:paraId="7C8B4CCE" w14:textId="7CD28346" w:rsidR="0046771C" w:rsidRDefault="003C5866" w:rsidP="006D66E1">
      <w:pPr>
        <w:jc w:val="both"/>
        <w:rPr>
          <w:lang w:val="en-US"/>
        </w:rPr>
      </w:pPr>
      <w:r w:rsidRPr="009732C8">
        <w:rPr>
          <w:lang w:val="en-US"/>
        </w:rPr>
        <w:t xml:space="preserve">In </w:t>
      </w:r>
      <w:r w:rsidR="005847A7" w:rsidRPr="009732C8">
        <w:rPr>
          <w:lang w:val="en-US"/>
        </w:rPr>
        <w:t>the present study</w:t>
      </w:r>
      <w:r w:rsidRPr="009732C8">
        <w:rPr>
          <w:lang w:val="en-US"/>
        </w:rPr>
        <w:t>, we aim to</w:t>
      </w:r>
      <w:r w:rsidR="005847A7" w:rsidRPr="009732C8">
        <w:rPr>
          <w:lang w:val="en-US"/>
        </w:rPr>
        <w:t xml:space="preserve"> </w:t>
      </w:r>
      <w:r w:rsidR="0086164C" w:rsidRPr="009732C8">
        <w:rPr>
          <w:lang w:val="en-US"/>
        </w:rPr>
        <w:t xml:space="preserve">develop a methodology for wildfire-related natech risk assessment in process plants with an emphasis on domino scenarios. To this end, </w:t>
      </w:r>
      <w:r w:rsidRPr="009732C8">
        <w:rPr>
          <w:lang w:val="en-US"/>
        </w:rPr>
        <w:t xml:space="preserve">we will integrate in a framework </w:t>
      </w:r>
      <w:r w:rsidR="0086164C" w:rsidRPr="009732C8">
        <w:rPr>
          <w:lang w:val="en-US"/>
        </w:rPr>
        <w:t>the available techniques</w:t>
      </w:r>
      <w:r w:rsidRPr="009732C8">
        <w:rPr>
          <w:lang w:val="en-US"/>
        </w:rPr>
        <w:t xml:space="preserve"> for wildfire spread modeling</w:t>
      </w:r>
      <w:r w:rsidR="00565D8B" w:rsidRPr="009732C8">
        <w:rPr>
          <w:lang w:val="en-US"/>
        </w:rPr>
        <w:t xml:space="preserve"> and domino scenario modeling to investigate the potential impact of wildfires on process plants in wildfire-prone areas.</w:t>
      </w:r>
      <w:r w:rsidR="00D2134B" w:rsidRPr="009732C8">
        <w:rPr>
          <w:lang w:val="en-US"/>
        </w:rPr>
        <w:t xml:space="preserve"> </w:t>
      </w:r>
      <w:r w:rsidR="00631782" w:rsidRPr="00631782">
        <w:rPr>
          <w:highlight w:val="yellow"/>
          <w:lang w:val="en-US"/>
        </w:rPr>
        <w:t>It however should be noted that</w:t>
      </w:r>
      <w:r w:rsidR="00ED2ECC" w:rsidRPr="00631782">
        <w:rPr>
          <w:highlight w:val="yellow"/>
          <w:lang w:val="en-US"/>
        </w:rPr>
        <w:t xml:space="preserve"> the </w:t>
      </w:r>
      <w:r w:rsidR="00631782" w:rsidRPr="00631782">
        <w:rPr>
          <w:highlight w:val="yellow"/>
          <w:lang w:val="en-US"/>
        </w:rPr>
        <w:t>mutual impact of process plants on wildfires (due to their inventory of combustible and flammable materials) are beyond the scope of the present study.</w:t>
      </w:r>
      <w:r w:rsidR="00631782">
        <w:rPr>
          <w:lang w:val="en-US"/>
        </w:rPr>
        <w:t xml:space="preserve"> </w:t>
      </w:r>
      <w:r w:rsidR="00565D8B" w:rsidRPr="009732C8">
        <w:rPr>
          <w:lang w:val="en-US"/>
        </w:rPr>
        <w:t>Wildfire character</w:t>
      </w:r>
      <w:r w:rsidR="00D52E98">
        <w:rPr>
          <w:lang w:val="en-US"/>
        </w:rPr>
        <w:t>i</w:t>
      </w:r>
      <w:r w:rsidR="00565D8B" w:rsidRPr="009732C8">
        <w:rPr>
          <w:lang w:val="en-US"/>
        </w:rPr>
        <w:t xml:space="preserve">stics and spread mechanism </w:t>
      </w:r>
      <w:r w:rsidR="00D2134B" w:rsidRPr="009732C8">
        <w:rPr>
          <w:lang w:val="en-US"/>
        </w:rPr>
        <w:t>are</w:t>
      </w:r>
      <w:r w:rsidR="00565D8B" w:rsidRPr="009732C8">
        <w:rPr>
          <w:lang w:val="en-US"/>
        </w:rPr>
        <w:t xml:space="preserve"> discussed in Section 2.</w:t>
      </w:r>
      <w:r w:rsidR="004D4A49" w:rsidRPr="009732C8">
        <w:rPr>
          <w:lang w:val="en-US"/>
        </w:rPr>
        <w:t xml:space="preserve"> </w:t>
      </w:r>
      <w:r w:rsidR="007F77AE" w:rsidRPr="009732C8">
        <w:rPr>
          <w:lang w:val="en-US"/>
        </w:rPr>
        <w:t xml:space="preserve">Domino effect modeling using dynamic Bayesian network </w:t>
      </w:r>
      <w:r w:rsidR="00D2134B" w:rsidRPr="009732C8">
        <w:rPr>
          <w:lang w:val="en-US"/>
        </w:rPr>
        <w:t xml:space="preserve">is </w:t>
      </w:r>
      <w:r w:rsidR="007F77AE" w:rsidRPr="009732C8">
        <w:rPr>
          <w:lang w:val="en-US"/>
        </w:rPr>
        <w:t xml:space="preserve">explained in Section 3. </w:t>
      </w:r>
      <w:r w:rsidR="00EE5752" w:rsidRPr="009732C8">
        <w:rPr>
          <w:lang w:val="en-US"/>
        </w:rPr>
        <w:t xml:space="preserve">The application of the methodology </w:t>
      </w:r>
      <w:r w:rsidR="00D2134B" w:rsidRPr="009732C8">
        <w:rPr>
          <w:lang w:val="en-US"/>
        </w:rPr>
        <w:t>is</w:t>
      </w:r>
      <w:r w:rsidR="00EE5752" w:rsidRPr="009732C8">
        <w:rPr>
          <w:lang w:val="en-US"/>
        </w:rPr>
        <w:t xml:space="preserve"> demonstrated </w:t>
      </w:r>
      <w:r w:rsidR="006D66E1" w:rsidRPr="009732C8">
        <w:rPr>
          <w:lang w:val="en-US"/>
        </w:rPr>
        <w:t xml:space="preserve">in Section 4 while the conclusions are presented in Section 5. </w:t>
      </w:r>
    </w:p>
    <w:p w14:paraId="070E8066" w14:textId="77777777" w:rsidR="00F2048E" w:rsidRPr="009732C8" w:rsidRDefault="00F2048E" w:rsidP="00F2048E">
      <w:pPr>
        <w:pStyle w:val="Heading1"/>
        <w:rPr>
          <w:lang w:val="en-US"/>
        </w:rPr>
      </w:pPr>
      <w:r w:rsidRPr="009732C8">
        <w:rPr>
          <w:lang w:val="en-US"/>
        </w:rPr>
        <w:lastRenderedPageBreak/>
        <w:t>Wildfires</w:t>
      </w:r>
    </w:p>
    <w:p w14:paraId="5260872B" w14:textId="42861D4E" w:rsidR="0048221C" w:rsidRPr="009732C8" w:rsidRDefault="00D52E98" w:rsidP="0048221C">
      <w:pPr>
        <w:pStyle w:val="Heading2"/>
      </w:pPr>
      <w:r>
        <w:t>2.1. I</w:t>
      </w:r>
      <w:r w:rsidR="0048221C" w:rsidRPr="009732C8">
        <w:t>gnition probability</w:t>
      </w:r>
    </w:p>
    <w:p w14:paraId="5C2E6CB6" w14:textId="65C9CA40" w:rsidR="00861362" w:rsidRDefault="00861362" w:rsidP="00DD5A3C">
      <w:pPr>
        <w:jc w:val="both"/>
        <w:rPr>
          <w:lang w:val="en-US"/>
        </w:rPr>
      </w:pPr>
      <w:r w:rsidRPr="009732C8">
        <w:rPr>
          <w:lang w:val="en-US"/>
        </w:rPr>
        <w:t xml:space="preserve">Weather conditions such as temperature, relative humidity, and wind speed are key factors in the </w:t>
      </w:r>
      <w:r w:rsidR="009732C8" w:rsidRPr="009732C8">
        <w:rPr>
          <w:lang w:val="en-US"/>
        </w:rPr>
        <w:t xml:space="preserve">probability </w:t>
      </w:r>
      <w:r w:rsidRPr="009732C8">
        <w:rPr>
          <w:lang w:val="en-US"/>
        </w:rPr>
        <w:t xml:space="preserve">estimation of </w:t>
      </w:r>
      <w:r w:rsidR="009732C8" w:rsidRPr="009732C8">
        <w:rPr>
          <w:lang w:val="en-US"/>
        </w:rPr>
        <w:t xml:space="preserve">an </w:t>
      </w:r>
      <w:r w:rsidRPr="009732C8">
        <w:rPr>
          <w:lang w:val="en-US"/>
        </w:rPr>
        <w:t>ignition</w:t>
      </w:r>
      <w:r w:rsidR="009732C8" w:rsidRPr="009732C8">
        <w:rPr>
          <w:lang w:val="en-US"/>
        </w:rPr>
        <w:t xml:space="preserve"> (small fire)</w:t>
      </w:r>
      <w:r w:rsidRPr="009732C8">
        <w:rPr>
          <w:lang w:val="en-US"/>
        </w:rPr>
        <w:t xml:space="preserve"> which can lead to a wildfire. In addition to the weather conditions, the vegetation moisture content (also known as Fuel Moisture Content, FMC) plays a key role not only in the initiation of fire (the ignition probability) but also </w:t>
      </w:r>
      <w:r w:rsidR="000A0E87" w:rsidRPr="009732C8">
        <w:rPr>
          <w:lang w:val="en-US"/>
        </w:rPr>
        <w:t>the continuation and spread of fire (fuel flammability) (Chuvieco et al., 2004).</w:t>
      </w:r>
      <w:r w:rsidR="000A0E87">
        <w:rPr>
          <w:lang w:val="en-US"/>
        </w:rPr>
        <w:t xml:space="preserve"> </w:t>
      </w:r>
    </w:p>
    <w:p w14:paraId="7C0D7820" w14:textId="77777777" w:rsidR="00F87C35" w:rsidRDefault="00F87C35" w:rsidP="00DD5A3C">
      <w:pPr>
        <w:jc w:val="both"/>
        <w:rPr>
          <w:lang w:val="en-US"/>
        </w:rPr>
      </w:pPr>
      <w:r>
        <w:rPr>
          <w:lang w:val="en-US"/>
        </w:rPr>
        <w:t>FMC can be calculated as the amount of water per day mass of fuel (vegetation):</w:t>
      </w:r>
    </w:p>
    <w:p w14:paraId="2BC6670D" w14:textId="77777777" w:rsidR="00F87C35" w:rsidRDefault="00F87C35" w:rsidP="00861362">
      <w:pPr>
        <w:rPr>
          <w:lang w:val="en-US"/>
        </w:rPr>
      </w:pPr>
      <m:oMath>
        <m:r>
          <w:rPr>
            <w:rFonts w:ascii="Cambria Math" w:hAnsi="Cambria Math"/>
            <w:lang w:val="en-US"/>
          </w:rPr>
          <m:t>FMC=</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w</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d</m:t>
                    </m:r>
                  </m:sub>
                </m:sSub>
              </m:num>
              <m:den>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d</m:t>
                    </m:r>
                  </m:sub>
                </m:sSub>
              </m:den>
            </m:f>
          </m:e>
        </m:d>
        <m:r>
          <w:rPr>
            <w:rFonts w:ascii="Cambria Math" w:hAnsi="Cambria Math"/>
            <w:lang w:val="en-US"/>
          </w:rPr>
          <m:t>×100</m:t>
        </m:r>
      </m:oMath>
      <w:r w:rsidR="003413CD">
        <w:rPr>
          <w:lang w:val="en-US"/>
        </w:rPr>
        <w:tab/>
      </w:r>
      <w:r w:rsidR="003413CD">
        <w:rPr>
          <w:lang w:val="en-US"/>
        </w:rPr>
        <w:tab/>
      </w:r>
      <w:r w:rsidR="003413CD">
        <w:rPr>
          <w:lang w:val="en-US"/>
        </w:rPr>
        <w:tab/>
      </w:r>
      <w:r w:rsidR="003413CD">
        <w:rPr>
          <w:lang w:val="en-US"/>
        </w:rPr>
        <w:tab/>
      </w:r>
      <w:r w:rsidR="003413CD">
        <w:rPr>
          <w:lang w:val="en-US"/>
        </w:rPr>
        <w:tab/>
      </w:r>
      <w:r w:rsidR="003413CD">
        <w:rPr>
          <w:lang w:val="en-US"/>
        </w:rPr>
        <w:tab/>
      </w:r>
      <w:r w:rsidR="00B83482">
        <w:rPr>
          <w:lang w:val="en-US"/>
        </w:rPr>
        <w:tab/>
      </w:r>
      <w:r w:rsidR="003413CD">
        <w:rPr>
          <w:lang w:val="en-US"/>
        </w:rPr>
        <w:tab/>
      </w:r>
      <w:r w:rsidR="008267D1">
        <w:rPr>
          <w:lang w:val="en-US"/>
        </w:rPr>
        <w:tab/>
        <w:t>(1)</w:t>
      </w:r>
    </w:p>
    <w:p w14:paraId="756C2846" w14:textId="66E18199" w:rsidR="00C8630F" w:rsidRDefault="003413CD" w:rsidP="00DD5A3C">
      <w:pPr>
        <w:jc w:val="both"/>
        <w:rPr>
          <w:lang w:val="en-US"/>
        </w:rPr>
      </w:pPr>
      <w:r>
        <w:rPr>
          <w:lang w:val="en-US"/>
        </w:rPr>
        <w:t>where W</w:t>
      </w:r>
      <w:r w:rsidRPr="003413CD">
        <w:rPr>
          <w:vertAlign w:val="subscript"/>
          <w:lang w:val="en-US"/>
        </w:rPr>
        <w:t>w</w:t>
      </w:r>
      <w:r>
        <w:rPr>
          <w:lang w:val="en-US"/>
        </w:rPr>
        <w:t xml:space="preserve"> and W</w:t>
      </w:r>
      <w:r w:rsidRPr="003413CD">
        <w:rPr>
          <w:vertAlign w:val="subscript"/>
          <w:lang w:val="en-US"/>
        </w:rPr>
        <w:t>d</w:t>
      </w:r>
      <w:r>
        <w:rPr>
          <w:lang w:val="en-US"/>
        </w:rPr>
        <w:t xml:space="preserve"> are, respectively, the wet weight and dry weight of the same sample of vegetation. FMC has been used either to define thresholds above which a wildfire cannot maintain (moisture of ext</w:t>
      </w:r>
      <w:r w:rsidR="00D52E98">
        <w:rPr>
          <w:lang w:val="en-US"/>
        </w:rPr>
        <w:t>inction) (Rothermel. 1972) or to predic</w:t>
      </w:r>
      <w:r>
        <w:rPr>
          <w:lang w:val="en-US"/>
        </w:rPr>
        <w:t>t the ignition probability (Jurdao et al., 2012).</w:t>
      </w:r>
      <w:r w:rsidR="00C92C45">
        <w:rPr>
          <w:lang w:val="en-US"/>
        </w:rPr>
        <w:t xml:space="preserve"> </w:t>
      </w:r>
      <w:r w:rsidR="00C8630F">
        <w:rPr>
          <w:lang w:val="en-US"/>
        </w:rPr>
        <w:t>For example, b</w:t>
      </w:r>
      <w:r w:rsidR="00C92C45">
        <w:rPr>
          <w:lang w:val="en-US"/>
        </w:rPr>
        <w:t xml:space="preserve">ased on the </w:t>
      </w:r>
      <w:r w:rsidR="00DD5A3C">
        <w:rPr>
          <w:lang w:val="en-US"/>
        </w:rPr>
        <w:t xml:space="preserve">measurement of FMC in different periods before a potential wildfire and using logistic regression, Jurdao et al. (2012), </w:t>
      </w:r>
      <w:r w:rsidR="00C8630F">
        <w:rPr>
          <w:lang w:val="en-US"/>
        </w:rPr>
        <w:t xml:space="preserve">developed the following relationship to </w:t>
      </w:r>
      <w:r w:rsidR="00DE7B7C">
        <w:rPr>
          <w:lang w:val="en-US"/>
        </w:rPr>
        <w:t xml:space="preserve">roughly </w:t>
      </w:r>
      <w:r w:rsidR="00C8630F">
        <w:rPr>
          <w:lang w:val="en-US"/>
        </w:rPr>
        <w:t>predict the probability</w:t>
      </w:r>
      <w:r w:rsidR="00DE7B7C">
        <w:rPr>
          <w:lang w:val="en-US"/>
        </w:rPr>
        <w:t xml:space="preserve"> of ignition (PI)</w:t>
      </w:r>
      <w:r w:rsidR="00C8630F">
        <w:rPr>
          <w:lang w:val="en-US"/>
        </w:rPr>
        <w:t xml:space="preserve"> in Spain</w:t>
      </w:r>
      <w:r w:rsidR="00DE7B7C">
        <w:rPr>
          <w:lang w:val="en-US"/>
        </w:rPr>
        <w:t>’s</w:t>
      </w:r>
      <w:r w:rsidR="00D52E98">
        <w:rPr>
          <w:lang w:val="en-US"/>
        </w:rPr>
        <w:t xml:space="preserve"> Me</w:t>
      </w:r>
      <w:r w:rsidR="00C8630F">
        <w:rPr>
          <w:lang w:val="en-US"/>
        </w:rPr>
        <w:t>dit</w:t>
      </w:r>
      <w:r w:rsidR="00D52E98">
        <w:rPr>
          <w:lang w:val="en-US"/>
        </w:rPr>
        <w:t>t</w:t>
      </w:r>
      <w:r w:rsidR="00B12F1B">
        <w:rPr>
          <w:lang w:val="en-US"/>
        </w:rPr>
        <w:t>erane</w:t>
      </w:r>
      <w:r w:rsidR="00C8630F">
        <w:rPr>
          <w:lang w:val="en-US"/>
        </w:rPr>
        <w:t>an grassland</w:t>
      </w:r>
      <w:r w:rsidR="0072480C">
        <w:rPr>
          <w:lang w:val="en-US"/>
        </w:rPr>
        <w:t>s</w:t>
      </w:r>
      <w:r w:rsidR="00C8630F">
        <w:rPr>
          <w:lang w:val="en-US"/>
        </w:rPr>
        <w:t>:</w:t>
      </w:r>
    </w:p>
    <w:p w14:paraId="5151FB5E" w14:textId="77777777" w:rsidR="00DE7B7C" w:rsidRDefault="00DE7B7C" w:rsidP="00DD5A3C">
      <w:pPr>
        <w:jc w:val="both"/>
        <w:rPr>
          <w:lang w:val="en-US"/>
        </w:rPr>
      </w:pPr>
      <m:oMath>
        <m:r>
          <w:rPr>
            <w:rFonts w:ascii="Cambria Math" w:hAnsi="Cambria Math"/>
            <w:lang w:val="en-US"/>
          </w:rPr>
          <m:t xml:space="preserve">PI=-0.012 </m:t>
        </m:r>
        <m:sSub>
          <m:sSubPr>
            <m:ctrlPr>
              <w:rPr>
                <w:rFonts w:ascii="Cambria Math" w:hAnsi="Cambria Math"/>
                <w:i/>
                <w:lang w:val="en-US"/>
              </w:rPr>
            </m:ctrlPr>
          </m:sSubPr>
          <m:e>
            <m:r>
              <w:rPr>
                <w:rFonts w:ascii="Cambria Math" w:hAnsi="Cambria Math"/>
                <w:lang w:val="en-US"/>
              </w:rPr>
              <m:t>FMC</m:t>
            </m:r>
          </m:e>
          <m:sub>
            <m:r>
              <w:rPr>
                <w:rFonts w:ascii="Cambria Math" w:hAnsi="Cambria Math"/>
                <w:lang w:val="en-US"/>
              </w:rPr>
              <m:t>8</m:t>
            </m:r>
          </m:sub>
        </m:sSub>
        <m:r>
          <w:rPr>
            <w:rFonts w:ascii="Cambria Math" w:hAnsi="Cambria Math"/>
            <w:lang w:val="en-US"/>
          </w:rPr>
          <m:t>+0.006</m:t>
        </m:r>
        <m:sSub>
          <m:sSubPr>
            <m:ctrlPr>
              <w:rPr>
                <w:rFonts w:ascii="Cambria Math" w:hAnsi="Cambria Math"/>
                <w:i/>
                <w:lang w:val="en-US"/>
              </w:rPr>
            </m:ctrlPr>
          </m:sSubPr>
          <m:e>
            <m:r>
              <w:rPr>
                <w:rFonts w:ascii="Cambria Math" w:hAnsi="Cambria Math"/>
                <w:lang w:val="en-US"/>
              </w:rPr>
              <m:t xml:space="preserve"> FMC</m:t>
            </m:r>
          </m:e>
          <m:sub>
            <m:r>
              <w:rPr>
                <w:rFonts w:ascii="Cambria Math" w:hAnsi="Cambria Math"/>
                <w:lang w:val="en-US"/>
              </w:rPr>
              <m:t>16</m:t>
            </m:r>
          </m:sub>
        </m:sSub>
        <m:r>
          <w:rPr>
            <w:rFonts w:ascii="Cambria Math" w:hAnsi="Cambria Math"/>
            <w:lang w:val="en-US"/>
          </w:rPr>
          <m:t>-2.553</m:t>
        </m:r>
      </m:oMath>
      <w:r>
        <w:rPr>
          <w:rFonts w:eastAsiaTheme="minorEastAsia"/>
          <w:lang w:val="en-US"/>
        </w:rPr>
        <w:t xml:space="preserve"> </w:t>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sidR="008267D1">
        <w:rPr>
          <w:lang w:val="en-US"/>
        </w:rPr>
        <w:tab/>
        <w:t>(2)</w:t>
      </w:r>
    </w:p>
    <w:p w14:paraId="51251B64" w14:textId="76A7F4F0" w:rsidR="008267D1" w:rsidRDefault="009732C8" w:rsidP="00DD5A3C">
      <w:pPr>
        <w:jc w:val="both"/>
        <w:rPr>
          <w:lang w:val="en-US"/>
        </w:rPr>
      </w:pPr>
      <w:r>
        <w:rPr>
          <w:lang w:val="en-US"/>
        </w:rPr>
        <w:t>w</w:t>
      </w:r>
      <w:r w:rsidR="00DE7B7C">
        <w:rPr>
          <w:lang w:val="en-US"/>
        </w:rPr>
        <w:t>here PI is the probability of ignition, FMC</w:t>
      </w:r>
      <w:r w:rsidR="00DE7B7C" w:rsidRPr="00DE7B7C">
        <w:rPr>
          <w:vertAlign w:val="subscript"/>
          <w:lang w:val="en-US"/>
        </w:rPr>
        <w:t>8</w:t>
      </w:r>
      <w:r w:rsidR="00DE7B7C">
        <w:rPr>
          <w:lang w:val="en-US"/>
        </w:rPr>
        <w:t xml:space="preserve"> and FMC</w:t>
      </w:r>
      <w:r w:rsidR="00DE7B7C" w:rsidRPr="00DE7B7C">
        <w:rPr>
          <w:vertAlign w:val="subscript"/>
          <w:lang w:val="en-US"/>
        </w:rPr>
        <w:t>16</w:t>
      </w:r>
      <w:r w:rsidR="00DE7B7C">
        <w:rPr>
          <w:lang w:val="en-US"/>
        </w:rPr>
        <w:t xml:space="preserve"> are the fuel moisture contents of the grassland measured 8 and 16 days</w:t>
      </w:r>
      <w:r>
        <w:rPr>
          <w:lang w:val="en-US"/>
        </w:rPr>
        <w:t>, respectively,</w:t>
      </w:r>
      <w:r w:rsidR="00DE7B7C">
        <w:rPr>
          <w:lang w:val="en-US"/>
        </w:rPr>
        <w:t xml:space="preserve"> before the wildfire of interest. </w:t>
      </w:r>
    </w:p>
    <w:p w14:paraId="1798A7CB" w14:textId="7435CA7B" w:rsidR="008267D1" w:rsidRDefault="00DE7B7C" w:rsidP="00DD5A3C">
      <w:pPr>
        <w:jc w:val="both"/>
        <w:rPr>
          <w:lang w:val="en-GB"/>
        </w:rPr>
      </w:pPr>
      <w:r>
        <w:rPr>
          <w:lang w:val="en-US"/>
        </w:rPr>
        <w:t>Similar efforts have been made to find the correlation between the PI and FMC (</w:t>
      </w:r>
      <w:r w:rsidRPr="00DE7B7C">
        <w:rPr>
          <w:lang w:val="en-GB"/>
        </w:rPr>
        <w:t>Larjavaara</w:t>
      </w:r>
      <w:r>
        <w:rPr>
          <w:lang w:val="en-GB"/>
        </w:rPr>
        <w:t xml:space="preserve"> et al., 2004). </w:t>
      </w:r>
      <w:r w:rsidR="005567E5">
        <w:rPr>
          <w:lang w:val="en-GB"/>
        </w:rPr>
        <w:t xml:space="preserve">Lawson et al. (1996) developed an application </w:t>
      </w:r>
      <w:r w:rsidR="005C31AB">
        <w:rPr>
          <w:lang w:val="en-GB"/>
        </w:rPr>
        <w:t xml:space="preserve">called Wildfire Ignition Probability Predictor (WIPP) to predict, on an hourly or daily basis, the </w:t>
      </w:r>
      <w:r w:rsidR="00FE426E">
        <w:rPr>
          <w:lang w:val="en-GB"/>
        </w:rPr>
        <w:t xml:space="preserve">igniting </w:t>
      </w:r>
      <w:r w:rsidR="005C31AB">
        <w:rPr>
          <w:lang w:val="en-GB"/>
        </w:rPr>
        <w:t xml:space="preserve">probability of </w:t>
      </w:r>
      <w:r w:rsidR="00FE426E">
        <w:rPr>
          <w:lang w:val="en-GB"/>
        </w:rPr>
        <w:t xml:space="preserve">man-made </w:t>
      </w:r>
      <w:r w:rsidR="005C31AB">
        <w:rPr>
          <w:lang w:val="en-GB"/>
        </w:rPr>
        <w:t>wildfire</w:t>
      </w:r>
      <w:r w:rsidR="00FE426E">
        <w:rPr>
          <w:lang w:val="en-GB"/>
        </w:rPr>
        <w:t>s</w:t>
      </w:r>
      <w:r w:rsidR="005C31AB">
        <w:rPr>
          <w:lang w:val="en-GB"/>
        </w:rPr>
        <w:t xml:space="preserve"> </w:t>
      </w:r>
      <w:r w:rsidR="00FE426E">
        <w:rPr>
          <w:lang w:val="en-GB"/>
        </w:rPr>
        <w:t xml:space="preserve">(e.g., </w:t>
      </w:r>
      <w:r w:rsidR="009732C8">
        <w:rPr>
          <w:lang w:val="en-GB"/>
        </w:rPr>
        <w:t xml:space="preserve">those caused by </w:t>
      </w:r>
      <w:r w:rsidR="00FE426E">
        <w:rPr>
          <w:lang w:val="en-GB"/>
        </w:rPr>
        <w:t xml:space="preserve">matches, campfires, etc.) in British Columbia forests. Based on </w:t>
      </w:r>
      <w:r w:rsidR="009732C8">
        <w:rPr>
          <w:lang w:val="en-GB"/>
        </w:rPr>
        <w:t xml:space="preserve">the </w:t>
      </w:r>
      <w:r w:rsidR="00FE426E">
        <w:rPr>
          <w:lang w:val="en-GB"/>
        </w:rPr>
        <w:t xml:space="preserve">calculations of </w:t>
      </w:r>
      <w:r w:rsidR="009732C8">
        <w:rPr>
          <w:lang w:val="en-GB"/>
        </w:rPr>
        <w:t>F</w:t>
      </w:r>
      <w:r w:rsidR="00FE426E">
        <w:rPr>
          <w:lang w:val="en-GB"/>
        </w:rPr>
        <w:t>FMC (Fine Fuel Moisture Code) and 10-meter</w:t>
      </w:r>
      <w:r w:rsidR="005C31AB">
        <w:rPr>
          <w:lang w:val="en-GB"/>
        </w:rPr>
        <w:t xml:space="preserve"> </w:t>
      </w:r>
      <w:r w:rsidR="00FE426E">
        <w:rPr>
          <w:lang w:val="en-GB"/>
        </w:rPr>
        <w:t>wind speed, WIPP estimates PI in three categories as low (0-50%), medium (50-75%), and high (75-100%)</w:t>
      </w:r>
      <w:r w:rsidR="00934964">
        <w:rPr>
          <w:lang w:val="en-GB"/>
        </w:rPr>
        <w:t xml:space="preserve"> for dry/moist lodge</w:t>
      </w:r>
      <w:r w:rsidR="00B12F1B">
        <w:rPr>
          <w:lang w:val="en-GB"/>
        </w:rPr>
        <w:t xml:space="preserve"> </w:t>
      </w:r>
      <w:r w:rsidR="00934964">
        <w:rPr>
          <w:lang w:val="en-GB"/>
        </w:rPr>
        <w:t>pole pine and spruce forests</w:t>
      </w:r>
      <w:r w:rsidR="00FE426E">
        <w:rPr>
          <w:lang w:val="en-GB"/>
        </w:rPr>
        <w:t xml:space="preserve">. </w:t>
      </w:r>
    </w:p>
    <w:p w14:paraId="5669CFC4" w14:textId="49B7B53D" w:rsidR="00DE7B7C" w:rsidRPr="00766C2F" w:rsidRDefault="00407C88" w:rsidP="00DD5A3C">
      <w:pPr>
        <w:jc w:val="both"/>
        <w:rPr>
          <w:lang w:val="en-GB"/>
        </w:rPr>
      </w:pPr>
      <w:r>
        <w:rPr>
          <w:lang w:val="en-GB"/>
        </w:rPr>
        <w:t xml:space="preserve">Taking into account various spatial and temporal parameters, Preisler et al. (2004) used a logistic regression technique to predict </w:t>
      </w:r>
      <w:r w:rsidR="00385F4E">
        <w:rPr>
          <w:lang w:val="en-GB"/>
        </w:rPr>
        <w:t>the probability of small fires</w:t>
      </w:r>
      <w:r w:rsidR="00EF5886">
        <w:rPr>
          <w:lang w:val="en-GB"/>
        </w:rPr>
        <w:t xml:space="preserve"> (equivalent to PI)</w:t>
      </w:r>
      <w:r w:rsidR="00385F4E">
        <w:rPr>
          <w:lang w:val="en-GB"/>
        </w:rPr>
        <w:t xml:space="preserve">, that is, fire in an area of 0.04 ha, based on parameters such as burning index, fire potential index, drought index, thousand-hour fuel moisture, wind speed, relative humidity, dry bulb temperature, </w:t>
      </w:r>
      <w:r w:rsidR="000F59E0">
        <w:rPr>
          <w:lang w:val="en-GB"/>
        </w:rPr>
        <w:t xml:space="preserve">day of the year, </w:t>
      </w:r>
      <w:r w:rsidR="00385F4E">
        <w:rPr>
          <w:lang w:val="en-GB"/>
        </w:rPr>
        <w:t xml:space="preserve">and elevation. </w:t>
      </w:r>
    </w:p>
    <w:p w14:paraId="345474CF" w14:textId="77777777" w:rsidR="0048221C" w:rsidRDefault="0048221C" w:rsidP="0048221C">
      <w:pPr>
        <w:pStyle w:val="Heading2"/>
      </w:pPr>
      <w:r>
        <w:lastRenderedPageBreak/>
        <w:t xml:space="preserve">2.2. </w:t>
      </w:r>
      <w:r w:rsidR="0072480C">
        <w:t>Fire spread: b</w:t>
      </w:r>
      <w:r>
        <w:t xml:space="preserve">urn probability </w:t>
      </w:r>
    </w:p>
    <w:p w14:paraId="2712048A" w14:textId="77777777" w:rsidR="008267D1" w:rsidRDefault="007A6F73" w:rsidP="0098048C">
      <w:pPr>
        <w:jc w:val="both"/>
        <w:rPr>
          <w:lang w:val="en-US"/>
        </w:rPr>
      </w:pPr>
      <w:r>
        <w:rPr>
          <w:lang w:val="en-US"/>
        </w:rPr>
        <w:t>Burn probability (PB) is the conditional probability that given a small fire somewhere in the landscape the triggered wildfire would burn a given pixel</w:t>
      </w:r>
      <w:r w:rsidR="00936547">
        <w:rPr>
          <w:lang w:val="en-US"/>
        </w:rPr>
        <w:t>.</w:t>
      </w:r>
      <w:r>
        <w:rPr>
          <w:lang w:val="en-US"/>
        </w:rPr>
        <w:t xml:space="preserve"> </w:t>
      </w:r>
    </w:p>
    <w:p w14:paraId="7944E5B7" w14:textId="5464466A" w:rsidR="008267D1" w:rsidRDefault="0042188E" w:rsidP="0098048C">
      <w:pPr>
        <w:jc w:val="both"/>
        <w:rPr>
          <w:lang w:val="en-US"/>
        </w:rPr>
      </w:pPr>
      <w:r>
        <w:rPr>
          <w:lang w:val="en-US"/>
        </w:rPr>
        <w:t xml:space="preserve">Estimating PB is challenging as the </w:t>
      </w:r>
      <w:r w:rsidR="0098048C" w:rsidRPr="0098048C">
        <w:rPr>
          <w:lang w:val="en-US"/>
        </w:rPr>
        <w:t xml:space="preserve">spread </w:t>
      </w:r>
      <w:r>
        <w:rPr>
          <w:lang w:val="en-US"/>
        </w:rPr>
        <w:t xml:space="preserve">of wildfire to a given pixel </w:t>
      </w:r>
      <w:r w:rsidR="0098048C" w:rsidRPr="0098048C">
        <w:rPr>
          <w:lang w:val="en-US"/>
        </w:rPr>
        <w:t>is a complicated process affected by many f</w:t>
      </w:r>
      <w:r w:rsidR="00EF5886">
        <w:rPr>
          <w:lang w:val="en-US"/>
        </w:rPr>
        <w:t>actors such as</w:t>
      </w:r>
      <w:r w:rsidR="0098048C" w:rsidRPr="0098048C">
        <w:rPr>
          <w:lang w:val="en-US"/>
        </w:rPr>
        <w:t xml:space="preserve"> </w:t>
      </w:r>
      <w:r w:rsidR="00EF5886">
        <w:rPr>
          <w:lang w:val="en-US"/>
        </w:rPr>
        <w:t xml:space="preserve">the </w:t>
      </w:r>
      <w:r w:rsidR="0098048C" w:rsidRPr="0098048C">
        <w:rPr>
          <w:lang w:val="en-US"/>
        </w:rPr>
        <w:t>type of vegetation (fuel), weather conditions, and land topology. These factors</w:t>
      </w:r>
      <w:r>
        <w:rPr>
          <w:lang w:val="en-US"/>
        </w:rPr>
        <w:t>,</w:t>
      </w:r>
      <w:r w:rsidR="0098048C" w:rsidRPr="0098048C">
        <w:rPr>
          <w:lang w:val="en-US"/>
        </w:rPr>
        <w:t xml:space="preserve"> in turn</w:t>
      </w:r>
      <w:r>
        <w:rPr>
          <w:lang w:val="en-US"/>
        </w:rPr>
        <w:t>,</w:t>
      </w:r>
      <w:r w:rsidR="0098048C" w:rsidRPr="0098048C">
        <w:rPr>
          <w:lang w:val="en-US"/>
        </w:rPr>
        <w:t xml:space="preserve"> consist of several key parameters such as the flammability of fuel, vertical arrang</w:t>
      </w:r>
      <w:r w:rsidR="00B12F1B">
        <w:rPr>
          <w:lang w:val="en-US"/>
        </w:rPr>
        <w:t>e</w:t>
      </w:r>
      <w:r w:rsidR="0098048C" w:rsidRPr="0098048C">
        <w:rPr>
          <w:lang w:val="en-US"/>
        </w:rPr>
        <w:t>ment of fuel, moisture content of fuel, wind speed and direction, relative humidity, and the transition between the surface fire (fire spreading on the land) and the crown fire (fire spread on the top of the trees). Furthermore, other parameters such as the ori</w:t>
      </w:r>
      <w:r w:rsidR="00B12F1B">
        <w:rPr>
          <w:lang w:val="en-US"/>
        </w:rPr>
        <w:t>an</w:t>
      </w:r>
      <w:r w:rsidR="0098048C" w:rsidRPr="0098048C">
        <w:rPr>
          <w:lang w:val="en-US"/>
        </w:rPr>
        <w:t xml:space="preserve">tion of fire (downhill or uphill) matter in fire spread. </w:t>
      </w:r>
      <w:r w:rsidR="00EF5886" w:rsidRPr="00EF5886">
        <w:rPr>
          <w:lang w:val="en-US"/>
        </w:rPr>
        <w:t>Preisler et al. (2004) employed logistic regression using nearly the same parameters as they used to predict PI (see Section 2.1) to predict the probability of a small fire becoming a large fire (in an area greater than 0.04 ha), equivalent to the probability of burning (PB).</w:t>
      </w:r>
    </w:p>
    <w:p w14:paraId="632D9789" w14:textId="496AE781" w:rsidR="00C172DB" w:rsidRDefault="0042188E" w:rsidP="0098048C">
      <w:pPr>
        <w:jc w:val="both"/>
        <w:rPr>
          <w:lang w:val="en-US"/>
        </w:rPr>
      </w:pPr>
      <w:r>
        <w:rPr>
          <w:lang w:val="en-US"/>
        </w:rPr>
        <w:t xml:space="preserve">PB </w:t>
      </w:r>
      <w:r w:rsidR="00EF5886">
        <w:rPr>
          <w:lang w:val="en-US"/>
        </w:rPr>
        <w:t xml:space="preserve">can also be </w:t>
      </w:r>
      <w:r>
        <w:rPr>
          <w:lang w:val="en-US"/>
        </w:rPr>
        <w:t xml:space="preserve">estimated as the relative frequency of burning where stochastic (or Monte Carlo) wildfire simulation models are being run thousands of times, counting the number of times a certain pixel is burnt (Scott et al., 2013). </w:t>
      </w:r>
      <w:r w:rsidR="00C172DB">
        <w:rPr>
          <w:lang w:val="en-US"/>
        </w:rPr>
        <w:t>Having the probability of a small fire (or PI) and the conditional probability of a large fire given a small fire (or PB), the unconditional probability of a wildfire can be estimated as:</w:t>
      </w:r>
    </w:p>
    <w:p w14:paraId="671B5EEC" w14:textId="77777777" w:rsidR="00C172DB" w:rsidRDefault="00C172DB" w:rsidP="0098048C">
      <w:pPr>
        <w:jc w:val="both"/>
        <w:rPr>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Wildfire</m:t>
            </m:r>
          </m:e>
        </m:d>
        <m:r>
          <w:rPr>
            <w:rFonts w:ascii="Cambria Math" w:hAnsi="Cambria Math"/>
            <w:lang w:val="en-US"/>
          </w:rPr>
          <m:t>=P</m:t>
        </m:r>
        <m:d>
          <m:dPr>
            <m:ctrlPr>
              <w:rPr>
                <w:rFonts w:ascii="Cambria Math" w:hAnsi="Cambria Math"/>
                <w:i/>
                <w:lang w:val="en-US"/>
              </w:rPr>
            </m:ctrlPr>
          </m:dPr>
          <m:e>
            <m:r>
              <w:rPr>
                <w:rFonts w:ascii="Cambria Math" w:hAnsi="Cambria Math"/>
                <w:lang w:val="en-US"/>
              </w:rPr>
              <m:t>Small fire</m:t>
            </m:r>
          </m:e>
        </m:d>
        <m:r>
          <w:rPr>
            <w:rFonts w:ascii="Cambria Math" w:hAnsi="Cambria Math"/>
            <w:lang w:val="en-US"/>
          </w:rPr>
          <m:t>. P</m:t>
        </m:r>
        <m:d>
          <m:dPr>
            <m:ctrlPr>
              <w:rPr>
                <w:rFonts w:ascii="Cambria Math" w:hAnsi="Cambria Math"/>
                <w:i/>
                <w:lang w:val="en-US"/>
              </w:rPr>
            </m:ctrlPr>
          </m:dPr>
          <m:e>
            <m:r>
              <w:rPr>
                <w:rFonts w:ascii="Cambria Math" w:hAnsi="Cambria Math"/>
                <w:lang w:val="en-US"/>
              </w:rPr>
              <m:t>Wildfire</m:t>
            </m:r>
          </m:e>
          <m:e>
            <m:r>
              <w:rPr>
                <w:rFonts w:ascii="Cambria Math" w:hAnsi="Cambria Math"/>
                <w:lang w:val="en-US"/>
              </w:rPr>
              <m:t>Small fire</m:t>
            </m:r>
          </m:e>
        </m:d>
        <m:r>
          <w:rPr>
            <w:rFonts w:ascii="Cambria Math" w:hAnsi="Cambria Math"/>
            <w:lang w:val="en-US"/>
          </w:rPr>
          <m:t>=PI.PB</m:t>
        </m:r>
      </m:oMath>
      <w:r>
        <w:rPr>
          <w:lang w:val="en-US"/>
        </w:rPr>
        <w:t xml:space="preserve"> </w:t>
      </w:r>
      <w:r>
        <w:rPr>
          <w:lang w:val="en-US"/>
        </w:rPr>
        <w:tab/>
      </w:r>
      <w:r>
        <w:rPr>
          <w:lang w:val="en-US"/>
        </w:rPr>
        <w:tab/>
      </w:r>
      <w:r w:rsidR="008267D1">
        <w:rPr>
          <w:lang w:val="en-US"/>
        </w:rPr>
        <w:tab/>
      </w:r>
      <w:r>
        <w:rPr>
          <w:lang w:val="en-US"/>
        </w:rPr>
        <w:tab/>
      </w:r>
      <w:r w:rsidR="008267D1">
        <w:rPr>
          <w:lang w:val="en-US"/>
        </w:rPr>
        <w:t>(3)</w:t>
      </w:r>
    </w:p>
    <w:p w14:paraId="2015831D" w14:textId="66713990" w:rsidR="008267D1" w:rsidRDefault="0098048C" w:rsidP="005952AB">
      <w:pPr>
        <w:jc w:val="both"/>
        <w:rPr>
          <w:lang w:val="en-US"/>
        </w:rPr>
      </w:pPr>
      <w:r w:rsidRPr="0098048C">
        <w:rPr>
          <w:lang w:val="en-US"/>
        </w:rPr>
        <w:t>Models developed for wildfire spread simulation include empirical, semi-empirical, and physical models (Pastor et al., 2003). Some of these models such as FARSITE</w:t>
      </w:r>
      <w:r>
        <w:rPr>
          <w:rStyle w:val="FootnoteReference"/>
          <w:lang w:val="en-US"/>
        </w:rPr>
        <w:footnoteReference w:id="1"/>
      </w:r>
      <w:r w:rsidRPr="0098048C">
        <w:rPr>
          <w:lang w:val="en-US"/>
        </w:rPr>
        <w:t xml:space="preserve"> (Finney, 1998)</w:t>
      </w:r>
      <w:r w:rsidR="007F5DC9">
        <w:rPr>
          <w:lang w:val="en-US"/>
        </w:rPr>
        <w:t xml:space="preserve"> and </w:t>
      </w:r>
      <w:r w:rsidR="00EA5E4C">
        <w:rPr>
          <w:lang w:val="en-US"/>
        </w:rPr>
        <w:t>BehavePlus (</w:t>
      </w:r>
      <w:r w:rsidR="00EA5E4C" w:rsidRPr="00EA5E4C">
        <w:rPr>
          <w:lang w:val="en-US"/>
        </w:rPr>
        <w:t>Andrews</w:t>
      </w:r>
      <w:r w:rsidR="00EA5E4C">
        <w:rPr>
          <w:lang w:val="en-US"/>
        </w:rPr>
        <w:t>, 2013)</w:t>
      </w:r>
      <w:r w:rsidRPr="0098048C">
        <w:rPr>
          <w:lang w:val="en-US"/>
        </w:rPr>
        <w:t xml:space="preserve"> need detail</w:t>
      </w:r>
      <w:r w:rsidR="00CC4C42">
        <w:rPr>
          <w:lang w:val="en-US"/>
        </w:rPr>
        <w:t>ed</w:t>
      </w:r>
      <w:r w:rsidRPr="0098048C">
        <w:rPr>
          <w:lang w:val="en-US"/>
        </w:rPr>
        <w:t xml:space="preserve"> spatial information on topography, fuels, and weather conditions which is not readily available for many locations of interest. </w:t>
      </w:r>
      <w:r w:rsidR="007F5DC9">
        <w:rPr>
          <w:lang w:val="en-US"/>
        </w:rPr>
        <w:t xml:space="preserve">A comprehensive review of wildfire simulation models can be found in </w:t>
      </w:r>
      <w:r w:rsidR="007F5DC9" w:rsidRPr="007F5DC9">
        <w:rPr>
          <w:lang w:val="en-US"/>
        </w:rPr>
        <w:t>Papadopoulos</w:t>
      </w:r>
      <w:r w:rsidR="007F5DC9">
        <w:rPr>
          <w:lang w:val="en-US"/>
        </w:rPr>
        <w:t xml:space="preserve"> and </w:t>
      </w:r>
      <w:r w:rsidR="007F5DC9" w:rsidRPr="007F5DC9">
        <w:rPr>
          <w:lang w:val="en-US"/>
        </w:rPr>
        <w:t>Pavlidou</w:t>
      </w:r>
      <w:r w:rsidR="007F5DC9">
        <w:rPr>
          <w:lang w:val="en-US"/>
        </w:rPr>
        <w:t xml:space="preserve"> (2010). </w:t>
      </w:r>
    </w:p>
    <w:p w14:paraId="7453C147" w14:textId="20BA453F" w:rsidR="0098048C" w:rsidRPr="0098048C" w:rsidRDefault="0098048C" w:rsidP="005952AB">
      <w:pPr>
        <w:jc w:val="both"/>
        <w:rPr>
          <w:lang w:val="en-US"/>
        </w:rPr>
      </w:pPr>
      <w:r w:rsidRPr="0098048C">
        <w:rPr>
          <w:lang w:val="en-US"/>
        </w:rPr>
        <w:t xml:space="preserve">In the present study, to foresee whether an ignition (a </w:t>
      </w:r>
      <w:r w:rsidR="00C172DB">
        <w:rPr>
          <w:lang w:val="en-US"/>
        </w:rPr>
        <w:t>small</w:t>
      </w:r>
      <w:r w:rsidRPr="0098048C">
        <w:rPr>
          <w:lang w:val="en-US"/>
        </w:rPr>
        <w:t xml:space="preserve"> fire) </w:t>
      </w:r>
      <w:r w:rsidR="00A47E48">
        <w:rPr>
          <w:lang w:val="en-US"/>
        </w:rPr>
        <w:t xml:space="preserve">would become </w:t>
      </w:r>
      <w:r w:rsidRPr="0098048C">
        <w:rPr>
          <w:lang w:val="en-US"/>
        </w:rPr>
        <w:t>a wildfire, a simplistic forest-fire model (Drossel and Schwabl, 1992</w:t>
      </w:r>
      <w:r w:rsidR="00EF5886">
        <w:rPr>
          <w:lang w:val="en-US"/>
        </w:rPr>
        <w:t>)</w:t>
      </w:r>
      <w:r w:rsidR="00CC4C42">
        <w:rPr>
          <w:lang w:val="en-US"/>
        </w:rPr>
        <w:t xml:space="preserve"> is used</w:t>
      </w:r>
      <w:r w:rsidRPr="0098048C">
        <w:rPr>
          <w:lang w:val="en-US"/>
        </w:rPr>
        <w:t xml:space="preserve">. The model developed by Drossel and Schwabl (1992) consists of </w:t>
      </w:r>
      <w:r w:rsidR="00FE074B">
        <w:rPr>
          <w:lang w:val="en-US"/>
        </w:rPr>
        <w:t xml:space="preserve">the following </w:t>
      </w:r>
      <w:r w:rsidRPr="0098048C">
        <w:rPr>
          <w:lang w:val="en-US"/>
        </w:rPr>
        <w:t xml:space="preserve">steps: </w:t>
      </w:r>
    </w:p>
    <w:p w14:paraId="4C2AC783" w14:textId="77777777" w:rsidR="0098048C" w:rsidRPr="005952AB" w:rsidRDefault="0098048C" w:rsidP="005952AB">
      <w:pPr>
        <w:pStyle w:val="ListParagraph"/>
        <w:numPr>
          <w:ilvl w:val="0"/>
          <w:numId w:val="9"/>
        </w:numPr>
        <w:jc w:val="both"/>
        <w:rPr>
          <w:lang w:val="en-US"/>
        </w:rPr>
      </w:pPr>
      <w:r w:rsidRPr="005952AB">
        <w:rPr>
          <w:lang w:val="en-US"/>
        </w:rPr>
        <w:t xml:space="preserve">considering the fuelscape as a grid, each cell can have three states: “empty”, “occupied by a tree”, and “a burning tree”, </w:t>
      </w:r>
    </w:p>
    <w:p w14:paraId="2034DD36" w14:textId="77777777" w:rsidR="0098048C" w:rsidRPr="005952AB" w:rsidRDefault="0098048C" w:rsidP="005952AB">
      <w:pPr>
        <w:pStyle w:val="ListParagraph"/>
        <w:numPr>
          <w:ilvl w:val="0"/>
          <w:numId w:val="9"/>
        </w:numPr>
        <w:jc w:val="both"/>
        <w:rPr>
          <w:lang w:val="en-US"/>
        </w:rPr>
      </w:pPr>
      <w:r w:rsidRPr="005952AB">
        <w:rPr>
          <w:lang w:val="en-US"/>
        </w:rPr>
        <w:lastRenderedPageBreak/>
        <w:t xml:space="preserve">fire from a burning tree can spread with a probability </w:t>
      </w:r>
      <w:r w:rsidR="00FE074B">
        <w:rPr>
          <w:lang w:val="en-US"/>
        </w:rPr>
        <w:t xml:space="preserve">of </w:t>
      </w:r>
      <w:r w:rsidRPr="005952AB">
        <w:rPr>
          <w:lang w:val="en-US"/>
        </w:rPr>
        <w:t>θ to other trees (if any) in its Moore neighborhood (i.e., at most eight other trees),</w:t>
      </w:r>
    </w:p>
    <w:p w14:paraId="27171452" w14:textId="77777777" w:rsidR="0098048C" w:rsidRPr="005952AB" w:rsidRDefault="0098048C" w:rsidP="005952AB">
      <w:pPr>
        <w:pStyle w:val="ListParagraph"/>
        <w:numPr>
          <w:ilvl w:val="0"/>
          <w:numId w:val="9"/>
        </w:numPr>
        <w:jc w:val="both"/>
        <w:rPr>
          <w:lang w:val="en-US"/>
        </w:rPr>
      </w:pPr>
      <w:r w:rsidRPr="005952AB">
        <w:rPr>
          <w:lang w:val="en-US"/>
        </w:rPr>
        <w:t xml:space="preserve">a tree can ignite with a probability </w:t>
      </w:r>
      <w:r w:rsidR="00FE074B">
        <w:rPr>
          <w:lang w:val="en-US"/>
        </w:rPr>
        <w:t xml:space="preserve">of </w:t>
      </w:r>
      <w:r w:rsidRPr="005952AB">
        <w:rPr>
          <w:lang w:val="en-US"/>
        </w:rPr>
        <w:t>σ even if no other tree in its neighborhood is on fire,</w:t>
      </w:r>
    </w:p>
    <w:p w14:paraId="3B734E01" w14:textId="1DFF43EA" w:rsidR="00861362" w:rsidRPr="005952AB" w:rsidRDefault="0098048C" w:rsidP="005952AB">
      <w:pPr>
        <w:pStyle w:val="ListParagraph"/>
        <w:numPr>
          <w:ilvl w:val="0"/>
          <w:numId w:val="9"/>
        </w:numPr>
        <w:jc w:val="both"/>
        <w:rPr>
          <w:lang w:val="en-US"/>
        </w:rPr>
      </w:pPr>
      <w:r w:rsidRPr="005952AB">
        <w:rPr>
          <w:lang w:val="en-US"/>
        </w:rPr>
        <w:t xml:space="preserve">an empty cell can be filled with a probability </w:t>
      </w:r>
      <w:r w:rsidR="00FE074B">
        <w:rPr>
          <w:lang w:val="en-US"/>
        </w:rPr>
        <w:t xml:space="preserve">of </w:t>
      </w:r>
      <w:r w:rsidRPr="005952AB">
        <w:rPr>
          <w:lang w:val="en-US"/>
        </w:rPr>
        <w:t>λ with a tree (usually con</w:t>
      </w:r>
      <w:r w:rsidR="00B12F1B">
        <w:rPr>
          <w:lang w:val="en-US"/>
        </w:rPr>
        <w:t>sid</w:t>
      </w:r>
      <w:r w:rsidRPr="005952AB">
        <w:rPr>
          <w:lang w:val="en-US"/>
        </w:rPr>
        <w:t>ered if time between two sequential fires would be long enough to allow for growing new plan</w:t>
      </w:r>
      <w:r w:rsidR="00B12F1B">
        <w:rPr>
          <w:lang w:val="en-US"/>
        </w:rPr>
        <w:t>t</w:t>
      </w:r>
      <w:r w:rsidRPr="005952AB">
        <w:rPr>
          <w:lang w:val="en-US"/>
        </w:rPr>
        <w:t>ation).</w:t>
      </w:r>
      <w:r w:rsidR="00271C04" w:rsidRPr="005952AB">
        <w:rPr>
          <w:lang w:val="en-US"/>
        </w:rPr>
        <w:t xml:space="preserve"> </w:t>
      </w:r>
    </w:p>
    <w:p w14:paraId="51844964" w14:textId="77777777" w:rsidR="0048221C" w:rsidRDefault="0048221C" w:rsidP="0048221C">
      <w:pPr>
        <w:pStyle w:val="Heading2"/>
      </w:pPr>
      <w:r>
        <w:t>2.3 Fire intensity</w:t>
      </w:r>
    </w:p>
    <w:p w14:paraId="5B0050AD" w14:textId="5CE294FA" w:rsidR="0034195E" w:rsidRPr="0034195E" w:rsidRDefault="00A94226" w:rsidP="00DF6769">
      <w:pPr>
        <w:jc w:val="both"/>
        <w:rPr>
          <w:lang w:val="en-US"/>
        </w:rPr>
      </w:pPr>
      <w:r>
        <w:rPr>
          <w:lang w:val="en-US"/>
        </w:rPr>
        <w:t>C</w:t>
      </w:r>
      <w:r w:rsidR="00DF6769">
        <w:rPr>
          <w:lang w:val="en-US"/>
        </w:rPr>
        <w:t>ompared to other wildfire parameters, fire intensity contains as much information about a fire’s behaviour as can be presented via a single number</w:t>
      </w:r>
      <w:r>
        <w:rPr>
          <w:lang w:val="en-US"/>
        </w:rPr>
        <w:t xml:space="preserve"> (van Wagner, 1977)</w:t>
      </w:r>
      <w:r w:rsidR="00DF6769">
        <w:rPr>
          <w:lang w:val="en-US"/>
        </w:rPr>
        <w:t xml:space="preserve">.  </w:t>
      </w:r>
      <w:r w:rsidR="0034195E" w:rsidRPr="0034195E">
        <w:rPr>
          <w:lang w:val="en-US"/>
        </w:rPr>
        <w:t>Fire</w:t>
      </w:r>
      <w:r w:rsidR="00700B06">
        <w:rPr>
          <w:lang w:val="en-US"/>
        </w:rPr>
        <w:t xml:space="preserve"> </w:t>
      </w:r>
      <w:r w:rsidR="0034195E" w:rsidRPr="0034195E">
        <w:rPr>
          <w:lang w:val="en-US"/>
        </w:rPr>
        <w:t xml:space="preserve">line intensity is the rate of heat release per unit </w:t>
      </w:r>
      <w:r w:rsidR="00CC4DCD">
        <w:rPr>
          <w:lang w:val="en-US"/>
        </w:rPr>
        <w:t xml:space="preserve">time per unit </w:t>
      </w:r>
      <w:r w:rsidR="0034195E" w:rsidRPr="0034195E">
        <w:rPr>
          <w:lang w:val="en-US"/>
        </w:rPr>
        <w:t xml:space="preserve">length of </w:t>
      </w:r>
      <w:r w:rsidR="00CC4DCD">
        <w:rPr>
          <w:lang w:val="en-US"/>
        </w:rPr>
        <w:t>fire</w:t>
      </w:r>
      <w:r w:rsidR="0034195E" w:rsidRPr="0034195E">
        <w:rPr>
          <w:lang w:val="en-US"/>
        </w:rPr>
        <w:t xml:space="preserve"> front (</w:t>
      </w:r>
      <w:r w:rsidR="00CC4DCD">
        <w:rPr>
          <w:lang w:val="en-US"/>
        </w:rPr>
        <w:t xml:space="preserve">kJ/s.m or </w:t>
      </w:r>
      <w:r w:rsidR="0034195E" w:rsidRPr="0034195E">
        <w:rPr>
          <w:lang w:val="en-US"/>
        </w:rPr>
        <w:t xml:space="preserve">kW/m), regardless of its depth. </w:t>
      </w:r>
      <w:r w:rsidR="000C2B84">
        <w:rPr>
          <w:lang w:val="en-US"/>
        </w:rPr>
        <w:t>Fire</w:t>
      </w:r>
      <w:r w:rsidR="00CC4DCD">
        <w:rPr>
          <w:lang w:val="en-US"/>
        </w:rPr>
        <w:t xml:space="preserve"> intensity (I), also known as</w:t>
      </w:r>
      <w:r w:rsidR="0034195E" w:rsidRPr="0034195E">
        <w:rPr>
          <w:lang w:val="en-US"/>
        </w:rPr>
        <w:t xml:space="preserve"> Byram’s fire</w:t>
      </w:r>
      <w:r w:rsidR="00700B06">
        <w:rPr>
          <w:lang w:val="en-US"/>
        </w:rPr>
        <w:t xml:space="preserve"> </w:t>
      </w:r>
      <w:r w:rsidR="000C2B84">
        <w:rPr>
          <w:lang w:val="en-US"/>
        </w:rPr>
        <w:t>line</w:t>
      </w:r>
      <w:r w:rsidR="0034195E" w:rsidRPr="0034195E">
        <w:rPr>
          <w:lang w:val="en-US"/>
        </w:rPr>
        <w:t xml:space="preserve"> intensity</w:t>
      </w:r>
      <w:r w:rsidR="000C2B84">
        <w:rPr>
          <w:lang w:val="en-US"/>
        </w:rPr>
        <w:t xml:space="preserve"> or frontal fire intensity</w:t>
      </w:r>
      <w:r w:rsidR="00CC4DCD">
        <w:rPr>
          <w:lang w:val="en-US"/>
        </w:rPr>
        <w:t xml:space="preserve">, </w:t>
      </w:r>
      <w:r w:rsidR="0034195E" w:rsidRPr="0034195E">
        <w:rPr>
          <w:lang w:val="en-US"/>
        </w:rPr>
        <w:t xml:space="preserve"> </w:t>
      </w:r>
      <w:r w:rsidR="00CC4DCD">
        <w:rPr>
          <w:lang w:val="en-US"/>
        </w:rPr>
        <w:t>can be calculated as</w:t>
      </w:r>
      <w:r w:rsidR="0034195E" w:rsidRPr="0034195E">
        <w:rPr>
          <w:lang w:val="en-US"/>
        </w:rPr>
        <w:t xml:space="preserve"> (Byram, 1959)</w:t>
      </w:r>
      <w:r w:rsidR="00CC4DCD">
        <w:rPr>
          <w:lang w:val="en-US"/>
        </w:rPr>
        <w:t>:</w:t>
      </w:r>
      <w:r w:rsidR="0034195E" w:rsidRPr="0034195E">
        <w:rPr>
          <w:lang w:val="en-US"/>
        </w:rPr>
        <w:t xml:space="preserve"> </w:t>
      </w:r>
    </w:p>
    <w:p w14:paraId="3623E466" w14:textId="77777777" w:rsidR="0034195E" w:rsidRPr="0034195E" w:rsidRDefault="0087776D" w:rsidP="00DF6769">
      <w:pPr>
        <w:jc w:val="both"/>
        <w:rPr>
          <w:lang w:val="en-US"/>
        </w:rPr>
      </w:pPr>
      <m:oMath>
        <m:r>
          <w:rPr>
            <w:rFonts w:ascii="Cambria Math" w:hAnsi="Cambria Math"/>
            <w:lang w:val="en-US"/>
          </w:rPr>
          <m:t>I=H.w.r</m:t>
        </m:r>
      </m:oMath>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sidR="007F5DC9">
        <w:rPr>
          <w:lang w:val="en-US"/>
        </w:rPr>
        <w:tab/>
        <w:t>(4)</w:t>
      </w:r>
    </w:p>
    <w:p w14:paraId="19FDF7F2" w14:textId="77777777" w:rsidR="001E463B" w:rsidRDefault="0034195E" w:rsidP="00DF6769">
      <w:pPr>
        <w:jc w:val="both"/>
        <w:rPr>
          <w:lang w:val="en-US"/>
        </w:rPr>
      </w:pPr>
      <w:r w:rsidRPr="0034195E">
        <w:rPr>
          <w:lang w:val="en-US"/>
        </w:rPr>
        <w:t xml:space="preserve">where H (kJ/kg) </w:t>
      </w:r>
      <w:r w:rsidR="00313F0A">
        <w:rPr>
          <w:lang w:val="en-US"/>
        </w:rPr>
        <w:t xml:space="preserve">is </w:t>
      </w:r>
      <w:r w:rsidRPr="0034195E">
        <w:rPr>
          <w:lang w:val="en-US"/>
        </w:rPr>
        <w:t xml:space="preserve">the fuel </w:t>
      </w:r>
      <w:r w:rsidR="00313F0A">
        <w:rPr>
          <w:lang w:val="en-US"/>
        </w:rPr>
        <w:t>low heat of combustion, w</w:t>
      </w:r>
      <w:r w:rsidRPr="0034195E">
        <w:rPr>
          <w:lang w:val="en-US"/>
        </w:rPr>
        <w:t xml:space="preserve"> (kg/m</w:t>
      </w:r>
      <w:r w:rsidRPr="00313F0A">
        <w:rPr>
          <w:vertAlign w:val="superscript"/>
          <w:lang w:val="en-US"/>
        </w:rPr>
        <w:t>2</w:t>
      </w:r>
      <w:r w:rsidRPr="0034195E">
        <w:rPr>
          <w:lang w:val="en-US"/>
        </w:rPr>
        <w:t xml:space="preserve">) </w:t>
      </w:r>
      <w:r w:rsidR="00313F0A">
        <w:rPr>
          <w:lang w:val="en-US"/>
        </w:rPr>
        <w:t xml:space="preserve">is the weight of </w:t>
      </w:r>
      <w:r w:rsidRPr="0034195E">
        <w:rPr>
          <w:lang w:val="en-US"/>
        </w:rPr>
        <w:t>fuel</w:t>
      </w:r>
      <w:r w:rsidR="00313F0A">
        <w:rPr>
          <w:lang w:val="en-US"/>
        </w:rPr>
        <w:t xml:space="preserve"> </w:t>
      </w:r>
      <w:r w:rsidR="00313F0A" w:rsidRPr="0034195E">
        <w:rPr>
          <w:lang w:val="en-US"/>
        </w:rPr>
        <w:t>consumed</w:t>
      </w:r>
      <w:r w:rsidR="00313F0A">
        <w:rPr>
          <w:lang w:val="en-US"/>
        </w:rPr>
        <w:t xml:space="preserve"> per unit area</w:t>
      </w:r>
      <w:r w:rsidRPr="0034195E">
        <w:rPr>
          <w:lang w:val="en-US"/>
        </w:rPr>
        <w:t xml:space="preserve"> in the flaming </w:t>
      </w:r>
      <w:r w:rsidR="00313F0A">
        <w:rPr>
          <w:lang w:val="en-US"/>
        </w:rPr>
        <w:t>zone, and r</w:t>
      </w:r>
      <w:r w:rsidRPr="0034195E">
        <w:rPr>
          <w:lang w:val="en-US"/>
        </w:rPr>
        <w:t xml:space="preserve"> (m/</w:t>
      </w:r>
      <w:r w:rsidR="00313F0A">
        <w:rPr>
          <w:lang w:val="en-US"/>
        </w:rPr>
        <w:t>s</w:t>
      </w:r>
      <w:r w:rsidRPr="0034195E">
        <w:rPr>
          <w:lang w:val="en-US"/>
        </w:rPr>
        <w:t xml:space="preserve">) is the </w:t>
      </w:r>
      <w:r w:rsidR="00313F0A">
        <w:rPr>
          <w:lang w:val="en-US"/>
        </w:rPr>
        <w:t>fire</w:t>
      </w:r>
      <w:r w:rsidRPr="0034195E">
        <w:rPr>
          <w:lang w:val="en-US"/>
        </w:rPr>
        <w:t xml:space="preserve"> spread rate perpendicular to the fire</w:t>
      </w:r>
      <w:r w:rsidR="00313F0A">
        <w:rPr>
          <w:lang w:val="en-US"/>
        </w:rPr>
        <w:t>line</w:t>
      </w:r>
      <w:r w:rsidRPr="0034195E">
        <w:rPr>
          <w:lang w:val="en-US"/>
        </w:rPr>
        <w:t>.</w:t>
      </w:r>
      <w:r w:rsidR="00313F0A">
        <w:rPr>
          <w:lang w:val="en-US"/>
        </w:rPr>
        <w:t xml:space="preserve"> H is equal to the high heat of combustion minus heat losses from radiation, incomplete combustion, and fuel moisture. </w:t>
      </w:r>
      <w:r w:rsidR="00577802">
        <w:rPr>
          <w:lang w:val="en-US"/>
        </w:rPr>
        <w:t xml:space="preserve">Compared to the other parameters in Byram’s fire intensity, </w:t>
      </w:r>
      <w:r w:rsidR="003E20CC">
        <w:rPr>
          <w:lang w:val="en-US"/>
        </w:rPr>
        <w:t xml:space="preserve">H varies </w:t>
      </w:r>
      <w:r w:rsidR="00577802">
        <w:rPr>
          <w:lang w:val="en-US"/>
        </w:rPr>
        <w:t>much less</w:t>
      </w:r>
      <w:r w:rsidR="003E20CC">
        <w:rPr>
          <w:lang w:val="en-US"/>
        </w:rPr>
        <w:t xml:space="preserve"> </w:t>
      </w:r>
      <w:r w:rsidR="008B20B9">
        <w:rPr>
          <w:lang w:val="en-US"/>
        </w:rPr>
        <w:t>from</w:t>
      </w:r>
      <w:r w:rsidR="003E20CC">
        <w:rPr>
          <w:lang w:val="en-US"/>
        </w:rPr>
        <w:t xml:space="preserve"> fuel </w:t>
      </w:r>
      <w:r w:rsidR="008B20B9">
        <w:rPr>
          <w:lang w:val="en-US"/>
        </w:rPr>
        <w:t xml:space="preserve">to fuel </w:t>
      </w:r>
      <w:r w:rsidR="003E20CC">
        <w:rPr>
          <w:lang w:val="en-US"/>
        </w:rPr>
        <w:t xml:space="preserve">and can </w:t>
      </w:r>
      <w:r w:rsidR="008B20B9">
        <w:rPr>
          <w:lang w:val="en-US"/>
        </w:rPr>
        <w:t xml:space="preserve">thus </w:t>
      </w:r>
      <w:r w:rsidR="003E20CC">
        <w:rPr>
          <w:lang w:val="en-US"/>
        </w:rPr>
        <w:t xml:space="preserve">be considered as a constant. </w:t>
      </w:r>
      <w:r w:rsidR="00A37D8C">
        <w:rPr>
          <w:lang w:val="en-US"/>
        </w:rPr>
        <w:t xml:space="preserve">Investigating </w:t>
      </w:r>
      <w:r w:rsidR="00577802">
        <w:rPr>
          <w:lang w:val="en-US"/>
        </w:rPr>
        <w:t>previous studies</w:t>
      </w:r>
      <w:r w:rsidR="00A37D8C">
        <w:rPr>
          <w:lang w:val="en-US"/>
        </w:rPr>
        <w:t>, Alexander (1982) suggest</w:t>
      </w:r>
      <w:r w:rsidR="00577802">
        <w:rPr>
          <w:lang w:val="en-US"/>
        </w:rPr>
        <w:t>s</w:t>
      </w:r>
      <w:r w:rsidR="00A37D8C">
        <w:rPr>
          <w:lang w:val="en-US"/>
        </w:rPr>
        <w:t xml:space="preserve"> a basic value of 18700 kJ/kg for the low heat of combustion</w:t>
      </w:r>
      <w:r w:rsidR="00577802">
        <w:rPr>
          <w:lang w:val="en-US"/>
        </w:rPr>
        <w:t xml:space="preserve"> of fuels in wildfires</w:t>
      </w:r>
      <w:r w:rsidR="00A37D8C">
        <w:rPr>
          <w:lang w:val="en-US"/>
        </w:rPr>
        <w:t>.</w:t>
      </w:r>
    </w:p>
    <w:p w14:paraId="3F1DBF0E" w14:textId="5389467A" w:rsidR="0059220E" w:rsidRDefault="00A157A1" w:rsidP="00DF6769">
      <w:pPr>
        <w:jc w:val="both"/>
        <w:rPr>
          <w:lang w:val="en-US"/>
        </w:rPr>
      </w:pPr>
      <w:r>
        <w:rPr>
          <w:lang w:val="en-US"/>
        </w:rPr>
        <w:t>V</w:t>
      </w:r>
      <w:r w:rsidR="008B20B9">
        <w:rPr>
          <w:lang w:val="en-US"/>
        </w:rPr>
        <w:t>alues of w and r</w:t>
      </w:r>
      <w:r w:rsidR="00EF5886">
        <w:rPr>
          <w:lang w:val="en-US"/>
        </w:rPr>
        <w:t>, in particular,</w:t>
      </w:r>
      <w:r w:rsidR="008B20B9">
        <w:rPr>
          <w:lang w:val="en-US"/>
        </w:rPr>
        <w:t xml:space="preserve"> can </w:t>
      </w:r>
      <w:r w:rsidR="00EF5886">
        <w:rPr>
          <w:lang w:val="en-US"/>
        </w:rPr>
        <w:t xml:space="preserve">significantly </w:t>
      </w:r>
      <w:r w:rsidR="008B20B9">
        <w:rPr>
          <w:lang w:val="en-US"/>
        </w:rPr>
        <w:t>vary for different fuels</w:t>
      </w:r>
      <w:r w:rsidR="001E463B">
        <w:rPr>
          <w:lang w:val="en-US"/>
        </w:rPr>
        <w:t xml:space="preserve">. </w:t>
      </w:r>
      <w:r>
        <w:rPr>
          <w:lang w:val="en-US"/>
        </w:rPr>
        <w:t>A grass fire may travel at a rate of r</w:t>
      </w:r>
      <w:r w:rsidR="00A94226">
        <w:rPr>
          <w:lang w:val="en-US"/>
        </w:rPr>
        <w:t xml:space="preserve"> </w:t>
      </w:r>
      <w:r>
        <w:rPr>
          <w:lang w:val="en-US"/>
        </w:rPr>
        <w:t>= 5 km/h whereas fire in a dry eucalypt</w:t>
      </w:r>
      <w:r w:rsidR="00700B06">
        <w:rPr>
          <w:lang w:val="en-US"/>
        </w:rPr>
        <w:t>i</w:t>
      </w:r>
      <w:r>
        <w:rPr>
          <w:lang w:val="en-US"/>
        </w:rPr>
        <w:t xml:space="preserve"> forest may</w:t>
      </w:r>
      <w:r w:rsidR="00EF5886">
        <w:rPr>
          <w:lang w:val="en-US"/>
        </w:rPr>
        <w:t xml:space="preserve"> travel at a rate of r = 1 km/h</w:t>
      </w:r>
      <w:r w:rsidR="0059220E">
        <w:rPr>
          <w:lang w:val="en-US"/>
        </w:rPr>
        <w:t xml:space="preserve">, </w:t>
      </w:r>
      <w:r w:rsidR="00EF5886">
        <w:rPr>
          <w:lang w:val="en-US"/>
        </w:rPr>
        <w:t xml:space="preserve">even </w:t>
      </w:r>
      <w:r w:rsidR="0059220E">
        <w:rPr>
          <w:lang w:val="en-US"/>
        </w:rPr>
        <w:t xml:space="preserve">capable of throwing </w:t>
      </w:r>
      <w:r w:rsidR="00700B06">
        <w:rPr>
          <w:lang w:val="en-US"/>
        </w:rPr>
        <w:t>e</w:t>
      </w:r>
      <w:r w:rsidR="0059220E">
        <w:rPr>
          <w:lang w:val="en-US"/>
        </w:rPr>
        <w:t>mbers up to 1 km ahead of the fire</w:t>
      </w:r>
      <w:r>
        <w:rPr>
          <w:lang w:val="en-US"/>
        </w:rPr>
        <w:t xml:space="preserve"> (Cheney, 1990). As a result, t</w:t>
      </w:r>
      <w:r w:rsidR="008B20B9">
        <w:rPr>
          <w:lang w:val="en-US"/>
        </w:rPr>
        <w:t>he fire intensity of wildfires can vary approximately from 15 to 100,000 kW/m (Byram, 1959). Nevertheless, fire intensities rarely exceed 50,000 kW/m and for the most of crown fires lie in the range of 10,000-30,000 kW/m (Alexander, 1982).</w:t>
      </w:r>
      <w:r w:rsidR="00A94226">
        <w:rPr>
          <w:lang w:val="en-US"/>
        </w:rPr>
        <w:t xml:space="preserve"> </w:t>
      </w:r>
      <w:r w:rsidR="0059220E">
        <w:rPr>
          <w:lang w:val="en-US"/>
        </w:rPr>
        <w:t xml:space="preserve">Fire intensity can also be calculated based on the </w:t>
      </w:r>
      <w:r w:rsidR="00326728">
        <w:rPr>
          <w:lang w:val="en-US"/>
        </w:rPr>
        <w:t>flame</w:t>
      </w:r>
      <w:r w:rsidR="0059220E">
        <w:rPr>
          <w:lang w:val="en-US"/>
        </w:rPr>
        <w:t xml:space="preserve"> length, L(m), (Byram, 1959):</w:t>
      </w:r>
    </w:p>
    <w:p w14:paraId="73374224" w14:textId="77777777" w:rsidR="00A37D8C" w:rsidRDefault="0059220E" w:rsidP="00DF6769">
      <w:pPr>
        <w:jc w:val="both"/>
        <w:rPr>
          <w:lang w:val="en-US"/>
        </w:rPr>
      </w:pPr>
      <m:oMath>
        <m:r>
          <w:rPr>
            <w:rFonts w:ascii="Cambria Math" w:hAnsi="Cambria Math"/>
            <w:lang w:val="en-US"/>
          </w:rPr>
          <m:t xml:space="preserve">I=259.833 </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2.174</m:t>
            </m:r>
          </m:sup>
        </m:sSup>
      </m:oMath>
      <w:r>
        <w:rPr>
          <w:lang w:val="en-US"/>
        </w:rPr>
        <w:tab/>
      </w:r>
      <w:r>
        <w:rPr>
          <w:lang w:val="en-US"/>
        </w:rPr>
        <w:tab/>
      </w:r>
      <w:r>
        <w:rPr>
          <w:lang w:val="en-US"/>
        </w:rPr>
        <w:tab/>
      </w:r>
      <w:r>
        <w:rPr>
          <w:lang w:val="en-US"/>
        </w:rPr>
        <w:tab/>
      </w:r>
      <w:r>
        <w:rPr>
          <w:lang w:val="en-US"/>
        </w:rPr>
        <w:tab/>
      </w:r>
      <w:r>
        <w:rPr>
          <w:lang w:val="en-US"/>
        </w:rPr>
        <w:tab/>
      </w:r>
      <w:r>
        <w:rPr>
          <w:lang w:val="en-US"/>
        </w:rPr>
        <w:tab/>
      </w:r>
      <w:r w:rsidR="003E1E70">
        <w:rPr>
          <w:lang w:val="en-US"/>
        </w:rPr>
        <w:tab/>
      </w:r>
      <w:r>
        <w:rPr>
          <w:lang w:val="en-US"/>
        </w:rPr>
        <w:tab/>
      </w:r>
      <w:r>
        <w:rPr>
          <w:lang w:val="en-US"/>
        </w:rPr>
        <w:tab/>
      </w:r>
      <w:r w:rsidR="003E1E70">
        <w:rPr>
          <w:lang w:val="en-US"/>
        </w:rPr>
        <w:t>(5)</w:t>
      </w:r>
    </w:p>
    <w:p w14:paraId="29F158EA" w14:textId="7FDE3889" w:rsidR="00990842" w:rsidRDefault="00326728" w:rsidP="007934A1">
      <w:pPr>
        <w:jc w:val="both"/>
        <w:rPr>
          <w:lang w:val="en-US"/>
        </w:rPr>
      </w:pPr>
      <w:r>
        <w:rPr>
          <w:lang w:val="en-US"/>
        </w:rPr>
        <w:t>Flame</w:t>
      </w:r>
      <w:r w:rsidR="0059220E">
        <w:rPr>
          <w:lang w:val="en-US"/>
        </w:rPr>
        <w:t xml:space="preserve"> length (L) is the distance between </w:t>
      </w:r>
      <w:r w:rsidR="006E06B4">
        <w:rPr>
          <w:lang w:val="en-US"/>
        </w:rPr>
        <w:t xml:space="preserve">the tip of the flame and the ground midway in the zone of active combustion </w:t>
      </w:r>
      <w:r>
        <w:rPr>
          <w:lang w:val="en-US"/>
        </w:rPr>
        <w:t xml:space="preserve">whereas flame depth </w:t>
      </w:r>
      <w:r w:rsidR="00990842">
        <w:rPr>
          <w:lang w:val="en-US"/>
        </w:rPr>
        <w:t xml:space="preserve">(D) </w:t>
      </w:r>
      <w:r>
        <w:rPr>
          <w:lang w:val="en-US"/>
        </w:rPr>
        <w:t xml:space="preserve">is the ground distance between the leading </w:t>
      </w:r>
      <w:r w:rsidR="00990842">
        <w:rPr>
          <w:lang w:val="en-US"/>
        </w:rPr>
        <w:t xml:space="preserve">and rear </w:t>
      </w:r>
      <w:r>
        <w:rPr>
          <w:lang w:val="en-US"/>
        </w:rPr>
        <w:t>edge</w:t>
      </w:r>
      <w:r w:rsidR="00990842">
        <w:rPr>
          <w:lang w:val="en-US"/>
        </w:rPr>
        <w:t>s</w:t>
      </w:r>
      <w:r>
        <w:rPr>
          <w:lang w:val="en-US"/>
        </w:rPr>
        <w:t xml:space="preserve"> </w:t>
      </w:r>
      <w:r w:rsidR="00990842">
        <w:rPr>
          <w:lang w:val="en-US"/>
        </w:rPr>
        <w:t>of the solid flaming zone</w:t>
      </w:r>
      <w:r>
        <w:rPr>
          <w:lang w:val="en-US"/>
        </w:rPr>
        <w:t xml:space="preserve"> </w:t>
      </w:r>
      <w:r w:rsidR="006E06B4">
        <w:rPr>
          <w:lang w:val="en-US"/>
        </w:rPr>
        <w:t>(Alexander, 1982). Fire length</w:t>
      </w:r>
      <w:r w:rsidR="00990842">
        <w:rPr>
          <w:lang w:val="en-US"/>
        </w:rPr>
        <w:t>,</w:t>
      </w:r>
      <w:r w:rsidR="006E06B4">
        <w:rPr>
          <w:lang w:val="en-US"/>
        </w:rPr>
        <w:t xml:space="preserve"> fire height, and fire depth have been denoted </w:t>
      </w:r>
      <w:r w:rsidR="006E06B4" w:rsidRPr="003E1E70">
        <w:rPr>
          <w:lang w:val="en-US"/>
        </w:rPr>
        <w:t>in Figure</w:t>
      </w:r>
      <w:r w:rsidR="003E1E70">
        <w:rPr>
          <w:lang w:val="en-US"/>
        </w:rPr>
        <w:t xml:space="preserve"> </w:t>
      </w:r>
      <w:r w:rsidR="006442A6">
        <w:rPr>
          <w:lang w:val="en-US"/>
        </w:rPr>
        <w:t>2</w:t>
      </w:r>
      <w:r w:rsidR="006E06B4">
        <w:rPr>
          <w:lang w:val="en-US"/>
        </w:rPr>
        <w:t xml:space="preserve">. </w:t>
      </w:r>
      <w:r w:rsidR="00B566B6" w:rsidRPr="00B566B6">
        <w:rPr>
          <w:lang w:val="en-US"/>
        </w:rPr>
        <w:t>At very low wind speeds on level t</w:t>
      </w:r>
      <w:r w:rsidR="00700B06">
        <w:rPr>
          <w:lang w:val="en-US"/>
        </w:rPr>
        <w:t>e</w:t>
      </w:r>
      <w:r w:rsidR="00B566B6" w:rsidRPr="00B566B6">
        <w:rPr>
          <w:lang w:val="en-US"/>
        </w:rPr>
        <w:t xml:space="preserve">rrain, flame length and flame height would </w:t>
      </w:r>
      <w:r w:rsidR="00B566B6">
        <w:rPr>
          <w:lang w:val="en-US"/>
        </w:rPr>
        <w:t>coincide</w:t>
      </w:r>
      <w:r w:rsidR="00B566B6" w:rsidRPr="003E1E70">
        <w:rPr>
          <w:lang w:val="en-US"/>
        </w:rPr>
        <w:t xml:space="preserve">. </w:t>
      </w:r>
      <w:r w:rsidR="006E06B4" w:rsidRPr="003E1E70">
        <w:rPr>
          <w:lang w:val="en-US"/>
        </w:rPr>
        <w:t xml:space="preserve">Equation </w:t>
      </w:r>
      <w:r w:rsidR="003E1E70" w:rsidRPr="003E1E70">
        <w:rPr>
          <w:lang w:val="en-US"/>
        </w:rPr>
        <w:t>(5)</w:t>
      </w:r>
      <w:r w:rsidR="006E06B4">
        <w:rPr>
          <w:lang w:val="en-US"/>
        </w:rPr>
        <w:t xml:space="preserve"> has been developed for surface fires, and in order to be applied to crown </w:t>
      </w:r>
      <w:r w:rsidR="006E06B4">
        <w:rPr>
          <w:lang w:val="en-US"/>
        </w:rPr>
        <w:lastRenderedPageBreak/>
        <w:t xml:space="preserve">fires, one-half of the mean canopy height should be added to L (Byram, 1959). A thorough review of fire intensity-fire length relationships for different types of fuel can be found in Alexander and Cruz (2012). </w:t>
      </w:r>
    </w:p>
    <w:p w14:paraId="5F5F2E09" w14:textId="77777777" w:rsidR="007938F9" w:rsidRDefault="007938F9" w:rsidP="007934A1">
      <w:pPr>
        <w:jc w:val="both"/>
        <w:rPr>
          <w:lang w:val="en-US"/>
        </w:rPr>
      </w:pPr>
    </w:p>
    <w:p w14:paraId="590D1B70" w14:textId="77777777" w:rsidR="00A94226" w:rsidRDefault="00990842" w:rsidP="00A94226">
      <w:pPr>
        <w:jc w:val="center"/>
        <w:rPr>
          <w:lang w:val="en-US"/>
        </w:rPr>
      </w:pPr>
      <w:r>
        <w:rPr>
          <w:lang w:eastAsia="en-CA"/>
        </w:rPr>
        <w:drawing>
          <wp:inline distT="0" distB="0" distL="0" distR="0" wp14:anchorId="12209D53" wp14:editId="578C104F">
            <wp:extent cx="3307251" cy="1980000"/>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3307251" cy="1980000"/>
                    </a:xfrm>
                    <a:prstGeom prst="rect">
                      <a:avLst/>
                    </a:prstGeom>
                  </pic:spPr>
                </pic:pic>
              </a:graphicData>
            </a:graphic>
          </wp:inline>
        </w:drawing>
      </w:r>
    </w:p>
    <w:p w14:paraId="66E28A8D" w14:textId="2CB7EB27" w:rsidR="00A94226" w:rsidRPr="00F31C38" w:rsidRDefault="00A94226" w:rsidP="00A94226">
      <w:pPr>
        <w:jc w:val="center"/>
        <w:rPr>
          <w:lang w:val="en-GB"/>
        </w:rPr>
      </w:pPr>
      <w:r w:rsidRPr="003E1E70">
        <w:rPr>
          <w:lang w:val="en-US"/>
        </w:rPr>
        <w:t xml:space="preserve">Figure </w:t>
      </w:r>
      <w:r w:rsidR="006442A6">
        <w:rPr>
          <w:lang w:val="en-US"/>
        </w:rPr>
        <w:t>2</w:t>
      </w:r>
      <w:r w:rsidRPr="003E1E70">
        <w:rPr>
          <w:lang w:val="en-US"/>
        </w:rPr>
        <w:t xml:space="preserve">. </w:t>
      </w:r>
      <w:r w:rsidR="00990842" w:rsidRPr="003E1E70">
        <w:rPr>
          <w:lang w:val="en-US"/>
        </w:rPr>
        <w:t>Flame</w:t>
      </w:r>
      <w:r w:rsidR="00990842">
        <w:rPr>
          <w:lang w:val="en-US"/>
        </w:rPr>
        <w:t xml:space="preserve"> characteristics (Utah State University</w:t>
      </w:r>
      <w:r w:rsidR="007934A1">
        <w:rPr>
          <w:lang w:val="en-US"/>
        </w:rPr>
        <w:t xml:space="preserve"> website)</w:t>
      </w:r>
      <w:r w:rsidR="00F31C38">
        <w:rPr>
          <w:lang w:val="en-US"/>
        </w:rPr>
        <w:t>.</w:t>
      </w:r>
    </w:p>
    <w:p w14:paraId="1BEA2E86" w14:textId="77777777" w:rsidR="00F31C38" w:rsidRDefault="00F31C38" w:rsidP="00DF6769">
      <w:pPr>
        <w:jc w:val="both"/>
        <w:rPr>
          <w:lang w:val="en-US"/>
        </w:rPr>
      </w:pPr>
    </w:p>
    <w:p w14:paraId="0207825B" w14:textId="71CE2406" w:rsidR="00A94226" w:rsidRDefault="00F31C38" w:rsidP="00F6471E">
      <w:pPr>
        <w:spacing w:after="240"/>
        <w:jc w:val="both"/>
        <w:rPr>
          <w:lang w:val="en-US"/>
        </w:rPr>
      </w:pPr>
      <w:r>
        <w:rPr>
          <w:lang w:val="en-US"/>
        </w:rPr>
        <w:t xml:space="preserve">Based on the flame length, fire intensity can also be classified into six classes as reported </w:t>
      </w:r>
      <w:r w:rsidRPr="003E1E70">
        <w:rPr>
          <w:lang w:val="en-US"/>
        </w:rPr>
        <w:t xml:space="preserve">in Table </w:t>
      </w:r>
      <w:r w:rsidR="006442A6">
        <w:rPr>
          <w:lang w:val="en-US"/>
        </w:rPr>
        <w:t>1</w:t>
      </w:r>
      <w:r>
        <w:rPr>
          <w:lang w:val="en-US"/>
        </w:rPr>
        <w:t xml:space="preserve"> (Scott et al., 2013). Such classification </w:t>
      </w:r>
      <w:r w:rsidR="00577C42">
        <w:rPr>
          <w:lang w:val="en-US"/>
        </w:rPr>
        <w:t>can be used</w:t>
      </w:r>
      <w:r>
        <w:rPr>
          <w:lang w:val="en-US"/>
        </w:rPr>
        <w:t xml:space="preserve"> </w:t>
      </w:r>
      <w:r w:rsidR="00577C42">
        <w:rPr>
          <w:lang w:val="en-US"/>
        </w:rPr>
        <w:t xml:space="preserve">to make </w:t>
      </w:r>
      <w:r>
        <w:rPr>
          <w:lang w:val="en-US"/>
        </w:rPr>
        <w:t xml:space="preserve">a rough estimate </w:t>
      </w:r>
      <w:r w:rsidR="00577C42">
        <w:rPr>
          <w:lang w:val="en-US"/>
        </w:rPr>
        <w:t xml:space="preserve">of </w:t>
      </w:r>
      <w:r>
        <w:rPr>
          <w:lang w:val="en-US"/>
        </w:rPr>
        <w:t xml:space="preserve">the fire intensity based on the visualization of the flame length. </w:t>
      </w:r>
    </w:p>
    <w:p w14:paraId="7D194C28" w14:textId="65F3FC32" w:rsidR="00577C42" w:rsidRDefault="00577C42" w:rsidP="00577C42">
      <w:pPr>
        <w:jc w:val="center"/>
        <w:rPr>
          <w:lang w:val="en-US"/>
        </w:rPr>
      </w:pPr>
      <w:r w:rsidRPr="003E1E70">
        <w:rPr>
          <w:lang w:val="en-US"/>
        </w:rPr>
        <w:t xml:space="preserve">Table </w:t>
      </w:r>
      <w:r w:rsidR="006442A6">
        <w:rPr>
          <w:lang w:val="en-US"/>
        </w:rPr>
        <w:t>1</w:t>
      </w:r>
      <w:r w:rsidRPr="003E1E70">
        <w:rPr>
          <w:lang w:val="en-US"/>
        </w:rPr>
        <w:t>. Flame</w:t>
      </w:r>
      <w:r>
        <w:rPr>
          <w:lang w:val="en-US"/>
        </w:rPr>
        <w:t xml:space="preserve"> length range associated with six standard fire intensity classes.</w:t>
      </w:r>
    </w:p>
    <w:tbl>
      <w:tblPr>
        <w:tblW w:w="4001" w:type="dxa"/>
        <w:jc w:val="center"/>
        <w:tblLook w:val="04A0" w:firstRow="1" w:lastRow="0" w:firstColumn="1" w:lastColumn="0" w:noHBand="0" w:noVBand="1"/>
      </w:tblPr>
      <w:tblGrid>
        <w:gridCol w:w="2159"/>
        <w:gridCol w:w="1842"/>
      </w:tblGrid>
      <w:tr w:rsidR="00577C42" w:rsidRPr="00EF5886" w14:paraId="3AF39F1A" w14:textId="77777777" w:rsidTr="00EF5886">
        <w:trPr>
          <w:trHeight w:val="300"/>
          <w:jc w:val="center"/>
        </w:trPr>
        <w:tc>
          <w:tcPr>
            <w:tcW w:w="2159" w:type="dxa"/>
            <w:tcBorders>
              <w:top w:val="single" w:sz="4" w:space="0" w:color="auto"/>
              <w:left w:val="nil"/>
              <w:bottom w:val="single" w:sz="4" w:space="0" w:color="auto"/>
              <w:right w:val="nil"/>
            </w:tcBorders>
            <w:shd w:val="clear" w:color="auto" w:fill="auto"/>
            <w:noWrap/>
            <w:vAlign w:val="bottom"/>
            <w:hideMark/>
          </w:tcPr>
          <w:p w14:paraId="4E8B94BD"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Fire intensity class</w:t>
            </w:r>
          </w:p>
        </w:tc>
        <w:tc>
          <w:tcPr>
            <w:tcW w:w="1842" w:type="dxa"/>
            <w:tcBorders>
              <w:top w:val="single" w:sz="4" w:space="0" w:color="auto"/>
              <w:left w:val="nil"/>
              <w:bottom w:val="single" w:sz="4" w:space="0" w:color="auto"/>
              <w:right w:val="nil"/>
            </w:tcBorders>
            <w:shd w:val="clear" w:color="auto" w:fill="auto"/>
            <w:noWrap/>
            <w:vAlign w:val="bottom"/>
            <w:hideMark/>
          </w:tcPr>
          <w:p w14:paraId="5BD5FA63"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Flame length (m)</w:t>
            </w:r>
          </w:p>
        </w:tc>
      </w:tr>
      <w:tr w:rsidR="00577C42" w:rsidRPr="00EF5886" w14:paraId="68B033E7" w14:textId="77777777" w:rsidTr="00EF5886">
        <w:trPr>
          <w:trHeight w:val="300"/>
          <w:jc w:val="center"/>
        </w:trPr>
        <w:tc>
          <w:tcPr>
            <w:tcW w:w="2159" w:type="dxa"/>
            <w:tcBorders>
              <w:top w:val="nil"/>
              <w:left w:val="nil"/>
              <w:bottom w:val="nil"/>
              <w:right w:val="nil"/>
            </w:tcBorders>
            <w:shd w:val="clear" w:color="auto" w:fill="auto"/>
            <w:noWrap/>
            <w:vAlign w:val="bottom"/>
            <w:hideMark/>
          </w:tcPr>
          <w:p w14:paraId="2F2B7AF1"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Class 1</w:t>
            </w:r>
          </w:p>
        </w:tc>
        <w:tc>
          <w:tcPr>
            <w:tcW w:w="1842" w:type="dxa"/>
            <w:tcBorders>
              <w:top w:val="nil"/>
              <w:left w:val="nil"/>
              <w:bottom w:val="nil"/>
              <w:right w:val="nil"/>
            </w:tcBorders>
            <w:shd w:val="clear" w:color="auto" w:fill="auto"/>
            <w:noWrap/>
            <w:vAlign w:val="bottom"/>
            <w:hideMark/>
          </w:tcPr>
          <w:p w14:paraId="321848DE"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0.0 - 0.6</w:t>
            </w:r>
          </w:p>
        </w:tc>
      </w:tr>
      <w:tr w:rsidR="00577C42" w:rsidRPr="00EF5886" w14:paraId="5BC991C1" w14:textId="77777777" w:rsidTr="00EF5886">
        <w:trPr>
          <w:trHeight w:val="300"/>
          <w:jc w:val="center"/>
        </w:trPr>
        <w:tc>
          <w:tcPr>
            <w:tcW w:w="2159" w:type="dxa"/>
            <w:tcBorders>
              <w:top w:val="nil"/>
              <w:left w:val="nil"/>
              <w:bottom w:val="nil"/>
              <w:right w:val="nil"/>
            </w:tcBorders>
            <w:shd w:val="clear" w:color="auto" w:fill="auto"/>
            <w:noWrap/>
            <w:vAlign w:val="bottom"/>
            <w:hideMark/>
          </w:tcPr>
          <w:p w14:paraId="4AC41B28"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Class 2</w:t>
            </w:r>
          </w:p>
        </w:tc>
        <w:tc>
          <w:tcPr>
            <w:tcW w:w="1842" w:type="dxa"/>
            <w:tcBorders>
              <w:top w:val="nil"/>
              <w:left w:val="nil"/>
              <w:bottom w:val="nil"/>
              <w:right w:val="nil"/>
            </w:tcBorders>
            <w:shd w:val="clear" w:color="auto" w:fill="auto"/>
            <w:noWrap/>
            <w:vAlign w:val="bottom"/>
            <w:hideMark/>
          </w:tcPr>
          <w:p w14:paraId="60529922"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0.6 - 1.2</w:t>
            </w:r>
          </w:p>
        </w:tc>
      </w:tr>
      <w:tr w:rsidR="00577C42" w:rsidRPr="00EF5886" w14:paraId="1D265426" w14:textId="77777777" w:rsidTr="00EF5886">
        <w:trPr>
          <w:trHeight w:val="300"/>
          <w:jc w:val="center"/>
        </w:trPr>
        <w:tc>
          <w:tcPr>
            <w:tcW w:w="2159" w:type="dxa"/>
            <w:tcBorders>
              <w:top w:val="nil"/>
              <w:left w:val="nil"/>
              <w:bottom w:val="nil"/>
              <w:right w:val="nil"/>
            </w:tcBorders>
            <w:shd w:val="clear" w:color="auto" w:fill="auto"/>
            <w:noWrap/>
            <w:vAlign w:val="bottom"/>
            <w:hideMark/>
          </w:tcPr>
          <w:p w14:paraId="5EE9823C"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Class 3</w:t>
            </w:r>
          </w:p>
        </w:tc>
        <w:tc>
          <w:tcPr>
            <w:tcW w:w="1842" w:type="dxa"/>
            <w:tcBorders>
              <w:top w:val="nil"/>
              <w:left w:val="nil"/>
              <w:bottom w:val="nil"/>
              <w:right w:val="nil"/>
            </w:tcBorders>
            <w:shd w:val="clear" w:color="auto" w:fill="auto"/>
            <w:noWrap/>
            <w:vAlign w:val="bottom"/>
            <w:hideMark/>
          </w:tcPr>
          <w:p w14:paraId="3F3631EE"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1.2 - 1.8</w:t>
            </w:r>
          </w:p>
        </w:tc>
      </w:tr>
      <w:tr w:rsidR="00577C42" w:rsidRPr="00EF5886" w14:paraId="733BE1CE" w14:textId="77777777" w:rsidTr="00EF5886">
        <w:trPr>
          <w:trHeight w:val="300"/>
          <w:jc w:val="center"/>
        </w:trPr>
        <w:tc>
          <w:tcPr>
            <w:tcW w:w="2159" w:type="dxa"/>
            <w:tcBorders>
              <w:top w:val="nil"/>
              <w:left w:val="nil"/>
              <w:bottom w:val="nil"/>
              <w:right w:val="nil"/>
            </w:tcBorders>
            <w:shd w:val="clear" w:color="auto" w:fill="auto"/>
            <w:noWrap/>
            <w:vAlign w:val="bottom"/>
            <w:hideMark/>
          </w:tcPr>
          <w:p w14:paraId="627703BA"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Class 4</w:t>
            </w:r>
          </w:p>
        </w:tc>
        <w:tc>
          <w:tcPr>
            <w:tcW w:w="1842" w:type="dxa"/>
            <w:tcBorders>
              <w:top w:val="nil"/>
              <w:left w:val="nil"/>
              <w:bottom w:val="nil"/>
              <w:right w:val="nil"/>
            </w:tcBorders>
            <w:shd w:val="clear" w:color="auto" w:fill="auto"/>
            <w:noWrap/>
            <w:vAlign w:val="bottom"/>
            <w:hideMark/>
          </w:tcPr>
          <w:p w14:paraId="0AD6F32E"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1.8 - 2.4</w:t>
            </w:r>
          </w:p>
        </w:tc>
      </w:tr>
      <w:tr w:rsidR="00577C42" w:rsidRPr="00EF5886" w14:paraId="04B7EE82" w14:textId="77777777" w:rsidTr="00EF5886">
        <w:trPr>
          <w:trHeight w:val="300"/>
          <w:jc w:val="center"/>
        </w:trPr>
        <w:tc>
          <w:tcPr>
            <w:tcW w:w="2159" w:type="dxa"/>
            <w:tcBorders>
              <w:top w:val="nil"/>
              <w:left w:val="nil"/>
              <w:bottom w:val="nil"/>
              <w:right w:val="nil"/>
            </w:tcBorders>
            <w:shd w:val="clear" w:color="auto" w:fill="auto"/>
            <w:noWrap/>
            <w:vAlign w:val="bottom"/>
            <w:hideMark/>
          </w:tcPr>
          <w:p w14:paraId="5B52A195"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Class 5</w:t>
            </w:r>
          </w:p>
        </w:tc>
        <w:tc>
          <w:tcPr>
            <w:tcW w:w="1842" w:type="dxa"/>
            <w:tcBorders>
              <w:top w:val="nil"/>
              <w:left w:val="nil"/>
              <w:bottom w:val="nil"/>
              <w:right w:val="nil"/>
            </w:tcBorders>
            <w:shd w:val="clear" w:color="auto" w:fill="auto"/>
            <w:noWrap/>
            <w:vAlign w:val="bottom"/>
            <w:hideMark/>
          </w:tcPr>
          <w:p w14:paraId="0C0DB3D0"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2.4 - 3.7</w:t>
            </w:r>
          </w:p>
        </w:tc>
      </w:tr>
      <w:tr w:rsidR="00577C42" w:rsidRPr="00EF5886" w14:paraId="2069F0B6" w14:textId="77777777" w:rsidTr="00EF5886">
        <w:trPr>
          <w:trHeight w:val="300"/>
          <w:jc w:val="center"/>
        </w:trPr>
        <w:tc>
          <w:tcPr>
            <w:tcW w:w="2159" w:type="dxa"/>
            <w:tcBorders>
              <w:top w:val="nil"/>
              <w:left w:val="nil"/>
              <w:bottom w:val="nil"/>
              <w:right w:val="nil"/>
            </w:tcBorders>
            <w:shd w:val="clear" w:color="auto" w:fill="auto"/>
            <w:noWrap/>
            <w:vAlign w:val="bottom"/>
            <w:hideMark/>
          </w:tcPr>
          <w:p w14:paraId="1F45B0B1"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Class 6a</w:t>
            </w:r>
          </w:p>
        </w:tc>
        <w:tc>
          <w:tcPr>
            <w:tcW w:w="1842" w:type="dxa"/>
            <w:tcBorders>
              <w:top w:val="nil"/>
              <w:left w:val="nil"/>
              <w:bottom w:val="nil"/>
              <w:right w:val="nil"/>
            </w:tcBorders>
            <w:shd w:val="clear" w:color="auto" w:fill="auto"/>
            <w:noWrap/>
            <w:vAlign w:val="bottom"/>
            <w:hideMark/>
          </w:tcPr>
          <w:p w14:paraId="4F984A5F"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3.7 - 15</w:t>
            </w:r>
          </w:p>
        </w:tc>
      </w:tr>
      <w:tr w:rsidR="00577C42" w:rsidRPr="00EF5886" w14:paraId="5C0B70AD" w14:textId="77777777" w:rsidTr="00EF5886">
        <w:trPr>
          <w:trHeight w:val="300"/>
          <w:jc w:val="center"/>
        </w:trPr>
        <w:tc>
          <w:tcPr>
            <w:tcW w:w="2159" w:type="dxa"/>
            <w:tcBorders>
              <w:top w:val="nil"/>
              <w:left w:val="nil"/>
              <w:bottom w:val="single" w:sz="4" w:space="0" w:color="auto"/>
              <w:right w:val="nil"/>
            </w:tcBorders>
            <w:shd w:val="clear" w:color="auto" w:fill="auto"/>
            <w:noWrap/>
            <w:vAlign w:val="bottom"/>
            <w:hideMark/>
          </w:tcPr>
          <w:p w14:paraId="1B443390"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Class 6b</w:t>
            </w:r>
          </w:p>
        </w:tc>
        <w:tc>
          <w:tcPr>
            <w:tcW w:w="1842" w:type="dxa"/>
            <w:tcBorders>
              <w:top w:val="nil"/>
              <w:left w:val="nil"/>
              <w:bottom w:val="single" w:sz="4" w:space="0" w:color="auto"/>
              <w:right w:val="nil"/>
            </w:tcBorders>
            <w:shd w:val="clear" w:color="auto" w:fill="auto"/>
            <w:noWrap/>
            <w:vAlign w:val="bottom"/>
            <w:hideMark/>
          </w:tcPr>
          <w:p w14:paraId="227ACCB1" w14:textId="77777777" w:rsidR="00577C42" w:rsidRPr="00EF5886" w:rsidRDefault="00577C42" w:rsidP="00577C42">
            <w:pPr>
              <w:spacing w:after="0" w:line="240" w:lineRule="auto"/>
              <w:rPr>
                <w:rFonts w:asciiTheme="majorHAnsi" w:eastAsia="Times New Roman" w:hAnsiTheme="majorHAnsi" w:cs="Times New Roman"/>
                <w:noProof w:val="0"/>
                <w:color w:val="000000"/>
                <w:lang w:eastAsia="en-CA"/>
              </w:rPr>
            </w:pPr>
            <w:r w:rsidRPr="00EF5886">
              <w:rPr>
                <w:rFonts w:asciiTheme="majorHAnsi" w:eastAsia="Times New Roman" w:hAnsiTheme="majorHAnsi" w:cs="Times New Roman"/>
                <w:noProof w:val="0"/>
                <w:color w:val="000000"/>
                <w:lang w:eastAsia="en-CA"/>
              </w:rPr>
              <w:t>&gt; 15</w:t>
            </w:r>
          </w:p>
        </w:tc>
      </w:tr>
    </w:tbl>
    <w:p w14:paraId="3DEE768A" w14:textId="77777777" w:rsidR="00577C42" w:rsidRDefault="00577C42" w:rsidP="00DF6769">
      <w:pPr>
        <w:jc w:val="both"/>
        <w:rPr>
          <w:lang w:val="en-US"/>
        </w:rPr>
      </w:pPr>
    </w:p>
    <w:p w14:paraId="00464FDF" w14:textId="77777777" w:rsidR="007934A1" w:rsidRDefault="007934A1" w:rsidP="007934A1">
      <w:pPr>
        <w:jc w:val="both"/>
        <w:rPr>
          <w:lang w:val="en-US"/>
        </w:rPr>
      </w:pPr>
      <w:r>
        <w:rPr>
          <w:lang w:val="en-US"/>
        </w:rPr>
        <w:t>Having the flame depth, the frontal fire intensity can be converted to area-fire or reaction intensity I</w:t>
      </w:r>
      <w:r w:rsidRPr="00B566B6">
        <w:rPr>
          <w:vertAlign w:val="subscript"/>
          <w:lang w:val="en-US"/>
        </w:rPr>
        <w:t>R</w:t>
      </w:r>
      <w:r>
        <w:rPr>
          <w:lang w:val="en-US"/>
        </w:rPr>
        <w:t xml:space="preserve"> (kW/m</w:t>
      </w:r>
      <w:r w:rsidRPr="00B566B6">
        <w:rPr>
          <w:vertAlign w:val="superscript"/>
          <w:lang w:val="en-US"/>
        </w:rPr>
        <w:t>2</w:t>
      </w:r>
      <w:r>
        <w:rPr>
          <w:lang w:val="en-US"/>
        </w:rPr>
        <w:t xml:space="preserve">) (Alexander, 1982): </w:t>
      </w:r>
    </w:p>
    <w:p w14:paraId="2472D948" w14:textId="77777777" w:rsidR="007934A1" w:rsidRDefault="00B81D30" w:rsidP="007934A1">
      <w:pPr>
        <w:jc w:val="both"/>
        <w:rPr>
          <w:lang w:val="en-US"/>
        </w:rPr>
      </w:pP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I</m:t>
            </m:r>
          </m:num>
          <m:den>
            <m:r>
              <w:rPr>
                <w:rFonts w:ascii="Cambria Math" w:hAnsi="Cambria Math"/>
                <w:lang w:val="en-US"/>
              </w:rPr>
              <m:t>D</m:t>
            </m:r>
          </m:den>
        </m:f>
      </m:oMath>
      <w:r w:rsidR="007934A1">
        <w:rPr>
          <w:rFonts w:eastAsiaTheme="minorEastAsia"/>
          <w:lang w:val="en-US"/>
        </w:rPr>
        <w:tab/>
      </w:r>
      <w:r w:rsidR="007934A1">
        <w:rPr>
          <w:rFonts w:eastAsiaTheme="minorEastAsia"/>
          <w:lang w:val="en-US"/>
        </w:rPr>
        <w:tab/>
      </w:r>
      <w:r w:rsidR="007934A1">
        <w:rPr>
          <w:rFonts w:eastAsiaTheme="minorEastAsia"/>
          <w:lang w:val="en-US"/>
        </w:rPr>
        <w:tab/>
      </w:r>
      <w:r w:rsidR="007934A1">
        <w:rPr>
          <w:rFonts w:eastAsiaTheme="minorEastAsia"/>
          <w:lang w:val="en-US"/>
        </w:rPr>
        <w:tab/>
      </w:r>
      <w:r w:rsidR="007934A1">
        <w:rPr>
          <w:rFonts w:eastAsiaTheme="minorEastAsia"/>
          <w:lang w:val="en-US"/>
        </w:rPr>
        <w:tab/>
      </w:r>
      <w:r w:rsidR="007934A1">
        <w:rPr>
          <w:rFonts w:eastAsiaTheme="minorEastAsia"/>
          <w:lang w:val="en-US"/>
        </w:rPr>
        <w:tab/>
      </w:r>
      <w:r w:rsidR="007934A1">
        <w:rPr>
          <w:rFonts w:eastAsiaTheme="minorEastAsia"/>
          <w:lang w:val="en-US"/>
        </w:rPr>
        <w:tab/>
      </w:r>
      <w:r w:rsidR="007934A1">
        <w:rPr>
          <w:rFonts w:eastAsiaTheme="minorEastAsia"/>
          <w:lang w:val="en-US"/>
        </w:rPr>
        <w:tab/>
      </w:r>
      <w:r w:rsidR="007934A1">
        <w:rPr>
          <w:rFonts w:eastAsiaTheme="minorEastAsia"/>
          <w:lang w:val="en-US"/>
        </w:rPr>
        <w:tab/>
      </w:r>
      <w:r w:rsidR="007934A1">
        <w:rPr>
          <w:rFonts w:eastAsiaTheme="minorEastAsia"/>
          <w:lang w:val="en-US"/>
        </w:rPr>
        <w:tab/>
      </w:r>
      <w:r w:rsidR="003E1E70">
        <w:rPr>
          <w:rFonts w:eastAsiaTheme="minorEastAsia"/>
          <w:lang w:val="en-US"/>
        </w:rPr>
        <w:tab/>
      </w:r>
      <w:r w:rsidR="003E1E70">
        <w:rPr>
          <w:rFonts w:eastAsiaTheme="minorEastAsia"/>
          <w:lang w:val="en-US"/>
        </w:rPr>
        <w:tab/>
        <w:t>(6)</w:t>
      </w:r>
    </w:p>
    <w:p w14:paraId="65066CA2" w14:textId="2A6B1186" w:rsidR="00D410F6" w:rsidRDefault="00D410F6" w:rsidP="007934A1">
      <w:pPr>
        <w:jc w:val="both"/>
        <w:rPr>
          <w:lang w:val="en-US"/>
        </w:rPr>
      </w:pPr>
      <w:r>
        <w:rPr>
          <w:lang w:val="en-US"/>
        </w:rPr>
        <w:lastRenderedPageBreak/>
        <w:t>If</w:t>
      </w:r>
      <w:r w:rsidR="00585CF1">
        <w:rPr>
          <w:lang w:val="en-US"/>
        </w:rPr>
        <w:t xml:space="preserve"> the flame can be considered as a solid body</w:t>
      </w:r>
      <w:r>
        <w:rPr>
          <w:lang w:val="en-US"/>
        </w:rPr>
        <w:t xml:space="preserve"> (Butler and Cohen, 2000; Heymes et al., 2013)</w:t>
      </w:r>
      <w:r w:rsidR="00585CF1">
        <w:rPr>
          <w:lang w:val="en-US"/>
        </w:rPr>
        <w:t xml:space="preserve">, </w:t>
      </w:r>
      <w:r w:rsidR="00691531">
        <w:rPr>
          <w:lang w:val="en-US"/>
        </w:rPr>
        <w:t>it</w:t>
      </w:r>
      <w:r w:rsidR="00585CF1">
        <w:rPr>
          <w:lang w:val="en-US"/>
        </w:rPr>
        <w:t xml:space="preserve"> can be modeled using Solid Flame Model (Mudan, 1987)</w:t>
      </w:r>
      <w:r>
        <w:rPr>
          <w:lang w:val="en-US"/>
        </w:rPr>
        <w:t>. As such, the amount of heat intensity (kW/m</w:t>
      </w:r>
      <w:r w:rsidRPr="00D410F6">
        <w:rPr>
          <w:vertAlign w:val="superscript"/>
          <w:lang w:val="en-US"/>
        </w:rPr>
        <w:t>2</w:t>
      </w:r>
      <w:r>
        <w:rPr>
          <w:lang w:val="en-US"/>
        </w:rPr>
        <w:t xml:space="preserve">) a receptor (e.g., human, or target equipment) </w:t>
      </w:r>
      <w:r w:rsidR="008C62BE">
        <w:rPr>
          <w:lang w:val="en-US"/>
        </w:rPr>
        <w:t xml:space="preserve">at a distance of </w:t>
      </w:r>
      <w:r w:rsidR="00C63765">
        <w:rPr>
          <w:lang w:val="en-US"/>
        </w:rPr>
        <w:t>X</w:t>
      </w:r>
      <w:r w:rsidR="008C62BE">
        <w:rPr>
          <w:lang w:val="en-US"/>
        </w:rPr>
        <w:t xml:space="preserve"> from the flame’s ground centre </w:t>
      </w:r>
      <w:r w:rsidR="008C62BE" w:rsidRPr="003E1E70">
        <w:rPr>
          <w:lang w:val="en-US"/>
        </w:rPr>
        <w:t xml:space="preserve">(Figure </w:t>
      </w:r>
      <w:r w:rsidR="006442A6">
        <w:rPr>
          <w:lang w:val="en-US"/>
        </w:rPr>
        <w:t>3</w:t>
      </w:r>
      <w:r w:rsidR="008C62BE" w:rsidRPr="003E1E70">
        <w:rPr>
          <w:lang w:val="en-US"/>
        </w:rPr>
        <w:t xml:space="preserve">) </w:t>
      </w:r>
      <w:r w:rsidRPr="003E1E70">
        <w:rPr>
          <w:lang w:val="en-US"/>
        </w:rPr>
        <w:t>receives</w:t>
      </w:r>
      <w:r>
        <w:rPr>
          <w:lang w:val="en-US"/>
        </w:rPr>
        <w:t xml:space="preserve"> can be calculated </w:t>
      </w:r>
      <w:r w:rsidR="008C62BE">
        <w:rPr>
          <w:lang w:val="en-US"/>
        </w:rPr>
        <w:t>as</w:t>
      </w:r>
      <w:r>
        <w:rPr>
          <w:lang w:val="en-US"/>
        </w:rPr>
        <w:t>:</w:t>
      </w:r>
    </w:p>
    <w:p w14:paraId="42826409" w14:textId="77777777" w:rsidR="00585CF1" w:rsidRDefault="00B81D30" w:rsidP="00F6471E">
      <w:pPr>
        <w:spacing w:after="240"/>
        <w:jc w:val="both"/>
        <w:rPr>
          <w:lang w:val="en-US"/>
        </w:rPr>
      </w:pP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 xml:space="preserve"> F</m:t>
            </m:r>
          </m:e>
          <m:sub>
            <m:r>
              <w:rPr>
                <w:rFonts w:ascii="Cambria Math" w:hAnsi="Cambria Math"/>
                <w:lang w:val="en-US"/>
              </w:rPr>
              <m:t>view</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 xml:space="preserve"> τ</m:t>
            </m:r>
          </m:e>
          <m:sub>
            <m:r>
              <w:rPr>
                <w:rFonts w:ascii="Cambria Math" w:hAnsi="Cambria Math"/>
                <w:lang w:val="en-US"/>
              </w:rPr>
              <m:t>a</m:t>
            </m:r>
          </m:sub>
        </m:sSub>
      </m:oMath>
      <w:r w:rsidR="008C62BE">
        <w:rPr>
          <w:rFonts w:eastAsiaTheme="minorEastAsia"/>
          <w:lang w:val="en-US"/>
        </w:rPr>
        <w:tab/>
      </w:r>
      <w:r w:rsidR="008C62BE">
        <w:rPr>
          <w:rFonts w:eastAsiaTheme="minorEastAsia"/>
          <w:lang w:val="en-US"/>
        </w:rPr>
        <w:tab/>
      </w:r>
      <w:r w:rsidR="008C62BE">
        <w:rPr>
          <w:rFonts w:eastAsiaTheme="minorEastAsia"/>
          <w:lang w:val="en-US"/>
        </w:rPr>
        <w:tab/>
      </w:r>
      <w:r w:rsidR="008C62BE">
        <w:rPr>
          <w:rFonts w:eastAsiaTheme="minorEastAsia"/>
          <w:lang w:val="en-US"/>
        </w:rPr>
        <w:tab/>
      </w:r>
      <w:r w:rsidR="008C62BE">
        <w:rPr>
          <w:rFonts w:eastAsiaTheme="minorEastAsia"/>
          <w:lang w:val="en-US"/>
        </w:rPr>
        <w:tab/>
      </w:r>
      <w:r w:rsidR="008C62BE">
        <w:rPr>
          <w:rFonts w:eastAsiaTheme="minorEastAsia"/>
          <w:lang w:val="en-US"/>
        </w:rPr>
        <w:tab/>
      </w:r>
      <w:r w:rsidR="008C62BE">
        <w:rPr>
          <w:rFonts w:eastAsiaTheme="minorEastAsia"/>
          <w:lang w:val="en-US"/>
        </w:rPr>
        <w:tab/>
      </w:r>
      <w:r w:rsidR="008C62BE">
        <w:rPr>
          <w:rFonts w:eastAsiaTheme="minorEastAsia"/>
          <w:lang w:val="en-US"/>
        </w:rPr>
        <w:tab/>
      </w:r>
      <w:r w:rsidR="008C62BE">
        <w:rPr>
          <w:rFonts w:eastAsiaTheme="minorEastAsia"/>
          <w:lang w:val="en-US"/>
        </w:rPr>
        <w:tab/>
      </w:r>
      <w:r w:rsidR="003E1E70">
        <w:rPr>
          <w:rFonts w:eastAsiaTheme="minorEastAsia"/>
          <w:lang w:val="en-US"/>
        </w:rPr>
        <w:tab/>
        <w:t>(7)</w:t>
      </w:r>
    </w:p>
    <w:p w14:paraId="61760727" w14:textId="77777777" w:rsidR="007938F9" w:rsidRDefault="007938F9" w:rsidP="00F6471E">
      <w:pPr>
        <w:spacing w:after="240"/>
        <w:jc w:val="both"/>
        <w:rPr>
          <w:lang w:val="en-US"/>
        </w:rPr>
      </w:pPr>
    </w:p>
    <w:p w14:paraId="20A18A22" w14:textId="77777777" w:rsidR="008C62BE" w:rsidRDefault="00D61D1F" w:rsidP="008C62BE">
      <w:pPr>
        <w:jc w:val="center"/>
        <w:rPr>
          <w:lang w:val="en-US"/>
        </w:rPr>
      </w:pPr>
      <w:r>
        <w:object w:dxaOrig="3780" w:dyaOrig="2998" w14:anchorId="23D70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53.75pt" o:ole="">
            <v:imagedata r:id="rId10" o:title=""/>
          </v:shape>
          <o:OLEObject Type="Embed" ProgID="Visio.Drawing.11" ShapeID="_x0000_i1025" DrawAspect="Content" ObjectID="_1594553521" r:id="rId11"/>
        </w:object>
      </w:r>
    </w:p>
    <w:p w14:paraId="703D06ED" w14:textId="61D7B12F" w:rsidR="008C62BE" w:rsidRDefault="008C62BE" w:rsidP="008C62BE">
      <w:pPr>
        <w:jc w:val="center"/>
        <w:rPr>
          <w:lang w:val="en-US"/>
        </w:rPr>
      </w:pPr>
      <w:r w:rsidRPr="003E1E70">
        <w:rPr>
          <w:lang w:val="en-US"/>
        </w:rPr>
        <w:t xml:space="preserve">Figure </w:t>
      </w:r>
      <w:r w:rsidR="006442A6">
        <w:rPr>
          <w:lang w:val="en-US"/>
        </w:rPr>
        <w:t>3</w:t>
      </w:r>
      <w:r w:rsidRPr="003E1E70">
        <w:rPr>
          <w:lang w:val="en-US"/>
        </w:rPr>
        <w:t>.</w:t>
      </w:r>
      <w:r>
        <w:rPr>
          <w:lang w:val="en-US"/>
        </w:rPr>
        <w:t xml:space="preserve"> Flame as a tilted cylinder (Assael and Kakosimos, 2010).</w:t>
      </w:r>
    </w:p>
    <w:p w14:paraId="703FA45C" w14:textId="77777777" w:rsidR="00201582" w:rsidRDefault="00201582" w:rsidP="008C62BE">
      <w:pPr>
        <w:jc w:val="center"/>
        <w:rPr>
          <w:lang w:val="en-US"/>
        </w:rPr>
      </w:pPr>
    </w:p>
    <w:p w14:paraId="54915DC6" w14:textId="56D825DF" w:rsidR="008C62BE" w:rsidRDefault="00201582" w:rsidP="007934A1">
      <w:pPr>
        <w:jc w:val="both"/>
        <w:rPr>
          <w:lang w:val="en-US"/>
        </w:rPr>
      </w:pPr>
      <w:r>
        <w:rPr>
          <w:lang w:val="en-US"/>
        </w:rPr>
        <w:t>where F</w:t>
      </w:r>
      <w:r w:rsidRPr="00201582">
        <w:rPr>
          <w:vertAlign w:val="subscript"/>
          <w:lang w:val="en-US"/>
        </w:rPr>
        <w:t>view</w:t>
      </w:r>
      <w:r>
        <w:rPr>
          <w:lang w:val="en-US"/>
        </w:rPr>
        <w:t xml:space="preserve"> is the view factor, which is the fraction of the emitted radiation received by the receptor;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a</m:t>
            </m:r>
          </m:sub>
        </m:sSub>
      </m:oMath>
      <w:r>
        <w:rPr>
          <w:rFonts w:eastAsiaTheme="minorEastAsia"/>
          <w:lang w:val="en-US"/>
        </w:rPr>
        <w:t xml:space="preserve"> is the atmospheric transmissivity (i.e., the transmissivity of the layer of air or gas between </w:t>
      </w:r>
      <w:r>
        <w:rPr>
          <w:lang w:val="en-US"/>
        </w:rPr>
        <w:t>the flame and the receptor) (Assael and Kakosimos, 2010)</w:t>
      </w:r>
      <w:r w:rsidR="00A24A45">
        <w:rPr>
          <w:lang w:val="en-US"/>
        </w:rPr>
        <w:t xml:space="preserve">. Having the values of flame length (L), </w:t>
      </w:r>
      <w:r w:rsidR="002034BC">
        <w:rPr>
          <w:lang w:val="en-US"/>
        </w:rPr>
        <w:t xml:space="preserve">flame depth (D), </w:t>
      </w:r>
      <w:r w:rsidR="002034BC" w:rsidRPr="002034BC">
        <w:rPr>
          <w:lang w:val="en-US"/>
        </w:rPr>
        <w:t>the angel of tilt (θ),</w:t>
      </w:r>
      <w:r w:rsidR="002034BC">
        <w:rPr>
          <w:lang w:val="en-US"/>
        </w:rPr>
        <w:t xml:space="preserve"> and the receptor distance (</w:t>
      </w:r>
      <w:r w:rsidR="00C63765">
        <w:rPr>
          <w:lang w:val="en-US"/>
        </w:rPr>
        <w:t>X</w:t>
      </w:r>
      <w:r w:rsidR="002034BC">
        <w:rPr>
          <w:lang w:val="en-US"/>
        </w:rPr>
        <w:t>), the amount of F</w:t>
      </w:r>
      <w:r w:rsidR="002034BC" w:rsidRPr="00201582">
        <w:rPr>
          <w:vertAlign w:val="subscript"/>
          <w:lang w:val="en-US"/>
        </w:rPr>
        <w:t>view</w:t>
      </w:r>
      <w:r w:rsidR="002034BC">
        <w:rPr>
          <w:lang w:val="en-US"/>
        </w:rPr>
        <w:t xml:space="preserve"> can be calculated using the relationships given by Moudan (1987) (</w:t>
      </w:r>
      <w:r w:rsidR="00691531">
        <w:rPr>
          <w:lang w:val="en-US"/>
        </w:rPr>
        <w:t xml:space="preserve">see </w:t>
      </w:r>
      <w:r w:rsidR="002034BC">
        <w:rPr>
          <w:lang w:val="en-US"/>
        </w:rPr>
        <w:t xml:space="preserve">Appendix). </w:t>
      </w:r>
    </w:p>
    <w:p w14:paraId="67C7549C" w14:textId="6BFDAC36" w:rsidR="00BE03CB" w:rsidRDefault="00B81D30" w:rsidP="007934A1">
      <w:pPr>
        <w:jc w:val="both"/>
        <w:rPr>
          <w:lang w:val="en-US"/>
        </w:rPr>
      </w:pP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a</m:t>
            </m:r>
          </m:sub>
        </m:sSub>
      </m:oMath>
      <w:r w:rsidR="00BE03CB">
        <w:rPr>
          <w:rFonts w:eastAsiaTheme="minorEastAsia"/>
          <w:lang w:val="en-US"/>
        </w:rPr>
        <w:t xml:space="preserve"> corresponds to the fraction of the thermal radiation received by the receptor (0.0 – 100%), taking into account the mitigation effect of atmospheric humidity, concentration of carbon dioxide, and the dissipation due to the distance. In the worst case scenario,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a</m:t>
            </m:r>
          </m:sub>
        </m:sSub>
        <m:r>
          <w:rPr>
            <w:rFonts w:ascii="Cambria Math" w:hAnsi="Cambria Math"/>
            <w:lang w:val="en-US"/>
          </w:rPr>
          <m:t>=1.0</m:t>
        </m:r>
      </m:oMath>
      <w:r w:rsidR="00691531">
        <w:rPr>
          <w:rFonts w:eastAsiaTheme="minorEastAsia"/>
          <w:lang w:val="en-US"/>
        </w:rPr>
        <w:t xml:space="preserve"> </w:t>
      </w:r>
      <w:r w:rsidR="00BE03CB">
        <w:rPr>
          <w:rFonts w:eastAsiaTheme="minorEastAsia"/>
          <w:lang w:val="en-US"/>
        </w:rPr>
        <w:t>lead</w:t>
      </w:r>
      <w:r w:rsidR="00691531">
        <w:rPr>
          <w:rFonts w:eastAsiaTheme="minorEastAsia"/>
          <w:lang w:val="en-US"/>
        </w:rPr>
        <w:t>s</w:t>
      </w:r>
      <w:r w:rsidR="00BE03CB">
        <w:rPr>
          <w:rFonts w:eastAsiaTheme="minorEastAsia"/>
          <w:lang w:val="en-US"/>
        </w:rPr>
        <w:t xml:space="preserve"> to conservative results</w:t>
      </w:r>
      <w:r w:rsidR="003E1E70">
        <w:rPr>
          <w:rFonts w:eastAsiaTheme="minorEastAsia"/>
          <w:lang w:val="en-US"/>
        </w:rPr>
        <w:t xml:space="preserve"> in determining safety zones</w:t>
      </w:r>
      <w:r w:rsidR="00BE03CB">
        <w:rPr>
          <w:rFonts w:eastAsiaTheme="minorEastAsia"/>
          <w:lang w:val="en-US"/>
        </w:rPr>
        <w:t xml:space="preserve"> (</w:t>
      </w:r>
      <w:r w:rsidR="00BE03CB" w:rsidRPr="00BE03CB">
        <w:rPr>
          <w:lang w:val="en-US"/>
        </w:rPr>
        <w:t>Heymes et al., 2013</w:t>
      </w:r>
      <w:r w:rsidR="00BE03CB">
        <w:rPr>
          <w:lang w:val="en-US"/>
        </w:rPr>
        <w:t xml:space="preserve">). </w:t>
      </w:r>
    </w:p>
    <w:p w14:paraId="6505E326" w14:textId="77777777" w:rsidR="00C629ED" w:rsidRDefault="00C629ED" w:rsidP="00C629ED">
      <w:pPr>
        <w:pStyle w:val="Heading1"/>
        <w:rPr>
          <w:lang w:val="en-US"/>
        </w:rPr>
      </w:pPr>
      <w:r>
        <w:rPr>
          <w:lang w:val="en-US"/>
        </w:rPr>
        <w:t>Bayesian network</w:t>
      </w:r>
    </w:p>
    <w:p w14:paraId="2DE81A06" w14:textId="77777777" w:rsidR="004D4770" w:rsidRPr="004D4770" w:rsidRDefault="004D4770" w:rsidP="00160DB3">
      <w:pPr>
        <w:pStyle w:val="Heading2"/>
      </w:pPr>
      <w:r>
        <w:t>3.1. Bayesian network formalism</w:t>
      </w:r>
    </w:p>
    <w:p w14:paraId="3C3B1D44" w14:textId="77777777" w:rsidR="00E262A6" w:rsidRPr="000646E4" w:rsidRDefault="00E262A6" w:rsidP="00E262A6">
      <w:pPr>
        <w:jc w:val="both"/>
        <w:rPr>
          <w:lang w:val="en-GB"/>
        </w:rPr>
      </w:pPr>
      <w:r w:rsidRPr="000646E4">
        <w:rPr>
          <w:lang w:val="en-GB"/>
        </w:rPr>
        <w:t>Bayesian network</w:t>
      </w:r>
      <w:r>
        <w:rPr>
          <w:lang w:val="en-GB"/>
        </w:rPr>
        <w:t xml:space="preserve"> (BN) is a graphical tool for reasoning under uncertainty (Pearl, 1988; </w:t>
      </w:r>
      <w:r>
        <w:t>Neapolitan, 2003)</w:t>
      </w:r>
      <w:r>
        <w:rPr>
          <w:lang w:val="en-GB"/>
        </w:rPr>
        <w:t xml:space="preserve">. In a </w:t>
      </w:r>
      <w:r w:rsidRPr="000646E4">
        <w:rPr>
          <w:lang w:val="en-GB"/>
        </w:rPr>
        <w:t>BN</w:t>
      </w:r>
      <w:r>
        <w:rPr>
          <w:lang w:val="en-GB"/>
        </w:rPr>
        <w:t>, random</w:t>
      </w:r>
      <w:r w:rsidRPr="000646E4">
        <w:rPr>
          <w:lang w:val="en-GB"/>
        </w:rPr>
        <w:t xml:space="preserve"> variables are </w:t>
      </w:r>
      <w:r>
        <w:rPr>
          <w:lang w:val="en-GB"/>
        </w:rPr>
        <w:t xml:space="preserve">depicted </w:t>
      </w:r>
      <w:r w:rsidRPr="000646E4">
        <w:rPr>
          <w:lang w:val="en-GB"/>
        </w:rPr>
        <w:t xml:space="preserve">by nodes while the direct dependencies among the </w:t>
      </w:r>
      <w:r w:rsidRPr="000646E4">
        <w:rPr>
          <w:lang w:val="en-GB"/>
        </w:rPr>
        <w:lastRenderedPageBreak/>
        <w:t xml:space="preserve">nodes are </w:t>
      </w:r>
      <w:r>
        <w:rPr>
          <w:lang w:val="en-GB"/>
        </w:rPr>
        <w:t>depicted as</w:t>
      </w:r>
      <w:r w:rsidRPr="000646E4">
        <w:rPr>
          <w:lang w:val="en-GB"/>
        </w:rPr>
        <w:t xml:space="preserve"> directed arcs. Satisfying the Markov condition</w:t>
      </w:r>
      <w:r>
        <w:rPr>
          <w:lang w:val="en-GB"/>
        </w:rPr>
        <w:t xml:space="preserve">, </w:t>
      </w:r>
      <w:r w:rsidRPr="000646E4">
        <w:rPr>
          <w:lang w:val="en-GB"/>
        </w:rPr>
        <w:t xml:space="preserve">a BN factorizes the joint probability distribution of its </w:t>
      </w:r>
      <w:r>
        <w:rPr>
          <w:lang w:val="en-GB"/>
        </w:rPr>
        <w:t>variables</w:t>
      </w:r>
      <w:r w:rsidRPr="000646E4">
        <w:rPr>
          <w:lang w:val="en-GB"/>
        </w:rPr>
        <w:t xml:space="preserve"> as the product of the </w:t>
      </w:r>
      <w:r>
        <w:rPr>
          <w:lang w:val="en-GB"/>
        </w:rPr>
        <w:t xml:space="preserve">marginal and </w:t>
      </w:r>
      <w:r w:rsidRPr="000646E4">
        <w:rPr>
          <w:lang w:val="en-GB"/>
        </w:rPr>
        <w:t>conditional probability distributions of the variables given their parents:</w:t>
      </w:r>
    </w:p>
    <w:p w14:paraId="42DE7F50" w14:textId="77777777" w:rsidR="00E262A6" w:rsidRPr="000646E4" w:rsidRDefault="00E262A6" w:rsidP="00E262A6">
      <w:pPr>
        <w:jc w:val="both"/>
        <w:rPr>
          <w:iCs/>
          <w:lang w:val="en-GB"/>
        </w:rPr>
      </w:pPr>
      <m:oMath>
        <m:r>
          <w:rPr>
            <w:rFonts w:ascii="Cambria Math" w:hAnsi="Cambria Math"/>
            <w:lang w:val="en-GB"/>
          </w:rPr>
          <m:t>P</m:t>
        </m:r>
        <m:d>
          <m:dPr>
            <m:ctrlPr>
              <w:rPr>
                <w:rFonts w:ascii="Cambria Math" w:hAnsi="Cambria Math"/>
                <w:i/>
                <w:iCs/>
                <w:lang w:val="en-GB"/>
              </w:rPr>
            </m:ctrlPr>
          </m:dPr>
          <m:e>
            <m:sSub>
              <m:sSubPr>
                <m:ctrlPr>
                  <w:rPr>
                    <w:rFonts w:ascii="Cambria Math" w:hAnsi="Cambria Math"/>
                    <w:i/>
                    <w:iCs/>
                    <w:lang w:val="en-GB"/>
                  </w:rPr>
                </m:ctrlPr>
              </m:sSubPr>
              <m:e>
                <m:r>
                  <w:rPr>
                    <w:rFonts w:ascii="Cambria Math" w:hAnsi="Cambria Math"/>
                    <w:lang w:val="en-GB"/>
                  </w:rPr>
                  <m:t>X</m:t>
                </m:r>
              </m:e>
              <m:sub>
                <m:r>
                  <w:rPr>
                    <w:rFonts w:ascii="Cambria Math" w:hAnsi="Cambria Math"/>
                    <w:lang w:val="en-GB"/>
                  </w:rPr>
                  <m:t>1</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X</m:t>
                </m:r>
              </m:e>
              <m:sub>
                <m:r>
                  <w:rPr>
                    <w:rFonts w:ascii="Cambria Math" w:hAnsi="Cambria Math"/>
                    <w:lang w:val="en-GB"/>
                  </w:rPr>
                  <m:t>2</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X</m:t>
                </m:r>
              </m:e>
              <m:sub>
                <m:r>
                  <w:rPr>
                    <w:rFonts w:ascii="Cambria Math" w:hAnsi="Cambria Math"/>
                    <w:lang w:val="en-GB"/>
                  </w:rPr>
                  <m:t>n</m:t>
                </m:r>
              </m:sub>
            </m:sSub>
          </m:e>
        </m:d>
        <m:r>
          <w:rPr>
            <w:rFonts w:ascii="Cambria Math" w:hAnsi="Cambria Math"/>
            <w:lang w:val="en-GB"/>
          </w:rPr>
          <m:t>=</m:t>
        </m:r>
        <m:nary>
          <m:naryPr>
            <m:chr m:val="∏"/>
            <m:limLoc m:val="undOvr"/>
            <m:ctrlPr>
              <w:rPr>
                <w:rFonts w:ascii="Cambria Math" w:hAnsi="Cambria Math"/>
                <w:i/>
                <w:iCs/>
                <w:lang w:val="en-GB"/>
              </w:rPr>
            </m:ctrlPr>
          </m:naryPr>
          <m:sub>
            <m:r>
              <w:rPr>
                <w:rFonts w:ascii="Cambria Math" w:hAnsi="Cambria Math"/>
                <w:lang w:val="en-GB"/>
              </w:rPr>
              <m:t>i=1</m:t>
            </m:r>
          </m:sub>
          <m:sup>
            <m:r>
              <w:rPr>
                <w:rFonts w:ascii="Cambria Math" w:hAnsi="Cambria Math"/>
                <w:lang w:val="en-GB"/>
              </w:rPr>
              <m:t>n</m:t>
            </m:r>
          </m:sup>
          <m:e>
            <m:r>
              <w:rPr>
                <w:rFonts w:ascii="Cambria Math" w:hAnsi="Cambria Math"/>
                <w:lang w:val="en-GB"/>
              </w:rPr>
              <m:t>P(</m:t>
            </m:r>
            <m:sSub>
              <m:sSubPr>
                <m:ctrlPr>
                  <w:rPr>
                    <w:rFonts w:ascii="Cambria Math" w:hAnsi="Cambria Math"/>
                    <w:i/>
                    <w:iCs/>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|Pa</m:t>
            </m:r>
            <m:d>
              <m:dPr>
                <m:ctrlPr>
                  <w:rPr>
                    <w:rFonts w:ascii="Cambria Math" w:hAnsi="Cambria Math"/>
                    <w:i/>
                    <w:iCs/>
                    <w:lang w:val="en-GB"/>
                  </w:rPr>
                </m:ctrlPr>
              </m:dPr>
              <m:e>
                <m:sSub>
                  <m:sSubPr>
                    <m:ctrlPr>
                      <w:rPr>
                        <w:rFonts w:ascii="Cambria Math" w:hAnsi="Cambria Math"/>
                        <w:i/>
                        <w:iCs/>
                        <w:lang w:val="en-GB"/>
                      </w:rPr>
                    </m:ctrlPr>
                  </m:sSubPr>
                  <m:e>
                    <m:r>
                      <w:rPr>
                        <w:rFonts w:ascii="Cambria Math" w:hAnsi="Cambria Math"/>
                        <w:lang w:val="en-GB"/>
                      </w:rPr>
                      <m:t>X</m:t>
                    </m:r>
                  </m:e>
                  <m:sub>
                    <m:r>
                      <w:rPr>
                        <w:rFonts w:ascii="Cambria Math" w:hAnsi="Cambria Math"/>
                        <w:lang w:val="en-GB"/>
                      </w:rPr>
                      <m:t>i</m:t>
                    </m:r>
                  </m:sub>
                </m:sSub>
              </m:e>
            </m:d>
            <m:r>
              <w:rPr>
                <w:rFonts w:ascii="Cambria Math" w:hAnsi="Cambria Math"/>
                <w:lang w:val="en-GB"/>
              </w:rPr>
              <m:t>)</m:t>
            </m:r>
          </m:e>
        </m:nary>
      </m:oMath>
      <w:r w:rsidRPr="000646E4">
        <w:rPr>
          <w:iCs/>
          <w:lang w:val="en-GB"/>
        </w:rPr>
        <w:t xml:space="preserve"> </w:t>
      </w:r>
      <w:r w:rsidRPr="000646E4">
        <w:rPr>
          <w:iCs/>
          <w:lang w:val="en-GB"/>
        </w:rPr>
        <w:tab/>
      </w:r>
      <w:r w:rsidRPr="000646E4">
        <w:rPr>
          <w:iCs/>
          <w:lang w:val="en-GB"/>
        </w:rPr>
        <w:tab/>
      </w:r>
      <w:r w:rsidRPr="000646E4">
        <w:rPr>
          <w:iCs/>
          <w:lang w:val="en-GB"/>
        </w:rPr>
        <w:tab/>
      </w:r>
      <w:r w:rsidRPr="000646E4">
        <w:rPr>
          <w:iCs/>
          <w:lang w:val="en-GB"/>
        </w:rPr>
        <w:tab/>
      </w:r>
      <w:r w:rsidRPr="000646E4">
        <w:rPr>
          <w:iCs/>
          <w:lang w:val="en-GB"/>
        </w:rPr>
        <w:tab/>
      </w:r>
      <w:r w:rsidRPr="000646E4">
        <w:rPr>
          <w:iCs/>
          <w:lang w:val="en-GB"/>
        </w:rPr>
        <w:tab/>
      </w:r>
      <w:r w:rsidRPr="000646E4">
        <w:rPr>
          <w:iCs/>
          <w:lang w:val="en-GB"/>
        </w:rPr>
        <w:tab/>
      </w:r>
      <w:r w:rsidR="003E1E70">
        <w:rPr>
          <w:iCs/>
          <w:lang w:val="en-GB"/>
        </w:rPr>
        <w:tab/>
        <w:t>(8)</w:t>
      </w:r>
    </w:p>
    <w:p w14:paraId="6CC6F015" w14:textId="77777777" w:rsidR="00E262A6" w:rsidRPr="000646E4" w:rsidRDefault="00E262A6" w:rsidP="00E262A6">
      <w:pPr>
        <w:jc w:val="both"/>
        <w:rPr>
          <w:lang w:val="en-GB"/>
        </w:rPr>
      </w:pPr>
      <w:r w:rsidRPr="000646E4">
        <w:rPr>
          <w:iCs/>
          <w:lang w:val="en-GB"/>
        </w:rPr>
        <w:t>where Pa(X</w:t>
      </w:r>
      <w:r w:rsidRPr="000646E4">
        <w:rPr>
          <w:iCs/>
          <w:vertAlign w:val="subscript"/>
          <w:lang w:val="en-GB"/>
        </w:rPr>
        <w:t>i</w:t>
      </w:r>
      <w:r w:rsidRPr="000646E4">
        <w:rPr>
          <w:iCs/>
          <w:lang w:val="en-GB"/>
        </w:rPr>
        <w:t>) is the parent set of the variable X</w:t>
      </w:r>
      <w:r w:rsidRPr="000646E4">
        <w:rPr>
          <w:iCs/>
          <w:vertAlign w:val="subscript"/>
          <w:lang w:val="en-GB"/>
        </w:rPr>
        <w:t>i</w:t>
      </w:r>
      <w:r>
        <w:rPr>
          <w:lang w:val="en-GB"/>
        </w:rPr>
        <w:t>.</w:t>
      </w:r>
    </w:p>
    <w:p w14:paraId="26F55589" w14:textId="77777777" w:rsidR="00E262A6" w:rsidRPr="00E4384C" w:rsidRDefault="00E262A6" w:rsidP="00E262A6">
      <w:pPr>
        <w:jc w:val="both"/>
        <w:rPr>
          <w:lang w:val="en-US"/>
        </w:rPr>
      </w:pPr>
      <w:r>
        <w:rPr>
          <w:lang w:val="en-US"/>
        </w:rPr>
        <w:t>A dynamic Bayesian network (</w:t>
      </w:r>
      <w:r w:rsidRPr="00E4384C">
        <w:rPr>
          <w:lang w:val="en-US"/>
        </w:rPr>
        <w:t>DBN</w:t>
      </w:r>
      <w:r>
        <w:rPr>
          <w:lang w:val="en-US"/>
        </w:rPr>
        <w:t>)</w:t>
      </w:r>
      <w:r w:rsidRPr="00E4384C">
        <w:rPr>
          <w:lang w:val="en-US"/>
        </w:rPr>
        <w:t xml:space="preserve"> is a</w:t>
      </w:r>
      <w:r>
        <w:rPr>
          <w:lang w:val="en-US"/>
        </w:rPr>
        <w:t xml:space="preserve"> replication of </w:t>
      </w:r>
      <w:r w:rsidR="004D4770">
        <w:rPr>
          <w:lang w:val="en-US"/>
        </w:rPr>
        <w:t xml:space="preserve">an </w:t>
      </w:r>
      <w:r w:rsidRPr="00E4384C">
        <w:rPr>
          <w:lang w:val="en-US"/>
        </w:rPr>
        <w:t xml:space="preserve">ordinary BN </w:t>
      </w:r>
      <w:r>
        <w:rPr>
          <w:lang w:val="en-US"/>
        </w:rPr>
        <w:t>over time</w:t>
      </w:r>
      <w:r w:rsidR="004D4770">
        <w:rPr>
          <w:lang w:val="en-US"/>
        </w:rPr>
        <w:t xml:space="preserve"> intervals (in case of discrete DBN)</w:t>
      </w:r>
      <w:r>
        <w:rPr>
          <w:lang w:val="en-US"/>
        </w:rPr>
        <w:t xml:space="preserve">, </w:t>
      </w:r>
      <w:r w:rsidRPr="00E4384C">
        <w:rPr>
          <w:lang w:val="en-US"/>
        </w:rPr>
        <w:t xml:space="preserve">that, compared to </w:t>
      </w:r>
      <w:r w:rsidR="004D4770">
        <w:rPr>
          <w:lang w:val="en-US"/>
        </w:rPr>
        <w:t>ordinary BN</w:t>
      </w:r>
      <w:r w:rsidRPr="00E4384C">
        <w:rPr>
          <w:lang w:val="en-US"/>
        </w:rPr>
        <w:t xml:space="preserve">, facilitates explicit modeling of temporal </w:t>
      </w:r>
      <w:r>
        <w:rPr>
          <w:lang w:val="en-US"/>
        </w:rPr>
        <w:t>changes</w:t>
      </w:r>
      <w:r w:rsidRPr="00E4384C">
        <w:rPr>
          <w:lang w:val="en-US"/>
        </w:rPr>
        <w:t xml:space="preserve"> of random variables. Dividing the timeline into a number of time intervals, DBN allows a node at </w:t>
      </w:r>
      <w:r w:rsidR="004D4770">
        <w:rPr>
          <w:lang w:val="en-US"/>
        </w:rPr>
        <w:t>a</w:t>
      </w:r>
      <w:r w:rsidRPr="00E4384C">
        <w:rPr>
          <w:lang w:val="en-US"/>
        </w:rPr>
        <w:t xml:space="preserve"> time slice to be conditionally dependent not only on its parents at the same time slice but also on its parents and </w:t>
      </w:r>
      <w:r w:rsidR="004D4770">
        <w:rPr>
          <w:lang w:val="en-US"/>
        </w:rPr>
        <w:t xml:space="preserve">even </w:t>
      </w:r>
      <w:r w:rsidRPr="00E4384C">
        <w:rPr>
          <w:lang w:val="en-US"/>
        </w:rPr>
        <w:t>itself at previous time slices:</w:t>
      </w:r>
    </w:p>
    <w:p w14:paraId="2CDF1EA5" w14:textId="77777777" w:rsidR="00E262A6" w:rsidRDefault="00E262A6" w:rsidP="00160DB3">
      <w:pPr>
        <w:spacing w:after="240"/>
        <w:jc w:val="both"/>
        <w:rPr>
          <w:lang w:val="en-US"/>
        </w:rPr>
      </w:pPr>
      <m:oMath>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P(</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t+∆t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t</m:t>
                </m:r>
              </m:sup>
            </m:sSubSup>
            <m:r>
              <w:rPr>
                <w:rFonts w:ascii="Cambria Math" w:hAnsi="Cambria Math"/>
                <w:lang w:val="en-US"/>
              </w:rPr>
              <m:t>,π(</m:t>
            </m:r>
          </m:e>
        </m:nary>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t</m:t>
            </m:r>
          </m:sup>
        </m:sSubSup>
        <m:r>
          <w:rPr>
            <w:rFonts w:ascii="Cambria Math" w:hAnsi="Cambria Math"/>
            <w:lang w:val="en-US"/>
          </w:rPr>
          <m:t>),π(</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t+∆t</m:t>
            </m:r>
          </m:sup>
        </m:sSubSup>
        <m:r>
          <w:rPr>
            <w:rFonts w:ascii="Cambria Math" w:hAnsi="Cambria Math"/>
            <w:lang w:val="en-US"/>
          </w:rPr>
          <m:t>))</m:t>
        </m:r>
      </m:oMath>
      <w:r w:rsidRPr="00E4384C">
        <w:rPr>
          <w:lang w:val="en-US"/>
        </w:rPr>
        <w:t xml:space="preserve"> </w:t>
      </w:r>
      <w:r w:rsidRPr="00E4384C">
        <w:rPr>
          <w:lang w:val="en-US"/>
        </w:rPr>
        <w:tab/>
      </w:r>
      <w:r w:rsidRPr="00E4384C">
        <w:rPr>
          <w:lang w:val="en-US"/>
        </w:rPr>
        <w:tab/>
      </w:r>
      <w:r w:rsidRPr="00E4384C">
        <w:rPr>
          <w:lang w:val="en-US"/>
        </w:rPr>
        <w:tab/>
      </w:r>
      <w:r w:rsidRPr="00E4384C">
        <w:rPr>
          <w:lang w:val="en-US"/>
        </w:rPr>
        <w:tab/>
      </w:r>
      <w:r w:rsidR="003E1E70">
        <w:rPr>
          <w:lang w:val="en-US"/>
        </w:rPr>
        <w:tab/>
        <w:t>(9)</w:t>
      </w:r>
    </w:p>
    <w:p w14:paraId="06A76A6D" w14:textId="3487ECB3" w:rsidR="00E262A6" w:rsidRDefault="004D4770" w:rsidP="00160DB3">
      <w:pPr>
        <w:pStyle w:val="Heading2"/>
      </w:pPr>
      <w:r>
        <w:t xml:space="preserve">3.2. Modeling domino effects using </w:t>
      </w:r>
      <w:r w:rsidR="00CD2652">
        <w:t xml:space="preserve">dynamic </w:t>
      </w:r>
      <w:r>
        <w:t>Bayesian network</w:t>
      </w:r>
    </w:p>
    <w:p w14:paraId="5867D700" w14:textId="44ED4FB3" w:rsidR="001C0F43" w:rsidRDefault="00FF3C2C" w:rsidP="00E262A6">
      <w:pPr>
        <w:jc w:val="both"/>
      </w:pPr>
      <w:r w:rsidRPr="00D91AF1">
        <w:t xml:space="preserve">Khakzad (2015) </w:t>
      </w:r>
      <w:r w:rsidR="00D91AF1">
        <w:t xml:space="preserve">developed a methodology based on </w:t>
      </w:r>
      <w:r w:rsidR="00E262A6" w:rsidRPr="00D91AF1">
        <w:t xml:space="preserve">DBN </w:t>
      </w:r>
      <w:r w:rsidR="00D91AF1">
        <w:t xml:space="preserve">for </w:t>
      </w:r>
      <w:r w:rsidR="00E262A6" w:rsidRPr="00D91AF1">
        <w:t>model</w:t>
      </w:r>
      <w:r w:rsidR="00D91AF1">
        <w:t>ing</w:t>
      </w:r>
      <w:r w:rsidR="00E262A6" w:rsidRPr="00D91AF1">
        <w:t xml:space="preserve"> </w:t>
      </w:r>
      <w:r w:rsidRPr="00D91AF1">
        <w:t>the most probable sequence of events given a primary event</w:t>
      </w:r>
      <w:r w:rsidR="00E262A6" w:rsidRPr="00D91AF1">
        <w:t xml:space="preserve">. </w:t>
      </w:r>
      <w:r w:rsidRPr="00D91AF1">
        <w:t xml:space="preserve">Compared to </w:t>
      </w:r>
      <w:r w:rsidR="00D91AF1">
        <w:t xml:space="preserve">a previous methodology based on </w:t>
      </w:r>
      <w:r w:rsidRPr="00D91AF1">
        <w:t xml:space="preserve">conventional BN (Khakzad et al., 2013), the developed DBN </w:t>
      </w:r>
      <w:r w:rsidR="006A213D" w:rsidRPr="00D91AF1">
        <w:t xml:space="preserve">takes into account all possible escalation scenarios, given a primary event, at each time step and chooses the one with the highest probability. </w:t>
      </w:r>
      <w:r w:rsidRPr="00D91AF1">
        <w:t xml:space="preserve">This way, </w:t>
      </w:r>
      <w:r w:rsidR="006A213D" w:rsidRPr="00D91AF1">
        <w:t>the likeliest sequence of events over time and their respective probabilities are determined.</w:t>
      </w:r>
      <w:r w:rsidR="006A213D">
        <w:t xml:space="preserve"> </w:t>
      </w:r>
    </w:p>
    <w:p w14:paraId="66B41776" w14:textId="78BD2888" w:rsidR="006A213D" w:rsidRPr="003E1E70" w:rsidRDefault="00E262A6" w:rsidP="006A213D">
      <w:pPr>
        <w:jc w:val="both"/>
      </w:pPr>
      <w:r w:rsidRPr="003E1E70">
        <w:t xml:space="preserve">Figure </w:t>
      </w:r>
      <w:r w:rsidR="006442A6">
        <w:t>4</w:t>
      </w:r>
      <w:r w:rsidR="00A85D1B" w:rsidRPr="003E1E70">
        <w:t>(a)</w:t>
      </w:r>
      <w:r w:rsidRPr="003E1E70">
        <w:t xml:space="preserve"> displays</w:t>
      </w:r>
      <w:r>
        <w:t xml:space="preserve"> </w:t>
      </w:r>
      <w:r w:rsidR="005769C1">
        <w:t xml:space="preserve">a typical oil terminal comprising </w:t>
      </w:r>
      <w:r w:rsidR="00A85D1B">
        <w:t xml:space="preserve">six </w:t>
      </w:r>
      <w:r w:rsidR="005769C1">
        <w:t>oil atmospheric storage tanks. Given a primary fire (e.g., tank fire or pool fire) in one</w:t>
      </w:r>
      <w:r w:rsidR="00A85D1B">
        <w:t xml:space="preserve"> or more</w:t>
      </w:r>
      <w:r w:rsidR="005769C1">
        <w:t xml:space="preserve"> storage tanks, all possible fire propagation scenarios in the plant can be modeled as </w:t>
      </w:r>
      <w:r w:rsidR="005979B8">
        <w:t>a</w:t>
      </w:r>
      <w:r>
        <w:t xml:space="preserve"> DBN </w:t>
      </w:r>
      <w:r w:rsidR="005979B8">
        <w:t xml:space="preserve">as depicted </w:t>
      </w:r>
      <w:r w:rsidR="005979B8" w:rsidRPr="003E1E70">
        <w:t xml:space="preserve">in Figure </w:t>
      </w:r>
      <w:r w:rsidR="006442A6">
        <w:t>4</w:t>
      </w:r>
      <w:r w:rsidR="005979B8" w:rsidRPr="003E1E70">
        <w:t>(b).</w:t>
      </w:r>
      <w:r w:rsidR="00A85D1B" w:rsidRPr="003E1E70">
        <w:t xml:space="preserve"> </w:t>
      </w:r>
      <w:r w:rsidR="006A213D">
        <w:t xml:space="preserve">To model the domino scenarios triggered by a tank fire at T1, for example, the state of the node T1 at the first time step (denoted by t = 0 </w:t>
      </w:r>
      <w:r w:rsidR="006A213D" w:rsidRPr="003E1E70">
        <w:t xml:space="preserve">in Figure </w:t>
      </w:r>
      <w:r w:rsidR="006442A6">
        <w:t>4</w:t>
      </w:r>
      <w:r w:rsidR="006A213D" w:rsidRPr="003E1E70">
        <w:t>(b)</w:t>
      </w:r>
      <w:r w:rsidR="006A213D">
        <w:t>)</w:t>
      </w:r>
      <w:r w:rsidR="006A213D" w:rsidRPr="003E1E70">
        <w:t xml:space="preserve"> is</w:t>
      </w:r>
      <w:r w:rsidR="006A213D">
        <w:t xml:space="preserve"> instantiated to “T1 = Fire” while the states of the other nodes at t = 0 are instantiated to “Safe”</w:t>
      </w:r>
      <w:r w:rsidR="006A213D">
        <w:rPr>
          <w:rStyle w:val="FootnoteReference"/>
        </w:rPr>
        <w:footnoteReference w:id="2"/>
      </w:r>
      <w:r w:rsidR="006A213D">
        <w:t xml:space="preserve">. Based on the assigned marginal and conditional probabilities, the developed DBN computes unconditional probabilities of the storage tanks at each time slice. For the sake of exemplification, the conditional probabilities assigned to node T4 at the second time step, t = 1, are </w:t>
      </w:r>
      <w:r w:rsidR="006A213D" w:rsidRPr="003E1E70">
        <w:t xml:space="preserve">reported in Table </w:t>
      </w:r>
      <w:r w:rsidR="006442A6">
        <w:t>2</w:t>
      </w:r>
      <w:r w:rsidR="006A213D" w:rsidRPr="003E1E70">
        <w:t xml:space="preserve">. </w:t>
      </w:r>
    </w:p>
    <w:p w14:paraId="6CEF87FD" w14:textId="77777777" w:rsidR="000E7866" w:rsidRPr="00485496" w:rsidRDefault="000E7866" w:rsidP="00E262A6">
      <w:pPr>
        <w:jc w:val="both"/>
        <w:rPr>
          <w:lang w:val="en-US"/>
        </w:rPr>
      </w:pPr>
    </w:p>
    <w:p w14:paraId="6A52A2F0" w14:textId="1CB21E04" w:rsidR="00E262A6" w:rsidRDefault="00EC02BD" w:rsidP="00E262A6">
      <w:pPr>
        <w:jc w:val="center"/>
      </w:pPr>
      <w:r>
        <w:object w:dxaOrig="2560" w:dyaOrig="3402" w14:anchorId="0C268484">
          <v:shape id="_x0000_i1026" type="#_x0000_t75" style="width:97.5pt;height:131.25pt" o:ole="">
            <v:imagedata r:id="rId12" o:title=""/>
          </v:shape>
          <o:OLEObject Type="Embed" ProgID="Visio.Drawing.11" ShapeID="_x0000_i1026" DrawAspect="Content" ObjectID="_1594553522" r:id="rId13"/>
        </w:object>
      </w:r>
      <w:r w:rsidR="006C29E9">
        <w:tab/>
      </w:r>
      <w:r w:rsidR="007938F9">
        <w:tab/>
      </w:r>
      <w:r w:rsidR="007938F9">
        <w:tab/>
      </w:r>
      <w:r w:rsidR="004935F9">
        <w:tab/>
      </w:r>
      <w:r w:rsidR="005939D1">
        <w:object w:dxaOrig="10817" w:dyaOrig="14035" w14:anchorId="3CB6763F">
          <v:shape id="_x0000_i1027" type="#_x0000_t75" style="width:158.25pt;height:207pt" o:ole="">
            <v:imagedata r:id="rId14" o:title=""/>
          </v:shape>
          <o:OLEObject Type="Embed" ProgID="Visio.Drawing.11" ShapeID="_x0000_i1027" DrawAspect="Content" ObjectID="_1594553523" r:id="rId15"/>
        </w:object>
      </w:r>
    </w:p>
    <w:p w14:paraId="7F41BC55" w14:textId="23EC2169" w:rsidR="004935F9" w:rsidRDefault="004935F9" w:rsidP="00E262A6">
      <w:pPr>
        <w:jc w:val="center"/>
      </w:pPr>
      <w:r>
        <w:t>(a)</w:t>
      </w:r>
      <w:r>
        <w:tab/>
      </w:r>
      <w:r w:rsidR="007938F9">
        <w:tab/>
      </w:r>
      <w:r w:rsidR="007938F9">
        <w:tab/>
      </w:r>
      <w:r>
        <w:tab/>
      </w:r>
      <w:r>
        <w:tab/>
      </w:r>
      <w:r>
        <w:tab/>
      </w:r>
      <w:r>
        <w:tab/>
        <w:t>(b)</w:t>
      </w:r>
    </w:p>
    <w:p w14:paraId="17E2FF58" w14:textId="35D39620" w:rsidR="00E262A6" w:rsidRDefault="00E262A6" w:rsidP="00E262A6">
      <w:pPr>
        <w:jc w:val="center"/>
      </w:pPr>
      <w:r w:rsidRPr="003E1E70">
        <w:t xml:space="preserve">Figure </w:t>
      </w:r>
      <w:r w:rsidR="006442A6">
        <w:t>4</w:t>
      </w:r>
      <w:r w:rsidRPr="003E1E70">
        <w:t xml:space="preserve">. </w:t>
      </w:r>
      <w:r w:rsidR="004935F9" w:rsidRPr="003E1E70">
        <w:t>(</w:t>
      </w:r>
      <w:r w:rsidR="004935F9">
        <w:t>a) A</w:t>
      </w:r>
      <w:r w:rsidR="005979B8">
        <w:t xml:space="preserve"> </w:t>
      </w:r>
      <w:r w:rsidR="006C29E9">
        <w:t xml:space="preserve">storage </w:t>
      </w:r>
      <w:r w:rsidR="005979B8">
        <w:t xml:space="preserve">plant </w:t>
      </w:r>
      <w:r w:rsidR="004935F9">
        <w:t xml:space="preserve">consisting of six oil storage tanks. </w:t>
      </w:r>
      <w:r w:rsidR="006C29E9">
        <w:t xml:space="preserve">The arcs denote the heat radiation intensities above a credible threshold in case of tank fires. </w:t>
      </w:r>
      <w:r w:rsidR="004935F9">
        <w:t>(b) Modeling potential domino scenarios as a d</w:t>
      </w:r>
      <w:r>
        <w:t xml:space="preserve">ynamic Bayesian network. </w:t>
      </w:r>
    </w:p>
    <w:p w14:paraId="7A6A8D2F" w14:textId="77777777" w:rsidR="00E262A6" w:rsidRDefault="00E262A6" w:rsidP="00E262A6"/>
    <w:p w14:paraId="64B74972" w14:textId="72713790" w:rsidR="00160DB3" w:rsidRDefault="00160DB3" w:rsidP="00F6471E">
      <w:pPr>
        <w:spacing w:after="240"/>
        <w:jc w:val="both"/>
        <w:rPr>
          <w:lang w:val="en-US"/>
        </w:rPr>
      </w:pPr>
      <w:r w:rsidRPr="003E1E70">
        <w:rPr>
          <w:lang w:val="en-US"/>
        </w:rPr>
        <w:t xml:space="preserve">In Table </w:t>
      </w:r>
      <w:r w:rsidR="006442A6">
        <w:rPr>
          <w:lang w:val="en-US"/>
        </w:rPr>
        <w:t>2</w:t>
      </w:r>
      <w:r w:rsidRPr="003E1E70">
        <w:rPr>
          <w:lang w:val="en-US"/>
        </w:rPr>
        <w:t>, the probabilities P</w:t>
      </w:r>
      <w:r w:rsidRPr="003E1E70">
        <w:rPr>
          <w:vertAlign w:val="subscript"/>
          <w:lang w:val="en-US"/>
        </w:rPr>
        <w:t>1</w:t>
      </w:r>
      <w:r w:rsidRPr="003E1E70">
        <w:rPr>
          <w:lang w:val="en-US"/>
        </w:rPr>
        <w:t>, P</w:t>
      </w:r>
      <w:r w:rsidRPr="003E1E70">
        <w:rPr>
          <w:vertAlign w:val="subscript"/>
          <w:lang w:val="en-US"/>
        </w:rPr>
        <w:t>5</w:t>
      </w:r>
      <w:r w:rsidRPr="003E1E70">
        <w:rPr>
          <w:lang w:val="en-US"/>
        </w:rPr>
        <w:t>, and P</w:t>
      </w:r>
      <w:r w:rsidRPr="003E1E70">
        <w:rPr>
          <w:vertAlign w:val="subscript"/>
          <w:lang w:val="en-US"/>
        </w:rPr>
        <w:t>15</w:t>
      </w:r>
      <w:r w:rsidRPr="003E1E70">
        <w:rPr>
          <w:lang w:val="en-US"/>
        </w:rPr>
        <w:t>, known as escalation</w:t>
      </w:r>
      <w:r>
        <w:rPr>
          <w:lang w:val="en-US"/>
        </w:rPr>
        <w:t xml:space="preserve"> probabilities, can be calculated using a variety of techniques such as probit functions (Cozzani et al., 2006; Mingguang and Jiang, 2008; Landucci et al., 2009) </w:t>
      </w:r>
      <w:r w:rsidR="00CC4C42">
        <w:rPr>
          <w:lang w:val="en-US"/>
        </w:rPr>
        <w:t xml:space="preserve">which are </w:t>
      </w:r>
      <w:r>
        <w:rPr>
          <w:lang w:val="en-US"/>
        </w:rPr>
        <w:t>based on the intensity of the escalation vector (in this case, the magnitude of heat radiation tank T4 receives from possible tank fires at T1 and T5) and type (e.g., whether T4 is atmospheric or pressurized) and size (e.g., volume of T4) of target vessels.</w:t>
      </w:r>
    </w:p>
    <w:p w14:paraId="44151E13" w14:textId="10923EDD" w:rsidR="00160DB3" w:rsidRDefault="00160DB3" w:rsidP="00160DB3">
      <w:pPr>
        <w:jc w:val="center"/>
      </w:pPr>
      <w:r w:rsidRPr="003E1E70">
        <w:t xml:space="preserve">Table </w:t>
      </w:r>
      <w:r w:rsidR="006442A6">
        <w:t>2</w:t>
      </w:r>
      <w:r w:rsidR="003E1E70" w:rsidRPr="003E1E70">
        <w:t>.</w:t>
      </w:r>
      <w:r w:rsidRPr="003E1E70">
        <w:t xml:space="preserve"> Conditional</w:t>
      </w:r>
      <w:r>
        <w:t xml:space="preserve"> probabilities assigned to node T4 at t = 1. The same conditional probabilities repeat for other sequ</w:t>
      </w:r>
      <w:r w:rsidR="00700B06">
        <w:t>e</w:t>
      </w:r>
      <w:r>
        <w:t xml:space="preserve">ntial time steps.  </w:t>
      </w:r>
    </w:p>
    <w:tbl>
      <w:tblPr>
        <w:tblW w:w="5364" w:type="dxa"/>
        <w:jc w:val="center"/>
        <w:tblLook w:val="04A0" w:firstRow="1" w:lastRow="0" w:firstColumn="1" w:lastColumn="0" w:noHBand="0" w:noVBand="1"/>
      </w:tblPr>
      <w:tblGrid>
        <w:gridCol w:w="1076"/>
        <w:gridCol w:w="1136"/>
        <w:gridCol w:w="1116"/>
        <w:gridCol w:w="1140"/>
        <w:gridCol w:w="896"/>
      </w:tblGrid>
      <w:tr w:rsidR="00160DB3" w:rsidRPr="00D473F0" w14:paraId="68C44BEC" w14:textId="77777777" w:rsidTr="00432914">
        <w:trPr>
          <w:trHeight w:val="300"/>
          <w:jc w:val="center"/>
        </w:trPr>
        <w:tc>
          <w:tcPr>
            <w:tcW w:w="1076" w:type="dxa"/>
            <w:tcBorders>
              <w:top w:val="single" w:sz="4" w:space="0" w:color="auto"/>
              <w:left w:val="nil"/>
              <w:bottom w:val="nil"/>
              <w:right w:val="nil"/>
            </w:tcBorders>
            <w:shd w:val="clear" w:color="auto" w:fill="auto"/>
            <w:noWrap/>
            <w:vAlign w:val="bottom"/>
            <w:hideMark/>
          </w:tcPr>
          <w:p w14:paraId="792FA6F9"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 </w:t>
            </w:r>
          </w:p>
        </w:tc>
        <w:tc>
          <w:tcPr>
            <w:tcW w:w="1136" w:type="dxa"/>
            <w:tcBorders>
              <w:top w:val="single" w:sz="4" w:space="0" w:color="auto"/>
              <w:left w:val="nil"/>
              <w:bottom w:val="nil"/>
              <w:right w:val="nil"/>
            </w:tcBorders>
            <w:shd w:val="clear" w:color="auto" w:fill="auto"/>
            <w:noWrap/>
            <w:vAlign w:val="bottom"/>
            <w:hideMark/>
          </w:tcPr>
          <w:p w14:paraId="3425AA20"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 </w:t>
            </w:r>
          </w:p>
        </w:tc>
        <w:tc>
          <w:tcPr>
            <w:tcW w:w="1116" w:type="dxa"/>
            <w:tcBorders>
              <w:top w:val="single" w:sz="4" w:space="0" w:color="auto"/>
              <w:left w:val="nil"/>
              <w:bottom w:val="nil"/>
              <w:right w:val="nil"/>
            </w:tcBorders>
            <w:shd w:val="clear" w:color="auto" w:fill="auto"/>
            <w:noWrap/>
            <w:vAlign w:val="bottom"/>
            <w:hideMark/>
          </w:tcPr>
          <w:p w14:paraId="23FC5748"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 </w:t>
            </w:r>
          </w:p>
        </w:tc>
        <w:tc>
          <w:tcPr>
            <w:tcW w:w="2036" w:type="dxa"/>
            <w:gridSpan w:val="2"/>
            <w:tcBorders>
              <w:top w:val="single" w:sz="4" w:space="0" w:color="auto"/>
              <w:left w:val="nil"/>
              <w:bottom w:val="single" w:sz="4" w:space="0" w:color="auto"/>
              <w:right w:val="nil"/>
            </w:tcBorders>
            <w:shd w:val="clear" w:color="auto" w:fill="auto"/>
            <w:noWrap/>
            <w:vAlign w:val="bottom"/>
            <w:hideMark/>
          </w:tcPr>
          <w:p w14:paraId="22AD2DD7" w14:textId="77777777" w:rsidR="00160DB3" w:rsidRPr="00D473F0" w:rsidRDefault="00160DB3" w:rsidP="00432914">
            <w:pPr>
              <w:spacing w:after="0" w:line="240" w:lineRule="auto"/>
              <w:jc w:val="center"/>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 xml:space="preserve">T4 </w:t>
            </w:r>
            <w:r w:rsidRPr="008A7D5B">
              <w:rPr>
                <w:rFonts w:asciiTheme="majorHAnsi" w:eastAsia="Times New Roman" w:hAnsiTheme="majorHAnsi" w:cs="Times New Roman"/>
                <w:noProof w:val="0"/>
                <w:color w:val="000000"/>
                <w:vertAlign w:val="superscript"/>
                <w:lang w:eastAsia="en-CA"/>
              </w:rPr>
              <w:t>t = 1</w:t>
            </w:r>
          </w:p>
        </w:tc>
      </w:tr>
      <w:tr w:rsidR="00160DB3" w:rsidRPr="00D473F0" w14:paraId="5A1439E1" w14:textId="77777777" w:rsidTr="00432914">
        <w:trPr>
          <w:trHeight w:val="300"/>
          <w:jc w:val="center"/>
        </w:trPr>
        <w:tc>
          <w:tcPr>
            <w:tcW w:w="1076" w:type="dxa"/>
            <w:tcBorders>
              <w:top w:val="nil"/>
              <w:left w:val="nil"/>
              <w:bottom w:val="single" w:sz="4" w:space="0" w:color="auto"/>
              <w:right w:val="nil"/>
            </w:tcBorders>
            <w:shd w:val="clear" w:color="auto" w:fill="auto"/>
            <w:noWrap/>
            <w:vAlign w:val="bottom"/>
            <w:hideMark/>
          </w:tcPr>
          <w:p w14:paraId="4DA18D20"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 xml:space="preserve">T4 </w:t>
            </w:r>
            <w:r w:rsidRPr="008A7D5B">
              <w:rPr>
                <w:rFonts w:asciiTheme="majorHAnsi" w:eastAsia="Times New Roman" w:hAnsiTheme="majorHAnsi" w:cs="Times New Roman"/>
                <w:noProof w:val="0"/>
                <w:color w:val="000000"/>
                <w:vertAlign w:val="superscript"/>
                <w:lang w:eastAsia="en-CA"/>
              </w:rPr>
              <w:t>t = 0</w:t>
            </w:r>
          </w:p>
        </w:tc>
        <w:tc>
          <w:tcPr>
            <w:tcW w:w="1136" w:type="dxa"/>
            <w:tcBorders>
              <w:top w:val="nil"/>
              <w:left w:val="nil"/>
              <w:bottom w:val="single" w:sz="4" w:space="0" w:color="auto"/>
              <w:right w:val="nil"/>
            </w:tcBorders>
            <w:shd w:val="clear" w:color="auto" w:fill="auto"/>
            <w:noWrap/>
            <w:vAlign w:val="bottom"/>
            <w:hideMark/>
          </w:tcPr>
          <w:p w14:paraId="49AFF026"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 xml:space="preserve">T1 </w:t>
            </w:r>
            <w:r w:rsidRPr="008A7D5B">
              <w:rPr>
                <w:rFonts w:asciiTheme="majorHAnsi" w:eastAsia="Times New Roman" w:hAnsiTheme="majorHAnsi" w:cs="Times New Roman"/>
                <w:noProof w:val="0"/>
                <w:color w:val="000000"/>
                <w:vertAlign w:val="superscript"/>
                <w:lang w:eastAsia="en-CA"/>
              </w:rPr>
              <w:t>t = 0</w:t>
            </w:r>
          </w:p>
        </w:tc>
        <w:tc>
          <w:tcPr>
            <w:tcW w:w="1116" w:type="dxa"/>
            <w:tcBorders>
              <w:top w:val="nil"/>
              <w:left w:val="nil"/>
              <w:bottom w:val="single" w:sz="4" w:space="0" w:color="auto"/>
              <w:right w:val="nil"/>
            </w:tcBorders>
            <w:shd w:val="clear" w:color="auto" w:fill="auto"/>
            <w:noWrap/>
            <w:vAlign w:val="bottom"/>
            <w:hideMark/>
          </w:tcPr>
          <w:p w14:paraId="7D9CAE61"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 xml:space="preserve">T5 </w:t>
            </w:r>
            <w:r w:rsidRPr="008A7D5B">
              <w:rPr>
                <w:rFonts w:asciiTheme="majorHAnsi" w:eastAsia="Times New Roman" w:hAnsiTheme="majorHAnsi" w:cs="Times New Roman"/>
                <w:noProof w:val="0"/>
                <w:color w:val="000000"/>
                <w:vertAlign w:val="superscript"/>
                <w:lang w:eastAsia="en-CA"/>
              </w:rPr>
              <w:t>t = 0</w:t>
            </w:r>
          </w:p>
        </w:tc>
        <w:tc>
          <w:tcPr>
            <w:tcW w:w="1140" w:type="dxa"/>
            <w:tcBorders>
              <w:top w:val="nil"/>
              <w:left w:val="nil"/>
              <w:bottom w:val="single" w:sz="4" w:space="0" w:color="auto"/>
              <w:right w:val="nil"/>
            </w:tcBorders>
            <w:shd w:val="clear" w:color="auto" w:fill="auto"/>
            <w:noWrap/>
            <w:vAlign w:val="bottom"/>
            <w:hideMark/>
          </w:tcPr>
          <w:p w14:paraId="7EDAB180" w14:textId="24FC10A3"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896" w:type="dxa"/>
            <w:tcBorders>
              <w:top w:val="nil"/>
              <w:left w:val="nil"/>
              <w:bottom w:val="single" w:sz="4" w:space="0" w:color="auto"/>
              <w:right w:val="nil"/>
            </w:tcBorders>
            <w:shd w:val="clear" w:color="auto" w:fill="auto"/>
            <w:noWrap/>
            <w:vAlign w:val="bottom"/>
            <w:hideMark/>
          </w:tcPr>
          <w:p w14:paraId="26D87BDB"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r>
      <w:tr w:rsidR="00160DB3" w:rsidRPr="00D473F0" w14:paraId="1712F92D" w14:textId="77777777" w:rsidTr="00432914">
        <w:trPr>
          <w:trHeight w:val="300"/>
          <w:jc w:val="center"/>
        </w:trPr>
        <w:tc>
          <w:tcPr>
            <w:tcW w:w="1076" w:type="dxa"/>
            <w:tcBorders>
              <w:top w:val="nil"/>
              <w:left w:val="nil"/>
              <w:bottom w:val="nil"/>
              <w:right w:val="nil"/>
            </w:tcBorders>
            <w:shd w:val="clear" w:color="auto" w:fill="auto"/>
            <w:noWrap/>
            <w:vAlign w:val="bottom"/>
            <w:hideMark/>
          </w:tcPr>
          <w:p w14:paraId="54FD44DA" w14:textId="59C228F8"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36" w:type="dxa"/>
            <w:tcBorders>
              <w:top w:val="nil"/>
              <w:left w:val="nil"/>
              <w:bottom w:val="nil"/>
              <w:right w:val="nil"/>
            </w:tcBorders>
            <w:shd w:val="clear" w:color="auto" w:fill="auto"/>
            <w:noWrap/>
            <w:vAlign w:val="bottom"/>
            <w:hideMark/>
          </w:tcPr>
          <w:p w14:paraId="1347506A" w14:textId="68AF38E2"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16" w:type="dxa"/>
            <w:tcBorders>
              <w:top w:val="nil"/>
              <w:left w:val="nil"/>
              <w:bottom w:val="nil"/>
              <w:right w:val="nil"/>
            </w:tcBorders>
            <w:shd w:val="clear" w:color="auto" w:fill="auto"/>
            <w:noWrap/>
            <w:vAlign w:val="bottom"/>
            <w:hideMark/>
          </w:tcPr>
          <w:p w14:paraId="31E4B798" w14:textId="02511EDF"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40" w:type="dxa"/>
            <w:tcBorders>
              <w:top w:val="nil"/>
              <w:left w:val="nil"/>
              <w:bottom w:val="nil"/>
              <w:right w:val="nil"/>
            </w:tcBorders>
            <w:shd w:val="clear" w:color="auto" w:fill="auto"/>
            <w:noWrap/>
            <w:vAlign w:val="bottom"/>
            <w:hideMark/>
          </w:tcPr>
          <w:p w14:paraId="2E6407D4"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1</w:t>
            </w:r>
          </w:p>
        </w:tc>
        <w:tc>
          <w:tcPr>
            <w:tcW w:w="896" w:type="dxa"/>
            <w:tcBorders>
              <w:top w:val="nil"/>
              <w:left w:val="nil"/>
              <w:bottom w:val="nil"/>
              <w:right w:val="nil"/>
            </w:tcBorders>
            <w:shd w:val="clear" w:color="auto" w:fill="auto"/>
            <w:noWrap/>
            <w:vAlign w:val="bottom"/>
            <w:hideMark/>
          </w:tcPr>
          <w:p w14:paraId="4E8D200A"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0</w:t>
            </w:r>
          </w:p>
        </w:tc>
      </w:tr>
      <w:tr w:rsidR="00160DB3" w:rsidRPr="00D473F0" w14:paraId="72E9B471" w14:textId="77777777" w:rsidTr="00432914">
        <w:trPr>
          <w:trHeight w:val="300"/>
          <w:jc w:val="center"/>
        </w:trPr>
        <w:tc>
          <w:tcPr>
            <w:tcW w:w="1076" w:type="dxa"/>
            <w:tcBorders>
              <w:top w:val="nil"/>
              <w:left w:val="nil"/>
              <w:bottom w:val="nil"/>
              <w:right w:val="nil"/>
            </w:tcBorders>
            <w:shd w:val="clear" w:color="auto" w:fill="auto"/>
            <w:noWrap/>
            <w:vAlign w:val="bottom"/>
            <w:hideMark/>
          </w:tcPr>
          <w:p w14:paraId="4DEDE925" w14:textId="0C5E6C2A"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36" w:type="dxa"/>
            <w:tcBorders>
              <w:top w:val="nil"/>
              <w:left w:val="nil"/>
              <w:bottom w:val="nil"/>
              <w:right w:val="nil"/>
            </w:tcBorders>
            <w:shd w:val="clear" w:color="auto" w:fill="auto"/>
            <w:noWrap/>
            <w:vAlign w:val="bottom"/>
            <w:hideMark/>
          </w:tcPr>
          <w:p w14:paraId="3B161A51" w14:textId="40949E58"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16" w:type="dxa"/>
            <w:tcBorders>
              <w:top w:val="nil"/>
              <w:left w:val="nil"/>
              <w:bottom w:val="nil"/>
              <w:right w:val="nil"/>
            </w:tcBorders>
            <w:shd w:val="clear" w:color="auto" w:fill="auto"/>
            <w:noWrap/>
            <w:vAlign w:val="bottom"/>
            <w:hideMark/>
          </w:tcPr>
          <w:p w14:paraId="59FC6227"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40" w:type="dxa"/>
            <w:tcBorders>
              <w:top w:val="nil"/>
              <w:left w:val="nil"/>
              <w:bottom w:val="nil"/>
              <w:right w:val="nil"/>
            </w:tcBorders>
            <w:shd w:val="clear" w:color="auto" w:fill="auto"/>
            <w:noWrap/>
            <w:vAlign w:val="bottom"/>
            <w:hideMark/>
          </w:tcPr>
          <w:p w14:paraId="424E4C02"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1</w:t>
            </w:r>
          </w:p>
        </w:tc>
        <w:tc>
          <w:tcPr>
            <w:tcW w:w="896" w:type="dxa"/>
            <w:tcBorders>
              <w:top w:val="nil"/>
              <w:left w:val="nil"/>
              <w:bottom w:val="nil"/>
              <w:right w:val="nil"/>
            </w:tcBorders>
            <w:shd w:val="clear" w:color="auto" w:fill="auto"/>
            <w:noWrap/>
            <w:vAlign w:val="bottom"/>
            <w:hideMark/>
          </w:tcPr>
          <w:p w14:paraId="50C6BA66"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0</w:t>
            </w:r>
          </w:p>
        </w:tc>
      </w:tr>
      <w:tr w:rsidR="00160DB3" w:rsidRPr="00D473F0" w14:paraId="38ABF556" w14:textId="77777777" w:rsidTr="00432914">
        <w:trPr>
          <w:trHeight w:val="300"/>
          <w:jc w:val="center"/>
        </w:trPr>
        <w:tc>
          <w:tcPr>
            <w:tcW w:w="1076" w:type="dxa"/>
            <w:tcBorders>
              <w:top w:val="nil"/>
              <w:left w:val="nil"/>
              <w:bottom w:val="nil"/>
              <w:right w:val="nil"/>
            </w:tcBorders>
            <w:shd w:val="clear" w:color="auto" w:fill="auto"/>
            <w:noWrap/>
            <w:vAlign w:val="bottom"/>
            <w:hideMark/>
          </w:tcPr>
          <w:p w14:paraId="0ABC47A5" w14:textId="0F41A4BC"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36" w:type="dxa"/>
            <w:tcBorders>
              <w:top w:val="nil"/>
              <w:left w:val="nil"/>
              <w:bottom w:val="nil"/>
              <w:right w:val="nil"/>
            </w:tcBorders>
            <w:shd w:val="clear" w:color="auto" w:fill="auto"/>
            <w:noWrap/>
            <w:vAlign w:val="bottom"/>
            <w:hideMark/>
          </w:tcPr>
          <w:p w14:paraId="74152A54"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16" w:type="dxa"/>
            <w:tcBorders>
              <w:top w:val="nil"/>
              <w:left w:val="nil"/>
              <w:bottom w:val="nil"/>
              <w:right w:val="nil"/>
            </w:tcBorders>
            <w:shd w:val="clear" w:color="auto" w:fill="auto"/>
            <w:noWrap/>
            <w:vAlign w:val="bottom"/>
            <w:hideMark/>
          </w:tcPr>
          <w:p w14:paraId="6B05CADB" w14:textId="6C082B9D"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40" w:type="dxa"/>
            <w:tcBorders>
              <w:top w:val="nil"/>
              <w:left w:val="nil"/>
              <w:bottom w:val="nil"/>
              <w:right w:val="nil"/>
            </w:tcBorders>
            <w:shd w:val="clear" w:color="auto" w:fill="auto"/>
            <w:noWrap/>
            <w:vAlign w:val="bottom"/>
            <w:hideMark/>
          </w:tcPr>
          <w:p w14:paraId="58441497"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1</w:t>
            </w:r>
          </w:p>
        </w:tc>
        <w:tc>
          <w:tcPr>
            <w:tcW w:w="896" w:type="dxa"/>
            <w:tcBorders>
              <w:top w:val="nil"/>
              <w:left w:val="nil"/>
              <w:bottom w:val="nil"/>
              <w:right w:val="nil"/>
            </w:tcBorders>
            <w:shd w:val="clear" w:color="auto" w:fill="auto"/>
            <w:noWrap/>
            <w:vAlign w:val="bottom"/>
            <w:hideMark/>
          </w:tcPr>
          <w:p w14:paraId="46D6C763"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0</w:t>
            </w:r>
          </w:p>
        </w:tc>
      </w:tr>
      <w:tr w:rsidR="00160DB3" w:rsidRPr="00D473F0" w14:paraId="4E38E74D" w14:textId="77777777" w:rsidTr="00432914">
        <w:trPr>
          <w:trHeight w:val="300"/>
          <w:jc w:val="center"/>
        </w:trPr>
        <w:tc>
          <w:tcPr>
            <w:tcW w:w="1076" w:type="dxa"/>
            <w:tcBorders>
              <w:top w:val="nil"/>
              <w:left w:val="nil"/>
              <w:bottom w:val="nil"/>
              <w:right w:val="nil"/>
            </w:tcBorders>
            <w:shd w:val="clear" w:color="auto" w:fill="auto"/>
            <w:noWrap/>
            <w:vAlign w:val="bottom"/>
            <w:hideMark/>
          </w:tcPr>
          <w:p w14:paraId="37EFABF3" w14:textId="26125F64"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36" w:type="dxa"/>
            <w:tcBorders>
              <w:top w:val="nil"/>
              <w:left w:val="nil"/>
              <w:bottom w:val="nil"/>
              <w:right w:val="nil"/>
            </w:tcBorders>
            <w:shd w:val="clear" w:color="auto" w:fill="auto"/>
            <w:noWrap/>
            <w:vAlign w:val="bottom"/>
            <w:hideMark/>
          </w:tcPr>
          <w:p w14:paraId="00A45C9A"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16" w:type="dxa"/>
            <w:tcBorders>
              <w:top w:val="nil"/>
              <w:left w:val="nil"/>
              <w:bottom w:val="nil"/>
              <w:right w:val="nil"/>
            </w:tcBorders>
            <w:shd w:val="clear" w:color="auto" w:fill="auto"/>
            <w:noWrap/>
            <w:vAlign w:val="bottom"/>
            <w:hideMark/>
          </w:tcPr>
          <w:p w14:paraId="3C8132D2"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40" w:type="dxa"/>
            <w:tcBorders>
              <w:top w:val="nil"/>
              <w:left w:val="nil"/>
              <w:bottom w:val="nil"/>
              <w:right w:val="nil"/>
            </w:tcBorders>
            <w:shd w:val="clear" w:color="auto" w:fill="auto"/>
            <w:noWrap/>
            <w:vAlign w:val="bottom"/>
            <w:hideMark/>
          </w:tcPr>
          <w:p w14:paraId="438788F1"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1</w:t>
            </w:r>
          </w:p>
        </w:tc>
        <w:tc>
          <w:tcPr>
            <w:tcW w:w="896" w:type="dxa"/>
            <w:tcBorders>
              <w:top w:val="nil"/>
              <w:left w:val="nil"/>
              <w:bottom w:val="nil"/>
              <w:right w:val="nil"/>
            </w:tcBorders>
            <w:shd w:val="clear" w:color="auto" w:fill="auto"/>
            <w:noWrap/>
            <w:vAlign w:val="bottom"/>
            <w:hideMark/>
          </w:tcPr>
          <w:p w14:paraId="419D6502"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0</w:t>
            </w:r>
          </w:p>
        </w:tc>
      </w:tr>
      <w:tr w:rsidR="00160DB3" w:rsidRPr="00D473F0" w14:paraId="033295CA" w14:textId="77777777" w:rsidTr="00432914">
        <w:trPr>
          <w:trHeight w:val="300"/>
          <w:jc w:val="center"/>
        </w:trPr>
        <w:tc>
          <w:tcPr>
            <w:tcW w:w="1076" w:type="dxa"/>
            <w:tcBorders>
              <w:top w:val="nil"/>
              <w:left w:val="nil"/>
              <w:bottom w:val="nil"/>
              <w:right w:val="nil"/>
            </w:tcBorders>
            <w:shd w:val="clear" w:color="auto" w:fill="auto"/>
            <w:noWrap/>
            <w:vAlign w:val="bottom"/>
            <w:hideMark/>
          </w:tcPr>
          <w:p w14:paraId="780E4C30"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36" w:type="dxa"/>
            <w:tcBorders>
              <w:top w:val="nil"/>
              <w:left w:val="nil"/>
              <w:bottom w:val="nil"/>
              <w:right w:val="nil"/>
            </w:tcBorders>
            <w:shd w:val="clear" w:color="auto" w:fill="auto"/>
            <w:noWrap/>
            <w:vAlign w:val="bottom"/>
            <w:hideMark/>
          </w:tcPr>
          <w:p w14:paraId="578DB7C2" w14:textId="1EF43964"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16" w:type="dxa"/>
            <w:tcBorders>
              <w:top w:val="nil"/>
              <w:left w:val="nil"/>
              <w:bottom w:val="nil"/>
              <w:right w:val="nil"/>
            </w:tcBorders>
            <w:shd w:val="clear" w:color="auto" w:fill="auto"/>
            <w:noWrap/>
            <w:vAlign w:val="bottom"/>
            <w:hideMark/>
          </w:tcPr>
          <w:p w14:paraId="72CF8416" w14:textId="51239434"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40" w:type="dxa"/>
            <w:tcBorders>
              <w:top w:val="nil"/>
              <w:left w:val="nil"/>
              <w:bottom w:val="nil"/>
              <w:right w:val="nil"/>
            </w:tcBorders>
            <w:shd w:val="clear" w:color="auto" w:fill="auto"/>
            <w:noWrap/>
            <w:vAlign w:val="bottom"/>
            <w:hideMark/>
          </w:tcPr>
          <w:p w14:paraId="1E0B2E70"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P</w:t>
            </w:r>
            <w:r w:rsidRPr="008A7D5B">
              <w:rPr>
                <w:rFonts w:asciiTheme="majorHAnsi" w:eastAsia="Times New Roman" w:hAnsiTheme="majorHAnsi" w:cs="Times New Roman"/>
                <w:noProof w:val="0"/>
                <w:color w:val="000000"/>
                <w:vertAlign w:val="subscript"/>
                <w:lang w:eastAsia="en-CA"/>
              </w:rPr>
              <w:t>15</w:t>
            </w:r>
          </w:p>
        </w:tc>
        <w:tc>
          <w:tcPr>
            <w:tcW w:w="896" w:type="dxa"/>
            <w:tcBorders>
              <w:top w:val="nil"/>
              <w:left w:val="nil"/>
              <w:bottom w:val="nil"/>
              <w:right w:val="nil"/>
            </w:tcBorders>
            <w:shd w:val="clear" w:color="auto" w:fill="auto"/>
            <w:noWrap/>
            <w:vAlign w:val="bottom"/>
            <w:hideMark/>
          </w:tcPr>
          <w:p w14:paraId="2E014EA3"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1 - P</w:t>
            </w:r>
            <w:r w:rsidRPr="008A7D5B">
              <w:rPr>
                <w:rFonts w:asciiTheme="majorHAnsi" w:eastAsia="Times New Roman" w:hAnsiTheme="majorHAnsi" w:cs="Times New Roman"/>
                <w:noProof w:val="0"/>
                <w:color w:val="000000"/>
                <w:vertAlign w:val="subscript"/>
                <w:lang w:eastAsia="en-CA"/>
              </w:rPr>
              <w:t>15</w:t>
            </w:r>
          </w:p>
        </w:tc>
      </w:tr>
      <w:tr w:rsidR="00160DB3" w:rsidRPr="00D473F0" w14:paraId="2D4D1DE2" w14:textId="77777777" w:rsidTr="00432914">
        <w:trPr>
          <w:trHeight w:val="300"/>
          <w:jc w:val="center"/>
        </w:trPr>
        <w:tc>
          <w:tcPr>
            <w:tcW w:w="1076" w:type="dxa"/>
            <w:tcBorders>
              <w:top w:val="nil"/>
              <w:left w:val="nil"/>
              <w:bottom w:val="nil"/>
              <w:right w:val="nil"/>
            </w:tcBorders>
            <w:shd w:val="clear" w:color="auto" w:fill="auto"/>
            <w:noWrap/>
            <w:vAlign w:val="bottom"/>
            <w:hideMark/>
          </w:tcPr>
          <w:p w14:paraId="46A9204D"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36" w:type="dxa"/>
            <w:tcBorders>
              <w:top w:val="nil"/>
              <w:left w:val="nil"/>
              <w:bottom w:val="nil"/>
              <w:right w:val="nil"/>
            </w:tcBorders>
            <w:shd w:val="clear" w:color="auto" w:fill="auto"/>
            <w:noWrap/>
            <w:vAlign w:val="bottom"/>
            <w:hideMark/>
          </w:tcPr>
          <w:p w14:paraId="61491379" w14:textId="38178A50"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16" w:type="dxa"/>
            <w:tcBorders>
              <w:top w:val="nil"/>
              <w:left w:val="nil"/>
              <w:bottom w:val="nil"/>
              <w:right w:val="nil"/>
            </w:tcBorders>
            <w:shd w:val="clear" w:color="auto" w:fill="auto"/>
            <w:noWrap/>
            <w:vAlign w:val="bottom"/>
            <w:hideMark/>
          </w:tcPr>
          <w:p w14:paraId="4B7CF035"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40" w:type="dxa"/>
            <w:tcBorders>
              <w:top w:val="nil"/>
              <w:left w:val="nil"/>
              <w:bottom w:val="nil"/>
              <w:right w:val="nil"/>
            </w:tcBorders>
            <w:shd w:val="clear" w:color="auto" w:fill="auto"/>
            <w:noWrap/>
            <w:vAlign w:val="bottom"/>
            <w:hideMark/>
          </w:tcPr>
          <w:p w14:paraId="131806A3"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P</w:t>
            </w:r>
            <w:r w:rsidRPr="008A7D5B">
              <w:rPr>
                <w:rFonts w:asciiTheme="majorHAnsi" w:eastAsia="Times New Roman" w:hAnsiTheme="majorHAnsi" w:cs="Times New Roman"/>
                <w:noProof w:val="0"/>
                <w:color w:val="000000"/>
                <w:vertAlign w:val="subscript"/>
                <w:lang w:eastAsia="en-CA"/>
              </w:rPr>
              <w:t>1</w:t>
            </w:r>
          </w:p>
        </w:tc>
        <w:tc>
          <w:tcPr>
            <w:tcW w:w="896" w:type="dxa"/>
            <w:tcBorders>
              <w:top w:val="nil"/>
              <w:left w:val="nil"/>
              <w:bottom w:val="nil"/>
              <w:right w:val="nil"/>
            </w:tcBorders>
            <w:shd w:val="clear" w:color="auto" w:fill="auto"/>
            <w:noWrap/>
            <w:vAlign w:val="bottom"/>
            <w:hideMark/>
          </w:tcPr>
          <w:p w14:paraId="1BC3457A"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1 - P</w:t>
            </w:r>
            <w:r w:rsidRPr="008A7D5B">
              <w:rPr>
                <w:rFonts w:asciiTheme="majorHAnsi" w:eastAsia="Times New Roman" w:hAnsiTheme="majorHAnsi" w:cs="Times New Roman"/>
                <w:noProof w:val="0"/>
                <w:color w:val="000000"/>
                <w:vertAlign w:val="subscript"/>
                <w:lang w:eastAsia="en-CA"/>
              </w:rPr>
              <w:t>1</w:t>
            </w:r>
          </w:p>
        </w:tc>
      </w:tr>
      <w:tr w:rsidR="00160DB3" w:rsidRPr="00D473F0" w14:paraId="37E3065F" w14:textId="77777777" w:rsidTr="00432914">
        <w:trPr>
          <w:trHeight w:val="300"/>
          <w:jc w:val="center"/>
        </w:trPr>
        <w:tc>
          <w:tcPr>
            <w:tcW w:w="1076" w:type="dxa"/>
            <w:tcBorders>
              <w:top w:val="nil"/>
              <w:left w:val="nil"/>
              <w:bottom w:val="nil"/>
              <w:right w:val="nil"/>
            </w:tcBorders>
            <w:shd w:val="clear" w:color="auto" w:fill="auto"/>
            <w:noWrap/>
            <w:vAlign w:val="bottom"/>
            <w:hideMark/>
          </w:tcPr>
          <w:p w14:paraId="0280224D"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36" w:type="dxa"/>
            <w:tcBorders>
              <w:top w:val="nil"/>
              <w:left w:val="nil"/>
              <w:bottom w:val="nil"/>
              <w:right w:val="nil"/>
            </w:tcBorders>
            <w:shd w:val="clear" w:color="auto" w:fill="auto"/>
            <w:noWrap/>
            <w:vAlign w:val="bottom"/>
            <w:hideMark/>
          </w:tcPr>
          <w:p w14:paraId="08B0841F"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16" w:type="dxa"/>
            <w:tcBorders>
              <w:top w:val="nil"/>
              <w:left w:val="nil"/>
              <w:bottom w:val="nil"/>
              <w:right w:val="nil"/>
            </w:tcBorders>
            <w:shd w:val="clear" w:color="auto" w:fill="auto"/>
            <w:noWrap/>
            <w:vAlign w:val="bottom"/>
            <w:hideMark/>
          </w:tcPr>
          <w:p w14:paraId="76C949D1" w14:textId="65819322" w:rsidR="00160DB3" w:rsidRPr="00D473F0" w:rsidRDefault="000E7866" w:rsidP="00432914">
            <w:pPr>
              <w:spacing w:after="0" w:line="240" w:lineRule="auto"/>
              <w:rPr>
                <w:rFonts w:asciiTheme="majorHAnsi" w:eastAsia="Times New Roman" w:hAnsiTheme="majorHAnsi" w:cs="Times New Roman"/>
                <w:noProof w:val="0"/>
                <w:color w:val="000000"/>
                <w:lang w:eastAsia="en-CA"/>
              </w:rPr>
            </w:pPr>
            <w:r>
              <w:rPr>
                <w:rFonts w:asciiTheme="majorHAnsi" w:eastAsia="Times New Roman" w:hAnsiTheme="majorHAnsi" w:cs="Times New Roman"/>
                <w:noProof w:val="0"/>
                <w:color w:val="000000"/>
                <w:lang w:eastAsia="en-CA"/>
              </w:rPr>
              <w:t>F</w:t>
            </w:r>
            <w:r w:rsidR="00160DB3" w:rsidRPr="00D473F0">
              <w:rPr>
                <w:rFonts w:asciiTheme="majorHAnsi" w:eastAsia="Times New Roman" w:hAnsiTheme="majorHAnsi" w:cs="Times New Roman"/>
                <w:noProof w:val="0"/>
                <w:color w:val="000000"/>
                <w:lang w:eastAsia="en-CA"/>
              </w:rPr>
              <w:t>ire</w:t>
            </w:r>
          </w:p>
        </w:tc>
        <w:tc>
          <w:tcPr>
            <w:tcW w:w="1140" w:type="dxa"/>
            <w:tcBorders>
              <w:top w:val="nil"/>
              <w:left w:val="nil"/>
              <w:bottom w:val="nil"/>
              <w:right w:val="nil"/>
            </w:tcBorders>
            <w:shd w:val="clear" w:color="auto" w:fill="auto"/>
            <w:noWrap/>
            <w:vAlign w:val="bottom"/>
            <w:hideMark/>
          </w:tcPr>
          <w:p w14:paraId="2321BC5F"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P</w:t>
            </w:r>
            <w:r w:rsidRPr="008A7D5B">
              <w:rPr>
                <w:rFonts w:asciiTheme="majorHAnsi" w:eastAsia="Times New Roman" w:hAnsiTheme="majorHAnsi" w:cs="Times New Roman"/>
                <w:noProof w:val="0"/>
                <w:color w:val="000000"/>
                <w:vertAlign w:val="subscript"/>
                <w:lang w:eastAsia="en-CA"/>
              </w:rPr>
              <w:t>5</w:t>
            </w:r>
          </w:p>
        </w:tc>
        <w:tc>
          <w:tcPr>
            <w:tcW w:w="896" w:type="dxa"/>
            <w:tcBorders>
              <w:top w:val="nil"/>
              <w:left w:val="nil"/>
              <w:bottom w:val="nil"/>
              <w:right w:val="nil"/>
            </w:tcBorders>
            <w:shd w:val="clear" w:color="auto" w:fill="auto"/>
            <w:noWrap/>
            <w:vAlign w:val="bottom"/>
            <w:hideMark/>
          </w:tcPr>
          <w:p w14:paraId="604450F7"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1 - P</w:t>
            </w:r>
            <w:r w:rsidRPr="008A7D5B">
              <w:rPr>
                <w:rFonts w:asciiTheme="majorHAnsi" w:eastAsia="Times New Roman" w:hAnsiTheme="majorHAnsi" w:cs="Times New Roman"/>
                <w:noProof w:val="0"/>
                <w:color w:val="000000"/>
                <w:vertAlign w:val="subscript"/>
                <w:lang w:eastAsia="en-CA"/>
              </w:rPr>
              <w:t>5</w:t>
            </w:r>
          </w:p>
        </w:tc>
      </w:tr>
      <w:tr w:rsidR="00160DB3" w:rsidRPr="00D473F0" w14:paraId="58F7B885" w14:textId="77777777" w:rsidTr="00432914">
        <w:trPr>
          <w:trHeight w:val="300"/>
          <w:jc w:val="center"/>
        </w:trPr>
        <w:tc>
          <w:tcPr>
            <w:tcW w:w="1076" w:type="dxa"/>
            <w:tcBorders>
              <w:top w:val="nil"/>
              <w:left w:val="nil"/>
              <w:bottom w:val="single" w:sz="4" w:space="0" w:color="auto"/>
              <w:right w:val="nil"/>
            </w:tcBorders>
            <w:shd w:val="clear" w:color="auto" w:fill="auto"/>
            <w:noWrap/>
            <w:vAlign w:val="bottom"/>
            <w:hideMark/>
          </w:tcPr>
          <w:p w14:paraId="1B7840E8"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36" w:type="dxa"/>
            <w:tcBorders>
              <w:top w:val="nil"/>
              <w:left w:val="nil"/>
              <w:bottom w:val="single" w:sz="4" w:space="0" w:color="auto"/>
              <w:right w:val="nil"/>
            </w:tcBorders>
            <w:shd w:val="clear" w:color="auto" w:fill="auto"/>
            <w:noWrap/>
            <w:vAlign w:val="bottom"/>
            <w:hideMark/>
          </w:tcPr>
          <w:p w14:paraId="6F5EC850"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16" w:type="dxa"/>
            <w:tcBorders>
              <w:top w:val="nil"/>
              <w:left w:val="nil"/>
              <w:bottom w:val="single" w:sz="4" w:space="0" w:color="auto"/>
              <w:right w:val="nil"/>
            </w:tcBorders>
            <w:shd w:val="clear" w:color="auto" w:fill="auto"/>
            <w:noWrap/>
            <w:vAlign w:val="bottom"/>
            <w:hideMark/>
          </w:tcPr>
          <w:p w14:paraId="2237A292"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Safe</w:t>
            </w:r>
          </w:p>
        </w:tc>
        <w:tc>
          <w:tcPr>
            <w:tcW w:w="1140" w:type="dxa"/>
            <w:tcBorders>
              <w:top w:val="nil"/>
              <w:left w:val="nil"/>
              <w:bottom w:val="single" w:sz="4" w:space="0" w:color="auto"/>
              <w:right w:val="nil"/>
            </w:tcBorders>
            <w:shd w:val="clear" w:color="auto" w:fill="auto"/>
            <w:noWrap/>
            <w:vAlign w:val="bottom"/>
            <w:hideMark/>
          </w:tcPr>
          <w:p w14:paraId="4B64781B"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0</w:t>
            </w:r>
          </w:p>
        </w:tc>
        <w:tc>
          <w:tcPr>
            <w:tcW w:w="896" w:type="dxa"/>
            <w:tcBorders>
              <w:top w:val="nil"/>
              <w:left w:val="nil"/>
              <w:bottom w:val="single" w:sz="4" w:space="0" w:color="auto"/>
              <w:right w:val="nil"/>
            </w:tcBorders>
            <w:shd w:val="clear" w:color="auto" w:fill="auto"/>
            <w:noWrap/>
            <w:vAlign w:val="bottom"/>
            <w:hideMark/>
          </w:tcPr>
          <w:p w14:paraId="68607F12" w14:textId="77777777" w:rsidR="00160DB3" w:rsidRPr="00D473F0" w:rsidRDefault="00160DB3" w:rsidP="00432914">
            <w:pPr>
              <w:spacing w:after="0" w:line="240" w:lineRule="auto"/>
              <w:rPr>
                <w:rFonts w:asciiTheme="majorHAnsi" w:eastAsia="Times New Roman" w:hAnsiTheme="majorHAnsi" w:cs="Times New Roman"/>
                <w:noProof w:val="0"/>
                <w:color w:val="000000"/>
                <w:lang w:eastAsia="en-CA"/>
              </w:rPr>
            </w:pPr>
            <w:r w:rsidRPr="00D473F0">
              <w:rPr>
                <w:rFonts w:asciiTheme="majorHAnsi" w:eastAsia="Times New Roman" w:hAnsiTheme="majorHAnsi" w:cs="Times New Roman"/>
                <w:noProof w:val="0"/>
                <w:color w:val="000000"/>
                <w:lang w:eastAsia="en-CA"/>
              </w:rPr>
              <w:t>1</w:t>
            </w:r>
          </w:p>
        </w:tc>
      </w:tr>
    </w:tbl>
    <w:p w14:paraId="58B553B2" w14:textId="77777777" w:rsidR="005A2CFD" w:rsidRDefault="00031882" w:rsidP="005A2CFD">
      <w:pPr>
        <w:jc w:val="both"/>
        <w:rPr>
          <w:lang w:val="en-US"/>
        </w:rPr>
      </w:pPr>
      <w:r>
        <w:rPr>
          <w:lang w:val="en-US"/>
        </w:rPr>
        <w:lastRenderedPageBreak/>
        <w:t>In the present</w:t>
      </w:r>
      <w:r w:rsidR="00E262A6">
        <w:rPr>
          <w:lang w:val="en-US"/>
        </w:rPr>
        <w:t xml:space="preserve"> study, we use </w:t>
      </w:r>
      <w:r>
        <w:rPr>
          <w:lang w:val="en-US"/>
        </w:rPr>
        <w:t>probit functions developed by Landucci et al. (2009)</w:t>
      </w:r>
      <w:r w:rsidR="008B0045">
        <w:rPr>
          <w:lang w:val="en-US"/>
        </w:rPr>
        <w:t xml:space="preserve"> to calculate the escalation probabilities of atmospheric and pressurized vessels under the impact of external fires</w:t>
      </w:r>
      <w:r w:rsidR="005A2CFD">
        <w:rPr>
          <w:lang w:val="en-US"/>
        </w:rPr>
        <w:t>:</w:t>
      </w:r>
    </w:p>
    <w:p w14:paraId="3F58A93C" w14:textId="77777777" w:rsidR="005A2CFD" w:rsidRPr="005A2CFD" w:rsidRDefault="005A2CFD" w:rsidP="005A2CFD">
      <w:pPr>
        <w:spacing w:after="160"/>
        <w:jc w:val="both"/>
        <w:rPr>
          <w:rFonts w:eastAsia="Times New Roman" w:cs="Times New Roman"/>
          <w:noProof w:val="0"/>
          <w:lang w:val="en-GB" w:eastAsia="ja-JP"/>
        </w:rPr>
      </w:pPr>
      <w:r>
        <w:rPr>
          <w:rFonts w:eastAsia="Times New Roman" w:cs="Times New Roman"/>
          <w:noProof w:val="0"/>
          <w:lang w:val="en-GB" w:eastAsia="ja-JP"/>
        </w:rPr>
        <w:t>For p</w:t>
      </w:r>
      <w:r w:rsidRPr="005A2CFD">
        <w:rPr>
          <w:rFonts w:eastAsia="Times New Roman" w:cs="Times New Roman"/>
          <w:noProof w:val="0"/>
          <w:lang w:val="en-GB" w:eastAsia="ja-JP"/>
        </w:rPr>
        <w:t xml:space="preserve">ressurized vessels: </w:t>
      </w:r>
      <m:oMath>
        <m:func>
          <m:funcPr>
            <m:ctrlPr>
              <w:rPr>
                <w:rFonts w:ascii="Cambria Math" w:eastAsia="Times New Roman" w:hAnsi="Cambria Math" w:cs="Times New Roman"/>
                <w:noProof w:val="0"/>
                <w:lang w:val="en-GB" w:eastAsia="ja-JP"/>
              </w:rPr>
            </m:ctrlPr>
          </m:funcPr>
          <m:fName>
            <m:r>
              <m:rPr>
                <m:sty m:val="p"/>
              </m:rPr>
              <w:rPr>
                <w:rFonts w:ascii="Cambria Math" w:eastAsia="Times New Roman" w:hAnsi="Cambria Math" w:cs="Times New Roman"/>
                <w:noProof w:val="0"/>
                <w:lang w:val="en-GB" w:eastAsia="ja-JP"/>
              </w:rPr>
              <m:t>ln</m:t>
            </m:r>
          </m:fName>
          <m:e>
            <m:d>
              <m:dPr>
                <m:ctrlPr>
                  <w:rPr>
                    <w:rFonts w:ascii="Cambria Math" w:eastAsia="Times New Roman" w:hAnsi="Cambria Math" w:cs="Times New Roman"/>
                    <w:i/>
                    <w:noProof w:val="0"/>
                    <w:lang w:val="en-GB" w:eastAsia="ja-JP"/>
                  </w:rPr>
                </m:ctrlPr>
              </m:dPr>
              <m:e>
                <m:r>
                  <w:rPr>
                    <w:rFonts w:ascii="Cambria Math" w:eastAsia="Times New Roman" w:hAnsi="Cambria Math" w:cs="Times New Roman"/>
                    <w:noProof w:val="0"/>
                    <w:lang w:val="en-GB" w:eastAsia="ja-JP"/>
                  </w:rPr>
                  <m:t>ttf</m:t>
                </m:r>
              </m:e>
            </m:d>
          </m:e>
        </m:func>
        <m:r>
          <w:rPr>
            <w:rFonts w:ascii="Cambria Math" w:eastAsia="Times New Roman" w:hAnsi="Cambria Math" w:cs="Times New Roman"/>
            <w:noProof w:val="0"/>
            <w:lang w:val="en-GB" w:eastAsia="ja-JP"/>
          </w:rPr>
          <m:t>=-0.95</m:t>
        </m:r>
        <m:func>
          <m:funcPr>
            <m:ctrlPr>
              <w:rPr>
                <w:rFonts w:ascii="Cambria Math" w:eastAsia="Times New Roman" w:hAnsi="Cambria Math" w:cs="Times New Roman"/>
                <w:noProof w:val="0"/>
                <w:lang w:val="en-GB" w:eastAsia="ja-JP"/>
              </w:rPr>
            </m:ctrlPr>
          </m:funcPr>
          <m:fName>
            <m:r>
              <m:rPr>
                <m:sty m:val="p"/>
              </m:rPr>
              <w:rPr>
                <w:rFonts w:ascii="Cambria Math" w:eastAsia="Times New Roman" w:hAnsi="Cambria Math" w:cs="Times New Roman"/>
                <w:noProof w:val="0"/>
                <w:lang w:val="en-GB" w:eastAsia="ja-JP"/>
              </w:rPr>
              <m:t>ln</m:t>
            </m:r>
            <m:ctrlPr>
              <w:rPr>
                <w:rFonts w:ascii="Cambria Math" w:eastAsia="Times New Roman" w:hAnsi="Cambria Math" w:cs="Times New Roman"/>
                <w:i/>
                <w:noProof w:val="0"/>
                <w:lang w:val="en-GB" w:eastAsia="ja-JP"/>
              </w:rPr>
            </m:ctrlPr>
          </m:fName>
          <m:e>
            <m:d>
              <m:dPr>
                <m:ctrlPr>
                  <w:rPr>
                    <w:rFonts w:ascii="Cambria Math" w:eastAsia="Times New Roman" w:hAnsi="Cambria Math" w:cs="Times New Roman"/>
                    <w:i/>
                    <w:noProof w:val="0"/>
                    <w:lang w:val="en-GB" w:eastAsia="ja-JP"/>
                  </w:rPr>
                </m:ctrlPr>
              </m:dPr>
              <m:e>
                <m:r>
                  <w:rPr>
                    <w:rFonts w:ascii="Cambria Math" w:eastAsia="Times New Roman" w:hAnsi="Cambria Math" w:cs="Times New Roman"/>
                    <w:noProof w:val="0"/>
                    <w:lang w:val="en-GB" w:eastAsia="ja-JP"/>
                  </w:rPr>
                  <m:t>Q</m:t>
                </m:r>
              </m:e>
            </m:d>
          </m:e>
        </m:func>
        <m:r>
          <w:rPr>
            <w:rFonts w:ascii="Cambria Math" w:eastAsia="Times New Roman" w:hAnsi="Cambria Math" w:cs="Times New Roman"/>
            <w:noProof w:val="0"/>
            <w:lang w:val="en-GB" w:eastAsia="ja-JP"/>
          </w:rPr>
          <m:t>+8.85</m:t>
        </m:r>
        <m:sSup>
          <m:sSupPr>
            <m:ctrlPr>
              <w:rPr>
                <w:rFonts w:ascii="Cambria Math" w:eastAsia="Times New Roman" w:hAnsi="Cambria Math" w:cs="Times New Roman"/>
                <w:i/>
                <w:noProof w:val="0"/>
                <w:lang w:val="en-GB" w:eastAsia="ja-JP"/>
              </w:rPr>
            </m:ctrlPr>
          </m:sSupPr>
          <m:e>
            <m:r>
              <w:rPr>
                <w:rFonts w:ascii="Cambria Math" w:eastAsia="Times New Roman" w:hAnsi="Cambria Math" w:cs="Times New Roman"/>
                <w:noProof w:val="0"/>
                <w:lang w:val="en-GB" w:eastAsia="ja-JP"/>
              </w:rPr>
              <m:t xml:space="preserve"> V</m:t>
            </m:r>
          </m:e>
          <m:sup>
            <m:r>
              <w:rPr>
                <w:rFonts w:ascii="Cambria Math" w:eastAsia="Times New Roman" w:hAnsi="Cambria Math" w:cs="Times New Roman"/>
                <w:noProof w:val="0"/>
                <w:lang w:val="en-GB" w:eastAsia="ja-JP"/>
              </w:rPr>
              <m:t>0.032</m:t>
            </m:r>
          </m:sup>
        </m:sSup>
      </m:oMath>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003E1E70">
        <w:rPr>
          <w:rFonts w:eastAsia="Times New Roman" w:cs="Times New Roman"/>
          <w:noProof w:val="0"/>
          <w:lang w:val="en-GB" w:eastAsia="ja-JP"/>
        </w:rPr>
        <w:tab/>
        <w:t>(10)</w:t>
      </w:r>
    </w:p>
    <w:p w14:paraId="476126E8" w14:textId="77777777" w:rsidR="005A2CFD" w:rsidRPr="005A2CFD" w:rsidRDefault="005A2CFD" w:rsidP="005A2CFD">
      <w:pPr>
        <w:spacing w:after="160"/>
        <w:jc w:val="both"/>
        <w:rPr>
          <w:rFonts w:eastAsia="Times New Roman" w:cs="Times New Roman"/>
          <w:noProof w:val="0"/>
          <w:lang w:val="en-GB" w:eastAsia="ja-JP"/>
        </w:rPr>
      </w:pPr>
      <w:r>
        <w:rPr>
          <w:rFonts w:eastAsia="Times New Roman" w:cs="Times New Roman"/>
          <w:noProof w:val="0"/>
          <w:lang w:val="en-GB" w:eastAsia="ja-JP"/>
        </w:rPr>
        <w:t>For a</w:t>
      </w:r>
      <w:r w:rsidRPr="005A2CFD">
        <w:rPr>
          <w:rFonts w:eastAsia="Times New Roman" w:cs="Times New Roman"/>
          <w:noProof w:val="0"/>
          <w:lang w:val="en-GB" w:eastAsia="ja-JP"/>
        </w:rPr>
        <w:t xml:space="preserve">tmospheric vessels: </w:t>
      </w:r>
      <m:oMath>
        <m:func>
          <m:funcPr>
            <m:ctrlPr>
              <w:rPr>
                <w:rFonts w:ascii="Cambria Math" w:eastAsia="Times New Roman" w:hAnsi="Cambria Math" w:cs="Times New Roman"/>
                <w:i/>
                <w:noProof w:val="0"/>
                <w:lang w:val="en-GB" w:eastAsia="ja-JP"/>
              </w:rPr>
            </m:ctrlPr>
          </m:funcPr>
          <m:fName>
            <m:r>
              <m:rPr>
                <m:sty m:val="p"/>
              </m:rPr>
              <w:rPr>
                <w:rFonts w:ascii="Cambria Math" w:eastAsia="Times New Roman" w:hAnsi="Cambria Math" w:cs="Times New Roman"/>
                <w:noProof w:val="0"/>
                <w:lang w:val="en-GB" w:eastAsia="ja-JP"/>
              </w:rPr>
              <m:t>ln</m:t>
            </m:r>
          </m:fName>
          <m:e>
            <m:d>
              <m:dPr>
                <m:ctrlPr>
                  <w:rPr>
                    <w:rFonts w:ascii="Cambria Math" w:eastAsia="Times New Roman" w:hAnsi="Cambria Math" w:cs="Times New Roman"/>
                    <w:i/>
                    <w:noProof w:val="0"/>
                    <w:lang w:val="en-GB" w:eastAsia="ja-JP"/>
                  </w:rPr>
                </m:ctrlPr>
              </m:dPr>
              <m:e>
                <m:r>
                  <w:rPr>
                    <w:rFonts w:ascii="Cambria Math" w:eastAsia="Times New Roman" w:hAnsi="Cambria Math" w:cs="Times New Roman"/>
                    <w:noProof w:val="0"/>
                    <w:lang w:val="en-GB" w:eastAsia="ja-JP"/>
                  </w:rPr>
                  <m:t>ttf</m:t>
                </m:r>
              </m:e>
            </m:d>
          </m:e>
        </m:func>
        <m:r>
          <w:rPr>
            <w:rFonts w:ascii="Cambria Math" w:eastAsia="Times New Roman" w:hAnsi="Cambria Math" w:cs="Times New Roman"/>
            <w:noProof w:val="0"/>
            <w:lang w:val="en-GB" w:eastAsia="ja-JP"/>
          </w:rPr>
          <m:t>= -1.13</m:t>
        </m:r>
        <m:func>
          <m:funcPr>
            <m:ctrlPr>
              <w:rPr>
                <w:rFonts w:ascii="Cambria Math" w:eastAsia="Times New Roman" w:hAnsi="Cambria Math" w:cs="Times New Roman"/>
                <w:noProof w:val="0"/>
                <w:lang w:val="en-GB" w:eastAsia="ja-JP"/>
              </w:rPr>
            </m:ctrlPr>
          </m:funcPr>
          <m:fName>
            <m:r>
              <m:rPr>
                <m:sty m:val="p"/>
              </m:rPr>
              <w:rPr>
                <w:rFonts w:ascii="Cambria Math" w:eastAsia="Times New Roman" w:hAnsi="Cambria Math" w:cs="Times New Roman"/>
                <w:noProof w:val="0"/>
                <w:lang w:val="en-GB" w:eastAsia="ja-JP"/>
              </w:rPr>
              <m:t>ln</m:t>
            </m:r>
          </m:fName>
          <m:e>
            <m:d>
              <m:dPr>
                <m:ctrlPr>
                  <w:rPr>
                    <w:rFonts w:ascii="Cambria Math" w:eastAsia="Times New Roman" w:hAnsi="Cambria Math" w:cs="Times New Roman"/>
                    <w:i/>
                    <w:noProof w:val="0"/>
                    <w:lang w:val="en-GB" w:eastAsia="ja-JP"/>
                  </w:rPr>
                </m:ctrlPr>
              </m:dPr>
              <m:e>
                <m:r>
                  <w:rPr>
                    <w:rFonts w:ascii="Cambria Math" w:eastAsia="Times New Roman" w:hAnsi="Cambria Math" w:cs="Times New Roman"/>
                    <w:noProof w:val="0"/>
                    <w:lang w:val="en-GB" w:eastAsia="ja-JP"/>
                  </w:rPr>
                  <m:t>Q</m:t>
                </m:r>
              </m:e>
            </m:d>
          </m:e>
        </m:func>
        <m:r>
          <w:rPr>
            <w:rFonts w:ascii="Cambria Math" w:eastAsia="Times New Roman" w:hAnsi="Cambria Math" w:cs="Times New Roman"/>
            <w:noProof w:val="0"/>
            <w:lang w:val="en-GB" w:eastAsia="ja-JP"/>
          </w:rPr>
          <m:t>-2.67×</m:t>
        </m:r>
        <m:sSup>
          <m:sSupPr>
            <m:ctrlPr>
              <w:rPr>
                <w:rFonts w:ascii="Cambria Math" w:eastAsia="Times New Roman" w:hAnsi="Cambria Math" w:cs="Times New Roman"/>
                <w:i/>
                <w:noProof w:val="0"/>
                <w:lang w:val="en-GB" w:eastAsia="ja-JP"/>
              </w:rPr>
            </m:ctrlPr>
          </m:sSupPr>
          <m:e>
            <m:r>
              <w:rPr>
                <w:rFonts w:ascii="Cambria Math" w:eastAsia="Times New Roman" w:hAnsi="Cambria Math" w:cs="Times New Roman"/>
                <w:noProof w:val="0"/>
                <w:lang w:val="en-GB" w:eastAsia="ja-JP"/>
              </w:rPr>
              <m:t>10</m:t>
            </m:r>
          </m:e>
          <m:sup>
            <m:r>
              <w:rPr>
                <w:rFonts w:ascii="Cambria Math" w:eastAsia="Times New Roman" w:hAnsi="Cambria Math" w:cs="Times New Roman"/>
                <w:noProof w:val="0"/>
                <w:lang w:val="en-GB" w:eastAsia="ja-JP"/>
              </w:rPr>
              <m:t>-5</m:t>
            </m:r>
          </m:sup>
        </m:sSup>
        <m:r>
          <w:rPr>
            <w:rFonts w:ascii="Cambria Math" w:eastAsia="Times New Roman" w:hAnsi="Cambria Math" w:cs="Times New Roman"/>
            <w:noProof w:val="0"/>
            <w:lang w:val="en-GB" w:eastAsia="ja-JP"/>
          </w:rPr>
          <m:t xml:space="preserve"> V+9.9</m:t>
        </m:r>
      </m:oMath>
      <w:r w:rsidRPr="005A2CFD">
        <w:rPr>
          <w:rFonts w:eastAsia="Times New Roman" w:cs="Times New Roman"/>
          <w:noProof w:val="0"/>
          <w:lang w:val="en-GB" w:eastAsia="ja-JP"/>
        </w:rPr>
        <w:t xml:space="preserve"> </w:t>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003E1E70">
        <w:rPr>
          <w:rFonts w:eastAsia="Times New Roman" w:cs="Times New Roman"/>
          <w:noProof w:val="0"/>
          <w:lang w:val="en-GB" w:eastAsia="ja-JP"/>
        </w:rPr>
        <w:t>(11)</w:t>
      </w:r>
    </w:p>
    <w:p w14:paraId="751E7063" w14:textId="77777777" w:rsidR="005A2CFD" w:rsidRPr="005A2CFD" w:rsidRDefault="005A2CFD" w:rsidP="005A2CFD">
      <w:pPr>
        <w:spacing w:after="160"/>
        <w:jc w:val="both"/>
        <w:rPr>
          <w:rFonts w:eastAsia="Times New Roman" w:cs="Times New Roman"/>
          <w:noProof w:val="0"/>
          <w:lang w:val="en-GB" w:eastAsia="ja-JP"/>
        </w:rPr>
      </w:pPr>
      <w:r w:rsidRPr="005A2CFD">
        <w:rPr>
          <w:rFonts w:eastAsia="Times New Roman" w:cs="Times New Roman"/>
          <w:noProof w:val="0"/>
          <w:lang w:val="en-GB" w:eastAsia="ja-JP"/>
        </w:rPr>
        <w:t xml:space="preserve">where </w:t>
      </w:r>
      <w:proofErr w:type="spellStart"/>
      <w:r w:rsidRPr="005A2CFD">
        <w:rPr>
          <w:rFonts w:eastAsia="Times New Roman" w:cs="Times New Roman"/>
          <w:noProof w:val="0"/>
          <w:lang w:val="en-GB" w:eastAsia="ja-JP"/>
        </w:rPr>
        <w:t>ttf</w:t>
      </w:r>
      <w:proofErr w:type="spellEnd"/>
      <w:r w:rsidRPr="005A2CFD">
        <w:rPr>
          <w:rFonts w:eastAsia="Times New Roman" w:cs="Times New Roman"/>
          <w:noProof w:val="0"/>
          <w:lang w:val="en-GB" w:eastAsia="ja-JP"/>
        </w:rPr>
        <w:t xml:space="preserve"> (s)</w:t>
      </w:r>
      <w:r>
        <w:rPr>
          <w:rFonts w:eastAsia="Times New Roman" w:cs="Times New Roman"/>
          <w:noProof w:val="0"/>
          <w:lang w:val="en-GB" w:eastAsia="ja-JP"/>
        </w:rPr>
        <w:t xml:space="preserve"> </w:t>
      </w:r>
      <w:r w:rsidRPr="005A2CFD">
        <w:rPr>
          <w:rFonts w:eastAsia="Times New Roman" w:cs="Times New Roman"/>
          <w:noProof w:val="0"/>
          <w:lang w:val="en-GB" w:eastAsia="ja-JP"/>
        </w:rPr>
        <w:t>is the time to failure</w:t>
      </w:r>
      <w:r>
        <w:rPr>
          <w:rFonts w:eastAsia="Times New Roman" w:cs="Times New Roman"/>
          <w:noProof w:val="0"/>
          <w:lang w:val="en-GB" w:eastAsia="ja-JP"/>
        </w:rPr>
        <w:t xml:space="preserve"> of the target vessel</w:t>
      </w:r>
      <w:r w:rsidRPr="005A2CFD">
        <w:rPr>
          <w:rFonts w:eastAsia="Times New Roman" w:cs="Times New Roman"/>
          <w:noProof w:val="0"/>
          <w:lang w:val="en-GB" w:eastAsia="ja-JP"/>
        </w:rPr>
        <w:t>; Q (kW/m</w:t>
      </w:r>
      <w:r w:rsidRPr="005A2CFD">
        <w:rPr>
          <w:rFonts w:eastAsia="Times New Roman" w:cs="Times New Roman"/>
          <w:noProof w:val="0"/>
          <w:vertAlign w:val="superscript"/>
          <w:lang w:val="en-GB" w:eastAsia="ja-JP"/>
        </w:rPr>
        <w:t>2</w:t>
      </w:r>
      <w:r w:rsidRPr="005A2CFD">
        <w:rPr>
          <w:rFonts w:eastAsia="Times New Roman" w:cs="Times New Roman"/>
          <w:noProof w:val="0"/>
          <w:lang w:val="en-GB" w:eastAsia="ja-JP"/>
        </w:rPr>
        <w:t>)</w:t>
      </w:r>
      <w:r>
        <w:rPr>
          <w:rFonts w:eastAsia="Times New Roman" w:cs="Times New Roman"/>
          <w:noProof w:val="0"/>
          <w:lang w:val="en-GB" w:eastAsia="ja-JP"/>
        </w:rPr>
        <w:t xml:space="preserve"> </w:t>
      </w:r>
      <w:r w:rsidRPr="005A2CFD">
        <w:rPr>
          <w:rFonts w:eastAsia="Times New Roman" w:cs="Times New Roman"/>
          <w:noProof w:val="0"/>
          <w:lang w:val="en-GB" w:eastAsia="ja-JP"/>
        </w:rPr>
        <w:t>is the received heat radiation; V (m</w:t>
      </w:r>
      <w:r w:rsidRPr="005A2CFD">
        <w:rPr>
          <w:rFonts w:eastAsia="Times New Roman" w:cs="Times New Roman"/>
          <w:noProof w:val="0"/>
          <w:vertAlign w:val="superscript"/>
          <w:lang w:val="en-GB" w:eastAsia="ja-JP"/>
        </w:rPr>
        <w:t>3</w:t>
      </w:r>
      <w:r w:rsidRPr="005A2CFD">
        <w:rPr>
          <w:rFonts w:eastAsia="Times New Roman" w:cs="Times New Roman"/>
          <w:noProof w:val="0"/>
          <w:lang w:val="en-GB" w:eastAsia="ja-JP"/>
        </w:rPr>
        <w:t>)</w:t>
      </w:r>
      <w:r>
        <w:rPr>
          <w:rFonts w:eastAsia="Times New Roman" w:cs="Times New Roman"/>
          <w:noProof w:val="0"/>
          <w:lang w:val="en-GB" w:eastAsia="ja-JP"/>
        </w:rPr>
        <w:t xml:space="preserve"> </w:t>
      </w:r>
      <w:r w:rsidRPr="005A2CFD">
        <w:rPr>
          <w:rFonts w:eastAsia="Times New Roman" w:cs="Times New Roman"/>
          <w:noProof w:val="0"/>
          <w:lang w:val="en-GB" w:eastAsia="ja-JP"/>
        </w:rPr>
        <w:t xml:space="preserve">is the target vessel’s volume. Having the </w:t>
      </w:r>
      <w:proofErr w:type="spellStart"/>
      <w:r w:rsidRPr="005A2CFD">
        <w:rPr>
          <w:rFonts w:eastAsia="Times New Roman" w:cs="Times New Roman"/>
          <w:noProof w:val="0"/>
          <w:lang w:val="en-GB" w:eastAsia="ja-JP"/>
        </w:rPr>
        <w:t>ttf</w:t>
      </w:r>
      <w:proofErr w:type="spellEnd"/>
      <w:r w:rsidRPr="005A2CFD">
        <w:rPr>
          <w:rFonts w:eastAsia="Times New Roman" w:cs="Times New Roman"/>
          <w:noProof w:val="0"/>
          <w:lang w:val="en-GB" w:eastAsia="ja-JP"/>
        </w:rPr>
        <w:t xml:space="preserve">, </w:t>
      </w:r>
      <w:r>
        <w:rPr>
          <w:rFonts w:eastAsia="Times New Roman" w:cs="Times New Roman"/>
          <w:noProof w:val="0"/>
          <w:lang w:val="en-GB" w:eastAsia="ja-JP"/>
        </w:rPr>
        <w:t xml:space="preserve">the </w:t>
      </w:r>
      <w:r w:rsidRPr="005A2CFD">
        <w:rPr>
          <w:rFonts w:eastAsia="Times New Roman" w:cs="Times New Roman"/>
          <w:noProof w:val="0"/>
          <w:lang w:val="en-GB" w:eastAsia="ja-JP"/>
        </w:rPr>
        <w:t>vessel</w:t>
      </w:r>
      <w:r>
        <w:rPr>
          <w:rFonts w:eastAsia="Times New Roman" w:cs="Times New Roman"/>
          <w:noProof w:val="0"/>
          <w:lang w:val="en-GB" w:eastAsia="ja-JP"/>
        </w:rPr>
        <w:t>’s</w:t>
      </w:r>
      <w:r w:rsidRPr="005A2CFD">
        <w:rPr>
          <w:rFonts w:eastAsia="Times New Roman" w:cs="Times New Roman"/>
          <w:noProof w:val="0"/>
          <w:lang w:val="en-GB" w:eastAsia="ja-JP"/>
        </w:rPr>
        <w:t xml:space="preserve"> </w:t>
      </w:r>
      <w:proofErr w:type="spellStart"/>
      <w:r w:rsidRPr="005A2CFD">
        <w:rPr>
          <w:rFonts w:eastAsia="Times New Roman" w:cs="Times New Roman"/>
          <w:noProof w:val="0"/>
          <w:lang w:val="en-GB" w:eastAsia="ja-JP"/>
        </w:rPr>
        <w:t>probit</w:t>
      </w:r>
      <w:proofErr w:type="spellEnd"/>
      <w:r w:rsidRPr="005A2CFD">
        <w:rPr>
          <w:rFonts w:eastAsia="Times New Roman" w:cs="Times New Roman"/>
          <w:noProof w:val="0"/>
          <w:lang w:val="en-GB" w:eastAsia="ja-JP"/>
        </w:rPr>
        <w:t xml:space="preserve"> models can be used to estimate the failure probability of the vessel </w:t>
      </w:r>
      <w:r>
        <w:rPr>
          <w:rFonts w:eastAsia="Times New Roman" w:cs="Times New Roman"/>
          <w:noProof w:val="0"/>
          <w:lang w:val="en-GB" w:eastAsia="ja-JP"/>
        </w:rPr>
        <w:t>as</w:t>
      </w:r>
      <w:r w:rsidRPr="005A2CFD">
        <w:rPr>
          <w:rFonts w:eastAsia="Times New Roman" w:cs="Times New Roman"/>
          <w:noProof w:val="0"/>
          <w:lang w:val="en-GB" w:eastAsia="ja-JP"/>
        </w:rPr>
        <w:t>:</w:t>
      </w:r>
    </w:p>
    <w:p w14:paraId="2BCA8B90" w14:textId="77777777" w:rsidR="005A2CFD" w:rsidRPr="005A2CFD" w:rsidRDefault="005A2CFD" w:rsidP="005A2CFD">
      <w:pPr>
        <w:spacing w:after="160"/>
        <w:jc w:val="both"/>
        <w:rPr>
          <w:rFonts w:eastAsia="Times New Roman" w:cs="Times New Roman"/>
          <w:noProof w:val="0"/>
          <w:lang w:val="en-GB" w:eastAsia="ja-JP"/>
        </w:rPr>
      </w:pPr>
      <m:oMath>
        <m:r>
          <w:rPr>
            <w:rFonts w:ascii="Cambria Math" w:eastAsia="Times New Roman" w:hAnsi="Cambria Math" w:cs="Times New Roman"/>
            <w:noProof w:val="0"/>
            <w:lang w:val="en-GB" w:eastAsia="ja-JP"/>
          </w:rPr>
          <m:t xml:space="preserve">Y=9.25-1.85 </m:t>
        </m:r>
        <m:r>
          <m:rPr>
            <m:sty m:val="p"/>
          </m:rPr>
          <w:rPr>
            <w:rFonts w:ascii="Cambria Math" w:eastAsia="Times New Roman" w:hAnsi="Cambria Math" w:cs="Times New Roman"/>
            <w:noProof w:val="0"/>
            <w:lang w:val="en-GB" w:eastAsia="ja-JP"/>
          </w:rPr>
          <m:t>ln⁡</m:t>
        </m:r>
        <m:r>
          <w:rPr>
            <w:rFonts w:ascii="Cambria Math" w:eastAsia="Times New Roman" w:hAnsi="Cambria Math" w:cs="Times New Roman"/>
            <w:noProof w:val="0"/>
            <w:lang w:val="en-GB" w:eastAsia="ja-JP"/>
          </w:rPr>
          <m:t>(</m:t>
        </m:r>
        <m:f>
          <m:fPr>
            <m:ctrlPr>
              <w:rPr>
                <w:rFonts w:ascii="Cambria Math" w:eastAsia="Times New Roman" w:hAnsi="Cambria Math" w:cs="Times New Roman"/>
                <w:i/>
                <w:noProof w:val="0"/>
                <w:lang w:val="en-GB" w:eastAsia="ja-JP"/>
              </w:rPr>
            </m:ctrlPr>
          </m:fPr>
          <m:num>
            <m:r>
              <w:rPr>
                <w:rFonts w:ascii="Cambria Math" w:eastAsia="Times New Roman" w:hAnsi="Cambria Math" w:cs="Times New Roman"/>
                <w:noProof w:val="0"/>
                <w:lang w:val="en-GB" w:eastAsia="ja-JP"/>
              </w:rPr>
              <m:t>ttf</m:t>
            </m:r>
          </m:num>
          <m:den>
            <m:r>
              <w:rPr>
                <w:rFonts w:ascii="Cambria Math" w:eastAsia="Times New Roman" w:hAnsi="Cambria Math" w:cs="Times New Roman"/>
                <w:noProof w:val="0"/>
                <w:lang w:val="en-GB" w:eastAsia="ja-JP"/>
              </w:rPr>
              <m:t>60</m:t>
            </m:r>
          </m:den>
        </m:f>
        <m:r>
          <w:rPr>
            <w:rFonts w:ascii="Cambria Math" w:eastAsia="Times New Roman" w:hAnsi="Cambria Math" w:cs="Times New Roman"/>
            <w:noProof w:val="0"/>
            <w:lang w:val="en-GB" w:eastAsia="ja-JP"/>
          </w:rPr>
          <m:t>)</m:t>
        </m:r>
      </m:oMath>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003E1E70">
        <w:rPr>
          <w:rFonts w:eastAsia="Times New Roman" w:cs="Times New Roman"/>
          <w:noProof w:val="0"/>
          <w:lang w:val="en-GB" w:eastAsia="ja-JP"/>
        </w:rPr>
        <w:t>(12)</w:t>
      </w:r>
    </w:p>
    <w:p w14:paraId="1458E80F" w14:textId="77777777" w:rsidR="005A2CFD" w:rsidRPr="005A2CFD" w:rsidRDefault="005A2CFD" w:rsidP="005A2CFD">
      <w:pPr>
        <w:spacing w:after="160"/>
        <w:jc w:val="both"/>
        <w:rPr>
          <w:rFonts w:eastAsia="Times New Roman" w:cs="Times New Roman"/>
          <w:noProof w:val="0"/>
          <w:lang w:val="en-GB" w:eastAsia="ja-JP"/>
        </w:rPr>
      </w:pPr>
      <m:oMath>
        <m:r>
          <w:rPr>
            <w:rFonts w:ascii="Cambria Math" w:eastAsia="Times New Roman" w:hAnsi="Cambria Math" w:cs="Times New Roman"/>
            <w:noProof w:val="0"/>
            <w:lang w:val="en-GB" w:eastAsia="ja-JP"/>
          </w:rPr>
          <m:t>Pr=ɸ(Y-5)</m:t>
        </m:r>
      </m:oMath>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Pr="005A2CFD">
        <w:rPr>
          <w:rFonts w:eastAsia="Times New Roman" w:cs="Times New Roman"/>
          <w:noProof w:val="0"/>
          <w:lang w:val="en-GB" w:eastAsia="ja-JP"/>
        </w:rPr>
        <w:tab/>
      </w:r>
      <w:r w:rsidR="003E1E70">
        <w:rPr>
          <w:rFonts w:eastAsia="Times New Roman" w:cs="Times New Roman"/>
          <w:noProof w:val="0"/>
          <w:lang w:val="en-GB" w:eastAsia="ja-JP"/>
        </w:rPr>
        <w:t>(13)</w:t>
      </w:r>
    </w:p>
    <w:p w14:paraId="31CB4BA3" w14:textId="77777777" w:rsidR="005A2CFD" w:rsidRPr="008B0045" w:rsidRDefault="005A2CFD" w:rsidP="003E1E70">
      <w:pPr>
        <w:spacing w:after="160"/>
        <w:jc w:val="both"/>
        <w:rPr>
          <w:lang w:val="en-GB"/>
        </w:rPr>
      </w:pPr>
      <w:r w:rsidRPr="005A2CFD">
        <w:rPr>
          <w:rFonts w:eastAsia="Times New Roman" w:cs="Times New Roman"/>
          <w:noProof w:val="0"/>
          <w:lang w:val="en-GB" w:eastAsia="ja-JP"/>
        </w:rPr>
        <w:t xml:space="preserve">where Y is the </w:t>
      </w:r>
      <w:proofErr w:type="spellStart"/>
      <w:r w:rsidRPr="005A2CFD">
        <w:rPr>
          <w:rFonts w:eastAsia="Times New Roman" w:cs="Times New Roman"/>
          <w:noProof w:val="0"/>
          <w:lang w:val="en-GB" w:eastAsia="ja-JP"/>
        </w:rPr>
        <w:t>probit</w:t>
      </w:r>
      <w:proofErr w:type="spellEnd"/>
      <w:r w:rsidRPr="005A2CFD">
        <w:rPr>
          <w:rFonts w:eastAsia="Times New Roman" w:cs="Times New Roman"/>
          <w:noProof w:val="0"/>
          <w:lang w:val="en-GB" w:eastAsia="ja-JP"/>
        </w:rPr>
        <w:t xml:space="preserve"> value; </w:t>
      </w:r>
      <w:proofErr w:type="spellStart"/>
      <w:r w:rsidRPr="005A2CFD">
        <w:rPr>
          <w:rFonts w:eastAsia="Times New Roman" w:cs="Times New Roman"/>
          <w:noProof w:val="0"/>
          <w:lang w:val="en-GB" w:eastAsia="ja-JP"/>
        </w:rPr>
        <w:t>Pr</w:t>
      </w:r>
      <w:proofErr w:type="spellEnd"/>
      <w:r w:rsidRPr="005A2CFD">
        <w:rPr>
          <w:rFonts w:eastAsia="Times New Roman" w:cs="Times New Roman"/>
          <w:noProof w:val="0"/>
          <w:lang w:val="en-GB" w:eastAsia="ja-JP"/>
        </w:rPr>
        <w:t xml:space="preserve"> is the failure probability of the target vessel; ɸ(.) is the cumulative standard normal distribution. </w:t>
      </w:r>
    </w:p>
    <w:p w14:paraId="5F216AEE" w14:textId="36E0389A" w:rsidR="00E262A6" w:rsidRDefault="008B0045" w:rsidP="008B0045">
      <w:pPr>
        <w:spacing w:after="240"/>
        <w:jc w:val="both"/>
        <w:rPr>
          <w:rFonts w:eastAsiaTheme="minorEastAsia"/>
          <w:lang w:val="en-US"/>
        </w:rPr>
      </w:pPr>
      <w:r>
        <w:rPr>
          <w:lang w:val="en-US"/>
        </w:rPr>
        <w:t>It should be noted that the foregoing relationships are valid only if the amount of heat radiation received by a target vessel is higher than thresholds of 15</w:t>
      </w:r>
      <w:r w:rsidR="00031882">
        <w:rPr>
          <w:lang w:val="en-US"/>
        </w:rPr>
        <w:t xml:space="preserve"> </w:t>
      </w:r>
      <w:r>
        <w:rPr>
          <w:rFonts w:eastAsiaTheme="minorEastAsia"/>
          <w:lang w:val="en-US"/>
        </w:rPr>
        <w:t>kW/m</w:t>
      </w:r>
      <w:r w:rsidRPr="00395802">
        <w:rPr>
          <w:rFonts w:eastAsiaTheme="minorEastAsia"/>
          <w:vertAlign w:val="superscript"/>
          <w:lang w:val="en-US"/>
        </w:rPr>
        <w:t>2</w:t>
      </w:r>
      <w:r>
        <w:rPr>
          <w:rFonts w:eastAsiaTheme="minorEastAsia"/>
          <w:lang w:val="en-US"/>
        </w:rPr>
        <w:t xml:space="preserve"> and 45 kW/m</w:t>
      </w:r>
      <w:r w:rsidRPr="00395802">
        <w:rPr>
          <w:rFonts w:eastAsiaTheme="minorEastAsia"/>
          <w:vertAlign w:val="superscript"/>
          <w:lang w:val="en-US"/>
        </w:rPr>
        <w:t>2</w:t>
      </w:r>
      <w:r>
        <w:rPr>
          <w:rFonts w:eastAsiaTheme="minorEastAsia"/>
          <w:lang w:val="en-US"/>
        </w:rPr>
        <w:t xml:space="preserve"> </w:t>
      </w:r>
      <w:r>
        <w:rPr>
          <w:lang w:val="en-US"/>
        </w:rPr>
        <w:t xml:space="preserve">for atmospheric and pressurized vessels, respectively. For instance, in </w:t>
      </w:r>
      <w:r w:rsidRPr="003E1E70">
        <w:rPr>
          <w:lang w:val="en-US"/>
        </w:rPr>
        <w:t xml:space="preserve">Figure </w:t>
      </w:r>
      <w:r w:rsidR="006442A6">
        <w:rPr>
          <w:lang w:val="en-US"/>
        </w:rPr>
        <w:t>4</w:t>
      </w:r>
      <w:r w:rsidR="008B308B">
        <w:rPr>
          <w:lang w:val="en-US"/>
        </w:rPr>
        <w:t>(a)</w:t>
      </w:r>
      <w:r>
        <w:rPr>
          <w:lang w:val="en-US"/>
        </w:rPr>
        <w:t xml:space="preserve">, it has been assumed that </w:t>
      </w:r>
      <w:r w:rsidR="0039090B">
        <w:rPr>
          <w:lang w:val="en-US"/>
        </w:rPr>
        <w:t>among possible tank fires at the storage tanks, only the magnitudes of heat radiation T4 receives from tank fires at T1 and T5 are above the threshold (</w:t>
      </w:r>
      <w:r w:rsidR="0039090B">
        <w:rPr>
          <w:rFonts w:ascii="Calibri" w:hAnsi="Calibri"/>
          <w:lang w:val="en-US"/>
        </w:rPr>
        <w:t>≥</w:t>
      </w:r>
      <w:r w:rsidR="0039090B">
        <w:rPr>
          <w:lang w:val="en-US"/>
        </w:rPr>
        <w:t xml:space="preserve"> 15 </w:t>
      </w:r>
      <w:r w:rsidR="0039090B">
        <w:rPr>
          <w:rFonts w:eastAsiaTheme="minorEastAsia"/>
          <w:lang w:val="en-US"/>
        </w:rPr>
        <w:t>kW/m</w:t>
      </w:r>
      <w:r w:rsidR="0039090B" w:rsidRPr="00395802">
        <w:rPr>
          <w:rFonts w:eastAsiaTheme="minorEastAsia"/>
          <w:vertAlign w:val="superscript"/>
          <w:lang w:val="en-US"/>
        </w:rPr>
        <w:t>2</w:t>
      </w:r>
      <w:r w:rsidR="0039090B">
        <w:rPr>
          <w:lang w:val="en-US"/>
        </w:rPr>
        <w:t xml:space="preserve">); this is why in the DBN </w:t>
      </w:r>
      <w:r w:rsidR="008B308B">
        <w:rPr>
          <w:lang w:val="en-US"/>
        </w:rPr>
        <w:t xml:space="preserve">in Figure </w:t>
      </w:r>
      <w:r w:rsidR="006442A6">
        <w:rPr>
          <w:lang w:val="en-US"/>
        </w:rPr>
        <w:t>4</w:t>
      </w:r>
      <w:r w:rsidR="008B308B">
        <w:rPr>
          <w:lang w:val="en-US"/>
        </w:rPr>
        <w:t xml:space="preserve">(b) </w:t>
      </w:r>
      <w:r w:rsidR="0039090B">
        <w:rPr>
          <w:lang w:val="en-US"/>
        </w:rPr>
        <w:t xml:space="preserve">there are arcs from T1 and T5 to T4. </w:t>
      </w:r>
    </w:p>
    <w:p w14:paraId="20100793" w14:textId="77777777" w:rsidR="00F2048E" w:rsidRDefault="00D96085" w:rsidP="0067323E">
      <w:pPr>
        <w:pStyle w:val="Heading1"/>
      </w:pPr>
      <w:r>
        <w:t>Application</w:t>
      </w:r>
    </w:p>
    <w:p w14:paraId="21FF6773" w14:textId="77777777" w:rsidR="00D96085" w:rsidRPr="00D96085" w:rsidRDefault="00D96085" w:rsidP="00D96085">
      <w:pPr>
        <w:pStyle w:val="Heading2"/>
      </w:pPr>
      <w:r>
        <w:t>4.1. Case study</w:t>
      </w:r>
    </w:p>
    <w:p w14:paraId="3A0B10B3" w14:textId="663AD975" w:rsidR="00805734" w:rsidRDefault="00E15DDE" w:rsidP="00863E5E">
      <w:pPr>
        <w:jc w:val="both"/>
      </w:pPr>
      <w:r>
        <w:t xml:space="preserve">For illustration purposes, </w:t>
      </w:r>
      <w:r w:rsidR="007D1F3D">
        <w:t>consider</w:t>
      </w:r>
      <w:r>
        <w:t xml:space="preserve"> </w:t>
      </w:r>
      <w:r w:rsidR="002E1871">
        <w:t xml:space="preserve">the </w:t>
      </w:r>
      <w:r w:rsidR="007D1F3D">
        <w:t xml:space="preserve">oil storage </w:t>
      </w:r>
      <w:r w:rsidR="002E1871">
        <w:t xml:space="preserve">plant </w:t>
      </w:r>
      <w:r w:rsidR="007D1F3D">
        <w:t xml:space="preserve">(oil terminal) </w:t>
      </w:r>
      <w:r w:rsidR="002E1871">
        <w:t xml:space="preserve">in Figure </w:t>
      </w:r>
      <w:r w:rsidR="002B62B6">
        <w:t>5</w:t>
      </w:r>
      <w:r w:rsidR="002E1871">
        <w:t xml:space="preserve"> </w:t>
      </w:r>
      <w:r w:rsidR="007D1F3D">
        <w:t xml:space="preserve">which is adjacent to woods from </w:t>
      </w:r>
      <w:r w:rsidR="00CC4C42">
        <w:t xml:space="preserve">the </w:t>
      </w:r>
      <w:r w:rsidR="007D1F3D">
        <w:t xml:space="preserve">south and east sides of the plant. </w:t>
      </w:r>
      <w:r w:rsidR="00531135">
        <w:t>The terminal consists of eight storage tanks of oil</w:t>
      </w:r>
      <w:r w:rsidR="00991D0D">
        <w:t xml:space="preserve"> (</w:t>
      </w:r>
      <w:r w:rsidR="00991D0D" w:rsidRPr="0039618B">
        <w:t>atmospheric floating-roof tanks</w:t>
      </w:r>
      <w:r w:rsidR="00991D0D">
        <w:t>)</w:t>
      </w:r>
      <w:r w:rsidR="00531135">
        <w:t>, with three types of storage tanks: tanks 1-3 with a diameter of 50 m, height of 12.2 m, and volume of 23,500 m</w:t>
      </w:r>
      <w:r w:rsidR="00531135" w:rsidRPr="00531135">
        <w:rPr>
          <w:vertAlign w:val="superscript"/>
        </w:rPr>
        <w:t>3</w:t>
      </w:r>
      <w:r w:rsidR="00531135">
        <w:t>; tanks 4-7 with a diameter of 37 m, height of 12.2 m, and volume of 12,900 m</w:t>
      </w:r>
      <w:r w:rsidR="00531135" w:rsidRPr="00531135">
        <w:rPr>
          <w:vertAlign w:val="superscript"/>
        </w:rPr>
        <w:t>3</w:t>
      </w:r>
      <w:r w:rsidR="00531135">
        <w:t>; and tank 8 with a diameter of 24 m, height of 12.2 m, and volume of 5,400 m</w:t>
      </w:r>
      <w:r w:rsidR="00531135" w:rsidRPr="00531135">
        <w:rPr>
          <w:vertAlign w:val="superscript"/>
        </w:rPr>
        <w:t>3</w:t>
      </w:r>
      <w:r w:rsidR="00531135">
        <w:t xml:space="preserve">. </w:t>
      </w:r>
    </w:p>
    <w:p w14:paraId="5E306078" w14:textId="153B7B17" w:rsidR="002E1871" w:rsidRDefault="00F50641" w:rsidP="00863E5E">
      <w:pPr>
        <w:jc w:val="both"/>
      </w:pPr>
      <w:r>
        <w:t xml:space="preserve">For illustrative purposes </w:t>
      </w:r>
      <w:r w:rsidR="00805734">
        <w:t xml:space="preserve">and availability of wildfire data </w:t>
      </w:r>
      <w:r>
        <w:t>only, it has been assumed that the plant is located in Alberta Province in Canada. The approximate location of the plant has b</w:t>
      </w:r>
      <w:r w:rsidR="002F00AF">
        <w:t xml:space="preserve">een denoted in Figures </w:t>
      </w:r>
      <w:r w:rsidR="002B62B6">
        <w:t>6</w:t>
      </w:r>
      <w:r w:rsidR="002F00AF">
        <w:t xml:space="preserve"> and </w:t>
      </w:r>
      <w:r w:rsidR="002B62B6">
        <w:t>8</w:t>
      </w:r>
      <w:r w:rsidR="002F00AF">
        <w:t xml:space="preserve"> with arrows. </w:t>
      </w:r>
      <w:r w:rsidR="00805734">
        <w:t>The prevailing wind direction and speed have been obtained as south-</w:t>
      </w:r>
      <w:r w:rsidR="00805734">
        <w:lastRenderedPageBreak/>
        <w:t xml:space="preserve">to-north and 5 m/s, respectively, from the regional weather station on October 17, 2017. The direction of the prevailing wind has been denoted by yellow arrows in Figure </w:t>
      </w:r>
      <w:r w:rsidR="002B62B6">
        <w:t>5</w:t>
      </w:r>
      <w:r w:rsidR="00991D0D">
        <w:t xml:space="preserve">. </w:t>
      </w:r>
    </w:p>
    <w:p w14:paraId="25EDEFA8" w14:textId="77777777" w:rsidR="00991D0D" w:rsidRDefault="00991D0D" w:rsidP="00863E5E">
      <w:pPr>
        <w:jc w:val="both"/>
      </w:pPr>
    </w:p>
    <w:p w14:paraId="58C0BBD5" w14:textId="51760BB6" w:rsidR="00C02467" w:rsidRDefault="00FB2098" w:rsidP="00D95001">
      <w:pPr>
        <w:jc w:val="center"/>
      </w:pPr>
      <w:r>
        <w:object w:dxaOrig="7814" w:dyaOrig="4974" w14:anchorId="3EE334DD">
          <v:shape id="_x0000_i1028" type="#_x0000_t75" style="width:249.75pt;height:159pt" o:ole="">
            <v:imagedata r:id="rId16" o:title=""/>
          </v:shape>
          <o:OLEObject Type="Embed" ProgID="Visio.Drawing.11" ShapeID="_x0000_i1028" DrawAspect="Content" ObjectID="_1594553524" r:id="rId17"/>
        </w:object>
      </w:r>
    </w:p>
    <w:p w14:paraId="74F2C7B3" w14:textId="40E4AAE0" w:rsidR="00D95001" w:rsidRDefault="007D1F3D" w:rsidP="00D95001">
      <w:pPr>
        <w:jc w:val="center"/>
      </w:pPr>
      <w:r w:rsidRPr="008B308B">
        <w:t xml:space="preserve">Figure </w:t>
      </w:r>
      <w:r w:rsidR="002B62B6">
        <w:t>5</w:t>
      </w:r>
      <w:r w:rsidRPr="008B308B">
        <w:t>.</w:t>
      </w:r>
      <w:r>
        <w:t xml:space="preserve"> A</w:t>
      </w:r>
      <w:r w:rsidR="00C83B8A">
        <w:t>n</w:t>
      </w:r>
      <w:r>
        <w:t xml:space="preserve"> oil terminal consisting of eight atmospheric </w:t>
      </w:r>
      <w:r w:rsidR="00991D0D">
        <w:t xml:space="preserve">floating-roof </w:t>
      </w:r>
      <w:r>
        <w:t xml:space="preserve">tanks of oil. </w:t>
      </w:r>
      <w:r w:rsidR="00CC685E">
        <w:t xml:space="preserve">The direction of wildfire spread </w:t>
      </w:r>
      <w:r w:rsidR="0062262A">
        <w:t xml:space="preserve">(wind direction) </w:t>
      </w:r>
      <w:r w:rsidR="00CC685E">
        <w:t xml:space="preserve">has been denoted by arrows. </w:t>
      </w:r>
    </w:p>
    <w:p w14:paraId="20E403DB" w14:textId="77777777" w:rsidR="00863E5E" w:rsidRDefault="00863E5E" w:rsidP="00D95001">
      <w:pPr>
        <w:jc w:val="center"/>
        <w:rPr>
          <w:lang w:val="en-GB"/>
        </w:rPr>
      </w:pPr>
    </w:p>
    <w:p w14:paraId="6674BCB3" w14:textId="77777777" w:rsidR="00CB43B1" w:rsidRDefault="00CB43B1" w:rsidP="00D96085">
      <w:pPr>
        <w:pStyle w:val="Heading2"/>
      </w:pPr>
      <w:r>
        <w:t xml:space="preserve">4.2. </w:t>
      </w:r>
      <w:r w:rsidR="002F00AF">
        <w:t>W</w:t>
      </w:r>
      <w:r>
        <w:t>ildfire ignition probability</w:t>
      </w:r>
    </w:p>
    <w:p w14:paraId="27781E8F" w14:textId="1A4EF4C2" w:rsidR="00C86BF6" w:rsidRDefault="002F00AF" w:rsidP="00ED0F21">
      <w:pPr>
        <w:jc w:val="both"/>
        <w:rPr>
          <w:lang w:val="en-US"/>
        </w:rPr>
      </w:pPr>
      <w:r>
        <w:rPr>
          <w:lang w:val="en-US"/>
        </w:rPr>
        <w:t>The ignition probabilities for Alberta Province were obtained from Alberta Wildfire, a website admin</w:t>
      </w:r>
      <w:r w:rsidR="006C24F9">
        <w:rPr>
          <w:lang w:val="en-US"/>
        </w:rPr>
        <w:t>i</w:t>
      </w:r>
      <w:r>
        <w:rPr>
          <w:lang w:val="en-US"/>
        </w:rPr>
        <w:t xml:space="preserve">strated by </w:t>
      </w:r>
      <w:r w:rsidRPr="002F00AF">
        <w:rPr>
          <w:lang w:val="en-US"/>
        </w:rPr>
        <w:t>Alberta</w:t>
      </w:r>
      <w:r>
        <w:rPr>
          <w:lang w:val="en-US"/>
        </w:rPr>
        <w:t xml:space="preserve"> Agriculture and Forestry, updated on a daily basis. </w:t>
      </w:r>
      <w:r w:rsidR="00750652">
        <w:rPr>
          <w:lang w:val="en-US"/>
        </w:rPr>
        <w:t>The website also provides daily data and information on drought code, fine fuel moisture code, head fire i</w:t>
      </w:r>
      <w:r w:rsidR="006C24F9">
        <w:rPr>
          <w:lang w:val="en-US"/>
        </w:rPr>
        <w:t>ntensity, rate of spread, biuld</w:t>
      </w:r>
      <w:r w:rsidR="00750652">
        <w:rPr>
          <w:lang w:val="en-US"/>
        </w:rPr>
        <w:t>up index, crown fraction burned, and precipitation</w:t>
      </w:r>
      <w:r w:rsidR="00805734">
        <w:rPr>
          <w:lang w:val="en-US"/>
        </w:rPr>
        <w:t xml:space="preserve"> for the current day</w:t>
      </w:r>
      <w:r w:rsidR="00750652">
        <w:rPr>
          <w:lang w:val="en-US"/>
        </w:rPr>
        <w:t xml:space="preserve"> as well as next-day </w:t>
      </w:r>
      <w:r w:rsidR="00805734">
        <w:rPr>
          <w:lang w:val="en-US"/>
        </w:rPr>
        <w:t>forecast</w:t>
      </w:r>
      <w:r w:rsidR="00750652">
        <w:rPr>
          <w:lang w:val="en-US"/>
        </w:rPr>
        <w:t xml:space="preserve">. </w:t>
      </w:r>
    </w:p>
    <w:p w14:paraId="46390D45" w14:textId="5DCCE65B" w:rsidR="002F00AF" w:rsidRDefault="002F00AF" w:rsidP="00ED0F21">
      <w:pPr>
        <w:jc w:val="both"/>
      </w:pPr>
      <w:r>
        <w:rPr>
          <w:lang w:val="en-US"/>
        </w:rPr>
        <w:t xml:space="preserve">Figure </w:t>
      </w:r>
      <w:r w:rsidR="002B62B6">
        <w:rPr>
          <w:lang w:val="en-US"/>
        </w:rPr>
        <w:t>6</w:t>
      </w:r>
      <w:r>
        <w:rPr>
          <w:lang w:val="en-US"/>
        </w:rPr>
        <w:t xml:space="preserve"> depicts the ignition probabilities (PI) for October 17, 2017, </w:t>
      </w:r>
      <w:r w:rsidR="00ED0F21">
        <w:rPr>
          <w:lang w:val="en-US"/>
        </w:rPr>
        <w:t xml:space="preserve">determined </w:t>
      </w:r>
      <w:r>
        <w:rPr>
          <w:lang w:val="en-US"/>
        </w:rPr>
        <w:t xml:space="preserve">in seven categories. </w:t>
      </w:r>
      <w:r>
        <w:t xml:space="preserve">Considering the demonstrative location of the oil terminal </w:t>
      </w:r>
      <w:r w:rsidR="00ED0F21">
        <w:t xml:space="preserve">on the map (at the tip of the </w:t>
      </w:r>
      <w:r w:rsidR="00B01606">
        <w:t>black</w:t>
      </w:r>
      <w:r w:rsidR="00ED0F21">
        <w:t xml:space="preserve"> arrow) and adjacent areas, a PI = </w:t>
      </w:r>
      <w:r w:rsidR="00B01606">
        <w:t>0.65</w:t>
      </w:r>
      <w:r w:rsidR="00ED0F21">
        <w:t xml:space="preserve"> was considered in this study. </w:t>
      </w:r>
    </w:p>
    <w:p w14:paraId="15BEE82F" w14:textId="3A82F05E" w:rsidR="000141B0" w:rsidRDefault="00F6471E" w:rsidP="002F00AF">
      <w:pPr>
        <w:jc w:val="center"/>
        <w:rPr>
          <w:lang w:val="en-US"/>
        </w:rPr>
      </w:pPr>
      <w:r>
        <w:object w:dxaOrig="11955" w:dyaOrig="9256" w14:anchorId="2D6FE44B">
          <v:shape id="_x0000_i1029" type="#_x0000_t75" style="width:255pt;height:215.25pt" o:ole="">
            <v:imagedata r:id="rId18" o:title=""/>
          </v:shape>
          <o:OLEObject Type="Embed" ProgID="Visio.Drawing.11" ShapeID="_x0000_i1029" DrawAspect="Content" ObjectID="_1594553525" r:id="rId19"/>
        </w:object>
      </w:r>
    </w:p>
    <w:p w14:paraId="57DE1DED" w14:textId="6C209A78" w:rsidR="000141B0" w:rsidRDefault="000141B0" w:rsidP="000141B0">
      <w:pPr>
        <w:jc w:val="center"/>
        <w:rPr>
          <w:lang w:val="en-US"/>
        </w:rPr>
      </w:pPr>
      <w:r w:rsidRPr="008B308B">
        <w:rPr>
          <w:lang w:val="en-US"/>
        </w:rPr>
        <w:t xml:space="preserve">Figure </w:t>
      </w:r>
      <w:r w:rsidR="002B62B6">
        <w:rPr>
          <w:lang w:val="en-US"/>
        </w:rPr>
        <w:t>6</w:t>
      </w:r>
      <w:r w:rsidRPr="008B308B">
        <w:rPr>
          <w:lang w:val="en-US"/>
        </w:rPr>
        <w:t>. Wildfire</w:t>
      </w:r>
      <w:r>
        <w:rPr>
          <w:lang w:val="en-US"/>
        </w:rPr>
        <w:t xml:space="preserve"> ignition probability in Alberta, Canada, per October 17, 2017. The approaximate location of the chemical plant has been marked with an arrow (Alberta Wildfire) </w:t>
      </w:r>
    </w:p>
    <w:p w14:paraId="7F2EF88B" w14:textId="77777777" w:rsidR="000141B0" w:rsidRPr="00CB43B1" w:rsidRDefault="000141B0" w:rsidP="00CB43B1">
      <w:pPr>
        <w:rPr>
          <w:lang w:val="en-US"/>
        </w:rPr>
      </w:pPr>
    </w:p>
    <w:p w14:paraId="4801D878" w14:textId="77777777" w:rsidR="00D96085" w:rsidRDefault="00D96085" w:rsidP="00D96085">
      <w:pPr>
        <w:pStyle w:val="Heading2"/>
      </w:pPr>
      <w:r>
        <w:t>4.</w:t>
      </w:r>
      <w:r w:rsidR="00CB43B1">
        <w:t>3</w:t>
      </w:r>
      <w:r w:rsidR="00C024DD">
        <w:t>. Wildfire burn probability</w:t>
      </w:r>
    </w:p>
    <w:p w14:paraId="498A792C" w14:textId="4F94179D" w:rsidR="00805734" w:rsidRDefault="00A6236F" w:rsidP="00BF6DD9">
      <w:pPr>
        <w:jc w:val="both"/>
      </w:pPr>
      <w:r>
        <w:rPr>
          <w:lang w:val="en-US"/>
        </w:rPr>
        <w:t>C</w:t>
      </w:r>
      <w:r w:rsidR="005E3062">
        <w:rPr>
          <w:lang w:val="en-US"/>
        </w:rPr>
        <w:t>onsidering σ = λ = 0 and θ = 0.</w:t>
      </w:r>
      <w:r w:rsidR="00BC7305">
        <w:rPr>
          <w:lang w:val="en-US"/>
        </w:rPr>
        <w:t>5</w:t>
      </w:r>
      <w:r w:rsidR="005E3062">
        <w:rPr>
          <w:lang w:val="en-US"/>
        </w:rPr>
        <w:t xml:space="preserve"> for illustrative purposes</w:t>
      </w:r>
      <w:r>
        <w:rPr>
          <w:lang w:val="en-US"/>
        </w:rPr>
        <w:t xml:space="preserve"> (see Section 2.2)</w:t>
      </w:r>
      <w:r w:rsidR="005E3062">
        <w:rPr>
          <w:lang w:val="en-US"/>
        </w:rPr>
        <w:t>, a Javascript programme</w:t>
      </w:r>
      <w:r w:rsidR="005E3062">
        <w:rPr>
          <w:rStyle w:val="FootnoteReference"/>
          <w:lang w:val="en-US"/>
        </w:rPr>
        <w:footnoteReference w:id="3"/>
      </w:r>
      <w:r w:rsidR="005E3062">
        <w:rPr>
          <w:lang w:val="en-US"/>
        </w:rPr>
        <w:t xml:space="preserve"> </w:t>
      </w:r>
      <w:r w:rsidR="002B62B6" w:rsidRPr="008B308B">
        <w:t xml:space="preserve">(Figure </w:t>
      </w:r>
      <w:r w:rsidR="002B62B6">
        <w:t>7</w:t>
      </w:r>
      <w:r w:rsidR="002B62B6" w:rsidRPr="008B308B">
        <w:t>)</w:t>
      </w:r>
      <w:r w:rsidR="002B62B6">
        <w:t xml:space="preserve"> </w:t>
      </w:r>
      <w:r w:rsidR="005E3062">
        <w:rPr>
          <w:lang w:val="en-US"/>
        </w:rPr>
        <w:t xml:space="preserve">based on the forest-fire model of </w:t>
      </w:r>
      <w:r w:rsidR="005E3062">
        <w:t xml:space="preserve">Drossel and </w:t>
      </w:r>
      <w:r w:rsidR="005E3062" w:rsidRPr="004D4A49">
        <w:t>Schwabl</w:t>
      </w:r>
      <w:r w:rsidR="005E3062">
        <w:t xml:space="preserve"> (1992) </w:t>
      </w:r>
      <w:r w:rsidR="00DE421C">
        <w:t xml:space="preserve">was coupled with Monte Carlo simulation to estimate the likelihood of </w:t>
      </w:r>
      <w:r w:rsidR="00805734">
        <w:t>random small fires (ignitions) evolving as a</w:t>
      </w:r>
      <w:r w:rsidR="00DE421C">
        <w:t xml:space="preserve"> wildfire reaching to the </w:t>
      </w:r>
      <w:r w:rsidR="00805734">
        <w:t>oil terminal</w:t>
      </w:r>
      <w:r w:rsidR="00DE421C" w:rsidRPr="008B308B">
        <w:t xml:space="preserve">. </w:t>
      </w:r>
      <w:r w:rsidR="00805734">
        <w:t xml:space="preserve">The ignition points were randomly selected across the entire landscape. </w:t>
      </w:r>
    </w:p>
    <w:p w14:paraId="09DA43B2" w14:textId="2FF7255A" w:rsidR="00224F6A" w:rsidRDefault="00FF7BF4" w:rsidP="00BF6DD9">
      <w:pPr>
        <w:jc w:val="both"/>
      </w:pPr>
      <w:r w:rsidRPr="008B308B">
        <w:t xml:space="preserve">The </w:t>
      </w:r>
      <w:r w:rsidR="00805734">
        <w:t>oil terminal</w:t>
      </w:r>
      <w:r>
        <w:t xml:space="preserve"> in Figure </w:t>
      </w:r>
      <w:r w:rsidR="008B308B">
        <w:t>5</w:t>
      </w:r>
      <w:r>
        <w:t xml:space="preserve"> </w:t>
      </w:r>
      <w:r w:rsidR="00805734">
        <w:t>was</w:t>
      </w:r>
      <w:r>
        <w:t xml:space="preserve"> assumed to be located at the north side of the landscape </w:t>
      </w:r>
      <w:r w:rsidR="008B308B">
        <w:t xml:space="preserve">in Figure </w:t>
      </w:r>
      <w:r w:rsidR="002B62B6">
        <w:t>7</w:t>
      </w:r>
      <w:r w:rsidR="008B308B">
        <w:t xml:space="preserve">(a). </w:t>
      </w:r>
      <w:r>
        <w:t xml:space="preserve">Accordingly, </w:t>
      </w:r>
      <w:r w:rsidR="00805734">
        <w:t>given a random small fire</w:t>
      </w:r>
      <w:r w:rsidR="008B308B">
        <w:t xml:space="preserve"> in the </w:t>
      </w:r>
      <w:r w:rsidR="00805734">
        <w:t xml:space="preserve">south of </w:t>
      </w:r>
      <w:r w:rsidR="00CC4C42">
        <w:t xml:space="preserve">the </w:t>
      </w:r>
      <w:r w:rsidR="008B308B">
        <w:t>land</w:t>
      </w:r>
      <w:r w:rsidR="00A31061">
        <w:t>s</w:t>
      </w:r>
      <w:r w:rsidR="008B308B">
        <w:t xml:space="preserve">cape (Figure </w:t>
      </w:r>
      <w:r w:rsidR="002B62B6">
        <w:t>7</w:t>
      </w:r>
      <w:r w:rsidR="008B308B">
        <w:t xml:space="preserve">(b)), </w:t>
      </w:r>
      <w:r>
        <w:t xml:space="preserve">if </w:t>
      </w:r>
      <w:r w:rsidR="008B308B">
        <w:t>the wildfire reaches</w:t>
      </w:r>
      <w:r>
        <w:t xml:space="preserve"> the trees at the north side of the landscape (Figure </w:t>
      </w:r>
      <w:r w:rsidR="002B62B6">
        <w:t>7</w:t>
      </w:r>
      <w:r>
        <w:t>(c))</w:t>
      </w:r>
      <w:r w:rsidR="00BB6C66">
        <w:t xml:space="preserve">, the </w:t>
      </w:r>
      <w:r w:rsidR="00805734">
        <w:t>oil terminal</w:t>
      </w:r>
      <w:r w:rsidR="00BB6C66">
        <w:t xml:space="preserve"> </w:t>
      </w:r>
      <w:r w:rsidR="00805734">
        <w:t>would</w:t>
      </w:r>
      <w:r w:rsidR="00BB6C66">
        <w:t xml:space="preserve"> presu</w:t>
      </w:r>
      <w:r>
        <w:t>mably be exposed to the wi</w:t>
      </w:r>
      <w:r w:rsidR="00A31061">
        <w:t>ld</w:t>
      </w:r>
      <w:r>
        <w:t xml:space="preserve">fire. </w:t>
      </w:r>
      <w:r w:rsidR="00224F6A">
        <w:t xml:space="preserve">The burn probability of the </w:t>
      </w:r>
      <w:r w:rsidR="00805734">
        <w:t>oil terminal</w:t>
      </w:r>
      <w:r w:rsidR="00224F6A">
        <w:t xml:space="preserve"> (the probability of the wildfire </w:t>
      </w:r>
      <w:r w:rsidR="008B308B">
        <w:t>burning the pixels at the north of the landscape</w:t>
      </w:r>
      <w:r w:rsidR="00224F6A">
        <w:t xml:space="preserve">) can </w:t>
      </w:r>
      <w:r w:rsidR="008B308B">
        <w:t xml:space="preserve">thus </w:t>
      </w:r>
      <w:r w:rsidR="00224F6A">
        <w:t>roughly be estimated as:</w:t>
      </w:r>
    </w:p>
    <w:p w14:paraId="1563BDD0" w14:textId="77777777" w:rsidR="00224F6A" w:rsidRDefault="00224F6A" w:rsidP="00BF6DD9">
      <w:pPr>
        <w:jc w:val="both"/>
      </w:pPr>
      <m:oMath>
        <m:r>
          <w:rPr>
            <w:rFonts w:ascii="Cambria Math" w:hAnsi="Cambria Math"/>
          </w:rPr>
          <m:t>PB=</m:t>
        </m:r>
        <m:f>
          <m:fPr>
            <m:ctrlPr>
              <w:rPr>
                <w:rFonts w:ascii="Cambria Math" w:hAnsi="Cambria Math"/>
                <w:i/>
              </w:rPr>
            </m:ctrlPr>
          </m:fPr>
          <m:num>
            <m:r>
              <w:rPr>
                <w:rFonts w:ascii="Cambria Math" w:hAnsi="Cambria Math"/>
              </w:rPr>
              <m:t>n</m:t>
            </m:r>
          </m:num>
          <m:den>
            <m:r>
              <w:rPr>
                <w:rFonts w:ascii="Cambria Math" w:hAnsi="Cambria Math"/>
              </w:rPr>
              <m:t>N</m:t>
            </m:r>
          </m:den>
        </m:f>
      </m:oMath>
      <w:r>
        <w:tab/>
      </w:r>
      <w:r>
        <w:tab/>
      </w:r>
      <w:r>
        <w:tab/>
      </w:r>
      <w:r>
        <w:tab/>
      </w:r>
      <w:r>
        <w:tab/>
      </w:r>
      <w:r>
        <w:tab/>
      </w:r>
      <w:r>
        <w:tab/>
      </w:r>
      <w:r>
        <w:tab/>
      </w:r>
      <w:r>
        <w:tab/>
      </w:r>
      <w:r w:rsidR="008B308B">
        <w:tab/>
      </w:r>
      <w:r w:rsidR="008B308B">
        <w:tab/>
      </w:r>
      <w:r w:rsidR="008B308B">
        <w:tab/>
        <w:t>(14)</w:t>
      </w:r>
    </w:p>
    <w:p w14:paraId="2E75863E" w14:textId="2B060E06" w:rsidR="007A6848" w:rsidRDefault="00224F6A" w:rsidP="00BF6DD9">
      <w:pPr>
        <w:jc w:val="both"/>
      </w:pPr>
      <w:r>
        <w:t>where N is the total number of Monte Carlo simulation</w:t>
      </w:r>
      <w:r w:rsidR="00624EBC">
        <w:t>s</w:t>
      </w:r>
      <w:r>
        <w:t xml:space="preserve"> (the total number of </w:t>
      </w:r>
      <w:r w:rsidR="00970BBF">
        <w:t xml:space="preserve">random </w:t>
      </w:r>
      <w:r>
        <w:t xml:space="preserve">ignitions) while n is the total number </w:t>
      </w:r>
      <w:r w:rsidR="00970BBF">
        <w:t xml:space="preserve">of simulations where an ignition turned out as a </w:t>
      </w:r>
      <w:r w:rsidR="009D28D1">
        <w:t xml:space="preserve">wildfire </w:t>
      </w:r>
      <w:r w:rsidR="00970BBF">
        <w:t xml:space="preserve">and </w:t>
      </w:r>
      <w:r w:rsidR="009D28D1">
        <w:t>reach</w:t>
      </w:r>
      <w:r w:rsidR="00624EBC">
        <w:t>ed</w:t>
      </w:r>
      <w:r w:rsidR="009D28D1">
        <w:t xml:space="preserve"> the north side of the landscape. </w:t>
      </w:r>
      <w:r w:rsidR="00624EBC">
        <w:t xml:space="preserve">Considering </w:t>
      </w:r>
      <w:r w:rsidR="00970BBF">
        <w:t>5</w:t>
      </w:r>
      <w:r w:rsidR="00624EBC" w:rsidRPr="008B308B">
        <w:t>000 Monte Carlo simulations, a PB of 0.63 was</w:t>
      </w:r>
      <w:r w:rsidR="00624EBC">
        <w:t xml:space="preserve"> calculated.</w:t>
      </w:r>
    </w:p>
    <w:p w14:paraId="4209183A" w14:textId="77777777" w:rsidR="00970BBF" w:rsidRDefault="00970BBF" w:rsidP="00BF6DD9">
      <w:pPr>
        <w:jc w:val="both"/>
      </w:pPr>
    </w:p>
    <w:p w14:paraId="6DABBC68" w14:textId="0D54D271" w:rsidR="00DE421C" w:rsidRDefault="002B72E5" w:rsidP="00DE421C">
      <w:pPr>
        <w:jc w:val="center"/>
        <w:rPr>
          <w:lang w:val="en-US"/>
        </w:rPr>
      </w:pPr>
      <w:r>
        <w:object w:dxaOrig="3417" w:dyaOrig="3933" w14:anchorId="0AD0873C">
          <v:shape id="_x0000_i1030" type="#_x0000_t75" style="width:116.25pt;height:133.5pt" o:ole="">
            <v:imagedata r:id="rId20" o:title=""/>
          </v:shape>
          <o:OLEObject Type="Embed" ProgID="Visio.Drawing.11" ShapeID="_x0000_i1030" DrawAspect="Content" ObjectID="_1594553526" r:id="rId21"/>
        </w:object>
      </w:r>
      <w:r w:rsidR="00DE421C">
        <w:rPr>
          <w:lang w:eastAsia="en-CA"/>
        </w:rPr>
        <w:tab/>
        <w:t xml:space="preserve"> </w:t>
      </w:r>
      <w:r>
        <w:object w:dxaOrig="3417" w:dyaOrig="3946" w14:anchorId="214B43FB">
          <v:shape id="_x0000_i1031" type="#_x0000_t75" style="width:117.75pt;height:133.5pt" o:ole="">
            <v:imagedata r:id="rId22" o:title=""/>
          </v:shape>
          <o:OLEObject Type="Embed" ProgID="Visio.Drawing.11" ShapeID="_x0000_i1031" DrawAspect="Content" ObjectID="_1594553527" r:id="rId23"/>
        </w:object>
      </w:r>
      <w:r w:rsidR="00DE421C">
        <w:rPr>
          <w:lang w:eastAsia="en-CA"/>
        </w:rPr>
        <w:t xml:space="preserve"> </w:t>
      </w:r>
      <w:r w:rsidR="00DE421C">
        <w:rPr>
          <w:lang w:eastAsia="en-CA"/>
        </w:rPr>
        <w:tab/>
      </w:r>
      <w:r>
        <w:object w:dxaOrig="3417" w:dyaOrig="3933" w14:anchorId="1B83B8F5">
          <v:shape id="_x0000_i1032" type="#_x0000_t75" style="width:116.25pt;height:133.5pt" o:ole="">
            <v:imagedata r:id="rId24" o:title=""/>
          </v:shape>
          <o:OLEObject Type="Embed" ProgID="Visio.Drawing.11" ShapeID="_x0000_i1032" DrawAspect="Content" ObjectID="_1594553528" r:id="rId25"/>
        </w:object>
      </w:r>
    </w:p>
    <w:p w14:paraId="7067D159" w14:textId="77777777" w:rsidR="00FF7BF4" w:rsidRDefault="00FF7BF4" w:rsidP="00DE421C">
      <w:pPr>
        <w:jc w:val="center"/>
        <w:rPr>
          <w:lang w:val="en-US"/>
        </w:rPr>
      </w:pPr>
      <w:r>
        <w:rPr>
          <w:lang w:val="en-US"/>
        </w:rPr>
        <w:t>(a)</w:t>
      </w:r>
      <w:r>
        <w:rPr>
          <w:lang w:val="en-US"/>
        </w:rPr>
        <w:tab/>
      </w:r>
      <w:r>
        <w:rPr>
          <w:lang w:val="en-US"/>
        </w:rPr>
        <w:tab/>
      </w:r>
      <w:r>
        <w:rPr>
          <w:lang w:val="en-US"/>
        </w:rPr>
        <w:tab/>
      </w:r>
      <w:r>
        <w:rPr>
          <w:lang w:val="en-US"/>
        </w:rPr>
        <w:tab/>
        <w:t>(b)</w:t>
      </w:r>
      <w:r>
        <w:rPr>
          <w:lang w:val="en-US"/>
        </w:rPr>
        <w:tab/>
      </w:r>
      <w:r>
        <w:rPr>
          <w:lang w:val="en-US"/>
        </w:rPr>
        <w:tab/>
      </w:r>
      <w:r>
        <w:rPr>
          <w:lang w:val="en-US"/>
        </w:rPr>
        <w:tab/>
      </w:r>
      <w:r>
        <w:rPr>
          <w:lang w:val="en-US"/>
        </w:rPr>
        <w:tab/>
        <w:t>(c)</w:t>
      </w:r>
    </w:p>
    <w:p w14:paraId="2F3313F4" w14:textId="3E4B27F0" w:rsidR="00FF7BF4" w:rsidRDefault="00FF7BF4" w:rsidP="002B72E5">
      <w:pPr>
        <w:jc w:val="center"/>
        <w:rPr>
          <w:lang w:val="en-US"/>
        </w:rPr>
      </w:pPr>
      <w:r w:rsidRPr="008B308B">
        <w:rPr>
          <w:lang w:val="en-US"/>
        </w:rPr>
        <w:t xml:space="preserve">Figure </w:t>
      </w:r>
      <w:r w:rsidR="002B62B6">
        <w:rPr>
          <w:lang w:val="en-US"/>
        </w:rPr>
        <w:t>7</w:t>
      </w:r>
      <w:r w:rsidRPr="008B308B">
        <w:rPr>
          <w:lang w:val="en-US"/>
        </w:rPr>
        <w:t>. Wildfire</w:t>
      </w:r>
      <w:r>
        <w:rPr>
          <w:lang w:val="en-US"/>
        </w:rPr>
        <w:t xml:space="preserve"> spread in a hypothetical landscape. </w:t>
      </w:r>
      <w:r w:rsidR="00F874E1">
        <w:rPr>
          <w:lang w:val="en-US"/>
        </w:rPr>
        <w:t>(a) a random ignition</w:t>
      </w:r>
      <w:r w:rsidR="00224F6A">
        <w:rPr>
          <w:lang w:val="en-US"/>
        </w:rPr>
        <w:t xml:space="preserve"> </w:t>
      </w:r>
      <w:r w:rsidR="00F874E1">
        <w:rPr>
          <w:lang w:val="en-US"/>
        </w:rPr>
        <w:t xml:space="preserve">occurs </w:t>
      </w:r>
      <w:r w:rsidR="00224F6A">
        <w:rPr>
          <w:lang w:val="en-US"/>
        </w:rPr>
        <w:t>in the</w:t>
      </w:r>
      <w:r w:rsidR="002B72E5">
        <w:rPr>
          <w:lang w:val="en-US"/>
        </w:rPr>
        <w:t xml:space="preserve"> landscape, (b</w:t>
      </w:r>
      <w:r w:rsidR="00224F6A">
        <w:rPr>
          <w:lang w:val="en-US"/>
        </w:rPr>
        <w:t xml:space="preserve">) the </w:t>
      </w:r>
      <w:r w:rsidR="002B72E5">
        <w:rPr>
          <w:lang w:val="en-US"/>
        </w:rPr>
        <w:t xml:space="preserve">small fire escalates to a </w:t>
      </w:r>
      <w:r w:rsidR="00224F6A">
        <w:rPr>
          <w:lang w:val="en-US"/>
        </w:rPr>
        <w:t>wildfire</w:t>
      </w:r>
      <w:r w:rsidR="002B72E5">
        <w:rPr>
          <w:lang w:val="en-US"/>
        </w:rPr>
        <w:t>, (c)</w:t>
      </w:r>
      <w:r w:rsidR="00224F6A">
        <w:rPr>
          <w:lang w:val="en-US"/>
        </w:rPr>
        <w:t xml:space="preserve"> </w:t>
      </w:r>
      <w:r w:rsidR="002B72E5">
        <w:rPr>
          <w:lang w:val="en-US"/>
        </w:rPr>
        <w:t xml:space="preserve">the wildfire </w:t>
      </w:r>
      <w:r w:rsidR="00224F6A">
        <w:rPr>
          <w:lang w:val="en-US"/>
        </w:rPr>
        <w:t xml:space="preserve">reaches the </w:t>
      </w:r>
      <w:r w:rsidR="002B72E5">
        <w:rPr>
          <w:lang w:val="en-US"/>
        </w:rPr>
        <w:t>oil facility northern the landscape.</w:t>
      </w:r>
    </w:p>
    <w:p w14:paraId="34CA89EB" w14:textId="77777777" w:rsidR="007938F9" w:rsidRDefault="007938F9" w:rsidP="002B72E5">
      <w:pPr>
        <w:jc w:val="center"/>
        <w:rPr>
          <w:lang w:val="en-US"/>
        </w:rPr>
      </w:pPr>
    </w:p>
    <w:p w14:paraId="55914245" w14:textId="77777777" w:rsidR="00D96085" w:rsidRDefault="00D96085" w:rsidP="00D96085">
      <w:pPr>
        <w:pStyle w:val="Heading2"/>
      </w:pPr>
      <w:r>
        <w:t>4.</w:t>
      </w:r>
      <w:r w:rsidR="00CB43B1">
        <w:t>4</w:t>
      </w:r>
      <w:r>
        <w:t>. Wildfire fire intensity</w:t>
      </w:r>
    </w:p>
    <w:p w14:paraId="40A8279C" w14:textId="171C2018" w:rsidR="000141B0" w:rsidRDefault="00750652" w:rsidP="002859A2">
      <w:pPr>
        <w:jc w:val="both"/>
        <w:rPr>
          <w:lang w:val="en-US"/>
        </w:rPr>
      </w:pPr>
      <w:r>
        <w:rPr>
          <w:lang w:val="en-US"/>
        </w:rPr>
        <w:t xml:space="preserve">Similar to PI, the fire intensity information was obtained from </w:t>
      </w:r>
      <w:r w:rsidR="00296264">
        <w:rPr>
          <w:lang w:val="en-US"/>
        </w:rPr>
        <w:t xml:space="preserve">the </w:t>
      </w:r>
      <w:r>
        <w:rPr>
          <w:lang w:val="en-US"/>
        </w:rPr>
        <w:t>Alberta Wildfire</w:t>
      </w:r>
      <w:r w:rsidR="002859A2">
        <w:rPr>
          <w:lang w:val="en-US"/>
        </w:rPr>
        <w:t xml:space="preserve"> </w:t>
      </w:r>
      <w:r w:rsidR="00296264">
        <w:rPr>
          <w:lang w:val="en-US"/>
        </w:rPr>
        <w:t xml:space="preserve">website </w:t>
      </w:r>
      <w:r w:rsidR="003E02C3">
        <w:rPr>
          <w:lang w:val="en-US"/>
        </w:rPr>
        <w:t xml:space="preserve">for October 17, 2017 </w:t>
      </w:r>
      <w:r w:rsidR="002859A2">
        <w:rPr>
          <w:lang w:val="en-US"/>
        </w:rPr>
        <w:t xml:space="preserve">(Figure </w:t>
      </w:r>
      <w:r w:rsidR="002B62B6">
        <w:rPr>
          <w:lang w:val="en-US"/>
        </w:rPr>
        <w:t>8</w:t>
      </w:r>
      <w:r w:rsidR="002859A2">
        <w:rPr>
          <w:lang w:val="en-US"/>
        </w:rPr>
        <w:t>)</w:t>
      </w:r>
      <w:r>
        <w:rPr>
          <w:lang w:val="en-US"/>
        </w:rPr>
        <w:t xml:space="preserve">. Fire intensities have been presented in the form of standard fire intensity classes (see Table </w:t>
      </w:r>
      <w:r w:rsidR="002B62B6">
        <w:rPr>
          <w:lang w:val="en-US"/>
        </w:rPr>
        <w:t>1</w:t>
      </w:r>
      <w:r>
        <w:rPr>
          <w:lang w:val="en-US"/>
        </w:rPr>
        <w:t xml:space="preserve">) rather than numeric values in kW/m. Considering the location of the oil terminal, </w:t>
      </w:r>
      <w:r w:rsidR="002859A2">
        <w:rPr>
          <w:lang w:val="en-US"/>
        </w:rPr>
        <w:t xml:space="preserve">the fire intensity class </w:t>
      </w:r>
      <w:r w:rsidR="00B01606">
        <w:rPr>
          <w:lang w:val="en-US"/>
        </w:rPr>
        <w:t>5</w:t>
      </w:r>
      <w:r w:rsidR="002859A2">
        <w:rPr>
          <w:lang w:val="en-US"/>
        </w:rPr>
        <w:t xml:space="preserve"> was chosen</w:t>
      </w:r>
      <w:r w:rsidR="003E02C3">
        <w:rPr>
          <w:lang w:val="en-US"/>
        </w:rPr>
        <w:t xml:space="preserve">, corresponding to a flame length of </w:t>
      </w:r>
      <w:r w:rsidR="00B20473">
        <w:rPr>
          <w:lang w:val="en-US"/>
        </w:rPr>
        <w:t>3.7</w:t>
      </w:r>
      <w:r w:rsidR="003E02C3">
        <w:rPr>
          <w:lang w:val="en-US"/>
        </w:rPr>
        <w:t xml:space="preserve"> m according to Table </w:t>
      </w:r>
      <w:r w:rsidR="002B62B6">
        <w:rPr>
          <w:lang w:val="en-US"/>
        </w:rPr>
        <w:t>1</w:t>
      </w:r>
      <w:r w:rsidR="003E02C3">
        <w:rPr>
          <w:lang w:val="en-US"/>
        </w:rPr>
        <w:t xml:space="preserve">. </w:t>
      </w:r>
    </w:p>
    <w:p w14:paraId="0E045DA6" w14:textId="27ABE16B" w:rsidR="00C86BF6" w:rsidRDefault="00C86BF6" w:rsidP="00C86BF6">
      <w:pPr>
        <w:jc w:val="both"/>
        <w:rPr>
          <w:lang w:val="en-US"/>
        </w:rPr>
      </w:pPr>
      <w:r>
        <w:rPr>
          <w:lang w:val="en-US"/>
        </w:rPr>
        <w:t xml:space="preserve">Having the maximum flame length as L = </w:t>
      </w:r>
      <w:r w:rsidR="00DD79D5">
        <w:rPr>
          <w:lang w:val="en-US"/>
        </w:rPr>
        <w:t>3.7 m</w:t>
      </w:r>
      <w:r>
        <w:rPr>
          <w:lang w:val="en-US"/>
        </w:rPr>
        <w:t xml:space="preserve">, the frontal fire intensity </w:t>
      </w:r>
      <w:r w:rsidR="00CE6E43">
        <w:rPr>
          <w:lang w:val="en-US"/>
        </w:rPr>
        <w:t>was</w:t>
      </w:r>
      <w:r>
        <w:rPr>
          <w:lang w:val="en-US"/>
        </w:rPr>
        <w:t xml:space="preserve"> calculated using Equation (5) as I = </w:t>
      </w:r>
      <w:r w:rsidR="00B20473">
        <w:rPr>
          <w:lang w:val="en-US"/>
        </w:rPr>
        <w:t xml:space="preserve">4466 </w:t>
      </w:r>
      <w:r>
        <w:rPr>
          <w:lang w:val="en-US"/>
        </w:rPr>
        <w:t xml:space="preserve">kW/m. Assuming a flame depth of D = </w:t>
      </w:r>
      <w:r w:rsidR="00B20473">
        <w:rPr>
          <w:lang w:val="en-US"/>
        </w:rPr>
        <w:t>5</w:t>
      </w:r>
      <w:r w:rsidR="00DD79D5">
        <w:rPr>
          <w:lang w:val="en-US"/>
        </w:rPr>
        <w:t>.0</w:t>
      </w:r>
      <w:r w:rsidR="00B20473">
        <w:rPr>
          <w:lang w:val="en-US"/>
        </w:rPr>
        <w:t xml:space="preserve"> </w:t>
      </w:r>
      <w:r>
        <w:rPr>
          <w:lang w:val="en-US"/>
        </w:rPr>
        <w:t xml:space="preserve">m, area fire intensity immediately at the fire line </w:t>
      </w:r>
      <w:r w:rsidR="00CE6E43">
        <w:rPr>
          <w:lang w:val="en-US"/>
        </w:rPr>
        <w:t>was</w:t>
      </w:r>
      <w:r>
        <w:rPr>
          <w:lang w:val="en-US"/>
        </w:rPr>
        <w:t xml:space="preserve"> calculated using Equation (6) as I</w:t>
      </w:r>
      <w:r w:rsidRPr="00F023ED">
        <w:rPr>
          <w:vertAlign w:val="subscript"/>
          <w:lang w:val="en-US"/>
        </w:rPr>
        <w:t>R</w:t>
      </w:r>
      <w:r>
        <w:rPr>
          <w:lang w:val="en-US"/>
        </w:rPr>
        <w:t xml:space="preserve"> = </w:t>
      </w:r>
      <w:r w:rsidR="00B20473">
        <w:rPr>
          <w:lang w:val="en-US"/>
        </w:rPr>
        <w:t>893</w:t>
      </w:r>
      <w:r>
        <w:rPr>
          <w:lang w:val="en-US"/>
        </w:rPr>
        <w:t xml:space="preserve"> kW/m</w:t>
      </w:r>
      <w:r w:rsidRPr="00F023ED">
        <w:rPr>
          <w:vertAlign w:val="superscript"/>
          <w:lang w:val="en-US"/>
        </w:rPr>
        <w:t>2</w:t>
      </w:r>
      <w:r>
        <w:rPr>
          <w:lang w:val="en-US"/>
        </w:rPr>
        <w:t>. Considering a wind speed of u</w:t>
      </w:r>
      <w:r w:rsidRPr="00C024DD">
        <w:rPr>
          <w:vertAlign w:val="subscript"/>
          <w:lang w:val="en-US"/>
        </w:rPr>
        <w:t>w</w:t>
      </w:r>
      <w:r>
        <w:rPr>
          <w:lang w:val="en-US"/>
        </w:rPr>
        <w:t xml:space="preserve"> = 5 m/s in the direction of fire spread (Figure </w:t>
      </w:r>
      <w:r w:rsidR="002B62B6">
        <w:rPr>
          <w:lang w:val="en-US"/>
        </w:rPr>
        <w:t>5</w:t>
      </w:r>
      <w:r>
        <w:rPr>
          <w:lang w:val="en-US"/>
        </w:rPr>
        <w:t xml:space="preserve">) and approximately equal distances of tanks 3 and 6 from the </w:t>
      </w:r>
      <w:r w:rsidR="00B20473">
        <w:rPr>
          <w:lang w:val="en-US"/>
        </w:rPr>
        <w:t>centre of the fire</w:t>
      </w:r>
      <w:r>
        <w:rPr>
          <w:lang w:val="en-US"/>
        </w:rPr>
        <w:t xml:space="preserve"> as X = </w:t>
      </w:r>
      <w:r w:rsidR="00B20473">
        <w:rPr>
          <w:lang w:val="en-US"/>
        </w:rPr>
        <w:t>15 m</w:t>
      </w:r>
      <w:r>
        <w:rPr>
          <w:lang w:val="en-US"/>
        </w:rPr>
        <w:t xml:space="preserve">, a view factor of </w:t>
      </w:r>
      <w:r w:rsidRPr="00532272">
        <w:rPr>
          <w:lang w:val="en-US"/>
        </w:rPr>
        <w:t>F</w:t>
      </w:r>
      <w:r w:rsidRPr="00532272">
        <w:rPr>
          <w:vertAlign w:val="subscript"/>
          <w:lang w:val="en-US"/>
        </w:rPr>
        <w:t>view</w:t>
      </w:r>
      <w:r w:rsidRPr="00532272">
        <w:rPr>
          <w:lang w:val="en-US"/>
        </w:rPr>
        <w:t xml:space="preserve"> = </w:t>
      </w:r>
      <w:r w:rsidR="00B20473" w:rsidRPr="00532272">
        <w:rPr>
          <w:lang w:val="en-US"/>
        </w:rPr>
        <w:t>0</w:t>
      </w:r>
      <w:r w:rsidR="00B20473">
        <w:rPr>
          <w:lang w:val="en-US"/>
        </w:rPr>
        <w:t>.024</w:t>
      </w:r>
      <w:r>
        <w:rPr>
          <w:lang w:val="en-US"/>
        </w:rPr>
        <w:t xml:space="preserve"> was calculated (see Appendix). Using Equation (7), the magnitude of the heat radiation received </w:t>
      </w:r>
      <w:r w:rsidR="00CE6E43">
        <w:rPr>
          <w:lang w:val="en-US"/>
        </w:rPr>
        <w:t>tanks 3 and 6</w:t>
      </w:r>
      <w:r>
        <w:rPr>
          <w:lang w:val="en-US"/>
        </w:rPr>
        <w:t xml:space="preserve"> at a distance of </w:t>
      </w:r>
      <w:r w:rsidR="00B20473">
        <w:rPr>
          <w:lang w:val="en-US"/>
        </w:rPr>
        <w:t xml:space="preserve">15 </w:t>
      </w:r>
      <w:r>
        <w:rPr>
          <w:lang w:val="en-US"/>
        </w:rPr>
        <w:t>m from the head fire (in the direction of wind) would be around I</w:t>
      </w:r>
      <w:r w:rsidRPr="00C63765">
        <w:rPr>
          <w:vertAlign w:val="subscript"/>
          <w:lang w:val="en-US"/>
        </w:rPr>
        <w:t>R-</w:t>
      </w:r>
      <w:r w:rsidR="00B20473">
        <w:rPr>
          <w:vertAlign w:val="subscript"/>
          <w:lang w:val="en-US"/>
        </w:rPr>
        <w:t>15</w:t>
      </w:r>
      <w:r w:rsidR="00B20473" w:rsidRPr="00C63765">
        <w:rPr>
          <w:vertAlign w:val="subscript"/>
          <w:lang w:val="en-US"/>
        </w:rPr>
        <w:t xml:space="preserve"> </w:t>
      </w:r>
      <w:r>
        <w:rPr>
          <w:lang w:val="en-US"/>
        </w:rPr>
        <w:t xml:space="preserve">= </w:t>
      </w:r>
      <w:r w:rsidR="00B20473">
        <w:rPr>
          <w:lang w:val="en-US"/>
        </w:rPr>
        <w:t>21</w:t>
      </w:r>
      <w:r w:rsidR="00646948">
        <w:rPr>
          <w:lang w:val="en-US"/>
        </w:rPr>
        <w:t>.8</w:t>
      </w:r>
      <w:r>
        <w:rPr>
          <w:lang w:val="en-US"/>
        </w:rPr>
        <w:t xml:space="preserve"> </w:t>
      </w:r>
      <w:r w:rsidR="00532272">
        <w:rPr>
          <w:lang w:val="en-US"/>
        </w:rPr>
        <w:t>kW</w:t>
      </w:r>
      <w:r>
        <w:rPr>
          <w:lang w:val="en-US"/>
        </w:rPr>
        <w:t>/m</w:t>
      </w:r>
      <w:r w:rsidRPr="006B5274">
        <w:rPr>
          <w:vertAlign w:val="superscript"/>
          <w:lang w:val="en-US"/>
        </w:rPr>
        <w:t>2</w:t>
      </w:r>
      <w:r>
        <w:rPr>
          <w:lang w:val="en-US"/>
        </w:rPr>
        <w:t xml:space="preserve">. </w:t>
      </w:r>
    </w:p>
    <w:p w14:paraId="588951D7" w14:textId="6813FBD2" w:rsidR="00C86BF6" w:rsidRDefault="00C86BF6" w:rsidP="00585FB7">
      <w:pPr>
        <w:spacing w:after="240"/>
        <w:jc w:val="both"/>
        <w:rPr>
          <w:lang w:val="en-US"/>
        </w:rPr>
      </w:pPr>
      <w:r>
        <w:rPr>
          <w:lang w:val="en-US"/>
        </w:rPr>
        <w:t>As pointed out by Scott et al. (2013), “for the same fire environment, wildfire intensity is greatest at the head and declines quickly along the flanks and rear where the flame front is oriented across or against the heading direction”. As such, tanks 3 and 6, which are both exposed to the heading fire are expected to receive the maximum amount of fire intensity, that is, I</w:t>
      </w:r>
      <w:r w:rsidRPr="00C63765">
        <w:rPr>
          <w:vertAlign w:val="subscript"/>
          <w:lang w:val="en-US"/>
        </w:rPr>
        <w:t>R-</w:t>
      </w:r>
      <w:r w:rsidR="00A509AA">
        <w:rPr>
          <w:vertAlign w:val="subscript"/>
          <w:lang w:val="en-US"/>
        </w:rPr>
        <w:t>15</w:t>
      </w:r>
      <w:r w:rsidRPr="00C63765">
        <w:rPr>
          <w:vertAlign w:val="subscript"/>
          <w:lang w:val="en-US"/>
        </w:rPr>
        <w:t xml:space="preserve"> </w:t>
      </w:r>
      <w:r>
        <w:rPr>
          <w:lang w:val="en-US"/>
        </w:rPr>
        <w:t xml:space="preserve">= </w:t>
      </w:r>
      <w:r w:rsidR="00B20473">
        <w:rPr>
          <w:lang w:val="en-US"/>
        </w:rPr>
        <w:t>21</w:t>
      </w:r>
      <w:r w:rsidR="00646948">
        <w:rPr>
          <w:lang w:val="en-US"/>
        </w:rPr>
        <w:t>.8</w:t>
      </w:r>
      <w:r>
        <w:rPr>
          <w:lang w:val="en-US"/>
        </w:rPr>
        <w:t xml:space="preserve"> kw/m</w:t>
      </w:r>
      <w:r w:rsidRPr="006B5274">
        <w:rPr>
          <w:vertAlign w:val="superscript"/>
          <w:lang w:val="en-US"/>
        </w:rPr>
        <w:t>2</w:t>
      </w:r>
      <w:r>
        <w:rPr>
          <w:lang w:val="en-US"/>
        </w:rPr>
        <w:t xml:space="preserve"> whereas tank 1, which is exposed to the flanking fire, would receive less heat radiation. </w:t>
      </w:r>
    </w:p>
    <w:p w14:paraId="27158936" w14:textId="6EDE28F7" w:rsidR="000141B0" w:rsidRDefault="002B72E5" w:rsidP="000141B0">
      <w:pPr>
        <w:jc w:val="center"/>
        <w:rPr>
          <w:lang w:val="en-US"/>
        </w:rPr>
      </w:pPr>
      <w:r>
        <w:object w:dxaOrig="11970" w:dyaOrig="9269" w14:anchorId="3EB7BCA6">
          <v:shape id="_x0000_i1033" type="#_x0000_t75" style="width:280.5pt;height:215.25pt" o:ole="">
            <v:imagedata r:id="rId26" o:title=""/>
          </v:shape>
          <o:OLEObject Type="Embed" ProgID="Visio.Drawing.11" ShapeID="_x0000_i1033" DrawAspect="Content" ObjectID="_1594553529" r:id="rId27"/>
        </w:object>
      </w:r>
    </w:p>
    <w:p w14:paraId="003DA9DF" w14:textId="26D8AB16" w:rsidR="000141B0" w:rsidRDefault="000141B0" w:rsidP="000141B0">
      <w:pPr>
        <w:jc w:val="center"/>
        <w:rPr>
          <w:lang w:val="en-US"/>
        </w:rPr>
      </w:pPr>
      <w:r>
        <w:rPr>
          <w:lang w:val="en-US"/>
        </w:rPr>
        <w:t xml:space="preserve">Figure </w:t>
      </w:r>
      <w:r w:rsidR="002B62B6">
        <w:rPr>
          <w:lang w:val="en-US"/>
        </w:rPr>
        <w:t>8</w:t>
      </w:r>
      <w:r>
        <w:rPr>
          <w:lang w:val="en-US"/>
        </w:rPr>
        <w:t xml:space="preserve">. </w:t>
      </w:r>
      <w:r w:rsidRPr="000141B0">
        <w:rPr>
          <w:lang w:val="en-US"/>
        </w:rPr>
        <w:t xml:space="preserve">Wildfire </w:t>
      </w:r>
      <w:r>
        <w:rPr>
          <w:lang w:val="en-US"/>
        </w:rPr>
        <w:t>intensity</w:t>
      </w:r>
      <w:r w:rsidRPr="000141B0">
        <w:rPr>
          <w:lang w:val="en-US"/>
        </w:rPr>
        <w:t xml:space="preserve"> in Alberta, Canada, per October 17, 2017. The approximate location of the chemical plant has been marked with an arrow (Alberta Wildfire) </w:t>
      </w:r>
    </w:p>
    <w:p w14:paraId="58AA8DE7" w14:textId="77777777" w:rsidR="00F023ED" w:rsidRDefault="00F023ED" w:rsidP="000141B0">
      <w:pPr>
        <w:jc w:val="center"/>
        <w:rPr>
          <w:lang w:val="en-US"/>
        </w:rPr>
      </w:pPr>
    </w:p>
    <w:p w14:paraId="2212B21C" w14:textId="5CEC69D4" w:rsidR="000141B0" w:rsidRDefault="00C63765" w:rsidP="003E02C3">
      <w:pPr>
        <w:jc w:val="both"/>
        <w:rPr>
          <w:lang w:val="en-US"/>
        </w:rPr>
      </w:pPr>
      <w:r>
        <w:rPr>
          <w:lang w:val="en-US"/>
        </w:rPr>
        <w:t>T</w:t>
      </w:r>
      <w:r w:rsidR="00F94A39">
        <w:rPr>
          <w:lang w:val="en-US"/>
        </w:rPr>
        <w:t>he redu</w:t>
      </w:r>
      <w:r w:rsidR="002E6386">
        <w:rPr>
          <w:lang w:val="en-US"/>
        </w:rPr>
        <w:t>ced</w:t>
      </w:r>
      <w:r>
        <w:rPr>
          <w:lang w:val="en-US"/>
        </w:rPr>
        <w:t xml:space="preserve"> amount of heat radiation tank 1 receives from the wildf</w:t>
      </w:r>
      <w:r w:rsidR="00A31061">
        <w:rPr>
          <w:lang w:val="en-US"/>
        </w:rPr>
        <w:t>i</w:t>
      </w:r>
      <w:r>
        <w:rPr>
          <w:lang w:val="en-US"/>
        </w:rPr>
        <w:t xml:space="preserve">re can be </w:t>
      </w:r>
      <w:r w:rsidR="002E6386">
        <w:rPr>
          <w:lang w:val="en-US"/>
        </w:rPr>
        <w:t>calculated</w:t>
      </w:r>
      <w:r w:rsidR="00754EA5">
        <w:rPr>
          <w:lang w:val="en-US"/>
        </w:rPr>
        <w:t xml:space="preserve"> </w:t>
      </w:r>
      <w:r>
        <w:rPr>
          <w:lang w:val="en-US"/>
        </w:rPr>
        <w:t>by modifying the view factor</w:t>
      </w:r>
      <w:r w:rsidR="00C603DB">
        <w:rPr>
          <w:lang w:val="en-US"/>
        </w:rPr>
        <w:t>.</w:t>
      </w:r>
      <w:r w:rsidR="00754EA5">
        <w:rPr>
          <w:lang w:val="en-US"/>
        </w:rPr>
        <w:t xml:space="preserve"> </w:t>
      </w:r>
      <w:r w:rsidR="00586994">
        <w:rPr>
          <w:lang w:val="en-US"/>
        </w:rPr>
        <w:t>In this regard,</w:t>
      </w:r>
      <w:r w:rsidR="00C603DB">
        <w:rPr>
          <w:lang w:val="en-US"/>
        </w:rPr>
        <w:t xml:space="preserve"> </w:t>
      </w:r>
      <w:r w:rsidR="00586994">
        <w:rPr>
          <w:lang w:val="en-US"/>
        </w:rPr>
        <w:t>assuming that the flame is not tilted towards tank 1</w:t>
      </w:r>
      <w:r w:rsidR="002E6386">
        <w:rPr>
          <w:lang w:val="en-US"/>
        </w:rPr>
        <w:t xml:space="preserve"> (i.e., no change in the direction of wind)</w:t>
      </w:r>
      <w:r w:rsidR="00586994">
        <w:rPr>
          <w:lang w:val="en-US"/>
        </w:rPr>
        <w:t>, the mod</w:t>
      </w:r>
      <w:r w:rsidR="00A31061">
        <w:rPr>
          <w:lang w:val="en-US"/>
        </w:rPr>
        <w:t>ified flame length (L’) and tilt</w:t>
      </w:r>
      <w:r w:rsidR="00586994">
        <w:rPr>
          <w:lang w:val="en-US"/>
        </w:rPr>
        <w:t xml:space="preserve"> angle (θ’) to be used in the calculation of the view factor </w:t>
      </w:r>
      <w:r w:rsidR="002E6386">
        <w:rPr>
          <w:lang w:val="en-US"/>
        </w:rPr>
        <w:t xml:space="preserve">of tank 1 </w:t>
      </w:r>
      <w:r w:rsidR="00586994">
        <w:rPr>
          <w:lang w:val="en-US"/>
        </w:rPr>
        <w:t>(</w:t>
      </w:r>
      <w:r w:rsidR="00470FA8">
        <w:rPr>
          <w:lang w:val="en-US"/>
        </w:rPr>
        <w:t xml:space="preserve">see </w:t>
      </w:r>
      <w:r w:rsidR="00586994">
        <w:rPr>
          <w:lang w:val="en-US"/>
        </w:rPr>
        <w:t xml:space="preserve">Appendix) </w:t>
      </w:r>
      <w:r w:rsidR="00470FA8">
        <w:rPr>
          <w:lang w:val="en-US"/>
        </w:rPr>
        <w:t>could</w:t>
      </w:r>
      <w:r w:rsidR="00586994">
        <w:rPr>
          <w:lang w:val="en-US"/>
        </w:rPr>
        <w:t xml:space="preserve"> be calculated as L’ = h = L. Cos(θ) and θ’</w:t>
      </w:r>
      <w:r w:rsidR="002E6386">
        <w:rPr>
          <w:lang w:val="en-US"/>
        </w:rPr>
        <w:t xml:space="preserve"> = 0.</w:t>
      </w:r>
      <w:r w:rsidR="0056641F">
        <w:rPr>
          <w:lang w:val="en-US"/>
        </w:rPr>
        <w:t xml:space="preserve"> </w:t>
      </w:r>
      <w:r w:rsidR="002E6386">
        <w:rPr>
          <w:lang w:val="en-US"/>
        </w:rPr>
        <w:t xml:space="preserve">This results </w:t>
      </w:r>
      <w:r w:rsidR="0056641F">
        <w:rPr>
          <w:lang w:val="en-US"/>
        </w:rPr>
        <w:t xml:space="preserve">in a view factor </w:t>
      </w:r>
      <w:r w:rsidR="0056641F" w:rsidRPr="00DD79D5">
        <w:rPr>
          <w:lang w:val="en-US"/>
        </w:rPr>
        <w:t xml:space="preserve">of </w:t>
      </w:r>
      <w:r w:rsidR="00A766AD" w:rsidRPr="00DD79D5">
        <w:rPr>
          <w:lang w:val="en-US"/>
        </w:rPr>
        <w:t>F</w:t>
      </w:r>
      <w:r w:rsidR="00A766AD" w:rsidRPr="00DD79D5">
        <w:rPr>
          <w:vertAlign w:val="subscript"/>
          <w:lang w:val="en-US"/>
        </w:rPr>
        <w:t>view</w:t>
      </w:r>
      <w:r w:rsidR="00A766AD" w:rsidRPr="00DD79D5">
        <w:rPr>
          <w:lang w:val="en-US"/>
        </w:rPr>
        <w:t xml:space="preserve"> = </w:t>
      </w:r>
      <w:r w:rsidR="00B20473" w:rsidRPr="00DD79D5">
        <w:rPr>
          <w:lang w:val="en-US"/>
        </w:rPr>
        <w:t>0</w:t>
      </w:r>
      <w:r w:rsidR="00B20473">
        <w:rPr>
          <w:lang w:val="en-US"/>
        </w:rPr>
        <w:t>.008</w:t>
      </w:r>
      <w:r w:rsidR="0056641F">
        <w:rPr>
          <w:lang w:val="en-US"/>
        </w:rPr>
        <w:t xml:space="preserve"> and heat intensity of </w:t>
      </w:r>
      <w:r w:rsidR="00B20473">
        <w:rPr>
          <w:lang w:val="en-US"/>
        </w:rPr>
        <w:t>7</w:t>
      </w:r>
      <w:r w:rsidR="0056641F">
        <w:rPr>
          <w:lang w:val="en-US"/>
        </w:rPr>
        <w:t xml:space="preserve"> kW/m</w:t>
      </w:r>
      <w:r w:rsidR="0056641F" w:rsidRPr="0056641F">
        <w:rPr>
          <w:vertAlign w:val="superscript"/>
          <w:lang w:val="en-US"/>
        </w:rPr>
        <w:t>2</w:t>
      </w:r>
      <w:r w:rsidR="0056641F">
        <w:rPr>
          <w:lang w:val="en-US"/>
        </w:rPr>
        <w:t xml:space="preserve"> which is </w:t>
      </w:r>
      <w:r w:rsidR="00470FA8">
        <w:rPr>
          <w:lang w:val="en-US"/>
        </w:rPr>
        <w:t xml:space="preserve">way </w:t>
      </w:r>
      <w:r w:rsidR="0056641F">
        <w:rPr>
          <w:lang w:val="en-US"/>
        </w:rPr>
        <w:t>below the damage threshold of 15 kW/m</w:t>
      </w:r>
      <w:r w:rsidR="0056641F" w:rsidRPr="0056641F">
        <w:rPr>
          <w:vertAlign w:val="superscript"/>
          <w:lang w:val="en-US"/>
        </w:rPr>
        <w:t>2</w:t>
      </w:r>
      <w:r w:rsidR="0056641F">
        <w:rPr>
          <w:lang w:val="en-US"/>
        </w:rPr>
        <w:t xml:space="preserve"> for atmospheric tanks.</w:t>
      </w:r>
      <w:r w:rsidR="002E6386">
        <w:rPr>
          <w:lang w:val="en-US"/>
        </w:rPr>
        <w:t xml:space="preserve"> As a result, tank 1 would not seem to be impacted by the w</w:t>
      </w:r>
      <w:r w:rsidR="0081562D">
        <w:rPr>
          <w:lang w:val="en-US"/>
        </w:rPr>
        <w:t>ildfire of the given intensity.</w:t>
      </w:r>
    </w:p>
    <w:p w14:paraId="4247A035" w14:textId="14149396" w:rsidR="00D96085" w:rsidRDefault="00586994" w:rsidP="00FF6A60">
      <w:pPr>
        <w:jc w:val="both"/>
      </w:pPr>
      <w:r>
        <w:rPr>
          <w:lang w:val="en-US"/>
        </w:rPr>
        <w:t xml:space="preserve">Given the heat intensities tanks </w:t>
      </w:r>
      <w:r w:rsidR="0056641F">
        <w:rPr>
          <w:lang w:val="en-US"/>
        </w:rPr>
        <w:t>3</w:t>
      </w:r>
      <w:r>
        <w:rPr>
          <w:lang w:val="en-US"/>
        </w:rPr>
        <w:t xml:space="preserve"> and 6 receive from the wildfire,</w:t>
      </w:r>
      <w:r w:rsidR="003E34F6">
        <w:rPr>
          <w:lang w:val="en-US"/>
        </w:rPr>
        <w:t xml:space="preserve"> that is, </w:t>
      </w:r>
      <w:r w:rsidR="00B20473">
        <w:rPr>
          <w:lang w:val="en-US"/>
        </w:rPr>
        <w:t>21</w:t>
      </w:r>
      <w:r w:rsidR="00646948">
        <w:rPr>
          <w:lang w:val="en-US"/>
        </w:rPr>
        <w:t>.8</w:t>
      </w:r>
      <w:r w:rsidR="003E34F6">
        <w:rPr>
          <w:lang w:val="en-US"/>
        </w:rPr>
        <w:t xml:space="preserve"> kW/m</w:t>
      </w:r>
      <w:r w:rsidR="003E34F6" w:rsidRPr="003E34F6">
        <w:rPr>
          <w:vertAlign w:val="superscript"/>
          <w:lang w:val="en-US"/>
        </w:rPr>
        <w:t>2</w:t>
      </w:r>
      <w:r w:rsidR="003E34F6">
        <w:rPr>
          <w:lang w:val="en-US"/>
        </w:rPr>
        <w:t xml:space="preserve">, </w:t>
      </w:r>
      <w:r>
        <w:t xml:space="preserve">the </w:t>
      </w:r>
      <w:r w:rsidR="0056641F">
        <w:t>respective</w:t>
      </w:r>
      <w:r w:rsidR="003E34F6">
        <w:t xml:space="preserve"> </w:t>
      </w:r>
      <w:r>
        <w:t>d</w:t>
      </w:r>
      <w:r w:rsidR="00FF6A60">
        <w:t xml:space="preserve">amage probabilities can </w:t>
      </w:r>
      <w:r w:rsidR="00432914">
        <w:t xml:space="preserve">subsequently </w:t>
      </w:r>
      <w:r w:rsidR="00FF6A60">
        <w:t xml:space="preserve">be calculated using </w:t>
      </w:r>
      <w:r w:rsidR="003E34F6">
        <w:t xml:space="preserve">Equations (11)-(13) </w:t>
      </w:r>
      <w:r w:rsidR="00432914">
        <w:t>as P</w:t>
      </w:r>
      <w:r w:rsidR="00EF4CAF" w:rsidRPr="00EF4CAF">
        <w:rPr>
          <w:vertAlign w:val="subscript"/>
        </w:rPr>
        <w:t>w</w:t>
      </w:r>
      <w:r w:rsidR="00432914" w:rsidRPr="00432914">
        <w:rPr>
          <w:vertAlign w:val="subscript"/>
        </w:rPr>
        <w:t>3</w:t>
      </w:r>
      <w:r w:rsidR="00432914">
        <w:t xml:space="preserve"> = </w:t>
      </w:r>
      <w:r w:rsidR="002C77AA">
        <w:t>0.87</w:t>
      </w:r>
      <w:r w:rsidR="00432914">
        <w:t xml:space="preserve"> and P</w:t>
      </w:r>
      <w:r w:rsidR="00EF4CAF">
        <w:rPr>
          <w:vertAlign w:val="subscript"/>
        </w:rPr>
        <w:t>w</w:t>
      </w:r>
      <w:r w:rsidR="00432914" w:rsidRPr="00432914">
        <w:rPr>
          <w:vertAlign w:val="subscript"/>
        </w:rPr>
        <w:t>6</w:t>
      </w:r>
      <w:r w:rsidR="00432914">
        <w:t xml:space="preserve"> = </w:t>
      </w:r>
      <w:r w:rsidR="002C77AA">
        <w:t>0.72</w:t>
      </w:r>
      <w:r w:rsidR="002E6386">
        <w:t xml:space="preserve">. </w:t>
      </w:r>
      <w:r w:rsidR="00EF4CAF">
        <w:t xml:space="preserve">The subscript w denote the damage probability due to the direct impact of wildfire. </w:t>
      </w:r>
      <w:r w:rsidR="0056641F">
        <w:t>Due to possible damage inflicted by the wildfire, tank fire</w:t>
      </w:r>
      <w:r w:rsidR="00CC4C42">
        <w:t>s</w:t>
      </w:r>
      <w:r w:rsidR="0056641F">
        <w:t xml:space="preserve"> </w:t>
      </w:r>
      <w:r w:rsidR="00CC4C42">
        <w:t>are</w:t>
      </w:r>
      <w:r w:rsidR="0056641F">
        <w:t xml:space="preserve"> considered </w:t>
      </w:r>
      <w:r w:rsidR="00C25C42">
        <w:t xml:space="preserve">as the most likely </w:t>
      </w:r>
      <w:r w:rsidR="0056641F">
        <w:t>consequence at tanks 3</w:t>
      </w:r>
      <w:r w:rsidR="00C25C42">
        <w:t xml:space="preserve"> and 6. </w:t>
      </w:r>
    </w:p>
    <w:p w14:paraId="50D9E865" w14:textId="77777777" w:rsidR="00D96085" w:rsidRDefault="00D96085" w:rsidP="00D32482">
      <w:pPr>
        <w:pStyle w:val="Heading2"/>
      </w:pPr>
      <w:r>
        <w:t>4.</w:t>
      </w:r>
      <w:r w:rsidR="00CB43B1">
        <w:t>5</w:t>
      </w:r>
      <w:r>
        <w:t xml:space="preserve">. Domino </w:t>
      </w:r>
      <w:r w:rsidR="00D32482">
        <w:t xml:space="preserve">effect modeling </w:t>
      </w:r>
    </w:p>
    <w:p w14:paraId="52B54E0C" w14:textId="5E28109B" w:rsidR="00FF6A60" w:rsidRDefault="00C25C42" w:rsidP="00585FB7">
      <w:pPr>
        <w:spacing w:after="240"/>
        <w:jc w:val="both"/>
      </w:pPr>
      <w:r>
        <w:t xml:space="preserve">Assuming that </w:t>
      </w:r>
      <w:r w:rsidR="00D96085">
        <w:t>wildfire-</w:t>
      </w:r>
      <w:r w:rsidR="006B03C6">
        <w:t>induced</w:t>
      </w:r>
      <w:r>
        <w:t xml:space="preserve"> tank fires </w:t>
      </w:r>
      <w:r w:rsidR="00D96085">
        <w:t xml:space="preserve">at tanks 3 and 6 </w:t>
      </w:r>
      <w:r>
        <w:t xml:space="preserve">can trigger more tank fires at the other storage tanks via domino effect scenarios, the amounts of heat radiation each storage tank would receive from a tank fire at a neighboring storage tank have been </w:t>
      </w:r>
      <w:r w:rsidR="00B20846">
        <w:t>calculated using c</w:t>
      </w:r>
      <w:r w:rsidR="00B20846" w:rsidRPr="008B308B">
        <w:t>onsequence</w:t>
      </w:r>
      <w:r w:rsidR="00B20846">
        <w:t xml:space="preserve"> assessment software ALOHA as </w:t>
      </w:r>
      <w:r>
        <w:t xml:space="preserve">presented </w:t>
      </w:r>
      <w:r w:rsidRPr="008B308B">
        <w:t xml:space="preserve">in Table </w:t>
      </w:r>
      <w:r w:rsidR="002B62B6">
        <w:t>3</w:t>
      </w:r>
      <w:r w:rsidR="00B20846">
        <w:t>.</w:t>
      </w:r>
    </w:p>
    <w:p w14:paraId="18264BC6" w14:textId="448F8A49" w:rsidR="00F71507" w:rsidRDefault="00F71507" w:rsidP="00D95001">
      <w:pPr>
        <w:jc w:val="center"/>
      </w:pPr>
      <w:r w:rsidRPr="008B308B">
        <w:lastRenderedPageBreak/>
        <w:t xml:space="preserve">Table </w:t>
      </w:r>
      <w:r w:rsidR="002B62B6">
        <w:t>3</w:t>
      </w:r>
      <w:r w:rsidRPr="008B308B">
        <w:t>.</w:t>
      </w:r>
      <w:r>
        <w:t xml:space="preserve"> Heat radiation intensity (kW/m</w:t>
      </w:r>
      <w:r w:rsidRPr="00F71507">
        <w:rPr>
          <w:vertAlign w:val="superscript"/>
        </w:rPr>
        <w:t>2</w:t>
      </w:r>
      <w:r>
        <w:t>) tank T</w:t>
      </w:r>
      <w:r w:rsidRPr="00941B13">
        <w:rPr>
          <w:vertAlign w:val="subscript"/>
        </w:rPr>
        <w:t>j</w:t>
      </w:r>
      <w:r>
        <w:t xml:space="preserve"> receives from a tank fire at tank T</w:t>
      </w:r>
      <w:r w:rsidRPr="00941B13">
        <w:rPr>
          <w:vertAlign w:val="subscript"/>
        </w:rPr>
        <w:t>i</w:t>
      </w:r>
      <w:r>
        <w:t>. The values less than 15 kW/m</w:t>
      </w:r>
      <w:r w:rsidRPr="00F71507">
        <w:rPr>
          <w:vertAlign w:val="superscript"/>
        </w:rPr>
        <w:t>2</w:t>
      </w:r>
      <w:r>
        <w:t xml:space="preserve"> have not been presented. </w:t>
      </w:r>
    </w:p>
    <w:tbl>
      <w:tblPr>
        <w:tblW w:w="5548" w:type="dxa"/>
        <w:jc w:val="center"/>
        <w:tblLook w:val="04A0" w:firstRow="1" w:lastRow="0" w:firstColumn="1" w:lastColumn="0" w:noHBand="0" w:noVBand="1"/>
      </w:tblPr>
      <w:tblGrid>
        <w:gridCol w:w="527"/>
        <w:gridCol w:w="612"/>
        <w:gridCol w:w="709"/>
        <w:gridCol w:w="709"/>
        <w:gridCol w:w="712"/>
        <w:gridCol w:w="705"/>
        <w:gridCol w:w="555"/>
        <w:gridCol w:w="579"/>
        <w:gridCol w:w="460"/>
      </w:tblGrid>
      <w:tr w:rsidR="00003C9F" w:rsidRPr="00D47115" w14:paraId="326D9E66" w14:textId="77777777" w:rsidTr="00003C9F">
        <w:trPr>
          <w:trHeight w:val="300"/>
          <w:jc w:val="center"/>
        </w:trPr>
        <w:tc>
          <w:tcPr>
            <w:tcW w:w="527" w:type="dxa"/>
            <w:vMerge w:val="restart"/>
            <w:tcBorders>
              <w:top w:val="single" w:sz="4" w:space="0" w:color="auto"/>
              <w:left w:val="nil"/>
              <w:bottom w:val="single" w:sz="4" w:space="0" w:color="000000"/>
              <w:right w:val="nil"/>
            </w:tcBorders>
            <w:shd w:val="clear" w:color="auto" w:fill="auto"/>
            <w:noWrap/>
            <w:vAlign w:val="center"/>
            <w:hideMark/>
          </w:tcPr>
          <w:p w14:paraId="10359C03"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roofErr w:type="spellStart"/>
            <w:r w:rsidRPr="00C83B8A">
              <w:rPr>
                <w:rFonts w:asciiTheme="majorHAnsi" w:eastAsia="Times New Roman" w:hAnsiTheme="majorHAnsi" w:cs="Times New Roman"/>
                <w:noProof w:val="0"/>
                <w:color w:val="000000"/>
                <w:lang w:eastAsia="en-CA"/>
              </w:rPr>
              <w:t>T</w:t>
            </w:r>
            <w:r w:rsidRPr="00C83B8A">
              <w:rPr>
                <w:rFonts w:asciiTheme="majorHAnsi" w:eastAsia="Times New Roman" w:hAnsiTheme="majorHAnsi" w:cs="Times New Roman"/>
                <w:noProof w:val="0"/>
                <w:color w:val="000000"/>
                <w:vertAlign w:val="subscript"/>
                <w:lang w:eastAsia="en-CA"/>
              </w:rPr>
              <w:t>i</w:t>
            </w:r>
            <w:proofErr w:type="spellEnd"/>
          </w:p>
        </w:tc>
        <w:tc>
          <w:tcPr>
            <w:tcW w:w="612" w:type="dxa"/>
            <w:tcBorders>
              <w:top w:val="single" w:sz="4" w:space="0" w:color="auto"/>
              <w:left w:val="nil"/>
              <w:bottom w:val="single" w:sz="4" w:space="0" w:color="auto"/>
              <w:right w:val="nil"/>
            </w:tcBorders>
            <w:shd w:val="clear" w:color="auto" w:fill="auto"/>
            <w:noWrap/>
            <w:vAlign w:val="bottom"/>
            <w:hideMark/>
          </w:tcPr>
          <w:p w14:paraId="73AED197"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roofErr w:type="spellStart"/>
            <w:r w:rsidRPr="00C83B8A">
              <w:rPr>
                <w:rFonts w:asciiTheme="majorHAnsi" w:eastAsia="Times New Roman" w:hAnsiTheme="majorHAnsi" w:cs="Times New Roman"/>
                <w:noProof w:val="0"/>
                <w:color w:val="000000"/>
                <w:lang w:eastAsia="en-CA"/>
              </w:rPr>
              <w:t>T</w:t>
            </w:r>
            <w:r w:rsidRPr="00C83B8A">
              <w:rPr>
                <w:rFonts w:asciiTheme="majorHAnsi" w:eastAsia="Times New Roman" w:hAnsiTheme="majorHAnsi" w:cs="Times New Roman"/>
                <w:noProof w:val="0"/>
                <w:color w:val="000000"/>
                <w:vertAlign w:val="subscript"/>
                <w:lang w:eastAsia="en-CA"/>
              </w:rPr>
              <w:t>j</w:t>
            </w:r>
            <w:proofErr w:type="spellEnd"/>
          </w:p>
        </w:tc>
        <w:tc>
          <w:tcPr>
            <w:tcW w:w="709" w:type="dxa"/>
            <w:tcBorders>
              <w:top w:val="single" w:sz="4" w:space="0" w:color="auto"/>
              <w:left w:val="nil"/>
              <w:bottom w:val="single" w:sz="4" w:space="0" w:color="auto"/>
              <w:right w:val="nil"/>
            </w:tcBorders>
            <w:shd w:val="clear" w:color="auto" w:fill="auto"/>
            <w:noWrap/>
            <w:vAlign w:val="bottom"/>
            <w:hideMark/>
          </w:tcPr>
          <w:p w14:paraId="14AB7808"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709" w:type="dxa"/>
            <w:tcBorders>
              <w:top w:val="single" w:sz="4" w:space="0" w:color="auto"/>
              <w:left w:val="nil"/>
              <w:bottom w:val="single" w:sz="4" w:space="0" w:color="auto"/>
              <w:right w:val="nil"/>
            </w:tcBorders>
            <w:shd w:val="clear" w:color="auto" w:fill="auto"/>
            <w:noWrap/>
            <w:vAlign w:val="bottom"/>
            <w:hideMark/>
          </w:tcPr>
          <w:p w14:paraId="11288D39"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712" w:type="dxa"/>
            <w:tcBorders>
              <w:top w:val="single" w:sz="4" w:space="0" w:color="auto"/>
              <w:left w:val="nil"/>
              <w:bottom w:val="single" w:sz="4" w:space="0" w:color="auto"/>
              <w:right w:val="nil"/>
            </w:tcBorders>
            <w:shd w:val="clear" w:color="auto" w:fill="auto"/>
            <w:noWrap/>
            <w:vAlign w:val="bottom"/>
            <w:hideMark/>
          </w:tcPr>
          <w:p w14:paraId="5BBE6DAA"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705" w:type="dxa"/>
            <w:tcBorders>
              <w:top w:val="single" w:sz="4" w:space="0" w:color="auto"/>
              <w:left w:val="nil"/>
              <w:bottom w:val="single" w:sz="4" w:space="0" w:color="auto"/>
              <w:right w:val="nil"/>
            </w:tcBorders>
            <w:shd w:val="clear" w:color="auto" w:fill="auto"/>
            <w:noWrap/>
            <w:vAlign w:val="bottom"/>
            <w:hideMark/>
          </w:tcPr>
          <w:p w14:paraId="3382082C"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555" w:type="dxa"/>
            <w:tcBorders>
              <w:top w:val="single" w:sz="4" w:space="0" w:color="auto"/>
              <w:left w:val="nil"/>
              <w:bottom w:val="single" w:sz="4" w:space="0" w:color="auto"/>
              <w:right w:val="nil"/>
            </w:tcBorders>
            <w:shd w:val="clear" w:color="auto" w:fill="auto"/>
            <w:noWrap/>
            <w:vAlign w:val="bottom"/>
            <w:hideMark/>
          </w:tcPr>
          <w:p w14:paraId="1E804BAA"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579" w:type="dxa"/>
            <w:tcBorders>
              <w:top w:val="single" w:sz="4" w:space="0" w:color="auto"/>
              <w:left w:val="nil"/>
              <w:bottom w:val="single" w:sz="4" w:space="0" w:color="auto"/>
              <w:right w:val="nil"/>
            </w:tcBorders>
            <w:shd w:val="clear" w:color="auto" w:fill="auto"/>
            <w:noWrap/>
            <w:vAlign w:val="bottom"/>
            <w:hideMark/>
          </w:tcPr>
          <w:p w14:paraId="3AE37DC4"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440" w:type="dxa"/>
            <w:tcBorders>
              <w:top w:val="single" w:sz="4" w:space="0" w:color="auto"/>
              <w:left w:val="nil"/>
              <w:bottom w:val="single" w:sz="4" w:space="0" w:color="auto"/>
              <w:right w:val="nil"/>
            </w:tcBorders>
            <w:shd w:val="clear" w:color="auto" w:fill="auto"/>
            <w:noWrap/>
            <w:vAlign w:val="bottom"/>
            <w:hideMark/>
          </w:tcPr>
          <w:p w14:paraId="445CAD35"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r>
      <w:tr w:rsidR="00003C9F" w:rsidRPr="00D47115" w14:paraId="1162D416" w14:textId="77777777" w:rsidTr="00003C9F">
        <w:trPr>
          <w:trHeight w:val="300"/>
          <w:jc w:val="center"/>
        </w:trPr>
        <w:tc>
          <w:tcPr>
            <w:tcW w:w="527" w:type="dxa"/>
            <w:vMerge/>
            <w:tcBorders>
              <w:top w:val="single" w:sz="4" w:space="0" w:color="auto"/>
              <w:left w:val="nil"/>
              <w:bottom w:val="single" w:sz="4" w:space="0" w:color="000000"/>
              <w:right w:val="nil"/>
            </w:tcBorders>
            <w:vAlign w:val="center"/>
            <w:hideMark/>
          </w:tcPr>
          <w:p w14:paraId="32628838"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612" w:type="dxa"/>
            <w:tcBorders>
              <w:top w:val="nil"/>
              <w:left w:val="nil"/>
              <w:bottom w:val="single" w:sz="4" w:space="0" w:color="auto"/>
              <w:right w:val="nil"/>
            </w:tcBorders>
            <w:shd w:val="clear" w:color="auto" w:fill="auto"/>
            <w:noWrap/>
            <w:vAlign w:val="center"/>
            <w:hideMark/>
          </w:tcPr>
          <w:p w14:paraId="0910AC08"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1</w:t>
            </w:r>
          </w:p>
        </w:tc>
        <w:tc>
          <w:tcPr>
            <w:tcW w:w="709" w:type="dxa"/>
            <w:tcBorders>
              <w:top w:val="nil"/>
              <w:left w:val="nil"/>
              <w:bottom w:val="single" w:sz="4" w:space="0" w:color="auto"/>
              <w:right w:val="nil"/>
            </w:tcBorders>
            <w:shd w:val="clear" w:color="auto" w:fill="auto"/>
            <w:noWrap/>
            <w:vAlign w:val="center"/>
            <w:hideMark/>
          </w:tcPr>
          <w:p w14:paraId="5FA460A8"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2</w:t>
            </w:r>
          </w:p>
        </w:tc>
        <w:tc>
          <w:tcPr>
            <w:tcW w:w="709" w:type="dxa"/>
            <w:tcBorders>
              <w:top w:val="nil"/>
              <w:left w:val="nil"/>
              <w:bottom w:val="single" w:sz="4" w:space="0" w:color="auto"/>
              <w:right w:val="nil"/>
            </w:tcBorders>
            <w:shd w:val="clear" w:color="auto" w:fill="auto"/>
            <w:noWrap/>
            <w:vAlign w:val="center"/>
            <w:hideMark/>
          </w:tcPr>
          <w:p w14:paraId="401CFE40"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3</w:t>
            </w:r>
          </w:p>
        </w:tc>
        <w:tc>
          <w:tcPr>
            <w:tcW w:w="712" w:type="dxa"/>
            <w:tcBorders>
              <w:top w:val="nil"/>
              <w:left w:val="nil"/>
              <w:bottom w:val="single" w:sz="4" w:space="0" w:color="auto"/>
              <w:right w:val="nil"/>
            </w:tcBorders>
            <w:shd w:val="clear" w:color="auto" w:fill="auto"/>
            <w:noWrap/>
            <w:vAlign w:val="center"/>
            <w:hideMark/>
          </w:tcPr>
          <w:p w14:paraId="3352A256"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4</w:t>
            </w:r>
          </w:p>
        </w:tc>
        <w:tc>
          <w:tcPr>
            <w:tcW w:w="705" w:type="dxa"/>
            <w:tcBorders>
              <w:top w:val="nil"/>
              <w:left w:val="nil"/>
              <w:bottom w:val="single" w:sz="4" w:space="0" w:color="auto"/>
              <w:right w:val="nil"/>
            </w:tcBorders>
            <w:shd w:val="clear" w:color="auto" w:fill="auto"/>
            <w:noWrap/>
            <w:vAlign w:val="center"/>
            <w:hideMark/>
          </w:tcPr>
          <w:p w14:paraId="042A82DB"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5</w:t>
            </w:r>
          </w:p>
        </w:tc>
        <w:tc>
          <w:tcPr>
            <w:tcW w:w="555" w:type="dxa"/>
            <w:tcBorders>
              <w:top w:val="nil"/>
              <w:left w:val="nil"/>
              <w:bottom w:val="single" w:sz="4" w:space="0" w:color="auto"/>
              <w:right w:val="nil"/>
            </w:tcBorders>
            <w:shd w:val="clear" w:color="auto" w:fill="auto"/>
            <w:noWrap/>
            <w:vAlign w:val="center"/>
            <w:hideMark/>
          </w:tcPr>
          <w:p w14:paraId="6DEAB537"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6</w:t>
            </w:r>
          </w:p>
        </w:tc>
        <w:tc>
          <w:tcPr>
            <w:tcW w:w="579" w:type="dxa"/>
            <w:tcBorders>
              <w:top w:val="nil"/>
              <w:left w:val="nil"/>
              <w:bottom w:val="single" w:sz="4" w:space="0" w:color="auto"/>
              <w:right w:val="nil"/>
            </w:tcBorders>
            <w:shd w:val="clear" w:color="auto" w:fill="auto"/>
            <w:noWrap/>
            <w:vAlign w:val="center"/>
            <w:hideMark/>
          </w:tcPr>
          <w:p w14:paraId="6036FEE2"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7</w:t>
            </w:r>
          </w:p>
        </w:tc>
        <w:tc>
          <w:tcPr>
            <w:tcW w:w="440" w:type="dxa"/>
            <w:tcBorders>
              <w:top w:val="nil"/>
              <w:left w:val="nil"/>
              <w:bottom w:val="single" w:sz="4" w:space="0" w:color="auto"/>
              <w:right w:val="nil"/>
            </w:tcBorders>
            <w:shd w:val="clear" w:color="auto" w:fill="auto"/>
            <w:noWrap/>
            <w:vAlign w:val="center"/>
            <w:hideMark/>
          </w:tcPr>
          <w:p w14:paraId="38DD0057"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8</w:t>
            </w:r>
          </w:p>
        </w:tc>
      </w:tr>
      <w:tr w:rsidR="00003C9F" w:rsidRPr="00D47115" w14:paraId="01A98457" w14:textId="77777777" w:rsidTr="00003C9F">
        <w:trPr>
          <w:trHeight w:val="300"/>
          <w:jc w:val="center"/>
        </w:trPr>
        <w:tc>
          <w:tcPr>
            <w:tcW w:w="527" w:type="dxa"/>
            <w:tcBorders>
              <w:top w:val="nil"/>
              <w:left w:val="nil"/>
              <w:bottom w:val="nil"/>
              <w:right w:val="nil"/>
            </w:tcBorders>
            <w:shd w:val="clear" w:color="auto" w:fill="auto"/>
            <w:noWrap/>
            <w:vAlign w:val="center"/>
            <w:hideMark/>
          </w:tcPr>
          <w:p w14:paraId="176F189A"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1</w:t>
            </w:r>
          </w:p>
        </w:tc>
        <w:tc>
          <w:tcPr>
            <w:tcW w:w="612" w:type="dxa"/>
            <w:tcBorders>
              <w:top w:val="nil"/>
              <w:left w:val="nil"/>
              <w:bottom w:val="nil"/>
              <w:right w:val="nil"/>
            </w:tcBorders>
            <w:shd w:val="clear" w:color="auto" w:fill="auto"/>
            <w:noWrap/>
            <w:vAlign w:val="center"/>
            <w:hideMark/>
          </w:tcPr>
          <w:p w14:paraId="1C0F7FCC"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19A68343"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20</w:t>
            </w:r>
          </w:p>
        </w:tc>
        <w:tc>
          <w:tcPr>
            <w:tcW w:w="709" w:type="dxa"/>
            <w:tcBorders>
              <w:top w:val="nil"/>
              <w:left w:val="nil"/>
              <w:bottom w:val="nil"/>
              <w:right w:val="nil"/>
            </w:tcBorders>
            <w:shd w:val="clear" w:color="auto" w:fill="auto"/>
            <w:noWrap/>
            <w:vAlign w:val="center"/>
            <w:hideMark/>
          </w:tcPr>
          <w:p w14:paraId="24066620"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12" w:type="dxa"/>
            <w:tcBorders>
              <w:top w:val="nil"/>
              <w:left w:val="nil"/>
              <w:bottom w:val="nil"/>
              <w:right w:val="nil"/>
            </w:tcBorders>
            <w:shd w:val="clear" w:color="auto" w:fill="auto"/>
            <w:noWrap/>
            <w:vAlign w:val="center"/>
            <w:hideMark/>
          </w:tcPr>
          <w:p w14:paraId="2488A9BA"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5" w:type="dxa"/>
            <w:tcBorders>
              <w:top w:val="nil"/>
              <w:left w:val="nil"/>
              <w:bottom w:val="nil"/>
              <w:right w:val="nil"/>
            </w:tcBorders>
            <w:shd w:val="clear" w:color="auto" w:fill="auto"/>
            <w:noWrap/>
            <w:vAlign w:val="center"/>
            <w:hideMark/>
          </w:tcPr>
          <w:p w14:paraId="29E3FEB7"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55" w:type="dxa"/>
            <w:tcBorders>
              <w:top w:val="nil"/>
              <w:left w:val="nil"/>
              <w:bottom w:val="nil"/>
              <w:right w:val="nil"/>
            </w:tcBorders>
            <w:shd w:val="clear" w:color="auto" w:fill="auto"/>
            <w:noWrap/>
            <w:vAlign w:val="center"/>
            <w:hideMark/>
          </w:tcPr>
          <w:p w14:paraId="2AAF8A86"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79" w:type="dxa"/>
            <w:tcBorders>
              <w:top w:val="nil"/>
              <w:left w:val="nil"/>
              <w:bottom w:val="nil"/>
              <w:right w:val="nil"/>
            </w:tcBorders>
            <w:shd w:val="clear" w:color="auto" w:fill="auto"/>
            <w:noWrap/>
            <w:vAlign w:val="center"/>
            <w:hideMark/>
          </w:tcPr>
          <w:p w14:paraId="2B61FA91"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440" w:type="dxa"/>
            <w:tcBorders>
              <w:top w:val="nil"/>
              <w:left w:val="nil"/>
              <w:bottom w:val="nil"/>
              <w:right w:val="nil"/>
            </w:tcBorders>
            <w:shd w:val="clear" w:color="auto" w:fill="auto"/>
            <w:noWrap/>
            <w:vAlign w:val="center"/>
            <w:hideMark/>
          </w:tcPr>
          <w:p w14:paraId="68D655E1"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r>
      <w:tr w:rsidR="00003C9F" w:rsidRPr="00D47115" w14:paraId="5DAD853B" w14:textId="77777777" w:rsidTr="00003C9F">
        <w:trPr>
          <w:trHeight w:val="300"/>
          <w:jc w:val="center"/>
        </w:trPr>
        <w:tc>
          <w:tcPr>
            <w:tcW w:w="527" w:type="dxa"/>
            <w:tcBorders>
              <w:top w:val="nil"/>
              <w:left w:val="nil"/>
              <w:bottom w:val="nil"/>
              <w:right w:val="nil"/>
            </w:tcBorders>
            <w:shd w:val="clear" w:color="auto" w:fill="auto"/>
            <w:noWrap/>
            <w:vAlign w:val="center"/>
            <w:hideMark/>
          </w:tcPr>
          <w:p w14:paraId="5F46AAC9"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2</w:t>
            </w:r>
          </w:p>
        </w:tc>
        <w:tc>
          <w:tcPr>
            <w:tcW w:w="612" w:type="dxa"/>
            <w:tcBorders>
              <w:top w:val="nil"/>
              <w:left w:val="nil"/>
              <w:bottom w:val="nil"/>
              <w:right w:val="nil"/>
            </w:tcBorders>
            <w:shd w:val="clear" w:color="auto" w:fill="auto"/>
            <w:noWrap/>
            <w:vAlign w:val="center"/>
            <w:hideMark/>
          </w:tcPr>
          <w:p w14:paraId="3512CF2B"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20</w:t>
            </w:r>
          </w:p>
        </w:tc>
        <w:tc>
          <w:tcPr>
            <w:tcW w:w="709" w:type="dxa"/>
            <w:tcBorders>
              <w:top w:val="nil"/>
              <w:left w:val="nil"/>
              <w:bottom w:val="nil"/>
              <w:right w:val="nil"/>
            </w:tcBorders>
            <w:shd w:val="clear" w:color="auto" w:fill="auto"/>
            <w:noWrap/>
            <w:vAlign w:val="center"/>
            <w:hideMark/>
          </w:tcPr>
          <w:p w14:paraId="2DA26403"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49E39431"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15</w:t>
            </w:r>
          </w:p>
        </w:tc>
        <w:tc>
          <w:tcPr>
            <w:tcW w:w="712" w:type="dxa"/>
            <w:tcBorders>
              <w:top w:val="nil"/>
              <w:left w:val="nil"/>
              <w:bottom w:val="nil"/>
              <w:right w:val="nil"/>
            </w:tcBorders>
            <w:shd w:val="clear" w:color="auto" w:fill="auto"/>
            <w:noWrap/>
            <w:vAlign w:val="center"/>
            <w:hideMark/>
          </w:tcPr>
          <w:p w14:paraId="3AB8F21E"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15</w:t>
            </w:r>
          </w:p>
        </w:tc>
        <w:tc>
          <w:tcPr>
            <w:tcW w:w="705" w:type="dxa"/>
            <w:tcBorders>
              <w:top w:val="nil"/>
              <w:left w:val="nil"/>
              <w:bottom w:val="nil"/>
              <w:right w:val="nil"/>
            </w:tcBorders>
            <w:shd w:val="clear" w:color="auto" w:fill="auto"/>
            <w:noWrap/>
            <w:vAlign w:val="center"/>
            <w:hideMark/>
          </w:tcPr>
          <w:p w14:paraId="642D4C54"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55" w:type="dxa"/>
            <w:tcBorders>
              <w:top w:val="nil"/>
              <w:left w:val="nil"/>
              <w:bottom w:val="nil"/>
              <w:right w:val="nil"/>
            </w:tcBorders>
            <w:shd w:val="clear" w:color="auto" w:fill="auto"/>
            <w:noWrap/>
            <w:vAlign w:val="center"/>
            <w:hideMark/>
          </w:tcPr>
          <w:p w14:paraId="38D60DC7"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79" w:type="dxa"/>
            <w:tcBorders>
              <w:top w:val="nil"/>
              <w:left w:val="nil"/>
              <w:bottom w:val="nil"/>
              <w:right w:val="nil"/>
            </w:tcBorders>
            <w:shd w:val="clear" w:color="auto" w:fill="auto"/>
            <w:noWrap/>
            <w:vAlign w:val="center"/>
            <w:hideMark/>
          </w:tcPr>
          <w:p w14:paraId="06DB6E47"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440" w:type="dxa"/>
            <w:tcBorders>
              <w:top w:val="nil"/>
              <w:left w:val="nil"/>
              <w:bottom w:val="nil"/>
              <w:right w:val="nil"/>
            </w:tcBorders>
            <w:shd w:val="clear" w:color="auto" w:fill="auto"/>
            <w:noWrap/>
            <w:vAlign w:val="center"/>
            <w:hideMark/>
          </w:tcPr>
          <w:p w14:paraId="2B224B3F"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r>
      <w:tr w:rsidR="00003C9F" w:rsidRPr="00D47115" w14:paraId="0EF379E9" w14:textId="77777777" w:rsidTr="00003C9F">
        <w:trPr>
          <w:trHeight w:val="300"/>
          <w:jc w:val="center"/>
        </w:trPr>
        <w:tc>
          <w:tcPr>
            <w:tcW w:w="527" w:type="dxa"/>
            <w:tcBorders>
              <w:top w:val="nil"/>
              <w:left w:val="nil"/>
              <w:bottom w:val="nil"/>
              <w:right w:val="nil"/>
            </w:tcBorders>
            <w:shd w:val="clear" w:color="auto" w:fill="auto"/>
            <w:noWrap/>
            <w:vAlign w:val="center"/>
            <w:hideMark/>
          </w:tcPr>
          <w:p w14:paraId="64DCFE00"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3</w:t>
            </w:r>
          </w:p>
        </w:tc>
        <w:tc>
          <w:tcPr>
            <w:tcW w:w="612" w:type="dxa"/>
            <w:tcBorders>
              <w:top w:val="nil"/>
              <w:left w:val="nil"/>
              <w:bottom w:val="nil"/>
              <w:right w:val="nil"/>
            </w:tcBorders>
            <w:shd w:val="clear" w:color="auto" w:fill="auto"/>
            <w:noWrap/>
            <w:vAlign w:val="center"/>
            <w:hideMark/>
          </w:tcPr>
          <w:p w14:paraId="0D09307A"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34957011"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15</w:t>
            </w:r>
          </w:p>
        </w:tc>
        <w:tc>
          <w:tcPr>
            <w:tcW w:w="709" w:type="dxa"/>
            <w:tcBorders>
              <w:top w:val="nil"/>
              <w:left w:val="nil"/>
              <w:bottom w:val="nil"/>
              <w:right w:val="nil"/>
            </w:tcBorders>
            <w:shd w:val="clear" w:color="auto" w:fill="auto"/>
            <w:noWrap/>
            <w:vAlign w:val="center"/>
            <w:hideMark/>
          </w:tcPr>
          <w:p w14:paraId="63F91B68"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12" w:type="dxa"/>
            <w:tcBorders>
              <w:top w:val="nil"/>
              <w:left w:val="nil"/>
              <w:bottom w:val="nil"/>
              <w:right w:val="nil"/>
            </w:tcBorders>
            <w:shd w:val="clear" w:color="auto" w:fill="auto"/>
            <w:noWrap/>
            <w:vAlign w:val="center"/>
            <w:hideMark/>
          </w:tcPr>
          <w:p w14:paraId="669D5FD0"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5" w:type="dxa"/>
            <w:tcBorders>
              <w:top w:val="nil"/>
              <w:left w:val="nil"/>
              <w:bottom w:val="nil"/>
              <w:right w:val="nil"/>
            </w:tcBorders>
            <w:shd w:val="clear" w:color="auto" w:fill="auto"/>
            <w:noWrap/>
            <w:vAlign w:val="center"/>
            <w:hideMark/>
          </w:tcPr>
          <w:p w14:paraId="3E719225"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55" w:type="dxa"/>
            <w:tcBorders>
              <w:top w:val="nil"/>
              <w:left w:val="nil"/>
              <w:bottom w:val="nil"/>
              <w:right w:val="nil"/>
            </w:tcBorders>
            <w:shd w:val="clear" w:color="auto" w:fill="auto"/>
            <w:noWrap/>
            <w:vAlign w:val="center"/>
            <w:hideMark/>
          </w:tcPr>
          <w:p w14:paraId="26005848"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79" w:type="dxa"/>
            <w:tcBorders>
              <w:top w:val="nil"/>
              <w:left w:val="nil"/>
              <w:bottom w:val="nil"/>
              <w:right w:val="nil"/>
            </w:tcBorders>
            <w:shd w:val="clear" w:color="auto" w:fill="auto"/>
            <w:noWrap/>
            <w:vAlign w:val="center"/>
            <w:hideMark/>
          </w:tcPr>
          <w:p w14:paraId="76477687"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440" w:type="dxa"/>
            <w:tcBorders>
              <w:top w:val="nil"/>
              <w:left w:val="nil"/>
              <w:bottom w:val="nil"/>
              <w:right w:val="nil"/>
            </w:tcBorders>
            <w:shd w:val="clear" w:color="auto" w:fill="auto"/>
            <w:noWrap/>
            <w:vAlign w:val="center"/>
            <w:hideMark/>
          </w:tcPr>
          <w:p w14:paraId="2E9B17F9"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r>
      <w:tr w:rsidR="00003C9F" w:rsidRPr="00D47115" w14:paraId="5BFB9247" w14:textId="77777777" w:rsidTr="00003C9F">
        <w:trPr>
          <w:trHeight w:val="300"/>
          <w:jc w:val="center"/>
        </w:trPr>
        <w:tc>
          <w:tcPr>
            <w:tcW w:w="527" w:type="dxa"/>
            <w:tcBorders>
              <w:top w:val="nil"/>
              <w:left w:val="nil"/>
              <w:bottom w:val="nil"/>
              <w:right w:val="nil"/>
            </w:tcBorders>
            <w:shd w:val="clear" w:color="auto" w:fill="auto"/>
            <w:noWrap/>
            <w:vAlign w:val="center"/>
            <w:hideMark/>
          </w:tcPr>
          <w:p w14:paraId="2D9899F1"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4</w:t>
            </w:r>
          </w:p>
        </w:tc>
        <w:tc>
          <w:tcPr>
            <w:tcW w:w="612" w:type="dxa"/>
            <w:tcBorders>
              <w:top w:val="nil"/>
              <w:left w:val="nil"/>
              <w:bottom w:val="nil"/>
              <w:right w:val="nil"/>
            </w:tcBorders>
            <w:shd w:val="clear" w:color="auto" w:fill="auto"/>
            <w:noWrap/>
            <w:vAlign w:val="center"/>
            <w:hideMark/>
          </w:tcPr>
          <w:p w14:paraId="5256722A"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59669743"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4FC5D5A8"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12" w:type="dxa"/>
            <w:tcBorders>
              <w:top w:val="nil"/>
              <w:left w:val="nil"/>
              <w:bottom w:val="nil"/>
              <w:right w:val="nil"/>
            </w:tcBorders>
            <w:shd w:val="clear" w:color="auto" w:fill="auto"/>
            <w:noWrap/>
            <w:vAlign w:val="center"/>
            <w:hideMark/>
          </w:tcPr>
          <w:p w14:paraId="73A27295"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5" w:type="dxa"/>
            <w:tcBorders>
              <w:top w:val="nil"/>
              <w:left w:val="nil"/>
              <w:bottom w:val="nil"/>
              <w:right w:val="nil"/>
            </w:tcBorders>
            <w:shd w:val="clear" w:color="auto" w:fill="auto"/>
            <w:noWrap/>
            <w:vAlign w:val="center"/>
            <w:hideMark/>
          </w:tcPr>
          <w:p w14:paraId="3A12B531"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20</w:t>
            </w:r>
          </w:p>
        </w:tc>
        <w:tc>
          <w:tcPr>
            <w:tcW w:w="555" w:type="dxa"/>
            <w:tcBorders>
              <w:top w:val="nil"/>
              <w:left w:val="nil"/>
              <w:bottom w:val="nil"/>
              <w:right w:val="nil"/>
            </w:tcBorders>
            <w:shd w:val="clear" w:color="auto" w:fill="auto"/>
            <w:noWrap/>
            <w:vAlign w:val="center"/>
            <w:hideMark/>
          </w:tcPr>
          <w:p w14:paraId="7ABDE466"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79" w:type="dxa"/>
            <w:tcBorders>
              <w:top w:val="nil"/>
              <w:left w:val="nil"/>
              <w:bottom w:val="nil"/>
              <w:right w:val="nil"/>
            </w:tcBorders>
            <w:shd w:val="clear" w:color="auto" w:fill="auto"/>
            <w:noWrap/>
            <w:vAlign w:val="center"/>
            <w:hideMark/>
          </w:tcPr>
          <w:p w14:paraId="61F027D2"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440" w:type="dxa"/>
            <w:tcBorders>
              <w:top w:val="nil"/>
              <w:left w:val="nil"/>
              <w:bottom w:val="nil"/>
              <w:right w:val="nil"/>
            </w:tcBorders>
            <w:shd w:val="clear" w:color="auto" w:fill="auto"/>
            <w:noWrap/>
            <w:vAlign w:val="center"/>
            <w:hideMark/>
          </w:tcPr>
          <w:p w14:paraId="55348C6A"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15</w:t>
            </w:r>
          </w:p>
        </w:tc>
      </w:tr>
      <w:tr w:rsidR="00003C9F" w:rsidRPr="00D47115" w14:paraId="150A18D9" w14:textId="77777777" w:rsidTr="00003C9F">
        <w:trPr>
          <w:trHeight w:val="300"/>
          <w:jc w:val="center"/>
        </w:trPr>
        <w:tc>
          <w:tcPr>
            <w:tcW w:w="527" w:type="dxa"/>
            <w:tcBorders>
              <w:top w:val="nil"/>
              <w:left w:val="nil"/>
              <w:bottom w:val="nil"/>
              <w:right w:val="nil"/>
            </w:tcBorders>
            <w:shd w:val="clear" w:color="auto" w:fill="auto"/>
            <w:noWrap/>
            <w:vAlign w:val="center"/>
            <w:hideMark/>
          </w:tcPr>
          <w:p w14:paraId="5D278A7A"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5</w:t>
            </w:r>
          </w:p>
        </w:tc>
        <w:tc>
          <w:tcPr>
            <w:tcW w:w="612" w:type="dxa"/>
            <w:tcBorders>
              <w:top w:val="nil"/>
              <w:left w:val="nil"/>
              <w:bottom w:val="nil"/>
              <w:right w:val="nil"/>
            </w:tcBorders>
            <w:shd w:val="clear" w:color="auto" w:fill="auto"/>
            <w:noWrap/>
            <w:vAlign w:val="center"/>
            <w:hideMark/>
          </w:tcPr>
          <w:p w14:paraId="50F85E9C"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63525CEA"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69C35978"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12" w:type="dxa"/>
            <w:tcBorders>
              <w:top w:val="nil"/>
              <w:left w:val="nil"/>
              <w:bottom w:val="nil"/>
              <w:right w:val="nil"/>
            </w:tcBorders>
            <w:shd w:val="clear" w:color="auto" w:fill="auto"/>
            <w:noWrap/>
            <w:vAlign w:val="center"/>
            <w:hideMark/>
          </w:tcPr>
          <w:p w14:paraId="064C2FFB"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20</w:t>
            </w:r>
          </w:p>
        </w:tc>
        <w:tc>
          <w:tcPr>
            <w:tcW w:w="705" w:type="dxa"/>
            <w:tcBorders>
              <w:top w:val="nil"/>
              <w:left w:val="nil"/>
              <w:bottom w:val="nil"/>
              <w:right w:val="nil"/>
            </w:tcBorders>
            <w:shd w:val="clear" w:color="auto" w:fill="auto"/>
            <w:noWrap/>
            <w:vAlign w:val="center"/>
            <w:hideMark/>
          </w:tcPr>
          <w:p w14:paraId="33D96C6D"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55" w:type="dxa"/>
            <w:tcBorders>
              <w:top w:val="nil"/>
              <w:left w:val="nil"/>
              <w:bottom w:val="nil"/>
              <w:right w:val="nil"/>
            </w:tcBorders>
            <w:shd w:val="clear" w:color="auto" w:fill="auto"/>
            <w:noWrap/>
            <w:vAlign w:val="center"/>
            <w:hideMark/>
          </w:tcPr>
          <w:p w14:paraId="37216CF0"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79" w:type="dxa"/>
            <w:tcBorders>
              <w:top w:val="nil"/>
              <w:left w:val="nil"/>
              <w:bottom w:val="nil"/>
              <w:right w:val="nil"/>
            </w:tcBorders>
            <w:shd w:val="clear" w:color="auto" w:fill="auto"/>
            <w:noWrap/>
            <w:vAlign w:val="center"/>
            <w:hideMark/>
          </w:tcPr>
          <w:p w14:paraId="185CF6C7"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15</w:t>
            </w:r>
          </w:p>
        </w:tc>
        <w:tc>
          <w:tcPr>
            <w:tcW w:w="440" w:type="dxa"/>
            <w:tcBorders>
              <w:top w:val="nil"/>
              <w:left w:val="nil"/>
              <w:bottom w:val="nil"/>
              <w:right w:val="nil"/>
            </w:tcBorders>
            <w:shd w:val="clear" w:color="auto" w:fill="auto"/>
            <w:noWrap/>
            <w:vAlign w:val="center"/>
            <w:hideMark/>
          </w:tcPr>
          <w:p w14:paraId="4173DDA0"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r>
      <w:tr w:rsidR="00003C9F" w:rsidRPr="00D47115" w14:paraId="6EE781E1" w14:textId="77777777" w:rsidTr="00003C9F">
        <w:trPr>
          <w:trHeight w:val="300"/>
          <w:jc w:val="center"/>
        </w:trPr>
        <w:tc>
          <w:tcPr>
            <w:tcW w:w="527" w:type="dxa"/>
            <w:tcBorders>
              <w:top w:val="nil"/>
              <w:left w:val="nil"/>
              <w:bottom w:val="nil"/>
              <w:right w:val="nil"/>
            </w:tcBorders>
            <w:shd w:val="clear" w:color="auto" w:fill="auto"/>
            <w:noWrap/>
            <w:vAlign w:val="center"/>
            <w:hideMark/>
          </w:tcPr>
          <w:p w14:paraId="3F67E884"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6</w:t>
            </w:r>
          </w:p>
        </w:tc>
        <w:tc>
          <w:tcPr>
            <w:tcW w:w="612" w:type="dxa"/>
            <w:tcBorders>
              <w:top w:val="nil"/>
              <w:left w:val="nil"/>
              <w:bottom w:val="nil"/>
              <w:right w:val="nil"/>
            </w:tcBorders>
            <w:shd w:val="clear" w:color="auto" w:fill="auto"/>
            <w:noWrap/>
            <w:vAlign w:val="center"/>
            <w:hideMark/>
          </w:tcPr>
          <w:p w14:paraId="104FE5D3"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64308945"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350F100E"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12" w:type="dxa"/>
            <w:tcBorders>
              <w:top w:val="nil"/>
              <w:left w:val="nil"/>
              <w:bottom w:val="nil"/>
              <w:right w:val="nil"/>
            </w:tcBorders>
            <w:shd w:val="clear" w:color="auto" w:fill="auto"/>
            <w:noWrap/>
            <w:vAlign w:val="center"/>
            <w:hideMark/>
          </w:tcPr>
          <w:p w14:paraId="1DE7C9D2"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5" w:type="dxa"/>
            <w:tcBorders>
              <w:top w:val="nil"/>
              <w:left w:val="nil"/>
              <w:bottom w:val="nil"/>
              <w:right w:val="nil"/>
            </w:tcBorders>
            <w:shd w:val="clear" w:color="auto" w:fill="auto"/>
            <w:noWrap/>
            <w:vAlign w:val="center"/>
            <w:hideMark/>
          </w:tcPr>
          <w:p w14:paraId="603643DF"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55" w:type="dxa"/>
            <w:tcBorders>
              <w:top w:val="nil"/>
              <w:left w:val="nil"/>
              <w:bottom w:val="nil"/>
              <w:right w:val="nil"/>
            </w:tcBorders>
            <w:shd w:val="clear" w:color="auto" w:fill="auto"/>
            <w:noWrap/>
            <w:vAlign w:val="center"/>
            <w:hideMark/>
          </w:tcPr>
          <w:p w14:paraId="1CD69FE6"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579" w:type="dxa"/>
            <w:tcBorders>
              <w:top w:val="nil"/>
              <w:left w:val="nil"/>
              <w:bottom w:val="nil"/>
              <w:right w:val="nil"/>
            </w:tcBorders>
            <w:shd w:val="clear" w:color="auto" w:fill="auto"/>
            <w:noWrap/>
            <w:vAlign w:val="center"/>
            <w:hideMark/>
          </w:tcPr>
          <w:p w14:paraId="70C104E2"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20</w:t>
            </w:r>
          </w:p>
        </w:tc>
        <w:tc>
          <w:tcPr>
            <w:tcW w:w="440" w:type="dxa"/>
            <w:tcBorders>
              <w:top w:val="nil"/>
              <w:left w:val="nil"/>
              <w:bottom w:val="nil"/>
              <w:right w:val="nil"/>
            </w:tcBorders>
            <w:shd w:val="clear" w:color="auto" w:fill="auto"/>
            <w:noWrap/>
            <w:vAlign w:val="center"/>
            <w:hideMark/>
          </w:tcPr>
          <w:p w14:paraId="37E53322"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r>
      <w:tr w:rsidR="00003C9F" w:rsidRPr="00D47115" w14:paraId="04D2856D" w14:textId="77777777" w:rsidTr="00003C9F">
        <w:trPr>
          <w:trHeight w:val="300"/>
          <w:jc w:val="center"/>
        </w:trPr>
        <w:tc>
          <w:tcPr>
            <w:tcW w:w="527" w:type="dxa"/>
            <w:tcBorders>
              <w:top w:val="nil"/>
              <w:left w:val="nil"/>
              <w:bottom w:val="nil"/>
              <w:right w:val="nil"/>
            </w:tcBorders>
            <w:shd w:val="clear" w:color="auto" w:fill="auto"/>
            <w:noWrap/>
            <w:vAlign w:val="center"/>
            <w:hideMark/>
          </w:tcPr>
          <w:p w14:paraId="426E8F79"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7</w:t>
            </w:r>
          </w:p>
        </w:tc>
        <w:tc>
          <w:tcPr>
            <w:tcW w:w="612" w:type="dxa"/>
            <w:tcBorders>
              <w:top w:val="nil"/>
              <w:left w:val="nil"/>
              <w:bottom w:val="nil"/>
              <w:right w:val="nil"/>
            </w:tcBorders>
            <w:shd w:val="clear" w:color="auto" w:fill="auto"/>
            <w:noWrap/>
            <w:vAlign w:val="center"/>
            <w:hideMark/>
          </w:tcPr>
          <w:p w14:paraId="2682DCD1"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055DF8D3"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9" w:type="dxa"/>
            <w:tcBorders>
              <w:top w:val="nil"/>
              <w:left w:val="nil"/>
              <w:bottom w:val="nil"/>
              <w:right w:val="nil"/>
            </w:tcBorders>
            <w:shd w:val="clear" w:color="auto" w:fill="auto"/>
            <w:noWrap/>
            <w:vAlign w:val="center"/>
            <w:hideMark/>
          </w:tcPr>
          <w:p w14:paraId="011F614A"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12" w:type="dxa"/>
            <w:tcBorders>
              <w:top w:val="nil"/>
              <w:left w:val="nil"/>
              <w:bottom w:val="nil"/>
              <w:right w:val="nil"/>
            </w:tcBorders>
            <w:shd w:val="clear" w:color="auto" w:fill="auto"/>
            <w:noWrap/>
            <w:vAlign w:val="center"/>
            <w:hideMark/>
          </w:tcPr>
          <w:p w14:paraId="2BE414EC"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705" w:type="dxa"/>
            <w:tcBorders>
              <w:top w:val="nil"/>
              <w:left w:val="nil"/>
              <w:bottom w:val="nil"/>
              <w:right w:val="nil"/>
            </w:tcBorders>
            <w:shd w:val="clear" w:color="auto" w:fill="auto"/>
            <w:noWrap/>
            <w:vAlign w:val="center"/>
            <w:hideMark/>
          </w:tcPr>
          <w:p w14:paraId="68036EAF"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15</w:t>
            </w:r>
          </w:p>
        </w:tc>
        <w:tc>
          <w:tcPr>
            <w:tcW w:w="555" w:type="dxa"/>
            <w:tcBorders>
              <w:top w:val="nil"/>
              <w:left w:val="nil"/>
              <w:bottom w:val="nil"/>
              <w:right w:val="nil"/>
            </w:tcBorders>
            <w:shd w:val="clear" w:color="auto" w:fill="auto"/>
            <w:noWrap/>
            <w:vAlign w:val="center"/>
            <w:hideMark/>
          </w:tcPr>
          <w:p w14:paraId="66BA29D1"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20</w:t>
            </w:r>
          </w:p>
        </w:tc>
        <w:tc>
          <w:tcPr>
            <w:tcW w:w="579" w:type="dxa"/>
            <w:tcBorders>
              <w:top w:val="nil"/>
              <w:left w:val="nil"/>
              <w:bottom w:val="nil"/>
              <w:right w:val="nil"/>
            </w:tcBorders>
            <w:shd w:val="clear" w:color="auto" w:fill="auto"/>
            <w:noWrap/>
            <w:vAlign w:val="center"/>
            <w:hideMark/>
          </w:tcPr>
          <w:p w14:paraId="0EE33136"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p>
        </w:tc>
        <w:tc>
          <w:tcPr>
            <w:tcW w:w="440" w:type="dxa"/>
            <w:tcBorders>
              <w:top w:val="nil"/>
              <w:left w:val="nil"/>
              <w:bottom w:val="nil"/>
              <w:right w:val="nil"/>
            </w:tcBorders>
            <w:shd w:val="clear" w:color="auto" w:fill="auto"/>
            <w:noWrap/>
            <w:vAlign w:val="center"/>
            <w:hideMark/>
          </w:tcPr>
          <w:p w14:paraId="3CE3A8E1"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20</w:t>
            </w:r>
          </w:p>
        </w:tc>
      </w:tr>
      <w:tr w:rsidR="00003C9F" w:rsidRPr="00D47115" w14:paraId="09B73DE4" w14:textId="77777777" w:rsidTr="00003C9F">
        <w:trPr>
          <w:trHeight w:val="300"/>
          <w:jc w:val="center"/>
        </w:trPr>
        <w:tc>
          <w:tcPr>
            <w:tcW w:w="527" w:type="dxa"/>
            <w:tcBorders>
              <w:top w:val="nil"/>
              <w:left w:val="nil"/>
              <w:bottom w:val="single" w:sz="4" w:space="0" w:color="auto"/>
              <w:right w:val="nil"/>
            </w:tcBorders>
            <w:shd w:val="clear" w:color="auto" w:fill="auto"/>
            <w:noWrap/>
            <w:vAlign w:val="center"/>
            <w:hideMark/>
          </w:tcPr>
          <w:p w14:paraId="1B55573B"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8</w:t>
            </w:r>
          </w:p>
        </w:tc>
        <w:tc>
          <w:tcPr>
            <w:tcW w:w="612" w:type="dxa"/>
            <w:tcBorders>
              <w:top w:val="nil"/>
              <w:left w:val="nil"/>
              <w:bottom w:val="single" w:sz="4" w:space="0" w:color="auto"/>
              <w:right w:val="nil"/>
            </w:tcBorders>
            <w:shd w:val="clear" w:color="auto" w:fill="auto"/>
            <w:noWrap/>
            <w:vAlign w:val="center"/>
            <w:hideMark/>
          </w:tcPr>
          <w:p w14:paraId="3400217D"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709" w:type="dxa"/>
            <w:tcBorders>
              <w:top w:val="nil"/>
              <w:left w:val="nil"/>
              <w:bottom w:val="single" w:sz="4" w:space="0" w:color="auto"/>
              <w:right w:val="nil"/>
            </w:tcBorders>
            <w:shd w:val="clear" w:color="auto" w:fill="auto"/>
            <w:noWrap/>
            <w:vAlign w:val="center"/>
            <w:hideMark/>
          </w:tcPr>
          <w:p w14:paraId="041194F3"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709" w:type="dxa"/>
            <w:tcBorders>
              <w:top w:val="nil"/>
              <w:left w:val="nil"/>
              <w:bottom w:val="single" w:sz="4" w:space="0" w:color="auto"/>
              <w:right w:val="nil"/>
            </w:tcBorders>
            <w:shd w:val="clear" w:color="auto" w:fill="auto"/>
            <w:noWrap/>
            <w:vAlign w:val="center"/>
            <w:hideMark/>
          </w:tcPr>
          <w:p w14:paraId="318BEE44"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712" w:type="dxa"/>
            <w:tcBorders>
              <w:top w:val="nil"/>
              <w:left w:val="nil"/>
              <w:bottom w:val="single" w:sz="4" w:space="0" w:color="auto"/>
              <w:right w:val="nil"/>
            </w:tcBorders>
            <w:shd w:val="clear" w:color="auto" w:fill="auto"/>
            <w:noWrap/>
            <w:vAlign w:val="center"/>
            <w:hideMark/>
          </w:tcPr>
          <w:p w14:paraId="60408530"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705" w:type="dxa"/>
            <w:tcBorders>
              <w:top w:val="nil"/>
              <w:left w:val="nil"/>
              <w:bottom w:val="single" w:sz="4" w:space="0" w:color="auto"/>
              <w:right w:val="nil"/>
            </w:tcBorders>
            <w:shd w:val="clear" w:color="auto" w:fill="auto"/>
            <w:noWrap/>
            <w:vAlign w:val="center"/>
            <w:hideMark/>
          </w:tcPr>
          <w:p w14:paraId="26425E27"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555" w:type="dxa"/>
            <w:tcBorders>
              <w:top w:val="nil"/>
              <w:left w:val="nil"/>
              <w:bottom w:val="single" w:sz="4" w:space="0" w:color="auto"/>
              <w:right w:val="nil"/>
            </w:tcBorders>
            <w:shd w:val="clear" w:color="auto" w:fill="auto"/>
            <w:noWrap/>
            <w:vAlign w:val="center"/>
            <w:hideMark/>
          </w:tcPr>
          <w:p w14:paraId="5B22BE3B"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579" w:type="dxa"/>
            <w:tcBorders>
              <w:top w:val="nil"/>
              <w:left w:val="nil"/>
              <w:bottom w:val="single" w:sz="4" w:space="0" w:color="auto"/>
              <w:right w:val="nil"/>
            </w:tcBorders>
            <w:shd w:val="clear" w:color="auto" w:fill="auto"/>
            <w:noWrap/>
            <w:vAlign w:val="center"/>
            <w:hideMark/>
          </w:tcPr>
          <w:p w14:paraId="5EE8C2E3"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c>
          <w:tcPr>
            <w:tcW w:w="440" w:type="dxa"/>
            <w:tcBorders>
              <w:top w:val="nil"/>
              <w:left w:val="nil"/>
              <w:bottom w:val="single" w:sz="4" w:space="0" w:color="auto"/>
              <w:right w:val="nil"/>
            </w:tcBorders>
            <w:shd w:val="clear" w:color="auto" w:fill="auto"/>
            <w:noWrap/>
            <w:vAlign w:val="center"/>
            <w:hideMark/>
          </w:tcPr>
          <w:p w14:paraId="2289560F" w14:textId="77777777" w:rsidR="00C83B8A" w:rsidRPr="00C83B8A" w:rsidRDefault="00C83B8A" w:rsidP="00C83B8A">
            <w:pPr>
              <w:spacing w:after="0" w:line="240" w:lineRule="auto"/>
              <w:rPr>
                <w:rFonts w:asciiTheme="majorHAnsi" w:eastAsia="Times New Roman" w:hAnsiTheme="majorHAnsi" w:cs="Times New Roman"/>
                <w:noProof w:val="0"/>
                <w:color w:val="000000"/>
                <w:lang w:eastAsia="en-CA"/>
              </w:rPr>
            </w:pPr>
            <w:r w:rsidRPr="00C83B8A">
              <w:rPr>
                <w:rFonts w:asciiTheme="majorHAnsi" w:eastAsia="Times New Roman" w:hAnsiTheme="majorHAnsi" w:cs="Times New Roman"/>
                <w:noProof w:val="0"/>
                <w:color w:val="000000"/>
                <w:lang w:eastAsia="en-CA"/>
              </w:rPr>
              <w:t> </w:t>
            </w:r>
          </w:p>
        </w:tc>
      </w:tr>
    </w:tbl>
    <w:p w14:paraId="55CE0F65" w14:textId="77777777" w:rsidR="00863E5E" w:rsidRDefault="00863E5E" w:rsidP="00D95001">
      <w:pPr>
        <w:jc w:val="center"/>
      </w:pPr>
    </w:p>
    <w:p w14:paraId="76B5B5AD" w14:textId="3E7E5506" w:rsidR="00B20846" w:rsidRDefault="00723E81" w:rsidP="00723E81">
      <w:pPr>
        <w:jc w:val="both"/>
      </w:pPr>
      <w:r>
        <w:t xml:space="preserve">Considering </w:t>
      </w:r>
      <w:r w:rsidR="00D96085">
        <w:t xml:space="preserve">possible wildfire-induced </w:t>
      </w:r>
      <w:r>
        <w:t>tank</w:t>
      </w:r>
      <w:r w:rsidR="00D96085">
        <w:t xml:space="preserve"> fire</w:t>
      </w:r>
      <w:r>
        <w:t xml:space="preserve">s </w:t>
      </w:r>
      <w:r w:rsidR="00D96085">
        <w:t xml:space="preserve">at tanks </w:t>
      </w:r>
      <w:r w:rsidR="00E965A2">
        <w:t>3</w:t>
      </w:r>
      <w:r>
        <w:t xml:space="preserve"> and 6 as </w:t>
      </w:r>
      <w:r w:rsidR="002E6386">
        <w:t xml:space="preserve">the </w:t>
      </w:r>
      <w:r>
        <w:t xml:space="preserve">primary events which can trigger a domino effect in the </w:t>
      </w:r>
      <w:r w:rsidR="002E6386">
        <w:t>oil terminal</w:t>
      </w:r>
      <w:r w:rsidR="00B20846">
        <w:t xml:space="preserve">, </w:t>
      </w:r>
      <w:r w:rsidR="00D96085">
        <w:t>the DBN methodology explained in Section 3 (Khakzad, 2015)</w:t>
      </w:r>
      <w:r w:rsidR="00E965A2">
        <w:t xml:space="preserve"> was used to model all domino scenarios</w:t>
      </w:r>
      <w:r w:rsidR="007F3869">
        <w:t xml:space="preserve"> (fire propagation through the plant). The fire escalation probabilities for the first 60-min exposure of the </w:t>
      </w:r>
      <w:r w:rsidR="00B20846">
        <w:t>oil terminal</w:t>
      </w:r>
      <w:r w:rsidR="007F3869">
        <w:t xml:space="preserve"> to the wi</w:t>
      </w:r>
      <w:r w:rsidR="00A31061">
        <w:t>ld</w:t>
      </w:r>
      <w:r w:rsidR="007F3869">
        <w:t xml:space="preserve">fire have been reported </w:t>
      </w:r>
      <w:r w:rsidR="007F3869" w:rsidRPr="008B308B">
        <w:t xml:space="preserve">in Table </w:t>
      </w:r>
      <w:r w:rsidR="002B62B6">
        <w:t>4</w:t>
      </w:r>
      <w:r w:rsidR="007F3869">
        <w:t xml:space="preserve"> assuming that at the time of exposure t = 0 all the tanks are in the safe mode. </w:t>
      </w:r>
    </w:p>
    <w:p w14:paraId="4EE38B4F" w14:textId="3A06DABA" w:rsidR="008B308B" w:rsidRDefault="00DB31A6" w:rsidP="00585FB7">
      <w:pPr>
        <w:spacing w:after="240"/>
        <w:jc w:val="both"/>
      </w:pPr>
      <w:r>
        <w:t xml:space="preserve">As can be seen from Table </w:t>
      </w:r>
      <w:r w:rsidR="002B62B6">
        <w:t>4</w:t>
      </w:r>
      <w:r>
        <w:t xml:space="preserve">, the escalation </w:t>
      </w:r>
      <w:r w:rsidR="00BA4ADC">
        <w:t>probabilities of tanks 3 and 6 at t =20 min are due to the heat intensity of the wildfire</w:t>
      </w:r>
      <w:r w:rsidR="003E2642">
        <w:t xml:space="preserve"> (bold numbers)</w:t>
      </w:r>
      <w:r w:rsidR="00BA4ADC">
        <w:t xml:space="preserve">. </w:t>
      </w:r>
      <w:r w:rsidR="00200EC9">
        <w:t>T</w:t>
      </w:r>
      <w:r w:rsidR="00BA4ADC">
        <w:t xml:space="preserve">he escalation probabilities </w:t>
      </w:r>
      <w:r w:rsidR="00B20846">
        <w:t xml:space="preserve">of all the tanks, including tanks 3 and 6, </w:t>
      </w:r>
      <w:r w:rsidR="00200EC9">
        <w:t>in the next time steps, i.e., t = 40 and 60 min, are due to possible domino effect</w:t>
      </w:r>
      <w:r w:rsidR="00BA4ADC">
        <w:t xml:space="preserve"> </w:t>
      </w:r>
      <w:r w:rsidR="00200EC9">
        <w:t>scenarios</w:t>
      </w:r>
      <w:r w:rsidR="00B20846">
        <w:t xml:space="preserve"> triggered by the wildfire</w:t>
      </w:r>
      <w:r w:rsidR="00200EC9">
        <w:t>.</w:t>
      </w:r>
      <w:r w:rsidR="00E467E0">
        <w:t xml:space="preserve"> For illustrative purposes, a time interval of 20 min has been chosen in the modeling of the fire propagation using the DBN. As can be seen from Table </w:t>
      </w:r>
      <w:r w:rsidR="002B62B6">
        <w:t>4</w:t>
      </w:r>
      <w:r w:rsidR="00E467E0">
        <w:t xml:space="preserve">, the escalation probabilities at t = 20 min are the probabilities of wildfire-induced tank fires at tanks 1, 3, and 6. As time passes by, the escalation probabilities gradually increase due to the effect of possible domino scenarios. The temporal contribution of the storage tanks to the wildfire-induced domino scenario has been schematized in </w:t>
      </w:r>
      <w:r w:rsidR="00E467E0" w:rsidRPr="005F32D9">
        <w:t xml:space="preserve">Figure </w:t>
      </w:r>
      <w:r w:rsidR="002B62B6">
        <w:t>9</w:t>
      </w:r>
      <w:r w:rsidR="00E467E0">
        <w:t>, with the most likely sequence of events as fires at tanks {3, 6} → {2, 7} → {1, 8, 4, 5}.</w:t>
      </w:r>
    </w:p>
    <w:p w14:paraId="0A642607" w14:textId="46E221A3" w:rsidR="008B308B" w:rsidRPr="008B308B" w:rsidRDefault="008B308B" w:rsidP="008B308B">
      <w:pPr>
        <w:jc w:val="center"/>
      </w:pPr>
      <w:r w:rsidRPr="008B308B">
        <w:t xml:space="preserve">Table </w:t>
      </w:r>
      <w:r w:rsidR="002B62B6">
        <w:t>4</w:t>
      </w:r>
      <w:r w:rsidRPr="008B308B">
        <w:t xml:space="preserve">. Fire escalation probabilities </w:t>
      </w:r>
      <w:r w:rsidR="001F22F5">
        <w:t>of the storage tanks</w:t>
      </w:r>
      <w:r w:rsidRPr="008B308B">
        <w:t xml:space="preserve"> within the first 60 minutes of being exposed to the wildfire. </w:t>
      </w:r>
    </w:p>
    <w:tbl>
      <w:tblPr>
        <w:tblW w:w="6424" w:type="dxa"/>
        <w:jc w:val="center"/>
        <w:tblLook w:val="04A0" w:firstRow="1" w:lastRow="0" w:firstColumn="1" w:lastColumn="0" w:noHBand="0" w:noVBand="1"/>
      </w:tblPr>
      <w:tblGrid>
        <w:gridCol w:w="880"/>
        <w:gridCol w:w="693"/>
        <w:gridCol w:w="693"/>
        <w:gridCol w:w="693"/>
        <w:gridCol w:w="693"/>
        <w:gridCol w:w="693"/>
        <w:gridCol w:w="693"/>
        <w:gridCol w:w="693"/>
        <w:gridCol w:w="693"/>
      </w:tblGrid>
      <w:tr w:rsidR="008B308B" w:rsidRPr="00B20846" w14:paraId="53282F8B" w14:textId="77777777" w:rsidTr="00BA4ADC">
        <w:trPr>
          <w:trHeight w:val="300"/>
          <w:jc w:val="center"/>
        </w:trPr>
        <w:tc>
          <w:tcPr>
            <w:tcW w:w="880" w:type="dxa"/>
            <w:vMerge w:val="restart"/>
            <w:tcBorders>
              <w:top w:val="single" w:sz="4" w:space="0" w:color="auto"/>
              <w:left w:val="nil"/>
              <w:bottom w:val="single" w:sz="4" w:space="0" w:color="000000"/>
              <w:right w:val="nil"/>
            </w:tcBorders>
            <w:shd w:val="clear" w:color="auto" w:fill="auto"/>
            <w:noWrap/>
            <w:vAlign w:val="center"/>
            <w:hideMark/>
          </w:tcPr>
          <w:p w14:paraId="3F13833B"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t (min)</w:t>
            </w:r>
          </w:p>
        </w:tc>
        <w:tc>
          <w:tcPr>
            <w:tcW w:w="5544" w:type="dxa"/>
            <w:gridSpan w:val="8"/>
            <w:tcBorders>
              <w:top w:val="single" w:sz="4" w:space="0" w:color="auto"/>
              <w:left w:val="nil"/>
              <w:bottom w:val="single" w:sz="4" w:space="0" w:color="auto"/>
              <w:right w:val="nil"/>
            </w:tcBorders>
            <w:shd w:val="clear" w:color="auto" w:fill="auto"/>
            <w:noWrap/>
            <w:vAlign w:val="center"/>
            <w:hideMark/>
          </w:tcPr>
          <w:p w14:paraId="6A9E3A1C"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Storage tank</w:t>
            </w:r>
          </w:p>
        </w:tc>
      </w:tr>
      <w:tr w:rsidR="008B308B" w:rsidRPr="00B20846" w14:paraId="4E754ED0" w14:textId="77777777" w:rsidTr="00BA4ADC">
        <w:trPr>
          <w:trHeight w:val="300"/>
          <w:jc w:val="center"/>
        </w:trPr>
        <w:tc>
          <w:tcPr>
            <w:tcW w:w="880" w:type="dxa"/>
            <w:vMerge/>
            <w:tcBorders>
              <w:top w:val="single" w:sz="4" w:space="0" w:color="auto"/>
              <w:left w:val="nil"/>
              <w:bottom w:val="single" w:sz="4" w:space="0" w:color="000000"/>
              <w:right w:val="nil"/>
            </w:tcBorders>
            <w:vAlign w:val="center"/>
            <w:hideMark/>
          </w:tcPr>
          <w:p w14:paraId="47B4CC80"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p>
        </w:tc>
        <w:tc>
          <w:tcPr>
            <w:tcW w:w="693" w:type="dxa"/>
            <w:tcBorders>
              <w:top w:val="nil"/>
              <w:left w:val="nil"/>
              <w:bottom w:val="single" w:sz="4" w:space="0" w:color="auto"/>
              <w:right w:val="nil"/>
            </w:tcBorders>
            <w:shd w:val="clear" w:color="auto" w:fill="auto"/>
            <w:noWrap/>
            <w:vAlign w:val="center"/>
            <w:hideMark/>
          </w:tcPr>
          <w:p w14:paraId="7E161EA4"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1</w:t>
            </w:r>
          </w:p>
        </w:tc>
        <w:tc>
          <w:tcPr>
            <w:tcW w:w="693" w:type="dxa"/>
            <w:tcBorders>
              <w:top w:val="nil"/>
              <w:left w:val="nil"/>
              <w:bottom w:val="single" w:sz="4" w:space="0" w:color="auto"/>
              <w:right w:val="nil"/>
            </w:tcBorders>
            <w:shd w:val="clear" w:color="auto" w:fill="auto"/>
            <w:noWrap/>
            <w:vAlign w:val="center"/>
            <w:hideMark/>
          </w:tcPr>
          <w:p w14:paraId="31A2791B"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2</w:t>
            </w:r>
          </w:p>
        </w:tc>
        <w:tc>
          <w:tcPr>
            <w:tcW w:w="693" w:type="dxa"/>
            <w:tcBorders>
              <w:top w:val="nil"/>
              <w:left w:val="nil"/>
              <w:bottom w:val="single" w:sz="4" w:space="0" w:color="auto"/>
              <w:right w:val="nil"/>
            </w:tcBorders>
            <w:shd w:val="clear" w:color="auto" w:fill="auto"/>
            <w:noWrap/>
            <w:vAlign w:val="center"/>
            <w:hideMark/>
          </w:tcPr>
          <w:p w14:paraId="410CE0A4"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3</w:t>
            </w:r>
          </w:p>
        </w:tc>
        <w:tc>
          <w:tcPr>
            <w:tcW w:w="693" w:type="dxa"/>
            <w:tcBorders>
              <w:top w:val="nil"/>
              <w:left w:val="nil"/>
              <w:bottom w:val="single" w:sz="4" w:space="0" w:color="auto"/>
              <w:right w:val="nil"/>
            </w:tcBorders>
            <w:shd w:val="clear" w:color="auto" w:fill="auto"/>
            <w:noWrap/>
            <w:vAlign w:val="center"/>
            <w:hideMark/>
          </w:tcPr>
          <w:p w14:paraId="2612D9A2"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4</w:t>
            </w:r>
          </w:p>
        </w:tc>
        <w:tc>
          <w:tcPr>
            <w:tcW w:w="693" w:type="dxa"/>
            <w:tcBorders>
              <w:top w:val="nil"/>
              <w:left w:val="nil"/>
              <w:bottom w:val="single" w:sz="4" w:space="0" w:color="auto"/>
              <w:right w:val="nil"/>
            </w:tcBorders>
            <w:shd w:val="clear" w:color="auto" w:fill="auto"/>
            <w:noWrap/>
            <w:vAlign w:val="center"/>
            <w:hideMark/>
          </w:tcPr>
          <w:p w14:paraId="3C33DE77"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5</w:t>
            </w:r>
          </w:p>
        </w:tc>
        <w:tc>
          <w:tcPr>
            <w:tcW w:w="693" w:type="dxa"/>
            <w:tcBorders>
              <w:top w:val="nil"/>
              <w:left w:val="nil"/>
              <w:bottom w:val="single" w:sz="4" w:space="0" w:color="auto"/>
              <w:right w:val="nil"/>
            </w:tcBorders>
            <w:shd w:val="clear" w:color="auto" w:fill="auto"/>
            <w:noWrap/>
            <w:vAlign w:val="center"/>
            <w:hideMark/>
          </w:tcPr>
          <w:p w14:paraId="2CEA4111"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6</w:t>
            </w:r>
          </w:p>
        </w:tc>
        <w:tc>
          <w:tcPr>
            <w:tcW w:w="693" w:type="dxa"/>
            <w:tcBorders>
              <w:top w:val="nil"/>
              <w:left w:val="nil"/>
              <w:bottom w:val="single" w:sz="4" w:space="0" w:color="auto"/>
              <w:right w:val="nil"/>
            </w:tcBorders>
            <w:shd w:val="clear" w:color="auto" w:fill="auto"/>
            <w:noWrap/>
            <w:vAlign w:val="center"/>
            <w:hideMark/>
          </w:tcPr>
          <w:p w14:paraId="31CEE7BE"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7</w:t>
            </w:r>
          </w:p>
        </w:tc>
        <w:tc>
          <w:tcPr>
            <w:tcW w:w="693" w:type="dxa"/>
            <w:tcBorders>
              <w:top w:val="nil"/>
              <w:left w:val="nil"/>
              <w:bottom w:val="single" w:sz="4" w:space="0" w:color="auto"/>
              <w:right w:val="nil"/>
            </w:tcBorders>
            <w:shd w:val="clear" w:color="auto" w:fill="auto"/>
            <w:noWrap/>
            <w:vAlign w:val="center"/>
            <w:hideMark/>
          </w:tcPr>
          <w:p w14:paraId="699D3133"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8</w:t>
            </w:r>
          </w:p>
        </w:tc>
      </w:tr>
      <w:tr w:rsidR="008B308B" w:rsidRPr="00B20846" w14:paraId="5E536CAC" w14:textId="77777777" w:rsidTr="00BA4ADC">
        <w:trPr>
          <w:trHeight w:val="300"/>
          <w:jc w:val="center"/>
        </w:trPr>
        <w:tc>
          <w:tcPr>
            <w:tcW w:w="880" w:type="dxa"/>
            <w:tcBorders>
              <w:top w:val="nil"/>
              <w:left w:val="nil"/>
              <w:bottom w:val="nil"/>
              <w:right w:val="nil"/>
            </w:tcBorders>
            <w:shd w:val="clear" w:color="auto" w:fill="auto"/>
            <w:noWrap/>
            <w:vAlign w:val="center"/>
            <w:hideMark/>
          </w:tcPr>
          <w:p w14:paraId="055D60E0"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w:t>
            </w:r>
          </w:p>
        </w:tc>
        <w:tc>
          <w:tcPr>
            <w:tcW w:w="693" w:type="dxa"/>
            <w:tcBorders>
              <w:top w:val="nil"/>
              <w:left w:val="nil"/>
              <w:bottom w:val="nil"/>
              <w:right w:val="nil"/>
            </w:tcBorders>
            <w:shd w:val="clear" w:color="auto" w:fill="auto"/>
            <w:noWrap/>
            <w:vAlign w:val="center"/>
            <w:hideMark/>
          </w:tcPr>
          <w:p w14:paraId="6A5A26A6"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1F898DC4"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7B105B69"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3D8FC8BA"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50144B88"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35A27095"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33C5C53E"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452CAF71"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r>
      <w:tr w:rsidR="008B308B" w:rsidRPr="00B20846" w14:paraId="055E28AD" w14:textId="77777777" w:rsidTr="00BA4ADC">
        <w:trPr>
          <w:trHeight w:val="300"/>
          <w:jc w:val="center"/>
        </w:trPr>
        <w:tc>
          <w:tcPr>
            <w:tcW w:w="880" w:type="dxa"/>
            <w:tcBorders>
              <w:top w:val="nil"/>
              <w:left w:val="nil"/>
              <w:bottom w:val="nil"/>
              <w:right w:val="nil"/>
            </w:tcBorders>
            <w:shd w:val="clear" w:color="auto" w:fill="auto"/>
            <w:noWrap/>
            <w:vAlign w:val="center"/>
            <w:hideMark/>
          </w:tcPr>
          <w:p w14:paraId="417CEE88"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20</w:t>
            </w:r>
          </w:p>
        </w:tc>
        <w:tc>
          <w:tcPr>
            <w:tcW w:w="693" w:type="dxa"/>
            <w:tcBorders>
              <w:top w:val="nil"/>
              <w:left w:val="nil"/>
              <w:bottom w:val="nil"/>
              <w:right w:val="nil"/>
            </w:tcBorders>
            <w:shd w:val="clear" w:color="auto" w:fill="auto"/>
            <w:noWrap/>
            <w:vAlign w:val="center"/>
            <w:hideMark/>
          </w:tcPr>
          <w:p w14:paraId="70D7AE65" w14:textId="77777777" w:rsidR="008B308B" w:rsidRPr="00B20846" w:rsidRDefault="003A6D30"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1D4A547A"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4797827E" w14:textId="3C73D407" w:rsidR="008B308B" w:rsidRPr="00B20846" w:rsidRDefault="002C77AA" w:rsidP="008B308B">
            <w:pPr>
              <w:spacing w:after="0" w:line="240" w:lineRule="auto"/>
              <w:rPr>
                <w:rFonts w:asciiTheme="majorHAnsi" w:eastAsia="Times New Roman" w:hAnsiTheme="majorHAnsi" w:cs="Times New Roman"/>
                <w:b/>
                <w:noProof w:val="0"/>
                <w:color w:val="000000"/>
                <w:lang w:eastAsia="en-CA"/>
              </w:rPr>
            </w:pPr>
            <w:r w:rsidRPr="00B20846">
              <w:rPr>
                <w:rFonts w:asciiTheme="majorHAnsi" w:eastAsia="Times New Roman" w:hAnsiTheme="majorHAnsi" w:cs="Times New Roman"/>
                <w:b/>
                <w:noProof w:val="0"/>
                <w:color w:val="000000"/>
                <w:lang w:eastAsia="en-CA"/>
              </w:rPr>
              <w:t>0.87</w:t>
            </w:r>
          </w:p>
        </w:tc>
        <w:tc>
          <w:tcPr>
            <w:tcW w:w="693" w:type="dxa"/>
            <w:tcBorders>
              <w:top w:val="nil"/>
              <w:left w:val="nil"/>
              <w:bottom w:val="nil"/>
              <w:right w:val="nil"/>
            </w:tcBorders>
            <w:shd w:val="clear" w:color="auto" w:fill="auto"/>
            <w:noWrap/>
            <w:vAlign w:val="center"/>
            <w:hideMark/>
          </w:tcPr>
          <w:p w14:paraId="1A760221"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3C3C641C"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73D961E2" w14:textId="4299EE5A" w:rsidR="008B308B" w:rsidRPr="00B20846" w:rsidRDefault="002C77AA" w:rsidP="008B308B">
            <w:pPr>
              <w:spacing w:after="0" w:line="240" w:lineRule="auto"/>
              <w:rPr>
                <w:rFonts w:asciiTheme="majorHAnsi" w:eastAsia="Times New Roman" w:hAnsiTheme="majorHAnsi" w:cs="Times New Roman"/>
                <w:b/>
                <w:noProof w:val="0"/>
                <w:color w:val="000000"/>
                <w:lang w:eastAsia="en-CA"/>
              </w:rPr>
            </w:pPr>
            <w:r w:rsidRPr="00B20846">
              <w:rPr>
                <w:rFonts w:asciiTheme="majorHAnsi" w:eastAsia="Times New Roman" w:hAnsiTheme="majorHAnsi" w:cs="Times New Roman"/>
                <w:b/>
                <w:noProof w:val="0"/>
                <w:color w:val="000000"/>
                <w:lang w:eastAsia="en-CA"/>
              </w:rPr>
              <w:t>0.72</w:t>
            </w:r>
          </w:p>
        </w:tc>
        <w:tc>
          <w:tcPr>
            <w:tcW w:w="693" w:type="dxa"/>
            <w:tcBorders>
              <w:top w:val="nil"/>
              <w:left w:val="nil"/>
              <w:bottom w:val="nil"/>
              <w:right w:val="nil"/>
            </w:tcBorders>
            <w:shd w:val="clear" w:color="auto" w:fill="auto"/>
            <w:noWrap/>
            <w:vAlign w:val="center"/>
            <w:hideMark/>
          </w:tcPr>
          <w:p w14:paraId="758D0187"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3D807D92"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r>
      <w:tr w:rsidR="008B308B" w:rsidRPr="00B20846" w14:paraId="2623186C" w14:textId="77777777" w:rsidTr="00BA4ADC">
        <w:trPr>
          <w:trHeight w:val="300"/>
          <w:jc w:val="center"/>
        </w:trPr>
        <w:tc>
          <w:tcPr>
            <w:tcW w:w="880" w:type="dxa"/>
            <w:tcBorders>
              <w:top w:val="nil"/>
              <w:left w:val="nil"/>
              <w:bottom w:val="nil"/>
              <w:right w:val="nil"/>
            </w:tcBorders>
            <w:shd w:val="clear" w:color="auto" w:fill="auto"/>
            <w:noWrap/>
            <w:vAlign w:val="center"/>
            <w:hideMark/>
          </w:tcPr>
          <w:p w14:paraId="084B3823"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lastRenderedPageBreak/>
              <w:t>40</w:t>
            </w:r>
          </w:p>
        </w:tc>
        <w:tc>
          <w:tcPr>
            <w:tcW w:w="693" w:type="dxa"/>
            <w:tcBorders>
              <w:top w:val="nil"/>
              <w:left w:val="nil"/>
              <w:bottom w:val="nil"/>
              <w:right w:val="nil"/>
            </w:tcBorders>
            <w:shd w:val="clear" w:color="auto" w:fill="auto"/>
            <w:noWrap/>
            <w:vAlign w:val="center"/>
            <w:hideMark/>
          </w:tcPr>
          <w:p w14:paraId="48B54E89" w14:textId="77777777" w:rsidR="008B308B" w:rsidRPr="00B20846" w:rsidRDefault="003A6D30"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6E92C3F8" w14:textId="0B613801"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0.5</w:t>
            </w:r>
            <w:r w:rsidR="00DD79D5" w:rsidRPr="00B20846">
              <w:rPr>
                <w:rFonts w:asciiTheme="majorHAnsi" w:eastAsia="Times New Roman" w:hAnsiTheme="majorHAnsi" w:cs="Times New Roman"/>
                <w:noProof w:val="0"/>
                <w:color w:val="000000"/>
                <w:lang w:eastAsia="en-CA"/>
              </w:rPr>
              <w:t>6</w:t>
            </w:r>
          </w:p>
        </w:tc>
        <w:tc>
          <w:tcPr>
            <w:tcW w:w="693" w:type="dxa"/>
            <w:tcBorders>
              <w:top w:val="nil"/>
              <w:left w:val="nil"/>
              <w:bottom w:val="nil"/>
              <w:right w:val="nil"/>
            </w:tcBorders>
            <w:shd w:val="clear" w:color="auto" w:fill="auto"/>
            <w:noWrap/>
            <w:vAlign w:val="center"/>
            <w:hideMark/>
          </w:tcPr>
          <w:p w14:paraId="0F74F802" w14:textId="0FE8DE42"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0.9</w:t>
            </w:r>
            <w:r w:rsidR="00DD79D5" w:rsidRPr="00B20846">
              <w:rPr>
                <w:rFonts w:asciiTheme="majorHAnsi" w:eastAsia="Times New Roman" w:hAnsiTheme="majorHAnsi" w:cs="Times New Roman"/>
                <w:noProof w:val="0"/>
                <w:color w:val="000000"/>
                <w:lang w:eastAsia="en-CA"/>
              </w:rPr>
              <w:t>8</w:t>
            </w:r>
          </w:p>
        </w:tc>
        <w:tc>
          <w:tcPr>
            <w:tcW w:w="693" w:type="dxa"/>
            <w:tcBorders>
              <w:top w:val="nil"/>
              <w:left w:val="nil"/>
              <w:bottom w:val="nil"/>
              <w:right w:val="nil"/>
            </w:tcBorders>
            <w:shd w:val="clear" w:color="auto" w:fill="auto"/>
            <w:noWrap/>
            <w:vAlign w:val="center"/>
            <w:hideMark/>
          </w:tcPr>
          <w:p w14:paraId="155B2265"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644342F9"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c>
          <w:tcPr>
            <w:tcW w:w="693" w:type="dxa"/>
            <w:tcBorders>
              <w:top w:val="nil"/>
              <w:left w:val="nil"/>
              <w:bottom w:val="nil"/>
              <w:right w:val="nil"/>
            </w:tcBorders>
            <w:shd w:val="clear" w:color="auto" w:fill="auto"/>
            <w:noWrap/>
            <w:vAlign w:val="center"/>
            <w:hideMark/>
          </w:tcPr>
          <w:p w14:paraId="036D32D6" w14:textId="7D9EDE64"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0.9</w:t>
            </w:r>
            <w:r w:rsidR="00DD79D5" w:rsidRPr="00B20846">
              <w:rPr>
                <w:rFonts w:asciiTheme="majorHAnsi" w:eastAsia="Times New Roman" w:hAnsiTheme="majorHAnsi" w:cs="Times New Roman"/>
                <w:noProof w:val="0"/>
                <w:color w:val="000000"/>
                <w:lang w:eastAsia="en-CA"/>
              </w:rPr>
              <w:t>2</w:t>
            </w:r>
          </w:p>
        </w:tc>
        <w:tc>
          <w:tcPr>
            <w:tcW w:w="693" w:type="dxa"/>
            <w:tcBorders>
              <w:top w:val="nil"/>
              <w:left w:val="nil"/>
              <w:bottom w:val="nil"/>
              <w:right w:val="nil"/>
            </w:tcBorders>
            <w:shd w:val="clear" w:color="auto" w:fill="auto"/>
            <w:noWrap/>
            <w:vAlign w:val="center"/>
            <w:hideMark/>
          </w:tcPr>
          <w:p w14:paraId="0F43F032" w14:textId="44F03E68"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w:t>
            </w:r>
            <w:r w:rsidR="00DD79D5" w:rsidRPr="00B20846">
              <w:rPr>
                <w:rFonts w:asciiTheme="majorHAnsi" w:eastAsia="Times New Roman" w:hAnsiTheme="majorHAnsi" w:cs="Times New Roman"/>
                <w:noProof w:val="0"/>
                <w:color w:val="000000"/>
                <w:lang w:eastAsia="en-CA"/>
              </w:rPr>
              <w:t>48</w:t>
            </w:r>
          </w:p>
        </w:tc>
        <w:tc>
          <w:tcPr>
            <w:tcW w:w="693" w:type="dxa"/>
            <w:tcBorders>
              <w:top w:val="nil"/>
              <w:left w:val="nil"/>
              <w:bottom w:val="nil"/>
              <w:right w:val="nil"/>
            </w:tcBorders>
            <w:shd w:val="clear" w:color="auto" w:fill="auto"/>
            <w:noWrap/>
            <w:vAlign w:val="center"/>
            <w:hideMark/>
          </w:tcPr>
          <w:p w14:paraId="3C626756"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0.00</w:t>
            </w:r>
          </w:p>
        </w:tc>
      </w:tr>
      <w:tr w:rsidR="008B308B" w:rsidRPr="00B20846" w14:paraId="2EACBFE9" w14:textId="77777777" w:rsidTr="00BA4ADC">
        <w:trPr>
          <w:trHeight w:val="300"/>
          <w:jc w:val="center"/>
        </w:trPr>
        <w:tc>
          <w:tcPr>
            <w:tcW w:w="880" w:type="dxa"/>
            <w:tcBorders>
              <w:top w:val="nil"/>
              <w:left w:val="nil"/>
              <w:bottom w:val="single" w:sz="4" w:space="0" w:color="auto"/>
              <w:right w:val="nil"/>
            </w:tcBorders>
            <w:shd w:val="clear" w:color="auto" w:fill="auto"/>
            <w:noWrap/>
            <w:vAlign w:val="center"/>
            <w:hideMark/>
          </w:tcPr>
          <w:p w14:paraId="2B6CBA55" w14:textId="77777777" w:rsidR="008B308B" w:rsidRPr="00B20846" w:rsidRDefault="008B308B"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60</w:t>
            </w:r>
          </w:p>
        </w:tc>
        <w:tc>
          <w:tcPr>
            <w:tcW w:w="693" w:type="dxa"/>
            <w:tcBorders>
              <w:top w:val="nil"/>
              <w:left w:val="nil"/>
              <w:bottom w:val="single" w:sz="4" w:space="0" w:color="auto"/>
              <w:right w:val="nil"/>
            </w:tcBorders>
            <w:shd w:val="clear" w:color="auto" w:fill="auto"/>
            <w:noWrap/>
            <w:vAlign w:val="center"/>
            <w:hideMark/>
          </w:tcPr>
          <w:p w14:paraId="05351338" w14:textId="3AEF35EC"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0.4</w:t>
            </w:r>
            <w:r w:rsidR="00DD79D5" w:rsidRPr="00B20846">
              <w:rPr>
                <w:rFonts w:asciiTheme="majorHAnsi" w:eastAsia="Times New Roman" w:hAnsiTheme="majorHAnsi" w:cs="Times New Roman"/>
                <w:noProof w:val="0"/>
                <w:color w:val="000000"/>
                <w:lang w:eastAsia="en-CA"/>
              </w:rPr>
              <w:t>6</w:t>
            </w:r>
          </w:p>
        </w:tc>
        <w:tc>
          <w:tcPr>
            <w:tcW w:w="693" w:type="dxa"/>
            <w:tcBorders>
              <w:top w:val="nil"/>
              <w:left w:val="nil"/>
              <w:bottom w:val="single" w:sz="4" w:space="0" w:color="auto"/>
              <w:right w:val="nil"/>
            </w:tcBorders>
            <w:shd w:val="clear" w:color="auto" w:fill="auto"/>
            <w:noWrap/>
            <w:vAlign w:val="center"/>
            <w:hideMark/>
          </w:tcPr>
          <w:p w14:paraId="602EF1A1" w14:textId="56952170"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0.8</w:t>
            </w:r>
            <w:r w:rsidR="00DD79D5" w:rsidRPr="00B20846">
              <w:rPr>
                <w:rFonts w:asciiTheme="majorHAnsi" w:eastAsia="Times New Roman" w:hAnsiTheme="majorHAnsi" w:cs="Times New Roman"/>
                <w:noProof w:val="0"/>
                <w:color w:val="000000"/>
                <w:lang w:eastAsia="en-CA"/>
              </w:rPr>
              <w:t>3</w:t>
            </w:r>
          </w:p>
        </w:tc>
        <w:tc>
          <w:tcPr>
            <w:tcW w:w="693" w:type="dxa"/>
            <w:tcBorders>
              <w:top w:val="nil"/>
              <w:left w:val="nil"/>
              <w:bottom w:val="single" w:sz="4" w:space="0" w:color="auto"/>
              <w:right w:val="nil"/>
            </w:tcBorders>
            <w:shd w:val="clear" w:color="auto" w:fill="auto"/>
            <w:noWrap/>
            <w:vAlign w:val="center"/>
            <w:hideMark/>
          </w:tcPr>
          <w:p w14:paraId="03F8A6BA" w14:textId="0DB1C6A1" w:rsidR="008B308B" w:rsidRPr="00B20846" w:rsidRDefault="00DD79D5" w:rsidP="008B308B">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1.00</w:t>
            </w:r>
          </w:p>
        </w:tc>
        <w:tc>
          <w:tcPr>
            <w:tcW w:w="693" w:type="dxa"/>
            <w:tcBorders>
              <w:top w:val="nil"/>
              <w:left w:val="nil"/>
              <w:bottom w:val="single" w:sz="4" w:space="0" w:color="auto"/>
              <w:right w:val="nil"/>
            </w:tcBorders>
            <w:shd w:val="clear" w:color="auto" w:fill="auto"/>
            <w:noWrap/>
            <w:vAlign w:val="center"/>
            <w:hideMark/>
          </w:tcPr>
          <w:p w14:paraId="7520DCFF" w14:textId="5F8B0B2C"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0.2</w:t>
            </w:r>
            <w:r w:rsidR="00DD79D5" w:rsidRPr="00B20846">
              <w:rPr>
                <w:rFonts w:asciiTheme="majorHAnsi" w:eastAsia="Times New Roman" w:hAnsiTheme="majorHAnsi" w:cs="Times New Roman"/>
                <w:noProof w:val="0"/>
                <w:color w:val="000000"/>
                <w:lang w:eastAsia="en-CA"/>
              </w:rPr>
              <w:t>4</w:t>
            </w:r>
          </w:p>
        </w:tc>
        <w:tc>
          <w:tcPr>
            <w:tcW w:w="693" w:type="dxa"/>
            <w:tcBorders>
              <w:top w:val="nil"/>
              <w:left w:val="nil"/>
              <w:bottom w:val="single" w:sz="4" w:space="0" w:color="auto"/>
              <w:right w:val="nil"/>
            </w:tcBorders>
            <w:shd w:val="clear" w:color="auto" w:fill="auto"/>
            <w:noWrap/>
            <w:vAlign w:val="center"/>
            <w:hideMark/>
          </w:tcPr>
          <w:p w14:paraId="08CB2205" w14:textId="33C8E646"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0.2</w:t>
            </w:r>
            <w:r w:rsidR="00DD79D5" w:rsidRPr="00B20846">
              <w:rPr>
                <w:rFonts w:asciiTheme="majorHAnsi" w:eastAsia="Times New Roman" w:hAnsiTheme="majorHAnsi" w:cs="Times New Roman"/>
                <w:noProof w:val="0"/>
                <w:color w:val="000000"/>
                <w:lang w:eastAsia="en-CA"/>
              </w:rPr>
              <w:t>1</w:t>
            </w:r>
          </w:p>
        </w:tc>
        <w:tc>
          <w:tcPr>
            <w:tcW w:w="693" w:type="dxa"/>
            <w:tcBorders>
              <w:top w:val="nil"/>
              <w:left w:val="nil"/>
              <w:bottom w:val="single" w:sz="4" w:space="0" w:color="auto"/>
              <w:right w:val="nil"/>
            </w:tcBorders>
            <w:shd w:val="clear" w:color="auto" w:fill="auto"/>
            <w:noWrap/>
            <w:vAlign w:val="center"/>
            <w:hideMark/>
          </w:tcPr>
          <w:p w14:paraId="73E4C532" w14:textId="288156BA"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0.9</w:t>
            </w:r>
            <w:r w:rsidR="00DD79D5" w:rsidRPr="00B20846">
              <w:rPr>
                <w:rFonts w:asciiTheme="majorHAnsi" w:eastAsia="Times New Roman" w:hAnsiTheme="majorHAnsi" w:cs="Times New Roman"/>
                <w:noProof w:val="0"/>
                <w:color w:val="000000"/>
                <w:lang w:eastAsia="en-CA"/>
              </w:rPr>
              <w:t>8</w:t>
            </w:r>
          </w:p>
        </w:tc>
        <w:tc>
          <w:tcPr>
            <w:tcW w:w="693" w:type="dxa"/>
            <w:tcBorders>
              <w:top w:val="nil"/>
              <w:left w:val="nil"/>
              <w:bottom w:val="single" w:sz="4" w:space="0" w:color="auto"/>
              <w:right w:val="nil"/>
            </w:tcBorders>
            <w:shd w:val="clear" w:color="auto" w:fill="auto"/>
            <w:noWrap/>
            <w:vAlign w:val="center"/>
            <w:hideMark/>
          </w:tcPr>
          <w:p w14:paraId="2A6E15E3" w14:textId="64271EA3"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w:t>
            </w:r>
            <w:r w:rsidR="00DD79D5" w:rsidRPr="00B20846">
              <w:rPr>
                <w:rFonts w:asciiTheme="majorHAnsi" w:eastAsia="Times New Roman" w:hAnsiTheme="majorHAnsi" w:cs="Times New Roman"/>
                <w:noProof w:val="0"/>
                <w:color w:val="000000"/>
                <w:lang w:eastAsia="en-CA"/>
              </w:rPr>
              <w:t>78</w:t>
            </w:r>
          </w:p>
        </w:tc>
        <w:tc>
          <w:tcPr>
            <w:tcW w:w="693" w:type="dxa"/>
            <w:tcBorders>
              <w:top w:val="nil"/>
              <w:left w:val="nil"/>
              <w:bottom w:val="single" w:sz="4" w:space="0" w:color="auto"/>
              <w:right w:val="nil"/>
            </w:tcBorders>
            <w:shd w:val="clear" w:color="auto" w:fill="auto"/>
            <w:noWrap/>
            <w:vAlign w:val="center"/>
            <w:hideMark/>
          </w:tcPr>
          <w:p w14:paraId="5C4A6FB8" w14:textId="68EBA222" w:rsidR="008B308B" w:rsidRPr="00B20846" w:rsidRDefault="003A6D30" w:rsidP="00DD79D5">
            <w:pPr>
              <w:spacing w:after="0" w:line="240" w:lineRule="auto"/>
              <w:rPr>
                <w:rFonts w:asciiTheme="majorHAnsi" w:eastAsia="Times New Roman" w:hAnsiTheme="majorHAnsi" w:cs="Times New Roman"/>
                <w:noProof w:val="0"/>
                <w:color w:val="000000"/>
                <w:lang w:eastAsia="en-CA"/>
              </w:rPr>
            </w:pPr>
            <w:r w:rsidRPr="00B20846">
              <w:rPr>
                <w:rFonts w:asciiTheme="majorHAnsi" w:eastAsia="Times New Roman" w:hAnsiTheme="majorHAnsi" w:cs="Times New Roman"/>
                <w:noProof w:val="0"/>
                <w:color w:val="000000"/>
                <w:lang w:eastAsia="en-CA"/>
              </w:rPr>
              <w:t>0.2</w:t>
            </w:r>
            <w:r w:rsidR="00DD79D5" w:rsidRPr="00B20846">
              <w:rPr>
                <w:rFonts w:asciiTheme="majorHAnsi" w:eastAsia="Times New Roman" w:hAnsiTheme="majorHAnsi" w:cs="Times New Roman"/>
                <w:noProof w:val="0"/>
                <w:color w:val="000000"/>
                <w:lang w:eastAsia="en-CA"/>
              </w:rPr>
              <w:t>5</w:t>
            </w:r>
          </w:p>
        </w:tc>
      </w:tr>
    </w:tbl>
    <w:p w14:paraId="6C314EEB" w14:textId="77777777" w:rsidR="002B62B6" w:rsidRDefault="002B62B6" w:rsidP="002B72E5">
      <w:pPr>
        <w:spacing w:after="0"/>
        <w:jc w:val="both"/>
      </w:pPr>
    </w:p>
    <w:p w14:paraId="5BD66C03" w14:textId="77777777" w:rsidR="002B72E5" w:rsidRDefault="002B72E5" w:rsidP="00723E81">
      <w:pPr>
        <w:jc w:val="both"/>
      </w:pPr>
    </w:p>
    <w:p w14:paraId="05BEBBAE" w14:textId="58B72CFB" w:rsidR="00F71507" w:rsidRPr="005F5977" w:rsidRDefault="00585FB7" w:rsidP="00D95001">
      <w:pPr>
        <w:jc w:val="center"/>
        <w:rPr>
          <w:lang w:val="en-US"/>
        </w:rPr>
      </w:pPr>
      <w:r>
        <w:object w:dxaOrig="5445" w:dyaOrig="3659" w14:anchorId="29CD0C84">
          <v:shape id="_x0000_i1034" type="#_x0000_t75" style="width:156pt;height:105.75pt" o:ole="">
            <v:imagedata r:id="rId28" o:title=""/>
          </v:shape>
          <o:OLEObject Type="Embed" ProgID="Visio.Drawing.11" ShapeID="_x0000_i1034" DrawAspect="Content" ObjectID="_1594553530" r:id="rId29"/>
        </w:object>
      </w:r>
      <w:r w:rsidR="003E4EF6">
        <w:rPr>
          <w:lang w:val="en-US"/>
        </w:rPr>
        <w:tab/>
      </w:r>
      <w:r>
        <w:object w:dxaOrig="5445" w:dyaOrig="3659" w14:anchorId="3A65E01F">
          <v:shape id="_x0000_i1035" type="#_x0000_t75" style="width:156pt;height:105pt" o:ole="">
            <v:imagedata r:id="rId30" o:title=""/>
          </v:shape>
          <o:OLEObject Type="Embed" ProgID="Visio.Drawing.11" ShapeID="_x0000_i1035" DrawAspect="Content" ObjectID="_1594553531" r:id="rId31"/>
        </w:object>
      </w:r>
    </w:p>
    <w:p w14:paraId="0132B6E4" w14:textId="1A3DC4C2" w:rsidR="00830B12" w:rsidRPr="00154A63" w:rsidRDefault="00830B12" w:rsidP="00D95001">
      <w:pPr>
        <w:jc w:val="center"/>
        <w:rPr>
          <w:lang w:val="nl-NL"/>
        </w:rPr>
      </w:pPr>
      <w:r w:rsidRPr="006B03C6">
        <w:rPr>
          <w:lang w:val="nl-NL"/>
        </w:rPr>
        <w:t>t = 0</w:t>
      </w:r>
      <w:r w:rsidR="000540AD">
        <w:rPr>
          <w:lang w:val="nl-NL"/>
        </w:rPr>
        <w:t xml:space="preserve"> min</w:t>
      </w:r>
      <w:r w:rsidR="000540AD">
        <w:rPr>
          <w:lang w:val="nl-NL"/>
        </w:rPr>
        <w:tab/>
      </w:r>
      <w:r w:rsidR="000540AD">
        <w:rPr>
          <w:lang w:val="nl-NL"/>
        </w:rPr>
        <w:tab/>
      </w:r>
      <w:r w:rsidR="003E4EF6" w:rsidRPr="006B03C6">
        <w:rPr>
          <w:lang w:val="nl-NL"/>
        </w:rPr>
        <w:tab/>
      </w:r>
      <w:r w:rsidRPr="006B03C6">
        <w:rPr>
          <w:lang w:val="nl-NL"/>
        </w:rPr>
        <w:tab/>
      </w:r>
      <w:r w:rsidRPr="00154A63">
        <w:rPr>
          <w:lang w:val="nl-NL"/>
        </w:rPr>
        <w:t>t = 20 min</w:t>
      </w:r>
    </w:p>
    <w:p w14:paraId="119EF08B" w14:textId="0515CF2D" w:rsidR="00F71507" w:rsidRPr="006B03C6" w:rsidRDefault="00585FB7" w:rsidP="00D95001">
      <w:pPr>
        <w:jc w:val="center"/>
        <w:rPr>
          <w:lang w:val="nl-NL"/>
        </w:rPr>
      </w:pPr>
      <w:r>
        <w:object w:dxaOrig="5445" w:dyaOrig="3659" w14:anchorId="7153D9A1">
          <v:shape id="_x0000_i1036" type="#_x0000_t75" style="width:156pt;height:105.75pt" o:ole="">
            <v:imagedata r:id="rId32" o:title=""/>
          </v:shape>
          <o:OLEObject Type="Embed" ProgID="Visio.Drawing.11" ShapeID="_x0000_i1036" DrawAspect="Content" ObjectID="_1594553532" r:id="rId33"/>
        </w:object>
      </w:r>
      <w:r w:rsidR="00830B12" w:rsidRPr="006B03C6">
        <w:rPr>
          <w:lang w:val="nl-NL"/>
        </w:rPr>
        <w:tab/>
      </w:r>
      <w:r>
        <w:object w:dxaOrig="5445" w:dyaOrig="3659" w14:anchorId="38D0E38F">
          <v:shape id="_x0000_i1037" type="#_x0000_t75" style="width:156pt;height:105.75pt" o:ole="">
            <v:imagedata r:id="rId34" o:title=""/>
          </v:shape>
          <o:OLEObject Type="Embed" ProgID="Visio.Drawing.11" ShapeID="_x0000_i1037" DrawAspect="Content" ObjectID="_1594553533" r:id="rId35"/>
        </w:object>
      </w:r>
      <w:r w:rsidR="00154A63" w:rsidRPr="006B03C6">
        <w:rPr>
          <w:lang w:val="nl-NL"/>
        </w:rPr>
        <w:t xml:space="preserve"> </w:t>
      </w:r>
    </w:p>
    <w:p w14:paraId="197EC251" w14:textId="1CA69920" w:rsidR="00830B12" w:rsidRPr="006B03C6" w:rsidRDefault="00830B12" w:rsidP="00D95001">
      <w:pPr>
        <w:jc w:val="center"/>
        <w:rPr>
          <w:lang w:val="nl-NL"/>
        </w:rPr>
      </w:pPr>
      <w:r w:rsidRPr="006B03C6">
        <w:rPr>
          <w:lang w:val="nl-NL"/>
        </w:rPr>
        <w:t>t = 40 min</w:t>
      </w:r>
      <w:r w:rsidRPr="006B03C6">
        <w:rPr>
          <w:lang w:val="nl-NL"/>
        </w:rPr>
        <w:tab/>
      </w:r>
      <w:r w:rsidRPr="006B03C6">
        <w:rPr>
          <w:lang w:val="nl-NL"/>
        </w:rPr>
        <w:tab/>
      </w:r>
      <w:r w:rsidRPr="006B03C6">
        <w:rPr>
          <w:lang w:val="nl-NL"/>
        </w:rPr>
        <w:tab/>
      </w:r>
      <w:r w:rsidRPr="006B03C6">
        <w:rPr>
          <w:lang w:val="nl-NL"/>
        </w:rPr>
        <w:tab/>
        <w:t>t = 60 min</w:t>
      </w:r>
    </w:p>
    <w:p w14:paraId="4A2E9589" w14:textId="0F03CA68" w:rsidR="005F5977" w:rsidRDefault="005F5977" w:rsidP="00D95001">
      <w:pPr>
        <w:jc w:val="center"/>
        <w:rPr>
          <w:lang w:val="en-US"/>
        </w:rPr>
      </w:pPr>
      <w:r>
        <w:object w:dxaOrig="2200" w:dyaOrig="430" w14:anchorId="782B8CDF">
          <v:shape id="_x0000_i1038" type="#_x0000_t75" style="width:87pt;height:18pt" o:ole="">
            <v:imagedata r:id="rId36" o:title=""/>
          </v:shape>
          <o:OLEObject Type="Embed" ProgID="Visio.Drawing.11" ShapeID="_x0000_i1038" DrawAspect="Content" ObjectID="_1594553534" r:id="rId37"/>
        </w:object>
      </w:r>
      <w:r>
        <w:object w:dxaOrig="2257" w:dyaOrig="430" w14:anchorId="6230FA4D">
          <v:shape id="_x0000_i1039" type="#_x0000_t75" style="width:89.25pt;height:18pt" o:ole="">
            <v:imagedata r:id="rId38" o:title=""/>
          </v:shape>
          <o:OLEObject Type="Embed" ProgID="Visio.Drawing.11" ShapeID="_x0000_i1039" DrawAspect="Content" ObjectID="_1594553535" r:id="rId39"/>
        </w:object>
      </w:r>
      <w:r>
        <w:object w:dxaOrig="2257" w:dyaOrig="430" w14:anchorId="24C94151">
          <v:shape id="_x0000_i1040" type="#_x0000_t75" style="width:89.25pt;height:18pt" o:ole="">
            <v:imagedata r:id="rId40" o:title=""/>
          </v:shape>
          <o:OLEObject Type="Embed" ProgID="Visio.Drawing.11" ShapeID="_x0000_i1040" DrawAspect="Content" ObjectID="_1594553536" r:id="rId41"/>
        </w:object>
      </w:r>
      <w:r>
        <w:object w:dxaOrig="2257" w:dyaOrig="430" w14:anchorId="7F843C21">
          <v:shape id="_x0000_i1041" type="#_x0000_t75" style="width:89.25pt;height:18pt" o:ole="">
            <v:imagedata r:id="rId42" o:title=""/>
          </v:shape>
          <o:OLEObject Type="Embed" ProgID="Visio.Drawing.11" ShapeID="_x0000_i1041" DrawAspect="Content" ObjectID="_1594553537" r:id="rId43"/>
        </w:object>
      </w:r>
    </w:p>
    <w:p w14:paraId="2EF156C9" w14:textId="34EEC02A" w:rsidR="00000CA1" w:rsidRDefault="0038656D" w:rsidP="00D95001">
      <w:pPr>
        <w:jc w:val="center"/>
      </w:pPr>
      <w:r w:rsidRPr="005F32D9">
        <w:t xml:space="preserve">Figure </w:t>
      </w:r>
      <w:r w:rsidR="002B62B6">
        <w:t>9</w:t>
      </w:r>
      <w:r w:rsidRPr="005F32D9">
        <w:t>.</w:t>
      </w:r>
      <w:r>
        <w:t xml:space="preserve"> </w:t>
      </w:r>
      <w:r w:rsidR="000540AD">
        <w:t>T</w:t>
      </w:r>
      <w:r>
        <w:t xml:space="preserve">emporal </w:t>
      </w:r>
      <w:r w:rsidR="000540AD">
        <w:t xml:space="preserve">escalation of fires </w:t>
      </w:r>
      <w:r w:rsidR="000E7C89">
        <w:t>given</w:t>
      </w:r>
      <w:r>
        <w:t xml:space="preserve"> </w:t>
      </w:r>
      <w:r w:rsidR="000E7C89">
        <w:t xml:space="preserve">the </w:t>
      </w:r>
      <w:r w:rsidR="00000CA1">
        <w:t>wildfire</w:t>
      </w:r>
      <w:r w:rsidR="00154A63">
        <w:t>.</w:t>
      </w:r>
      <w:r w:rsidR="000540AD">
        <w:t xml:space="preserve"> The wind direction is south</w:t>
      </w:r>
      <w:r w:rsidR="00585FB7">
        <w:t xml:space="preserve"> </w:t>
      </w:r>
      <w:r w:rsidR="000540AD">
        <w:t>to</w:t>
      </w:r>
      <w:r w:rsidR="00585FB7">
        <w:t xml:space="preserve"> </w:t>
      </w:r>
      <w:r w:rsidR="000540AD">
        <w:t xml:space="preserve">north. </w:t>
      </w:r>
    </w:p>
    <w:p w14:paraId="0E14CD26" w14:textId="77777777" w:rsidR="002B62B6" w:rsidRDefault="002B62B6" w:rsidP="00D95001">
      <w:pPr>
        <w:jc w:val="center"/>
      </w:pPr>
    </w:p>
    <w:p w14:paraId="09F815AA" w14:textId="09AE739B" w:rsidR="005A2D2E" w:rsidRDefault="00B458C3" w:rsidP="00AE70CD">
      <w:pPr>
        <w:jc w:val="both"/>
        <w:rPr>
          <w:lang w:val="en-US"/>
        </w:rPr>
      </w:pPr>
      <w:r>
        <w:rPr>
          <w:lang w:val="en-US"/>
        </w:rPr>
        <w:t xml:space="preserve">Having the </w:t>
      </w:r>
      <w:r w:rsidR="001F22F5">
        <w:rPr>
          <w:lang w:val="en-US"/>
        </w:rPr>
        <w:t xml:space="preserve">ignition </w:t>
      </w:r>
      <w:r>
        <w:rPr>
          <w:lang w:val="en-US"/>
        </w:rPr>
        <w:t>probability of PI</w:t>
      </w:r>
      <w:r w:rsidR="00BE49B3">
        <w:rPr>
          <w:lang w:val="en-US"/>
        </w:rPr>
        <w:t xml:space="preserve"> = 0.65 (Section 4.2)</w:t>
      </w:r>
      <w:r>
        <w:rPr>
          <w:lang w:val="en-US"/>
        </w:rPr>
        <w:t xml:space="preserve">, conditional burn probability </w:t>
      </w:r>
      <w:r w:rsidR="001F22F5">
        <w:rPr>
          <w:lang w:val="en-US"/>
        </w:rPr>
        <w:t>of</w:t>
      </w:r>
      <w:r>
        <w:rPr>
          <w:lang w:val="en-US"/>
        </w:rPr>
        <w:t xml:space="preserve"> PB</w:t>
      </w:r>
      <w:r w:rsidR="00BE49B3">
        <w:rPr>
          <w:lang w:val="en-US"/>
        </w:rPr>
        <w:t xml:space="preserve"> = 0.63 (Section 4.3)</w:t>
      </w:r>
      <w:r>
        <w:rPr>
          <w:lang w:val="en-US"/>
        </w:rPr>
        <w:t>, and the conditional escalation probabilities (PE</w:t>
      </w:r>
      <w:r w:rsidRPr="005F32D9">
        <w:rPr>
          <w:lang w:val="en-US"/>
        </w:rPr>
        <w:t>)</w:t>
      </w:r>
      <w:r w:rsidR="001946F0" w:rsidRPr="005F32D9">
        <w:rPr>
          <w:lang w:val="en-US"/>
        </w:rPr>
        <w:t xml:space="preserve"> in Table </w:t>
      </w:r>
      <w:r w:rsidR="002B62B6">
        <w:rPr>
          <w:lang w:val="en-US"/>
        </w:rPr>
        <w:t>4</w:t>
      </w:r>
      <w:r w:rsidR="00BE49B3">
        <w:rPr>
          <w:lang w:val="en-US"/>
        </w:rPr>
        <w:t>,</w:t>
      </w:r>
      <w:r w:rsidRPr="005F32D9">
        <w:rPr>
          <w:lang w:val="en-US"/>
        </w:rPr>
        <w:t xml:space="preserve"> marginal</w:t>
      </w:r>
      <w:r>
        <w:rPr>
          <w:lang w:val="en-US"/>
        </w:rPr>
        <w:t xml:space="preserve"> (unconditional) wildfire-</w:t>
      </w:r>
      <w:r w:rsidR="001F22F5">
        <w:rPr>
          <w:lang w:val="en-US"/>
        </w:rPr>
        <w:t>induced</w:t>
      </w:r>
      <w:r>
        <w:rPr>
          <w:lang w:val="en-US"/>
        </w:rPr>
        <w:t xml:space="preserve"> escalation probabilities of the storage tanks can be calculated as</w:t>
      </w:r>
      <w:r w:rsidR="00BE49B3">
        <w:rPr>
          <w:lang w:val="en-US"/>
        </w:rPr>
        <w:t>:</w:t>
      </w:r>
      <w:r>
        <w:rPr>
          <w:lang w:val="en-US"/>
        </w:rPr>
        <w:t xml:space="preserve"> </w:t>
      </w:r>
    </w:p>
    <w:p w14:paraId="0D63E012" w14:textId="77777777" w:rsidR="005A2D2E" w:rsidRDefault="005A2D2E" w:rsidP="00AE70CD">
      <w:pPr>
        <w:jc w:val="both"/>
        <w:rPr>
          <w:lang w:val="en-US"/>
        </w:rPr>
      </w:pPr>
      <m:oMath>
        <m:r>
          <w:rPr>
            <w:rFonts w:ascii="Cambria Math" w:hAnsi="Cambria Math"/>
            <w:lang w:val="en-US"/>
          </w:rPr>
          <m:t>P=P</m:t>
        </m:r>
        <m:d>
          <m:dPr>
            <m:ctrlPr>
              <w:rPr>
                <w:rFonts w:ascii="Cambria Math" w:hAnsi="Cambria Math"/>
                <w:i/>
                <w:lang w:val="en-US"/>
              </w:rPr>
            </m:ctrlPr>
          </m:dPr>
          <m:e>
            <m:r>
              <w:rPr>
                <w:rFonts w:ascii="Cambria Math" w:hAnsi="Cambria Math"/>
                <w:lang w:val="en-US"/>
              </w:rPr>
              <m:t>Small fire</m:t>
            </m:r>
          </m:e>
        </m:d>
        <m:r>
          <w:rPr>
            <w:rFonts w:ascii="Cambria Math" w:hAnsi="Cambria Math"/>
            <w:lang w:val="en-US"/>
          </w:rPr>
          <m:t>. P</m:t>
        </m:r>
        <m:d>
          <m:dPr>
            <m:ctrlPr>
              <w:rPr>
                <w:rFonts w:ascii="Cambria Math" w:hAnsi="Cambria Math"/>
                <w:i/>
                <w:lang w:val="en-US"/>
              </w:rPr>
            </m:ctrlPr>
          </m:dPr>
          <m:e>
            <m:r>
              <w:rPr>
                <w:rFonts w:ascii="Cambria Math" w:hAnsi="Cambria Math"/>
                <w:lang w:val="en-US"/>
              </w:rPr>
              <m:t xml:space="preserve">Wildfire </m:t>
            </m:r>
          </m:e>
          <m:e>
            <m:r>
              <w:rPr>
                <w:rFonts w:ascii="Cambria Math" w:hAnsi="Cambria Math"/>
                <w:lang w:val="en-US"/>
              </w:rPr>
              <m:t xml:space="preserve"> Small fire</m:t>
            </m:r>
          </m:e>
        </m:d>
        <m:r>
          <w:rPr>
            <w:rFonts w:ascii="Cambria Math" w:hAnsi="Cambria Math"/>
            <w:lang w:val="en-US"/>
          </w:rPr>
          <m:t>. P</m:t>
        </m:r>
        <m:d>
          <m:dPr>
            <m:ctrlPr>
              <w:rPr>
                <w:rFonts w:ascii="Cambria Math" w:hAnsi="Cambria Math"/>
                <w:i/>
                <w:lang w:val="en-US"/>
              </w:rPr>
            </m:ctrlPr>
          </m:dPr>
          <m:e>
            <m:r>
              <w:rPr>
                <w:rFonts w:ascii="Cambria Math" w:hAnsi="Cambria Math"/>
                <w:lang w:val="en-US"/>
              </w:rPr>
              <m:t xml:space="preserve">Escalation </m:t>
            </m:r>
          </m:e>
          <m:e>
            <m:r>
              <w:rPr>
                <w:rFonts w:ascii="Cambria Math" w:hAnsi="Cambria Math"/>
                <w:lang w:val="en-US"/>
              </w:rPr>
              <m:t xml:space="preserve"> Wildfire</m:t>
            </m:r>
          </m:e>
        </m:d>
        <m:r>
          <w:rPr>
            <w:rFonts w:ascii="Cambria Math" w:hAnsi="Cambria Math"/>
            <w:lang w:val="en-US"/>
          </w:rPr>
          <m:t>=PI.PB.PE</m:t>
        </m:r>
      </m:oMath>
      <w:r>
        <w:rPr>
          <w:rFonts w:eastAsiaTheme="minorEastAsia"/>
          <w:lang w:val="en-US"/>
        </w:rPr>
        <w:tab/>
      </w:r>
      <w:r w:rsidR="005F32D9">
        <w:rPr>
          <w:rFonts w:eastAsiaTheme="minorEastAsia"/>
          <w:lang w:val="en-US"/>
        </w:rPr>
        <w:t>(15)</w:t>
      </w:r>
    </w:p>
    <w:p w14:paraId="4B97C6B0" w14:textId="1C3B1B9F" w:rsidR="00BE49B3" w:rsidRDefault="00BE49B3" w:rsidP="00AE70CD">
      <w:pPr>
        <w:jc w:val="both"/>
        <w:rPr>
          <w:lang w:val="en-US"/>
        </w:rPr>
      </w:pPr>
      <w:r>
        <w:rPr>
          <w:lang w:val="en-US"/>
        </w:rPr>
        <w:t xml:space="preserve">For instance, the </w:t>
      </w:r>
      <w:r w:rsidR="00C35B5A">
        <w:rPr>
          <w:lang w:val="en-US"/>
        </w:rPr>
        <w:t xml:space="preserve">marginal </w:t>
      </w:r>
      <w:r>
        <w:rPr>
          <w:lang w:val="en-US"/>
        </w:rPr>
        <w:t xml:space="preserve">escalation probability </w:t>
      </w:r>
      <w:r w:rsidR="00C35B5A">
        <w:rPr>
          <w:lang w:val="en-US"/>
        </w:rPr>
        <w:t xml:space="preserve">of tank 1 at t = 60 min would be </w:t>
      </w:r>
      <w:r w:rsidR="005F5977">
        <w:rPr>
          <w:lang w:val="en-US"/>
        </w:rPr>
        <w:t>P(T</w:t>
      </w:r>
      <w:r w:rsidR="005F5977" w:rsidRPr="005F5977">
        <w:rPr>
          <w:vertAlign w:val="subscript"/>
          <w:lang w:val="en-US"/>
        </w:rPr>
        <w:t>1</w:t>
      </w:r>
      <w:r w:rsidR="005F5977" w:rsidRPr="005F5977">
        <w:rPr>
          <w:vertAlign w:val="superscript"/>
          <w:lang w:val="en-US"/>
        </w:rPr>
        <w:t>60</w:t>
      </w:r>
      <w:r w:rsidR="005F5977">
        <w:rPr>
          <w:lang w:val="en-US"/>
        </w:rPr>
        <w:t xml:space="preserve"> = Fire) = </w:t>
      </w:r>
      <w:r w:rsidR="00C35B5A">
        <w:rPr>
          <w:lang w:val="en-US"/>
        </w:rPr>
        <w:t>0.65×0.63×0.4</w:t>
      </w:r>
      <w:r w:rsidR="005F5977">
        <w:rPr>
          <w:lang w:val="en-US"/>
        </w:rPr>
        <w:t>6</w:t>
      </w:r>
      <w:r w:rsidR="00C35B5A">
        <w:rPr>
          <w:lang w:val="en-US"/>
        </w:rPr>
        <w:t>=0.</w:t>
      </w:r>
      <w:r w:rsidR="005F5977">
        <w:rPr>
          <w:lang w:val="en-US"/>
        </w:rPr>
        <w:t>19</w:t>
      </w:r>
      <w:r w:rsidR="00C35B5A">
        <w:rPr>
          <w:lang w:val="en-US"/>
        </w:rPr>
        <w:t xml:space="preserve">. </w:t>
      </w:r>
    </w:p>
    <w:p w14:paraId="18AE37F7" w14:textId="77777777" w:rsidR="00200EC9" w:rsidRDefault="00200EC9" w:rsidP="00200EC9">
      <w:pPr>
        <w:pStyle w:val="Heading2"/>
      </w:pPr>
      <w:r>
        <w:t xml:space="preserve">4.6. </w:t>
      </w:r>
      <w:r w:rsidR="00D0498A">
        <w:t>Risk assessment and management</w:t>
      </w:r>
      <w:r>
        <w:t xml:space="preserve"> </w:t>
      </w:r>
    </w:p>
    <w:p w14:paraId="6EA5B307" w14:textId="36432C4A" w:rsidR="00592499" w:rsidRDefault="00325D36" w:rsidP="005F0B46">
      <w:pPr>
        <w:jc w:val="both"/>
        <w:rPr>
          <w:lang w:val="en-US"/>
        </w:rPr>
      </w:pPr>
      <w:r>
        <w:rPr>
          <w:lang w:val="en-US"/>
        </w:rPr>
        <w:t>The r</w:t>
      </w:r>
      <w:r w:rsidR="00592499">
        <w:rPr>
          <w:lang w:val="en-US"/>
        </w:rPr>
        <w:t xml:space="preserve">isk of wildfires </w:t>
      </w:r>
      <w:r>
        <w:rPr>
          <w:lang w:val="en-US"/>
        </w:rPr>
        <w:t>at process plants is not limited merely to the direct structu</w:t>
      </w:r>
      <w:r w:rsidR="00BA17D8">
        <w:rPr>
          <w:lang w:val="en-US"/>
        </w:rPr>
        <w:t>ral damage of process equipment</w:t>
      </w:r>
      <w:r>
        <w:rPr>
          <w:lang w:val="en-US"/>
        </w:rPr>
        <w:t xml:space="preserve"> and loss of assets</w:t>
      </w:r>
      <w:r w:rsidR="005F0B46">
        <w:rPr>
          <w:lang w:val="en-US"/>
        </w:rPr>
        <w:t xml:space="preserve">. </w:t>
      </w:r>
      <w:r>
        <w:rPr>
          <w:lang w:val="en-US"/>
        </w:rPr>
        <w:t>Revenue losses</w:t>
      </w:r>
      <w:r w:rsidR="005F0B46">
        <w:rPr>
          <w:lang w:val="en-US"/>
        </w:rPr>
        <w:t>, locally, regionally and nationally,</w:t>
      </w:r>
      <w:r>
        <w:rPr>
          <w:lang w:val="en-US"/>
        </w:rPr>
        <w:t xml:space="preserve"> incur</w:t>
      </w:r>
      <w:r w:rsidR="00A31061">
        <w:rPr>
          <w:lang w:val="en-US"/>
        </w:rPr>
        <w:t>r</w:t>
      </w:r>
      <w:r>
        <w:rPr>
          <w:lang w:val="en-US"/>
        </w:rPr>
        <w:t xml:space="preserve">ed by </w:t>
      </w:r>
      <w:r>
        <w:rPr>
          <w:lang w:val="en-US"/>
        </w:rPr>
        <w:lastRenderedPageBreak/>
        <w:t xml:space="preserve">business disruptions due to plants shut downs </w:t>
      </w:r>
      <w:r w:rsidR="005F0B46">
        <w:rPr>
          <w:lang w:val="en-US"/>
        </w:rPr>
        <w:t xml:space="preserve">either as safety precautions or because of process equipment damage could be much larger. </w:t>
      </w:r>
    </w:p>
    <w:p w14:paraId="65D20B80" w14:textId="6EEEDC22" w:rsidR="005F0B46" w:rsidRDefault="005F0B46" w:rsidP="00082844">
      <w:pPr>
        <w:jc w:val="both"/>
        <w:rPr>
          <w:lang w:val="en-US"/>
        </w:rPr>
      </w:pPr>
      <w:r>
        <w:rPr>
          <w:lang w:val="en-US"/>
        </w:rPr>
        <w:t xml:space="preserve">During the Fort McMurray wildfires in 2016, major oil producers were forced to cease </w:t>
      </w:r>
      <w:r w:rsidR="00BA17D8">
        <w:rPr>
          <w:lang w:val="en-US"/>
        </w:rPr>
        <w:t xml:space="preserve">their </w:t>
      </w:r>
      <w:r>
        <w:rPr>
          <w:lang w:val="en-US"/>
        </w:rPr>
        <w:t>operatio</w:t>
      </w:r>
      <w:r w:rsidR="001F22F5">
        <w:rPr>
          <w:lang w:val="en-US"/>
        </w:rPr>
        <w:t>ns</w:t>
      </w:r>
      <w:r w:rsidR="00BA17D8">
        <w:rPr>
          <w:lang w:val="en-US"/>
        </w:rPr>
        <w:t xml:space="preserve"> for safety precautions and staff evacuation</w:t>
      </w:r>
      <w:r w:rsidR="001F22F5">
        <w:rPr>
          <w:lang w:val="en-US"/>
        </w:rPr>
        <w:t>. For more than two weeks oil</w:t>
      </w:r>
      <w:r w:rsidR="00A31061">
        <w:rPr>
          <w:lang w:val="en-US"/>
        </w:rPr>
        <w:t xml:space="preserve"> </w:t>
      </w:r>
      <w:r>
        <w:rPr>
          <w:lang w:val="en-US"/>
        </w:rPr>
        <w:t xml:space="preserve">sands operations were shut down, leading to a reduction of 1 million barrels of oil each day. </w:t>
      </w:r>
      <w:r w:rsidR="00D0681E">
        <w:rPr>
          <w:lang w:val="en-US"/>
        </w:rPr>
        <w:t xml:space="preserve">The loss of revenue due to a total loss of 14 million barrels of oil in production </w:t>
      </w:r>
      <w:r w:rsidR="00BA17D8">
        <w:rPr>
          <w:lang w:val="en-US"/>
        </w:rPr>
        <w:t>was</w:t>
      </w:r>
      <w:r w:rsidR="00D0681E">
        <w:rPr>
          <w:lang w:val="en-US"/>
        </w:rPr>
        <w:t xml:space="preserve"> estimated around </w:t>
      </w:r>
      <w:r w:rsidR="005C38F0">
        <w:rPr>
          <w:lang w:val="en-US"/>
        </w:rPr>
        <w:t>$</w:t>
      </w:r>
      <w:r w:rsidR="00D0681E">
        <w:rPr>
          <w:lang w:val="en-US"/>
        </w:rPr>
        <w:t>760</w:t>
      </w:r>
      <w:r w:rsidR="005C38F0">
        <w:rPr>
          <w:lang w:val="en-US"/>
        </w:rPr>
        <w:t>M</w:t>
      </w:r>
      <w:r w:rsidR="00D0681E">
        <w:rPr>
          <w:lang w:val="en-US"/>
        </w:rPr>
        <w:t xml:space="preserve"> </w:t>
      </w:r>
      <w:r w:rsidR="008B45D0">
        <w:rPr>
          <w:lang w:val="en-US"/>
        </w:rPr>
        <w:t>(The Globe and Mail)</w:t>
      </w:r>
      <w:r w:rsidR="00D0681E">
        <w:rPr>
          <w:lang w:val="en-US"/>
        </w:rPr>
        <w:t xml:space="preserve">. </w:t>
      </w:r>
      <w:r w:rsidR="00BA17D8">
        <w:rPr>
          <w:lang w:val="en-US"/>
        </w:rPr>
        <w:t>Therefore</w:t>
      </w:r>
      <w:r w:rsidR="00D0681E">
        <w:rPr>
          <w:lang w:val="en-US"/>
        </w:rPr>
        <w:t xml:space="preserve">, calculating the risk simply based on </w:t>
      </w:r>
      <w:r w:rsidR="00BA17D8">
        <w:rPr>
          <w:lang w:val="en-US"/>
        </w:rPr>
        <w:t>immediate impact of wildfires (e.g.,</w:t>
      </w:r>
      <w:r w:rsidR="00D0681E">
        <w:rPr>
          <w:lang w:val="en-US"/>
        </w:rPr>
        <w:t xml:space="preserve"> damage to process equipment</w:t>
      </w:r>
      <w:r w:rsidR="00BA17D8">
        <w:rPr>
          <w:lang w:val="en-US"/>
        </w:rPr>
        <w:t>)</w:t>
      </w:r>
      <w:r w:rsidR="00D0681E">
        <w:rPr>
          <w:lang w:val="en-US"/>
        </w:rPr>
        <w:t xml:space="preserve"> and setting risk management strategies based on such </w:t>
      </w:r>
      <w:r w:rsidR="00BA17D8">
        <w:rPr>
          <w:lang w:val="en-US"/>
        </w:rPr>
        <w:t xml:space="preserve">calculation </w:t>
      </w:r>
      <w:r w:rsidR="00D0681E">
        <w:rPr>
          <w:lang w:val="en-US"/>
        </w:rPr>
        <w:t>not only would be</w:t>
      </w:r>
      <w:r w:rsidR="00E25EC6">
        <w:rPr>
          <w:lang w:val="en-US"/>
        </w:rPr>
        <w:t xml:space="preserve"> too simplistic but misleading.</w:t>
      </w:r>
    </w:p>
    <w:p w14:paraId="4610265C" w14:textId="19008092" w:rsidR="00592499" w:rsidRDefault="00082844" w:rsidP="00082844">
      <w:pPr>
        <w:jc w:val="both"/>
        <w:rPr>
          <w:lang w:val="en-US"/>
        </w:rPr>
      </w:pPr>
      <w:r>
        <w:rPr>
          <w:lang w:val="en-US"/>
        </w:rPr>
        <w:t xml:space="preserve">Nevertheless, the risk of structural damage to the process plants </w:t>
      </w:r>
      <w:r w:rsidR="001F22F5">
        <w:rPr>
          <w:lang w:val="en-US"/>
        </w:rPr>
        <w:t xml:space="preserve">contribute to </w:t>
      </w:r>
      <w:r>
        <w:rPr>
          <w:lang w:val="en-US"/>
        </w:rPr>
        <w:t xml:space="preserve">the total risk and need to be taken into account as for setting </w:t>
      </w:r>
      <w:r w:rsidR="003E69DA">
        <w:rPr>
          <w:lang w:val="en-US"/>
        </w:rPr>
        <w:t>protect</w:t>
      </w:r>
      <w:r w:rsidR="00BA17D8">
        <w:rPr>
          <w:lang w:val="en-US"/>
        </w:rPr>
        <w:t>ive</w:t>
      </w:r>
      <w:r w:rsidR="003E69DA">
        <w:rPr>
          <w:lang w:val="en-US"/>
        </w:rPr>
        <w:t xml:space="preserve"> </w:t>
      </w:r>
      <w:r w:rsidR="00BA17D8">
        <w:rPr>
          <w:lang w:val="en-US"/>
        </w:rPr>
        <w:t xml:space="preserve">measures </w:t>
      </w:r>
      <w:r w:rsidR="003E69DA">
        <w:rPr>
          <w:lang w:val="en-US"/>
        </w:rPr>
        <w:t>and keep</w:t>
      </w:r>
      <w:r w:rsidR="00BA17D8">
        <w:rPr>
          <w:lang w:val="en-US"/>
        </w:rPr>
        <w:t>ing</w:t>
      </w:r>
      <w:r w:rsidR="003E69DA">
        <w:rPr>
          <w:lang w:val="en-US"/>
        </w:rPr>
        <w:t xml:space="preserve"> operation</w:t>
      </w:r>
      <w:r w:rsidR="00CC4C42">
        <w:rPr>
          <w:lang w:val="en-US"/>
        </w:rPr>
        <w:t>s</w:t>
      </w:r>
      <w:r w:rsidR="003E69DA">
        <w:rPr>
          <w:lang w:val="en-US"/>
        </w:rPr>
        <w:t xml:space="preserve"> running</w:t>
      </w:r>
      <w:r>
        <w:rPr>
          <w:lang w:val="en-US"/>
        </w:rPr>
        <w:t xml:space="preserve">. </w:t>
      </w:r>
      <w:r w:rsidR="00BA17D8">
        <w:rPr>
          <w:lang w:val="en-US"/>
        </w:rPr>
        <w:t xml:space="preserve">Furthermore, </w:t>
      </w:r>
      <w:r>
        <w:rPr>
          <w:lang w:val="en-US"/>
        </w:rPr>
        <w:t xml:space="preserve">reducing the </w:t>
      </w:r>
      <w:r w:rsidR="00BA17D8">
        <w:rPr>
          <w:lang w:val="en-US"/>
        </w:rPr>
        <w:t>vulnerability of</w:t>
      </w:r>
      <w:r>
        <w:rPr>
          <w:lang w:val="en-US"/>
        </w:rPr>
        <w:t xml:space="preserve"> process plants </w:t>
      </w:r>
      <w:r w:rsidR="00BA17D8">
        <w:rPr>
          <w:lang w:val="en-US"/>
        </w:rPr>
        <w:t xml:space="preserve">to wildfires </w:t>
      </w:r>
      <w:r>
        <w:rPr>
          <w:lang w:val="en-US"/>
        </w:rPr>
        <w:t>would increase the availability of the plants by reduc</w:t>
      </w:r>
      <w:r w:rsidR="00BA17D8">
        <w:rPr>
          <w:lang w:val="en-US"/>
        </w:rPr>
        <w:t>ing maintenance and repair down</w:t>
      </w:r>
      <w:r>
        <w:rPr>
          <w:lang w:val="en-US"/>
        </w:rPr>
        <w:t xml:space="preserve">time. </w:t>
      </w:r>
      <w:r w:rsidR="008B45D0">
        <w:rPr>
          <w:lang w:val="en-US"/>
        </w:rPr>
        <w:t>In the present study, k</w:t>
      </w:r>
      <w:r w:rsidR="00592499">
        <w:rPr>
          <w:lang w:val="en-US"/>
        </w:rPr>
        <w:t xml:space="preserve">nowing the wildfire-driven escalation probabilities </w:t>
      </w:r>
      <w:r w:rsidR="008B45D0">
        <w:rPr>
          <w:lang w:val="en-US"/>
        </w:rPr>
        <w:t xml:space="preserve">of the storage tanks as the only type of process equipment at the oil terminal, </w:t>
      </w:r>
      <w:r w:rsidR="00592499">
        <w:rPr>
          <w:lang w:val="en-US"/>
        </w:rPr>
        <w:t xml:space="preserve">the risk of </w:t>
      </w:r>
      <w:r w:rsidR="008B45D0">
        <w:rPr>
          <w:lang w:val="en-US"/>
        </w:rPr>
        <w:t>structural damage</w:t>
      </w:r>
      <w:r w:rsidR="00592499">
        <w:rPr>
          <w:lang w:val="en-US"/>
        </w:rPr>
        <w:t xml:space="preserve"> can be calculated as:</w:t>
      </w:r>
    </w:p>
    <w:p w14:paraId="749C70BC" w14:textId="77777777" w:rsidR="0064630D" w:rsidRDefault="008B45D0" w:rsidP="0064630D">
      <w:pPr>
        <w:rPr>
          <w:lang w:val="en-US"/>
        </w:rPr>
      </w:pPr>
      <m:oMath>
        <m:r>
          <w:rPr>
            <w:rFonts w:ascii="Cambria Math" w:hAnsi="Cambria Math"/>
            <w:lang w:val="en-US"/>
          </w:rPr>
          <m:t>R=</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e>
        </m:nary>
      </m:oMath>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t>(16)</w:t>
      </w:r>
    </w:p>
    <w:p w14:paraId="309DC9EB" w14:textId="40048469" w:rsidR="008B45D0" w:rsidRDefault="008B45D0" w:rsidP="0048003A">
      <w:pPr>
        <w:jc w:val="both"/>
        <w:rPr>
          <w:lang w:val="en-US"/>
        </w:rPr>
      </w:pPr>
      <w:r>
        <w:rPr>
          <w:lang w:val="en-US"/>
        </w:rPr>
        <w:t>where P</w:t>
      </w:r>
      <w:r w:rsidRPr="008B45D0">
        <w:rPr>
          <w:vertAlign w:val="subscript"/>
          <w:lang w:val="en-US"/>
        </w:rPr>
        <w:t>i</w:t>
      </w:r>
      <w:r>
        <w:rPr>
          <w:lang w:val="en-US"/>
        </w:rPr>
        <w:t xml:space="preserve"> is the wildfire-related escalation probability of the i-th storage tank calculated using Equation (15), and C</w:t>
      </w:r>
      <w:r w:rsidRPr="008B45D0">
        <w:rPr>
          <w:vertAlign w:val="subscript"/>
          <w:lang w:val="en-US"/>
        </w:rPr>
        <w:t>i</w:t>
      </w:r>
      <w:r>
        <w:rPr>
          <w:lang w:val="en-US"/>
        </w:rPr>
        <w:t xml:space="preserve"> is the cost of the i-th tank in monetary units. Considering only the </w:t>
      </w:r>
      <w:r w:rsidR="00E25EC6">
        <w:rPr>
          <w:lang w:val="en-US"/>
        </w:rPr>
        <w:t xml:space="preserve">approximate </w:t>
      </w:r>
      <w:r>
        <w:rPr>
          <w:lang w:val="en-US"/>
        </w:rPr>
        <w:t>cost of the storage tanks</w:t>
      </w:r>
      <w:r w:rsidR="00E25EC6">
        <w:rPr>
          <w:lang w:val="en-US"/>
        </w:rPr>
        <w:t>,</w:t>
      </w:r>
      <w:r>
        <w:rPr>
          <w:lang w:val="en-US"/>
        </w:rPr>
        <w:t xml:space="preserve"> and not their contents, </w:t>
      </w:r>
      <w:r w:rsidR="0048003A">
        <w:rPr>
          <w:lang w:val="en-US"/>
        </w:rPr>
        <w:t xml:space="preserve">as </w:t>
      </w:r>
      <w:r w:rsidR="005C38F0">
        <w:rPr>
          <w:lang w:val="en-US"/>
        </w:rPr>
        <w:t>$</w:t>
      </w:r>
      <w:r w:rsidR="0048003A">
        <w:rPr>
          <w:lang w:val="en-US"/>
        </w:rPr>
        <w:t>1.</w:t>
      </w:r>
      <w:r w:rsidR="00E25EC6">
        <w:rPr>
          <w:lang w:val="en-US"/>
        </w:rPr>
        <w:t>6</w:t>
      </w:r>
      <w:r w:rsidR="005C38F0">
        <w:rPr>
          <w:lang w:val="en-US"/>
        </w:rPr>
        <w:t>M</w:t>
      </w:r>
      <w:r w:rsidR="0048003A">
        <w:rPr>
          <w:lang w:val="en-US"/>
        </w:rPr>
        <w:t xml:space="preserve"> for T1-T3, </w:t>
      </w:r>
      <w:r w:rsidR="005C38F0">
        <w:rPr>
          <w:lang w:val="en-US"/>
        </w:rPr>
        <w:t>$</w:t>
      </w:r>
      <w:r w:rsidR="0048003A">
        <w:rPr>
          <w:lang w:val="en-US"/>
        </w:rPr>
        <w:t>1.</w:t>
      </w:r>
      <w:r w:rsidR="00E25EC6">
        <w:rPr>
          <w:lang w:val="en-US"/>
        </w:rPr>
        <w:t>2</w:t>
      </w:r>
      <w:r w:rsidR="005C38F0">
        <w:rPr>
          <w:lang w:val="en-US"/>
        </w:rPr>
        <w:t>M</w:t>
      </w:r>
      <w:r w:rsidR="004F4F45">
        <w:rPr>
          <w:lang w:val="en-US"/>
        </w:rPr>
        <w:t xml:space="preserve"> </w:t>
      </w:r>
      <w:r w:rsidR="00E25EC6">
        <w:rPr>
          <w:lang w:val="en-US"/>
        </w:rPr>
        <w:t xml:space="preserve">for T4-T7, and </w:t>
      </w:r>
      <w:r w:rsidR="005C38F0">
        <w:rPr>
          <w:lang w:val="en-US"/>
        </w:rPr>
        <w:t>$</w:t>
      </w:r>
      <w:r w:rsidR="0048003A">
        <w:rPr>
          <w:lang w:val="en-US"/>
        </w:rPr>
        <w:t>0.</w:t>
      </w:r>
      <w:r w:rsidR="00E25EC6">
        <w:rPr>
          <w:lang w:val="en-US"/>
        </w:rPr>
        <w:t>8</w:t>
      </w:r>
      <w:r w:rsidR="005C38F0">
        <w:rPr>
          <w:lang w:val="en-US"/>
        </w:rPr>
        <w:t>M</w:t>
      </w:r>
      <w:r w:rsidR="00E25EC6">
        <w:rPr>
          <w:lang w:val="en-US"/>
        </w:rPr>
        <w:t xml:space="preserve"> for T8 (</w:t>
      </w:r>
      <w:hyperlink r:id="rId44" w:history="1">
        <w:r w:rsidR="00E25EC6" w:rsidRPr="00EC5542">
          <w:rPr>
            <w:rStyle w:val="Hyperlink"/>
            <w:lang w:val="en-US"/>
          </w:rPr>
          <w:t>www.Matche.com</w:t>
        </w:r>
      </w:hyperlink>
      <w:r w:rsidR="00E25EC6">
        <w:rPr>
          <w:lang w:val="en-US"/>
        </w:rPr>
        <w:t xml:space="preserve">), the risk of damage to the storage tanks </w:t>
      </w:r>
      <w:r w:rsidR="00D6596E">
        <w:rPr>
          <w:lang w:val="en-US"/>
        </w:rPr>
        <w:t xml:space="preserve">after one hour of being exposed to the wildfire </w:t>
      </w:r>
      <w:r w:rsidR="00E25EC6">
        <w:rPr>
          <w:lang w:val="en-US"/>
        </w:rPr>
        <w:t xml:space="preserve">can be estimated as </w:t>
      </w:r>
      <w:r w:rsidR="005C38F0">
        <w:rPr>
          <w:lang w:val="en-US"/>
        </w:rPr>
        <w:t>$</w:t>
      </w:r>
      <w:r w:rsidR="00E25EC6">
        <w:rPr>
          <w:lang w:val="en-US"/>
        </w:rPr>
        <w:t>2</w:t>
      </w:r>
      <w:r w:rsidR="0048003A">
        <w:rPr>
          <w:lang w:val="en-US"/>
        </w:rPr>
        <w:t>.</w:t>
      </w:r>
      <w:r w:rsidR="00974D5D">
        <w:rPr>
          <w:lang w:val="en-US"/>
        </w:rPr>
        <w:t>67</w:t>
      </w:r>
      <w:r w:rsidR="005C38F0">
        <w:rPr>
          <w:lang w:val="en-US"/>
        </w:rPr>
        <w:t>M</w:t>
      </w:r>
      <w:r w:rsidR="00E25EC6">
        <w:rPr>
          <w:lang w:val="en-US"/>
        </w:rPr>
        <w:t>.</w:t>
      </w:r>
      <w:r w:rsidR="0048003A">
        <w:rPr>
          <w:lang w:val="en-US"/>
        </w:rPr>
        <w:t xml:space="preserve"> </w:t>
      </w:r>
    </w:p>
    <w:p w14:paraId="30580C52" w14:textId="51DD5E2C" w:rsidR="005B5739" w:rsidRDefault="00656ED7" w:rsidP="0048003A">
      <w:pPr>
        <w:jc w:val="both"/>
        <w:rPr>
          <w:lang w:val="en-US"/>
        </w:rPr>
      </w:pPr>
      <w:r w:rsidRPr="00DC6BCA">
        <w:rPr>
          <w:lang w:val="en-US"/>
        </w:rPr>
        <w:t xml:space="preserve">The risk of structural damage can be reduced via different strategies, </w:t>
      </w:r>
      <w:r w:rsidR="003C247D" w:rsidRPr="00DC6BCA">
        <w:rPr>
          <w:lang w:val="en-US"/>
        </w:rPr>
        <w:t xml:space="preserve">such as </w:t>
      </w:r>
      <w:r w:rsidRPr="00DC6BCA">
        <w:rPr>
          <w:lang w:val="en-US"/>
        </w:rPr>
        <w:t xml:space="preserve">increasing the </w:t>
      </w:r>
      <w:r w:rsidR="00FD0726" w:rsidRPr="00DC6BCA">
        <w:rPr>
          <w:lang w:val="en-US"/>
        </w:rPr>
        <w:t>safety distance</w:t>
      </w:r>
      <w:r w:rsidRPr="00DC6BCA">
        <w:rPr>
          <w:lang w:val="en-US"/>
        </w:rPr>
        <w:t xml:space="preserve"> between the process plant and the forest </w:t>
      </w:r>
      <w:r w:rsidR="003C247D" w:rsidRPr="00DC6BCA">
        <w:rPr>
          <w:lang w:val="en-US"/>
        </w:rPr>
        <w:t>by</w:t>
      </w:r>
      <w:r w:rsidRPr="00DC6BCA">
        <w:rPr>
          <w:lang w:val="en-US"/>
        </w:rPr>
        <w:t xml:space="preserve"> deforestation</w:t>
      </w:r>
      <w:r w:rsidR="003C247D" w:rsidRPr="00DC6BCA">
        <w:rPr>
          <w:lang w:val="en-US"/>
        </w:rPr>
        <w:t xml:space="preserve"> of the adjacent land to bare mineral soil </w:t>
      </w:r>
      <w:r w:rsidR="00E23FD1" w:rsidRPr="00DC6BCA">
        <w:rPr>
          <w:lang w:val="en-US"/>
        </w:rPr>
        <w:t>(ENFORM, 2012)</w:t>
      </w:r>
      <w:r w:rsidRPr="00DC6BCA">
        <w:rPr>
          <w:lang w:val="en-US"/>
        </w:rPr>
        <w:t xml:space="preserve">, </w:t>
      </w:r>
      <w:r w:rsidR="003C247D" w:rsidRPr="00DC6BCA">
        <w:rPr>
          <w:lang w:val="en-US"/>
        </w:rPr>
        <w:t xml:space="preserve">reducing the flammable </w:t>
      </w:r>
      <w:r w:rsidR="00FD0726" w:rsidRPr="00DC6BCA">
        <w:rPr>
          <w:lang w:val="en-US"/>
        </w:rPr>
        <w:t>inventory</w:t>
      </w:r>
      <w:r w:rsidR="003C247D" w:rsidRPr="00DC6BCA">
        <w:rPr>
          <w:lang w:val="en-US"/>
        </w:rPr>
        <w:t xml:space="preserve"> of the storage tanks, fireproofing of </w:t>
      </w:r>
      <w:r w:rsidR="004D4179">
        <w:rPr>
          <w:lang w:val="en-US"/>
        </w:rPr>
        <w:t xml:space="preserve">exposed </w:t>
      </w:r>
      <w:r w:rsidR="003C247D" w:rsidRPr="00DC6BCA">
        <w:rPr>
          <w:lang w:val="en-US"/>
        </w:rPr>
        <w:t>storage tanks</w:t>
      </w:r>
      <w:r w:rsidR="00DC6BCA" w:rsidRPr="00DC6BCA">
        <w:rPr>
          <w:lang w:val="en-US"/>
        </w:rPr>
        <w:t xml:space="preserve">, </w:t>
      </w:r>
      <w:r w:rsidR="00DC6BCA" w:rsidRPr="00DC6BCA">
        <w:rPr>
          <w:highlight w:val="yellow"/>
          <w:lang w:val="en-US"/>
        </w:rPr>
        <w:t>artificial river, and fire trench</w:t>
      </w:r>
      <w:r w:rsidR="00DC6BCA">
        <w:rPr>
          <w:rStyle w:val="FootnoteReference"/>
          <w:highlight w:val="yellow"/>
          <w:lang w:val="en-US"/>
        </w:rPr>
        <w:footnoteReference w:id="4"/>
      </w:r>
      <w:r w:rsidR="003C247D" w:rsidRPr="00DC6BCA">
        <w:rPr>
          <w:highlight w:val="yellow"/>
          <w:lang w:val="en-US"/>
        </w:rPr>
        <w:t>.</w:t>
      </w:r>
      <w:r w:rsidR="003C247D">
        <w:rPr>
          <w:lang w:val="en-US"/>
        </w:rPr>
        <w:t xml:space="preserve"> </w:t>
      </w:r>
    </w:p>
    <w:p w14:paraId="5BDD3D05" w14:textId="119FEC41" w:rsidR="00271E47" w:rsidRDefault="008903C8" w:rsidP="005B5739">
      <w:pPr>
        <w:jc w:val="both"/>
        <w:rPr>
          <w:lang w:val="en-US"/>
        </w:rPr>
      </w:pPr>
      <w:r>
        <w:rPr>
          <w:lang w:val="en-US"/>
        </w:rPr>
        <w:t>Cost-benefit ana</w:t>
      </w:r>
      <w:r w:rsidR="005B5739">
        <w:rPr>
          <w:lang w:val="en-US"/>
        </w:rPr>
        <w:t>lysi</w:t>
      </w:r>
      <w:r>
        <w:rPr>
          <w:lang w:val="en-US"/>
        </w:rPr>
        <w:t xml:space="preserve">s </w:t>
      </w:r>
      <w:r w:rsidR="005B5739">
        <w:rPr>
          <w:lang w:val="en-US"/>
        </w:rPr>
        <w:t>is</w:t>
      </w:r>
      <w:r>
        <w:rPr>
          <w:lang w:val="en-US"/>
        </w:rPr>
        <w:t xml:space="preserve"> usually employed to determine the </w:t>
      </w:r>
      <w:r w:rsidR="005B5739">
        <w:rPr>
          <w:lang w:val="en-US"/>
        </w:rPr>
        <w:t>optimal</w:t>
      </w:r>
      <w:r>
        <w:rPr>
          <w:lang w:val="en-US"/>
        </w:rPr>
        <w:t xml:space="preserve"> risk management strategy among </w:t>
      </w:r>
      <w:r w:rsidR="00271E47">
        <w:rPr>
          <w:lang w:val="en-US"/>
        </w:rPr>
        <w:t>available</w:t>
      </w:r>
      <w:r>
        <w:rPr>
          <w:lang w:val="en-US"/>
        </w:rPr>
        <w:t xml:space="preserve"> alternatives. </w:t>
      </w:r>
      <w:r w:rsidR="00FD0726">
        <w:rPr>
          <w:lang w:val="en-US"/>
        </w:rPr>
        <w:t>For this purpose,</w:t>
      </w:r>
      <w:r w:rsidR="008101F5">
        <w:rPr>
          <w:lang w:val="en-US"/>
        </w:rPr>
        <w:t xml:space="preserve"> the cost of each </w:t>
      </w:r>
      <w:r w:rsidR="00FD0726">
        <w:rPr>
          <w:lang w:val="en-US"/>
        </w:rPr>
        <w:t>st</w:t>
      </w:r>
      <w:r w:rsidR="008101F5">
        <w:rPr>
          <w:lang w:val="en-US"/>
        </w:rPr>
        <w:t xml:space="preserve">rategy is totaled with the amount of residual risk </w:t>
      </w:r>
      <w:r w:rsidR="00FD0726">
        <w:rPr>
          <w:lang w:val="en-US"/>
        </w:rPr>
        <w:t xml:space="preserve">(residual risk is the amount of risk </w:t>
      </w:r>
      <w:r w:rsidR="005B5739">
        <w:rPr>
          <w:lang w:val="en-US"/>
        </w:rPr>
        <w:t xml:space="preserve">after </w:t>
      </w:r>
      <w:r w:rsidR="008101F5">
        <w:rPr>
          <w:lang w:val="en-US"/>
        </w:rPr>
        <w:t>the implementation of the risk management strategy</w:t>
      </w:r>
      <w:r w:rsidR="00FD0726">
        <w:rPr>
          <w:lang w:val="en-US"/>
        </w:rPr>
        <w:t>), and</w:t>
      </w:r>
      <w:r w:rsidR="008101F5">
        <w:rPr>
          <w:lang w:val="en-US"/>
        </w:rPr>
        <w:t xml:space="preserve"> the strategy with the least total amount can be selected as the optimal strategy. </w:t>
      </w:r>
      <w:r w:rsidR="005B5739" w:rsidRPr="00DC6BCA">
        <w:rPr>
          <w:highlight w:val="yellow"/>
          <w:lang w:val="en-US"/>
        </w:rPr>
        <w:t>In the present s</w:t>
      </w:r>
      <w:r w:rsidR="00FD0726" w:rsidRPr="00DC6BCA">
        <w:rPr>
          <w:highlight w:val="yellow"/>
          <w:lang w:val="en-US"/>
        </w:rPr>
        <w:t xml:space="preserve">tudy, </w:t>
      </w:r>
      <w:r w:rsidR="004D4179">
        <w:rPr>
          <w:highlight w:val="yellow"/>
          <w:lang w:val="en-US"/>
        </w:rPr>
        <w:t>to exemplify an application of cost-benefit analysis</w:t>
      </w:r>
      <w:r w:rsidR="005B5739" w:rsidRPr="00DC6BCA">
        <w:rPr>
          <w:highlight w:val="yellow"/>
          <w:lang w:val="en-US"/>
        </w:rPr>
        <w:t xml:space="preserve">, we consider </w:t>
      </w:r>
      <w:r w:rsidR="004D4179">
        <w:rPr>
          <w:highlight w:val="yellow"/>
          <w:lang w:val="en-US"/>
        </w:rPr>
        <w:t xml:space="preserve">the </w:t>
      </w:r>
      <w:r w:rsidR="005B5739" w:rsidRPr="00DC6BCA">
        <w:rPr>
          <w:highlight w:val="yellow"/>
          <w:lang w:val="en-US"/>
        </w:rPr>
        <w:t>fireproofing</w:t>
      </w:r>
      <w:r w:rsidR="005B5739">
        <w:rPr>
          <w:lang w:val="en-US"/>
        </w:rPr>
        <w:t xml:space="preserve"> </w:t>
      </w:r>
      <w:r w:rsidR="005B5739" w:rsidRPr="00865820">
        <w:rPr>
          <w:highlight w:val="yellow"/>
          <w:lang w:val="en-US"/>
        </w:rPr>
        <w:t xml:space="preserve">of </w:t>
      </w:r>
      <w:r w:rsidR="00865820" w:rsidRPr="00865820">
        <w:rPr>
          <w:highlight w:val="yellow"/>
          <w:lang w:val="en-US"/>
        </w:rPr>
        <w:lastRenderedPageBreak/>
        <w:t xml:space="preserve">T3 and T6 </w:t>
      </w:r>
      <w:r w:rsidR="004D4179">
        <w:rPr>
          <w:highlight w:val="yellow"/>
          <w:lang w:val="en-US"/>
        </w:rPr>
        <w:t xml:space="preserve">due </w:t>
      </w:r>
      <w:r w:rsidR="00865820">
        <w:rPr>
          <w:highlight w:val="yellow"/>
          <w:lang w:val="en-US"/>
        </w:rPr>
        <w:t xml:space="preserve">to their largets </w:t>
      </w:r>
      <w:r w:rsidR="00865820" w:rsidRPr="00865820">
        <w:rPr>
          <w:highlight w:val="yellow"/>
          <w:lang w:val="en-US"/>
        </w:rPr>
        <w:t xml:space="preserve">contribution to the initiation </w:t>
      </w:r>
      <w:r w:rsidR="00865820">
        <w:rPr>
          <w:highlight w:val="yellow"/>
          <w:lang w:val="en-US"/>
        </w:rPr>
        <w:t xml:space="preserve">and escalation </w:t>
      </w:r>
      <w:r w:rsidR="00865820" w:rsidRPr="00865820">
        <w:rPr>
          <w:highlight w:val="yellow"/>
          <w:lang w:val="en-US"/>
        </w:rPr>
        <w:t xml:space="preserve">of </w:t>
      </w:r>
      <w:r w:rsidR="00865820">
        <w:rPr>
          <w:highlight w:val="yellow"/>
          <w:lang w:val="en-US"/>
        </w:rPr>
        <w:t>wildfire-related domino effect (see the probabilities in Table 4 at t =20 min and 40 min)</w:t>
      </w:r>
      <w:r w:rsidR="00FD0726">
        <w:rPr>
          <w:lang w:val="en-US"/>
        </w:rPr>
        <w:t>.</w:t>
      </w:r>
    </w:p>
    <w:p w14:paraId="11D3FF22" w14:textId="610FEBE7" w:rsidR="005B5739" w:rsidRDefault="00FE30E0" w:rsidP="005B5739">
      <w:pPr>
        <w:jc w:val="both"/>
        <w:rPr>
          <w:lang w:val="en-US"/>
        </w:rPr>
      </w:pPr>
      <w:r>
        <w:rPr>
          <w:lang w:val="en-US"/>
        </w:rPr>
        <w:t>T</w:t>
      </w:r>
      <w:r w:rsidR="005B5739">
        <w:rPr>
          <w:lang w:val="en-US"/>
        </w:rPr>
        <w:t xml:space="preserve">he fireproofing cost of the storage tanks were calculated based on the </w:t>
      </w:r>
      <w:r>
        <w:rPr>
          <w:lang w:val="en-US"/>
        </w:rPr>
        <w:t xml:space="preserve">external surface of each storage tank (i.e., </w:t>
      </w:r>
      <w:r w:rsidR="005B5739">
        <w:rPr>
          <w:lang w:val="en-US"/>
        </w:rPr>
        <w:t xml:space="preserve">lateral </w:t>
      </w:r>
      <w:r>
        <w:rPr>
          <w:lang w:val="en-US"/>
        </w:rPr>
        <w:t xml:space="preserve">area plus the top area) </w:t>
      </w:r>
      <w:r w:rsidR="00FD0726">
        <w:rPr>
          <w:lang w:val="en-US"/>
        </w:rPr>
        <w:t>while</w:t>
      </w:r>
      <w:r>
        <w:rPr>
          <w:lang w:val="en-US"/>
        </w:rPr>
        <w:t xml:space="preserve"> </w:t>
      </w:r>
      <w:r w:rsidR="005B5739">
        <w:rPr>
          <w:lang w:val="en-US"/>
        </w:rPr>
        <w:t xml:space="preserve">assuming </w:t>
      </w:r>
      <w:r>
        <w:rPr>
          <w:lang w:val="en-US"/>
        </w:rPr>
        <w:t>a</w:t>
      </w:r>
      <w:r w:rsidR="00FD0726">
        <w:rPr>
          <w:lang w:val="en-US"/>
        </w:rPr>
        <w:t xml:space="preserve"> cost of</w:t>
      </w:r>
      <w:r>
        <w:rPr>
          <w:lang w:val="en-US"/>
        </w:rPr>
        <w:t xml:space="preserve"> </w:t>
      </w:r>
      <w:r w:rsidR="005C38F0">
        <w:rPr>
          <w:lang w:val="en-US"/>
        </w:rPr>
        <w:t>$430</w:t>
      </w:r>
      <w:r>
        <w:rPr>
          <w:lang w:val="en-US"/>
        </w:rPr>
        <w:t>/m</w:t>
      </w:r>
      <w:r w:rsidRPr="00FE30E0">
        <w:rPr>
          <w:vertAlign w:val="superscript"/>
          <w:lang w:val="en-US"/>
        </w:rPr>
        <w:t>2</w:t>
      </w:r>
      <w:r w:rsidR="005B5739">
        <w:rPr>
          <w:lang w:val="en-US"/>
        </w:rPr>
        <w:t xml:space="preserve"> </w:t>
      </w:r>
      <w:r w:rsidR="00FD0726">
        <w:rPr>
          <w:lang w:val="en-US"/>
        </w:rPr>
        <w:t>for fireproofing</w:t>
      </w:r>
      <w:r>
        <w:rPr>
          <w:lang w:val="en-US"/>
        </w:rPr>
        <w:t xml:space="preserve"> (the material plus the labor). As such, the fireproofing costs of the most critical storage tanks, that is, tanks 3 and 6, </w:t>
      </w:r>
      <w:r w:rsidR="00FD0726">
        <w:rPr>
          <w:lang w:val="en-US"/>
        </w:rPr>
        <w:t>are</w:t>
      </w:r>
      <w:r>
        <w:rPr>
          <w:lang w:val="en-US"/>
        </w:rPr>
        <w:t xml:space="preserve"> estimated around </w:t>
      </w:r>
      <w:r w:rsidR="005C38F0">
        <w:rPr>
          <w:lang w:val="en-US"/>
        </w:rPr>
        <w:t>$</w:t>
      </w:r>
      <w:r>
        <w:rPr>
          <w:lang w:val="en-US"/>
        </w:rPr>
        <w:t>1.72</w:t>
      </w:r>
      <w:r w:rsidR="005C38F0">
        <w:rPr>
          <w:lang w:val="en-US"/>
        </w:rPr>
        <w:t>M</w:t>
      </w:r>
      <w:r>
        <w:rPr>
          <w:lang w:val="en-US"/>
        </w:rPr>
        <w:t xml:space="preserve"> and </w:t>
      </w:r>
      <w:r w:rsidR="005C38F0">
        <w:rPr>
          <w:lang w:val="en-US"/>
        </w:rPr>
        <w:t>$</w:t>
      </w:r>
      <w:r>
        <w:rPr>
          <w:lang w:val="en-US"/>
        </w:rPr>
        <w:t>1.0</w:t>
      </w:r>
      <w:r w:rsidR="005040F6">
        <w:rPr>
          <w:lang w:val="en-US"/>
        </w:rPr>
        <w:t>7</w:t>
      </w:r>
      <w:r w:rsidR="005C38F0">
        <w:rPr>
          <w:lang w:val="en-US"/>
        </w:rPr>
        <w:t>M</w:t>
      </w:r>
      <w:r>
        <w:rPr>
          <w:lang w:val="en-US"/>
        </w:rPr>
        <w:t>, respectively. Assuming that the fireproof</w:t>
      </w:r>
      <w:r w:rsidR="005F0CB2">
        <w:rPr>
          <w:lang w:val="en-US"/>
        </w:rPr>
        <w:t xml:space="preserve">ing of a storage tank would </w:t>
      </w:r>
      <w:r>
        <w:rPr>
          <w:lang w:val="en-US"/>
        </w:rPr>
        <w:t xml:space="preserve">protect </w:t>
      </w:r>
      <w:r w:rsidR="005F0CB2">
        <w:rPr>
          <w:lang w:val="en-US"/>
        </w:rPr>
        <w:t xml:space="preserve">it </w:t>
      </w:r>
      <w:r>
        <w:rPr>
          <w:lang w:val="en-US"/>
        </w:rPr>
        <w:t xml:space="preserve">from the </w:t>
      </w:r>
      <w:r w:rsidR="00FD0726">
        <w:rPr>
          <w:lang w:val="en-US"/>
        </w:rPr>
        <w:t xml:space="preserve">wildfire </w:t>
      </w:r>
      <w:r>
        <w:rPr>
          <w:lang w:val="en-US"/>
        </w:rPr>
        <w:t xml:space="preserve">heat for at least one hour, </w:t>
      </w:r>
      <w:r w:rsidR="005F0CB2">
        <w:rPr>
          <w:lang w:val="en-US"/>
        </w:rPr>
        <w:t xml:space="preserve">the escalation probabilities of the storage tanks </w:t>
      </w:r>
      <w:r w:rsidR="00FD0726">
        <w:rPr>
          <w:lang w:val="en-US"/>
        </w:rPr>
        <w:t xml:space="preserve">along with </w:t>
      </w:r>
      <w:r w:rsidR="005F0CB2">
        <w:rPr>
          <w:lang w:val="en-US"/>
        </w:rPr>
        <w:t xml:space="preserve">the amount of (residual) risk were calculated for the following </w:t>
      </w:r>
      <w:r w:rsidR="00271E47">
        <w:rPr>
          <w:lang w:val="en-US"/>
        </w:rPr>
        <w:t>plans</w:t>
      </w:r>
      <w:r w:rsidR="005F0CB2">
        <w:rPr>
          <w:lang w:val="en-US"/>
        </w:rPr>
        <w:t xml:space="preserve"> using the DBN approach:</w:t>
      </w:r>
    </w:p>
    <w:p w14:paraId="098F2086" w14:textId="7A848820" w:rsidR="00974D5D" w:rsidRPr="00974D5D" w:rsidRDefault="00271E47" w:rsidP="00974D5D">
      <w:pPr>
        <w:pStyle w:val="ListParagraph"/>
        <w:numPr>
          <w:ilvl w:val="0"/>
          <w:numId w:val="11"/>
        </w:numPr>
        <w:jc w:val="both"/>
        <w:rPr>
          <w:lang w:val="en-US"/>
        </w:rPr>
      </w:pPr>
      <w:r>
        <w:rPr>
          <w:lang w:val="en-US"/>
        </w:rPr>
        <w:t>no tank is fireproofed: cost of fireproofing =</w:t>
      </w:r>
      <w:r w:rsidR="00974D5D">
        <w:rPr>
          <w:lang w:val="en-US"/>
        </w:rPr>
        <w:t xml:space="preserve"> </w:t>
      </w:r>
      <w:r w:rsidR="005C38F0">
        <w:rPr>
          <w:lang w:val="en-US"/>
        </w:rPr>
        <w:t>$</w:t>
      </w:r>
      <w:r w:rsidR="00974D5D">
        <w:rPr>
          <w:lang w:val="en-US"/>
        </w:rPr>
        <w:t xml:space="preserve">0.0; </w:t>
      </w:r>
      <w:r>
        <w:rPr>
          <w:lang w:val="en-US"/>
        </w:rPr>
        <w:t>r</w:t>
      </w:r>
      <w:r w:rsidR="00974D5D">
        <w:rPr>
          <w:lang w:val="en-US"/>
        </w:rPr>
        <w:t>esidual ris</w:t>
      </w:r>
      <w:r>
        <w:rPr>
          <w:lang w:val="en-US"/>
        </w:rPr>
        <w:t xml:space="preserve">k of the plant = </w:t>
      </w:r>
      <w:r w:rsidR="005C38F0">
        <w:rPr>
          <w:lang w:val="en-US"/>
        </w:rPr>
        <w:t>$</w:t>
      </w:r>
      <w:r w:rsidR="00974D5D">
        <w:rPr>
          <w:lang w:val="en-US"/>
        </w:rPr>
        <w:t>2.67</w:t>
      </w:r>
      <w:r w:rsidR="005C38F0">
        <w:rPr>
          <w:lang w:val="en-US"/>
        </w:rPr>
        <w:t>M;</w:t>
      </w:r>
    </w:p>
    <w:p w14:paraId="0CEF7FFD" w14:textId="42D4849D" w:rsidR="005F0CB2" w:rsidRDefault="00271E47" w:rsidP="005F0CB2">
      <w:pPr>
        <w:pStyle w:val="ListParagraph"/>
        <w:numPr>
          <w:ilvl w:val="0"/>
          <w:numId w:val="10"/>
        </w:numPr>
        <w:jc w:val="both"/>
        <w:rPr>
          <w:lang w:val="en-US"/>
        </w:rPr>
      </w:pPr>
      <w:r>
        <w:rPr>
          <w:lang w:val="en-US"/>
        </w:rPr>
        <w:t>T3 is fireproofed:</w:t>
      </w:r>
      <w:r w:rsidR="005F0CB2">
        <w:rPr>
          <w:lang w:val="en-US"/>
        </w:rPr>
        <w:t xml:space="preserve"> </w:t>
      </w:r>
      <w:r>
        <w:rPr>
          <w:lang w:val="en-US"/>
        </w:rPr>
        <w:t xml:space="preserve">cost of fireproofing = </w:t>
      </w:r>
      <w:r w:rsidR="005C38F0">
        <w:rPr>
          <w:lang w:val="en-US"/>
        </w:rPr>
        <w:t>$</w:t>
      </w:r>
      <w:r w:rsidR="00784E89">
        <w:rPr>
          <w:lang w:val="en-US"/>
        </w:rPr>
        <w:t>1.72</w:t>
      </w:r>
      <w:r w:rsidR="005C38F0">
        <w:rPr>
          <w:lang w:val="en-US"/>
        </w:rPr>
        <w:t>M</w:t>
      </w:r>
      <w:r>
        <w:rPr>
          <w:lang w:val="en-US"/>
        </w:rPr>
        <w:t>; residual risk of the plant =</w:t>
      </w:r>
      <w:r w:rsidR="005F0CB2">
        <w:rPr>
          <w:lang w:val="en-US"/>
        </w:rPr>
        <w:t xml:space="preserve"> </w:t>
      </w:r>
      <w:r w:rsidR="005C38F0">
        <w:rPr>
          <w:lang w:val="en-US"/>
        </w:rPr>
        <w:t>$</w:t>
      </w:r>
      <w:r w:rsidR="005F0CB2">
        <w:rPr>
          <w:lang w:val="en-US"/>
        </w:rPr>
        <w:t>1.</w:t>
      </w:r>
      <w:r w:rsidR="00974D5D">
        <w:rPr>
          <w:lang w:val="en-US"/>
        </w:rPr>
        <w:t>05</w:t>
      </w:r>
      <w:r w:rsidR="005C38F0">
        <w:rPr>
          <w:lang w:val="en-US"/>
        </w:rPr>
        <w:t>M;</w:t>
      </w:r>
    </w:p>
    <w:p w14:paraId="5B0DCF12" w14:textId="6DF053E6" w:rsidR="005F0CB2" w:rsidRDefault="00A31061" w:rsidP="005F0CB2">
      <w:pPr>
        <w:pStyle w:val="ListParagraph"/>
        <w:numPr>
          <w:ilvl w:val="0"/>
          <w:numId w:val="10"/>
        </w:numPr>
        <w:jc w:val="both"/>
        <w:rPr>
          <w:lang w:val="en-US"/>
        </w:rPr>
      </w:pPr>
      <w:r>
        <w:rPr>
          <w:lang w:val="en-US"/>
        </w:rPr>
        <w:t>T6 is fireproofed:</w:t>
      </w:r>
      <w:r w:rsidR="005F0CB2">
        <w:rPr>
          <w:lang w:val="en-US"/>
        </w:rPr>
        <w:t xml:space="preserve"> </w:t>
      </w:r>
      <w:r>
        <w:rPr>
          <w:lang w:val="en-US"/>
        </w:rPr>
        <w:t>c</w:t>
      </w:r>
      <w:r w:rsidR="00271E47">
        <w:rPr>
          <w:lang w:val="en-US"/>
        </w:rPr>
        <w:t>ost of fireproofing =</w:t>
      </w:r>
      <w:r w:rsidR="005F0CB2">
        <w:rPr>
          <w:lang w:val="en-US"/>
        </w:rPr>
        <w:t xml:space="preserve"> </w:t>
      </w:r>
      <w:r w:rsidR="005C38F0">
        <w:rPr>
          <w:lang w:val="en-US"/>
        </w:rPr>
        <w:t>$</w:t>
      </w:r>
      <w:r w:rsidR="005F0CB2">
        <w:rPr>
          <w:lang w:val="en-US"/>
        </w:rPr>
        <w:t>1.0</w:t>
      </w:r>
      <w:r w:rsidR="005040F6">
        <w:rPr>
          <w:lang w:val="en-US"/>
        </w:rPr>
        <w:t>7</w:t>
      </w:r>
      <w:r w:rsidR="005C38F0">
        <w:rPr>
          <w:lang w:val="en-US"/>
        </w:rPr>
        <w:t>M</w:t>
      </w:r>
      <w:r w:rsidR="005F0CB2">
        <w:rPr>
          <w:lang w:val="en-US"/>
        </w:rPr>
        <w:t xml:space="preserve">; </w:t>
      </w:r>
      <w:r w:rsidR="00271E47">
        <w:rPr>
          <w:lang w:val="en-US"/>
        </w:rPr>
        <w:t>r</w:t>
      </w:r>
      <w:r w:rsidR="005F0CB2">
        <w:rPr>
          <w:lang w:val="en-US"/>
        </w:rPr>
        <w:t xml:space="preserve">esidual risk of the plant </w:t>
      </w:r>
      <w:r w:rsidR="00271E47">
        <w:rPr>
          <w:lang w:val="en-US"/>
        </w:rPr>
        <w:t xml:space="preserve">= </w:t>
      </w:r>
      <w:r w:rsidR="005C38F0">
        <w:rPr>
          <w:lang w:val="en-US"/>
        </w:rPr>
        <w:t>$</w:t>
      </w:r>
      <w:r w:rsidR="005F0CB2">
        <w:rPr>
          <w:lang w:val="en-US"/>
        </w:rPr>
        <w:t>1.</w:t>
      </w:r>
      <w:r w:rsidR="005040F6">
        <w:rPr>
          <w:lang w:val="en-US"/>
        </w:rPr>
        <w:t>5</w:t>
      </w:r>
      <w:r w:rsidR="00974D5D">
        <w:rPr>
          <w:lang w:val="en-US"/>
        </w:rPr>
        <w:t>2</w:t>
      </w:r>
      <w:r w:rsidR="005C38F0">
        <w:rPr>
          <w:lang w:val="en-US"/>
        </w:rPr>
        <w:t>M;</w:t>
      </w:r>
    </w:p>
    <w:p w14:paraId="3BCDCE4A" w14:textId="2FBD303F" w:rsidR="005F0CB2" w:rsidRDefault="00A31061" w:rsidP="005C38F0">
      <w:pPr>
        <w:pStyle w:val="ListParagraph"/>
        <w:numPr>
          <w:ilvl w:val="0"/>
          <w:numId w:val="10"/>
        </w:numPr>
        <w:spacing w:after="240"/>
        <w:ind w:left="357" w:hanging="357"/>
        <w:jc w:val="both"/>
        <w:rPr>
          <w:lang w:val="en-US"/>
        </w:rPr>
      </w:pPr>
      <w:r>
        <w:rPr>
          <w:lang w:val="en-US"/>
        </w:rPr>
        <w:t>both T3 and T6 are fireproofed:</w:t>
      </w:r>
      <w:r w:rsidR="005F0CB2">
        <w:rPr>
          <w:lang w:val="en-US"/>
        </w:rPr>
        <w:t xml:space="preserve"> </w:t>
      </w:r>
      <w:r w:rsidR="00271E47">
        <w:rPr>
          <w:lang w:val="en-US"/>
        </w:rPr>
        <w:t>cost of fireproofing =</w:t>
      </w:r>
      <w:r w:rsidR="005F0CB2">
        <w:rPr>
          <w:lang w:val="en-US"/>
        </w:rPr>
        <w:t xml:space="preserve"> </w:t>
      </w:r>
      <w:r w:rsidR="005C38F0">
        <w:rPr>
          <w:lang w:val="en-US"/>
        </w:rPr>
        <w:t>$</w:t>
      </w:r>
      <w:r w:rsidR="00784E89">
        <w:rPr>
          <w:lang w:val="en-US"/>
        </w:rPr>
        <w:t>2.79</w:t>
      </w:r>
      <w:r w:rsidR="005C38F0">
        <w:rPr>
          <w:lang w:val="en-US"/>
        </w:rPr>
        <w:t>M</w:t>
      </w:r>
      <w:r w:rsidR="00271E47">
        <w:rPr>
          <w:lang w:val="en-US"/>
        </w:rPr>
        <w:t>; residual risk of the plant =</w:t>
      </w:r>
      <w:r w:rsidR="005F0CB2">
        <w:rPr>
          <w:lang w:val="en-US"/>
        </w:rPr>
        <w:t xml:space="preserve"> </w:t>
      </w:r>
      <w:r w:rsidR="005C38F0">
        <w:rPr>
          <w:lang w:val="en-US"/>
        </w:rPr>
        <w:t>$</w:t>
      </w:r>
      <w:r w:rsidR="005F0CB2">
        <w:rPr>
          <w:lang w:val="en-US"/>
        </w:rPr>
        <w:t>0.0</w:t>
      </w:r>
      <w:r w:rsidR="00021DF0">
        <w:rPr>
          <w:lang w:val="en-US"/>
        </w:rPr>
        <w:t>.</w:t>
      </w:r>
    </w:p>
    <w:p w14:paraId="0495BB62" w14:textId="795BD19D" w:rsidR="002B62B6" w:rsidRDefault="002B62B6" w:rsidP="002B72E5">
      <w:pPr>
        <w:spacing w:after="0"/>
        <w:jc w:val="both"/>
        <w:rPr>
          <w:lang w:val="en-US"/>
        </w:rPr>
      </w:pPr>
      <w:r w:rsidRPr="002B62B6">
        <w:rPr>
          <w:lang w:val="en-US"/>
        </w:rPr>
        <w:t>The total amount of fireproofing cost and residual risk for each fireproofing plan has been depicted in Figure 10, indicating the fireproofing of T6 as the optimal risk management plan. As can be seen, despite the fact that the fireproofing of both T3 and T6 would lower the risk of wildfire to zero, its higher cost compensates for the zero residual risk and thus rules it out as an optimal plan.</w:t>
      </w:r>
    </w:p>
    <w:p w14:paraId="4BFA98AA" w14:textId="77777777" w:rsidR="002B72E5" w:rsidRDefault="002B72E5" w:rsidP="002B62B6">
      <w:pPr>
        <w:spacing w:after="240"/>
        <w:jc w:val="both"/>
        <w:rPr>
          <w:lang w:val="en-US"/>
        </w:rPr>
      </w:pPr>
    </w:p>
    <w:p w14:paraId="068D4141" w14:textId="77777777" w:rsidR="005C38F0" w:rsidRDefault="005C38F0" w:rsidP="005C38F0">
      <w:pPr>
        <w:jc w:val="center"/>
        <w:rPr>
          <w:lang w:val="en-US"/>
        </w:rPr>
      </w:pPr>
      <w:r>
        <w:rPr>
          <w:lang w:eastAsia="en-CA"/>
        </w:rPr>
        <w:drawing>
          <wp:inline distT="0" distB="0" distL="0" distR="0" wp14:anchorId="317E1593" wp14:editId="74E7122F">
            <wp:extent cx="3181102" cy="1908000"/>
            <wp:effectExtent l="0" t="0" r="635"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0CFE20" w14:textId="5686517F" w:rsidR="005C38F0" w:rsidRDefault="005C38F0" w:rsidP="005C38F0">
      <w:pPr>
        <w:jc w:val="center"/>
        <w:rPr>
          <w:lang w:val="en-US"/>
        </w:rPr>
      </w:pPr>
      <w:r>
        <w:rPr>
          <w:lang w:val="en-US"/>
        </w:rPr>
        <w:t>Figure 1</w:t>
      </w:r>
      <w:r w:rsidR="002B62B6">
        <w:rPr>
          <w:lang w:val="en-US"/>
        </w:rPr>
        <w:t>0</w:t>
      </w:r>
      <w:r>
        <w:rPr>
          <w:lang w:val="en-US"/>
        </w:rPr>
        <w:t xml:space="preserve">. Cost-benefit analysis of fireproofing. </w:t>
      </w:r>
    </w:p>
    <w:p w14:paraId="5FB17E32" w14:textId="77777777" w:rsidR="007938F9" w:rsidRDefault="007938F9" w:rsidP="005C38F0">
      <w:pPr>
        <w:jc w:val="center"/>
        <w:rPr>
          <w:lang w:val="en-US"/>
        </w:rPr>
      </w:pPr>
    </w:p>
    <w:p w14:paraId="10A042A9" w14:textId="6F2A15EC" w:rsidR="00BA3C25" w:rsidRDefault="00BA3C25" w:rsidP="00BA3C25">
      <w:pPr>
        <w:pStyle w:val="Heading2"/>
      </w:pPr>
      <w:r w:rsidRPr="00D9584A">
        <w:lastRenderedPageBreak/>
        <w:t>4.7. Discussion</w:t>
      </w:r>
    </w:p>
    <w:p w14:paraId="21EB6C75" w14:textId="52A59B42" w:rsidR="00DE2E8E" w:rsidRPr="00076F0F" w:rsidRDefault="009D38E1" w:rsidP="005F0CB2">
      <w:pPr>
        <w:jc w:val="both"/>
        <w:rPr>
          <w:lang w:val="en-US"/>
        </w:rPr>
      </w:pPr>
      <w:r w:rsidRPr="00076F0F">
        <w:rPr>
          <w:lang w:val="en-US"/>
        </w:rPr>
        <w:t xml:space="preserve">In the present study, we developed a dynamic risk assessment framework to assess the </w:t>
      </w:r>
      <w:r w:rsidR="00EF0980" w:rsidRPr="00076F0F">
        <w:rPr>
          <w:lang w:val="en-US"/>
        </w:rPr>
        <w:t xml:space="preserve">impact of </w:t>
      </w:r>
      <w:r w:rsidRPr="00076F0F">
        <w:rPr>
          <w:lang w:val="en-US"/>
        </w:rPr>
        <w:t>wildfire</w:t>
      </w:r>
      <w:r w:rsidR="00DE2E8E" w:rsidRPr="00076F0F">
        <w:rPr>
          <w:lang w:val="en-US"/>
        </w:rPr>
        <w:t xml:space="preserve">s on </w:t>
      </w:r>
      <w:r w:rsidR="00EF0980" w:rsidRPr="00076F0F">
        <w:rPr>
          <w:lang w:val="en-US"/>
        </w:rPr>
        <w:t>oil facilities</w:t>
      </w:r>
      <w:r w:rsidR="00DE2E8E" w:rsidRPr="00076F0F">
        <w:rPr>
          <w:lang w:val="en-US"/>
        </w:rPr>
        <w:t xml:space="preserve">, mainly by integrating the available tools and </w:t>
      </w:r>
      <w:r w:rsidR="00EF0980" w:rsidRPr="00076F0F">
        <w:rPr>
          <w:lang w:val="en-US"/>
        </w:rPr>
        <w:t xml:space="preserve">online </w:t>
      </w:r>
      <w:r w:rsidR="00DE2E8E" w:rsidRPr="00076F0F">
        <w:rPr>
          <w:lang w:val="en-US"/>
        </w:rPr>
        <w:t>real-time databases. Using t</w:t>
      </w:r>
      <w:r w:rsidR="00271E47" w:rsidRPr="00076F0F">
        <w:rPr>
          <w:lang w:val="en-US"/>
        </w:rPr>
        <w:t xml:space="preserve">he daily-updated information and forecasts about the ignition probability and wildfire intensity </w:t>
      </w:r>
      <w:r w:rsidR="00DE2E8E" w:rsidRPr="00076F0F">
        <w:rPr>
          <w:lang w:val="en-US"/>
        </w:rPr>
        <w:t xml:space="preserve">in the developed framework facilitates both the </w:t>
      </w:r>
      <w:r w:rsidR="00271E47" w:rsidRPr="00076F0F">
        <w:rPr>
          <w:lang w:val="en-US"/>
        </w:rPr>
        <w:t>assess</w:t>
      </w:r>
      <w:r w:rsidR="00DE2E8E" w:rsidRPr="00076F0F">
        <w:rPr>
          <w:lang w:val="en-US"/>
        </w:rPr>
        <w:t>ment</w:t>
      </w:r>
      <w:r w:rsidR="00271E47" w:rsidRPr="00076F0F">
        <w:rPr>
          <w:lang w:val="en-US"/>
        </w:rPr>
        <w:t xml:space="preserve"> </w:t>
      </w:r>
      <w:r w:rsidR="00DE2E8E" w:rsidRPr="00076F0F">
        <w:rPr>
          <w:lang w:val="en-US"/>
        </w:rPr>
        <w:t xml:space="preserve">of </w:t>
      </w:r>
      <w:r w:rsidR="00271E47" w:rsidRPr="00076F0F">
        <w:rPr>
          <w:lang w:val="en-US"/>
        </w:rPr>
        <w:t>the same day</w:t>
      </w:r>
      <w:r w:rsidRPr="00076F0F">
        <w:rPr>
          <w:lang w:val="en-US"/>
        </w:rPr>
        <w:t>’s</w:t>
      </w:r>
      <w:r w:rsidR="00271E47" w:rsidRPr="00076F0F">
        <w:rPr>
          <w:lang w:val="en-US"/>
        </w:rPr>
        <w:t xml:space="preserve"> and </w:t>
      </w:r>
      <w:r w:rsidR="00DE2E8E" w:rsidRPr="00076F0F">
        <w:rPr>
          <w:lang w:val="en-US"/>
        </w:rPr>
        <w:t xml:space="preserve">the </w:t>
      </w:r>
      <w:r w:rsidR="00271E47" w:rsidRPr="00076F0F">
        <w:rPr>
          <w:lang w:val="en-US"/>
        </w:rPr>
        <w:t>predict</w:t>
      </w:r>
      <w:r w:rsidR="00DE2E8E" w:rsidRPr="00076F0F">
        <w:rPr>
          <w:lang w:val="en-US"/>
        </w:rPr>
        <w:t>ion</w:t>
      </w:r>
      <w:r w:rsidR="00271E47" w:rsidRPr="00076F0F">
        <w:rPr>
          <w:lang w:val="en-US"/>
        </w:rPr>
        <w:t xml:space="preserve"> </w:t>
      </w:r>
      <w:r w:rsidR="00DE2E8E" w:rsidRPr="00076F0F">
        <w:rPr>
          <w:lang w:val="en-US"/>
        </w:rPr>
        <w:t xml:space="preserve">of </w:t>
      </w:r>
      <w:r w:rsidR="00271E47" w:rsidRPr="00076F0F">
        <w:rPr>
          <w:lang w:val="en-US"/>
        </w:rPr>
        <w:t>the next day</w:t>
      </w:r>
      <w:r w:rsidRPr="00076F0F">
        <w:rPr>
          <w:lang w:val="en-US"/>
        </w:rPr>
        <w:t>’s</w:t>
      </w:r>
      <w:r w:rsidR="00271E47" w:rsidRPr="00076F0F">
        <w:rPr>
          <w:lang w:val="en-US"/>
        </w:rPr>
        <w:t xml:space="preserve"> </w:t>
      </w:r>
      <w:r w:rsidR="00DE2E8E" w:rsidRPr="00076F0F">
        <w:rPr>
          <w:lang w:val="en-US"/>
        </w:rPr>
        <w:t>impact (</w:t>
      </w:r>
      <w:r w:rsidR="00271E47" w:rsidRPr="00076F0F">
        <w:rPr>
          <w:lang w:val="en-US"/>
        </w:rPr>
        <w:t>risk</w:t>
      </w:r>
      <w:r w:rsidR="00DE2E8E" w:rsidRPr="00076F0F">
        <w:rPr>
          <w:lang w:val="en-US"/>
        </w:rPr>
        <w:t>)</w:t>
      </w:r>
      <w:r w:rsidR="00271E47" w:rsidRPr="00076F0F">
        <w:rPr>
          <w:lang w:val="en-US"/>
        </w:rPr>
        <w:t xml:space="preserve"> of wildfires </w:t>
      </w:r>
      <w:r w:rsidRPr="00076F0F">
        <w:rPr>
          <w:lang w:val="en-US"/>
        </w:rPr>
        <w:t>on</w:t>
      </w:r>
      <w:r w:rsidR="00271E47" w:rsidRPr="00076F0F">
        <w:rPr>
          <w:lang w:val="en-US"/>
        </w:rPr>
        <w:t xml:space="preserve"> process plant</w:t>
      </w:r>
      <w:r w:rsidRPr="00076F0F">
        <w:rPr>
          <w:lang w:val="en-US"/>
        </w:rPr>
        <w:t>s</w:t>
      </w:r>
      <w:r w:rsidR="00271E47" w:rsidRPr="00076F0F">
        <w:rPr>
          <w:lang w:val="en-US"/>
        </w:rPr>
        <w:t xml:space="preserve"> operating in wild</w:t>
      </w:r>
      <w:r w:rsidRPr="00076F0F">
        <w:rPr>
          <w:lang w:val="en-US"/>
        </w:rPr>
        <w:t>land</w:t>
      </w:r>
      <w:r w:rsidR="00104111">
        <w:rPr>
          <w:lang w:val="en-US"/>
        </w:rPr>
        <w:t>.</w:t>
      </w:r>
      <w:r w:rsidR="00271E47" w:rsidRPr="00076F0F">
        <w:rPr>
          <w:lang w:val="en-US"/>
        </w:rPr>
        <w:t xml:space="preserve"> </w:t>
      </w:r>
    </w:p>
    <w:p w14:paraId="4B74053D" w14:textId="6AC5C77B" w:rsidR="00761F47" w:rsidRPr="00076F0F" w:rsidRDefault="00EF0980" w:rsidP="00331DD4">
      <w:pPr>
        <w:spacing w:after="0"/>
        <w:jc w:val="both"/>
        <w:rPr>
          <w:lang w:val="en-US"/>
        </w:rPr>
      </w:pPr>
      <w:r w:rsidRPr="00076F0F">
        <w:rPr>
          <w:lang w:val="en-US"/>
        </w:rPr>
        <w:t xml:space="preserve">During wildfires, oil facilities can be threaten </w:t>
      </w:r>
      <w:r w:rsidR="001C6003" w:rsidRPr="00076F0F">
        <w:rPr>
          <w:lang w:val="en-US"/>
        </w:rPr>
        <w:t xml:space="preserve">by either airborne embers or radiant heat. The threat of airborne embers is greater than the threat of radiant heat since the airborne embers can travel with a favorable wind for several kilometers ahead of the fire front and land around tank openings or enter the vents. </w:t>
      </w:r>
      <w:r w:rsidR="003B3D52" w:rsidRPr="00076F0F">
        <w:rPr>
          <w:lang w:val="en-US"/>
        </w:rPr>
        <w:t>Quantifying t</w:t>
      </w:r>
      <w:r w:rsidR="000907B3" w:rsidRPr="00076F0F">
        <w:rPr>
          <w:lang w:val="en-US"/>
        </w:rPr>
        <w:t>he risk of airborne embers</w:t>
      </w:r>
      <w:r w:rsidR="003B3D52" w:rsidRPr="00076F0F">
        <w:rPr>
          <w:lang w:val="en-US"/>
        </w:rPr>
        <w:t xml:space="preserve"> is very challenging since it depends on a number of random parameters (the trajectory of embers, the </w:t>
      </w:r>
      <w:r w:rsidR="00761F47" w:rsidRPr="00076F0F">
        <w:rPr>
          <w:lang w:val="en-US"/>
        </w:rPr>
        <w:t>accumulation</w:t>
      </w:r>
      <w:r w:rsidR="003B3D52" w:rsidRPr="00076F0F">
        <w:rPr>
          <w:lang w:val="en-US"/>
        </w:rPr>
        <w:t xml:space="preserve"> of embers </w:t>
      </w:r>
      <w:r w:rsidR="00761F47" w:rsidRPr="00076F0F">
        <w:rPr>
          <w:lang w:val="en-US"/>
        </w:rPr>
        <w:t>near</w:t>
      </w:r>
      <w:r w:rsidR="003B3D52" w:rsidRPr="00076F0F">
        <w:rPr>
          <w:lang w:val="en-US"/>
        </w:rPr>
        <w:t xml:space="preserve"> critical spots, etc</w:t>
      </w:r>
      <w:r w:rsidR="00761F47" w:rsidRPr="00076F0F">
        <w:rPr>
          <w:lang w:val="en-US"/>
        </w:rPr>
        <w:t>)</w:t>
      </w:r>
      <w:r w:rsidR="003B3D52" w:rsidRPr="00076F0F">
        <w:rPr>
          <w:lang w:val="en-US"/>
        </w:rPr>
        <w:t xml:space="preserve"> the prediction of which is subject to high uncertainty. Nevertheless, simple measures such as u</w:t>
      </w:r>
      <w:r w:rsidR="000907B3" w:rsidRPr="00076F0F">
        <w:rPr>
          <w:lang w:val="en-US"/>
        </w:rPr>
        <w:t>s</w:t>
      </w:r>
      <w:r w:rsidR="003B3D52" w:rsidRPr="00076F0F">
        <w:rPr>
          <w:lang w:val="en-US"/>
        </w:rPr>
        <w:t>e</w:t>
      </w:r>
      <w:r w:rsidR="000907B3" w:rsidRPr="00076F0F">
        <w:rPr>
          <w:lang w:val="en-US"/>
        </w:rPr>
        <w:t xml:space="preserve"> </w:t>
      </w:r>
      <w:r w:rsidR="003B3D52" w:rsidRPr="00076F0F">
        <w:rPr>
          <w:lang w:val="en-US"/>
        </w:rPr>
        <w:t xml:space="preserve">of </w:t>
      </w:r>
      <w:r w:rsidR="000907B3" w:rsidRPr="00076F0F">
        <w:rPr>
          <w:lang w:val="en-US"/>
        </w:rPr>
        <w:t xml:space="preserve">cone shaped tank tops, turning the vent openings downward, and keeping the storage area free of spilled flammable chemicals and vegetation </w:t>
      </w:r>
      <w:r w:rsidR="003B3D52" w:rsidRPr="00076F0F">
        <w:rPr>
          <w:lang w:val="en-US"/>
        </w:rPr>
        <w:t>can effectively</w:t>
      </w:r>
      <w:r w:rsidR="000907B3" w:rsidRPr="00076F0F">
        <w:rPr>
          <w:lang w:val="en-US"/>
        </w:rPr>
        <w:t xml:space="preserve"> mitigate the risk of airborne embers (ENFORM</w:t>
      </w:r>
      <w:r w:rsidR="00FC5F6B" w:rsidRPr="00076F0F">
        <w:rPr>
          <w:lang w:val="en-US"/>
        </w:rPr>
        <w:t>,</w:t>
      </w:r>
      <w:r w:rsidR="00FB2098" w:rsidRPr="00076F0F">
        <w:rPr>
          <w:lang w:val="en-US"/>
        </w:rPr>
        <w:t xml:space="preserve"> 2012</w:t>
      </w:r>
      <w:r w:rsidR="000907B3" w:rsidRPr="00076F0F">
        <w:rPr>
          <w:lang w:val="en-US"/>
        </w:rPr>
        <w:t xml:space="preserve">). </w:t>
      </w:r>
    </w:p>
    <w:p w14:paraId="677482E5" w14:textId="06226CA3" w:rsidR="00FB2098" w:rsidRPr="00076F0F" w:rsidRDefault="00761F47" w:rsidP="00FB2098">
      <w:pPr>
        <w:jc w:val="both"/>
        <w:rPr>
          <w:lang w:val="en-US"/>
        </w:rPr>
      </w:pPr>
      <w:r w:rsidRPr="00076F0F">
        <w:rPr>
          <w:lang w:val="en-US"/>
        </w:rPr>
        <w:t xml:space="preserve">The </w:t>
      </w:r>
      <w:r w:rsidR="000907B3" w:rsidRPr="00076F0F">
        <w:rPr>
          <w:lang w:val="en-US"/>
        </w:rPr>
        <w:t xml:space="preserve">focus of the present work, however, has been on the </w:t>
      </w:r>
      <w:r w:rsidRPr="00076F0F">
        <w:rPr>
          <w:lang w:val="en-US"/>
        </w:rPr>
        <w:t>risk</w:t>
      </w:r>
      <w:r w:rsidR="000907B3" w:rsidRPr="00076F0F">
        <w:rPr>
          <w:lang w:val="en-US"/>
        </w:rPr>
        <w:t xml:space="preserve"> of </w:t>
      </w:r>
      <w:r w:rsidR="00FB2098" w:rsidRPr="00076F0F">
        <w:rPr>
          <w:lang w:val="en-US"/>
        </w:rPr>
        <w:t xml:space="preserve">wildfires’ </w:t>
      </w:r>
      <w:r w:rsidR="000907B3" w:rsidRPr="00076F0F">
        <w:rPr>
          <w:lang w:val="en-US"/>
        </w:rPr>
        <w:t>radiant heat</w:t>
      </w:r>
      <w:r w:rsidR="009F51EE" w:rsidRPr="00076F0F">
        <w:rPr>
          <w:lang w:val="en-US"/>
        </w:rPr>
        <w:t>,</w:t>
      </w:r>
      <w:r w:rsidRPr="00076F0F">
        <w:rPr>
          <w:lang w:val="en-US"/>
        </w:rPr>
        <w:t xml:space="preserve"> which </w:t>
      </w:r>
      <w:r w:rsidR="009F51EE" w:rsidRPr="00076F0F">
        <w:rPr>
          <w:lang w:val="en-US"/>
        </w:rPr>
        <w:t xml:space="preserve">despite being </w:t>
      </w:r>
      <w:r w:rsidRPr="00076F0F">
        <w:rPr>
          <w:lang w:val="en-US"/>
        </w:rPr>
        <w:t xml:space="preserve">easier to quantify based on current techniques and available databases, lacks in the available directives and guidelines. </w:t>
      </w:r>
      <w:r w:rsidR="009F51EE" w:rsidRPr="00076F0F">
        <w:rPr>
          <w:lang w:val="en-US"/>
        </w:rPr>
        <w:t>For instance, the FireSmart</w:t>
      </w:r>
      <w:r w:rsidR="009F51EE" w:rsidRPr="00076F0F">
        <w:rPr>
          <w:vertAlign w:val="superscript"/>
          <w:lang w:val="en-US"/>
        </w:rPr>
        <w:t>®</w:t>
      </w:r>
      <w:r w:rsidR="009F51EE" w:rsidRPr="00076F0F">
        <w:rPr>
          <w:lang w:val="en-US"/>
        </w:rPr>
        <w:t>, a Canadian field guide for protecting oil facilities against wildfires (ENFORM</w:t>
      </w:r>
      <w:r w:rsidR="00FC5F6B" w:rsidRPr="00076F0F">
        <w:rPr>
          <w:lang w:val="en-US"/>
        </w:rPr>
        <w:t>,</w:t>
      </w:r>
      <w:r w:rsidR="00FB2098" w:rsidRPr="00076F0F">
        <w:rPr>
          <w:lang w:val="en-US"/>
        </w:rPr>
        <w:t xml:space="preserve"> 2012</w:t>
      </w:r>
      <w:r w:rsidR="009F51EE" w:rsidRPr="00076F0F">
        <w:rPr>
          <w:lang w:val="en-US"/>
        </w:rPr>
        <w:t xml:space="preserve">), </w:t>
      </w:r>
      <w:r w:rsidR="00222B4D" w:rsidRPr="00076F0F">
        <w:rPr>
          <w:lang w:val="en-US"/>
        </w:rPr>
        <w:t xml:space="preserve">identifies a rule of thumb minimum safety distance of 30m </w:t>
      </w:r>
      <w:r w:rsidR="00FB2098" w:rsidRPr="00076F0F">
        <w:rPr>
          <w:lang w:val="en-US"/>
        </w:rPr>
        <w:t xml:space="preserve">for </w:t>
      </w:r>
      <w:r w:rsidR="00222B4D" w:rsidRPr="00076F0F">
        <w:rPr>
          <w:lang w:val="en-US"/>
        </w:rPr>
        <w:t xml:space="preserve">the structures and </w:t>
      </w:r>
      <w:r w:rsidR="00FB2098" w:rsidRPr="00076F0F">
        <w:rPr>
          <w:lang w:val="en-US"/>
        </w:rPr>
        <w:t xml:space="preserve">a safety distance of 3m for </w:t>
      </w:r>
      <w:r w:rsidR="00222B4D" w:rsidRPr="00076F0F">
        <w:rPr>
          <w:lang w:val="en-US"/>
        </w:rPr>
        <w:t>propane tanks as the only type of process vessels</w:t>
      </w:r>
      <w:r w:rsidR="00FB2098" w:rsidRPr="00076F0F">
        <w:rPr>
          <w:lang w:val="en-US"/>
        </w:rPr>
        <w:t xml:space="preserve"> from forest vegetation</w:t>
      </w:r>
      <w:r w:rsidR="00222B4D" w:rsidRPr="00076F0F">
        <w:rPr>
          <w:lang w:val="en-US"/>
        </w:rPr>
        <w:t xml:space="preserve">. </w:t>
      </w:r>
      <w:r w:rsidR="004A7CBD" w:rsidRPr="00076F0F">
        <w:rPr>
          <w:lang w:val="en-US"/>
        </w:rPr>
        <w:t xml:space="preserve">However, </w:t>
      </w:r>
      <w:r w:rsidR="006442A6" w:rsidRPr="00076F0F">
        <w:rPr>
          <w:lang w:val="en-US"/>
        </w:rPr>
        <w:t xml:space="preserve">Heymes et al. (2013) showed </w:t>
      </w:r>
      <w:r w:rsidR="004A7CBD" w:rsidRPr="00076F0F">
        <w:rPr>
          <w:lang w:val="en-US"/>
        </w:rPr>
        <w:t xml:space="preserve">that even a small fire of 2m high and 5m long </w:t>
      </w:r>
      <w:r w:rsidR="006442A6" w:rsidRPr="00076F0F">
        <w:rPr>
          <w:lang w:val="en-US"/>
        </w:rPr>
        <w:t>is able to increase the internal pressure of pressurized tank</w:t>
      </w:r>
      <w:r w:rsidR="00FB2098" w:rsidRPr="00076F0F">
        <w:rPr>
          <w:lang w:val="en-US"/>
        </w:rPr>
        <w:t>s</w:t>
      </w:r>
      <w:r w:rsidR="006442A6" w:rsidRPr="00076F0F">
        <w:rPr>
          <w:lang w:val="en-US"/>
        </w:rPr>
        <w:t xml:space="preserve"> and eventually lead to a BLEVE (boiling liquid evaporating vapor explosion) and a subsequent fireball.</w:t>
      </w:r>
    </w:p>
    <w:p w14:paraId="2311F414" w14:textId="19A35104" w:rsidR="00331DD4" w:rsidRPr="00076F0F" w:rsidRDefault="008C26F7" w:rsidP="00FB2098">
      <w:pPr>
        <w:jc w:val="both"/>
        <w:rPr>
          <w:lang w:val="en-US"/>
        </w:rPr>
      </w:pPr>
      <w:r w:rsidRPr="00076F0F">
        <w:rPr>
          <w:lang w:val="en-US"/>
        </w:rPr>
        <w:t xml:space="preserve">In the absence of methodologies and guidelines for quantitative impact assessment of wildfires on process plants, </w:t>
      </w:r>
      <w:r w:rsidR="00481A47" w:rsidRPr="00076F0F">
        <w:rPr>
          <w:lang w:val="en-US"/>
        </w:rPr>
        <w:t>t</w:t>
      </w:r>
      <w:r w:rsidR="00FB2098" w:rsidRPr="00076F0F">
        <w:rPr>
          <w:lang w:val="en-US"/>
        </w:rPr>
        <w:t xml:space="preserve">he dynamic risk assessment framework proposed in the present study can </w:t>
      </w:r>
      <w:r w:rsidR="00481A47" w:rsidRPr="00076F0F">
        <w:rPr>
          <w:lang w:val="en-US"/>
        </w:rPr>
        <w:t>be employed for determination of safety distance</w:t>
      </w:r>
      <w:r w:rsidRPr="00076F0F">
        <w:rPr>
          <w:lang w:val="en-US"/>
        </w:rPr>
        <w:t>s</w:t>
      </w:r>
      <w:r w:rsidR="00481A47" w:rsidRPr="00076F0F">
        <w:rPr>
          <w:lang w:val="en-US"/>
        </w:rPr>
        <w:t xml:space="preserve"> between the critical unites and the forest from one hand and between the critical units themselves to prevent domino scenarios from the other hand. </w:t>
      </w:r>
    </w:p>
    <w:p w14:paraId="17C5BD47" w14:textId="2F6C4783" w:rsidR="00021DF0" w:rsidRPr="00076F0F" w:rsidRDefault="00481A47" w:rsidP="00FD0726">
      <w:pPr>
        <w:jc w:val="both"/>
        <w:rPr>
          <w:lang w:val="en-US"/>
        </w:rPr>
      </w:pPr>
      <w:r w:rsidRPr="00076F0F">
        <w:rPr>
          <w:lang w:val="en-US"/>
        </w:rPr>
        <w:t xml:space="preserve">In the case of </w:t>
      </w:r>
      <w:r w:rsidR="008C26F7" w:rsidRPr="00076F0F">
        <w:rPr>
          <w:lang w:val="en-US"/>
        </w:rPr>
        <w:t>existing</w:t>
      </w:r>
      <w:r w:rsidRPr="00076F0F">
        <w:rPr>
          <w:lang w:val="en-US"/>
        </w:rPr>
        <w:t xml:space="preserve"> facilities,</w:t>
      </w:r>
      <w:r w:rsidR="008C26F7" w:rsidRPr="00076F0F">
        <w:rPr>
          <w:lang w:val="en-US"/>
        </w:rPr>
        <w:t xml:space="preserve"> in which the safety distances between the units cannot easily be changed,</w:t>
      </w:r>
      <w:r w:rsidRPr="00076F0F">
        <w:rPr>
          <w:lang w:val="en-US"/>
        </w:rPr>
        <w:t xml:space="preserve"> the developed methodology can be used to </w:t>
      </w:r>
      <w:r w:rsidR="00271E47" w:rsidRPr="00076F0F">
        <w:rPr>
          <w:lang w:val="en-US"/>
        </w:rPr>
        <w:t xml:space="preserve">forecast the </w:t>
      </w:r>
      <w:r w:rsidRPr="00076F0F">
        <w:rPr>
          <w:lang w:val="en-US"/>
        </w:rPr>
        <w:t xml:space="preserve">risk of wildfires on a daily basis and </w:t>
      </w:r>
      <w:r w:rsidR="0021534F" w:rsidRPr="00076F0F">
        <w:rPr>
          <w:lang w:val="en-US"/>
        </w:rPr>
        <w:t>take</w:t>
      </w:r>
      <w:r w:rsidRPr="00076F0F">
        <w:rPr>
          <w:lang w:val="en-US"/>
        </w:rPr>
        <w:t xml:space="preserve"> </w:t>
      </w:r>
      <w:r w:rsidR="008C26F7" w:rsidRPr="00076F0F">
        <w:rPr>
          <w:lang w:val="en-US"/>
        </w:rPr>
        <w:t xml:space="preserve">appropriate </w:t>
      </w:r>
      <w:r w:rsidR="0021534F" w:rsidRPr="00076F0F">
        <w:rPr>
          <w:lang w:val="en-US"/>
        </w:rPr>
        <w:t xml:space="preserve">precautionary </w:t>
      </w:r>
      <w:r w:rsidR="00271E47" w:rsidRPr="00076F0F">
        <w:rPr>
          <w:lang w:val="en-US"/>
        </w:rPr>
        <w:t xml:space="preserve">risk </w:t>
      </w:r>
      <w:r w:rsidRPr="00076F0F">
        <w:rPr>
          <w:lang w:val="en-US"/>
        </w:rPr>
        <w:t>mitigation</w:t>
      </w:r>
      <w:r w:rsidR="00271E47" w:rsidRPr="00076F0F">
        <w:rPr>
          <w:lang w:val="en-US"/>
        </w:rPr>
        <w:t xml:space="preserve"> </w:t>
      </w:r>
      <w:r w:rsidR="0021534F" w:rsidRPr="00076F0F">
        <w:rPr>
          <w:lang w:val="en-US"/>
        </w:rPr>
        <w:t xml:space="preserve">measures. These measures may </w:t>
      </w:r>
      <w:r w:rsidR="008C26F7" w:rsidRPr="00076F0F">
        <w:rPr>
          <w:lang w:val="en-US"/>
        </w:rPr>
        <w:t xml:space="preserve">be </w:t>
      </w:r>
      <w:r w:rsidR="00FC5F6B" w:rsidRPr="00076F0F">
        <w:rPr>
          <w:lang w:val="en-US"/>
        </w:rPr>
        <w:t xml:space="preserve">either </w:t>
      </w:r>
      <w:r w:rsidR="00104111">
        <w:rPr>
          <w:lang w:val="en-US"/>
        </w:rPr>
        <w:t>tempora</w:t>
      </w:r>
      <w:r w:rsidR="008C26F7" w:rsidRPr="00076F0F">
        <w:rPr>
          <w:lang w:val="en-US"/>
        </w:rPr>
        <w:t xml:space="preserve">ry </w:t>
      </w:r>
      <w:r w:rsidR="00FC5F6B" w:rsidRPr="00076F0F">
        <w:rPr>
          <w:lang w:val="en-US"/>
        </w:rPr>
        <w:t xml:space="preserve">such as </w:t>
      </w:r>
      <w:r w:rsidR="0021534F" w:rsidRPr="00076F0F">
        <w:rPr>
          <w:lang w:val="en-US"/>
        </w:rPr>
        <w:t>the installation</w:t>
      </w:r>
      <w:r w:rsidR="00271E47" w:rsidRPr="00076F0F">
        <w:rPr>
          <w:lang w:val="en-US"/>
        </w:rPr>
        <w:t xml:space="preserve"> of fire walls </w:t>
      </w:r>
      <w:r w:rsidR="0021534F" w:rsidRPr="00076F0F">
        <w:rPr>
          <w:lang w:val="en-US"/>
        </w:rPr>
        <w:t xml:space="preserve">in order </w:t>
      </w:r>
      <w:r w:rsidR="00271E47" w:rsidRPr="00076F0F">
        <w:rPr>
          <w:lang w:val="en-US"/>
        </w:rPr>
        <w:t xml:space="preserve">to protect exposed </w:t>
      </w:r>
      <w:r w:rsidR="00FC5F6B" w:rsidRPr="00076F0F">
        <w:rPr>
          <w:lang w:val="en-US"/>
        </w:rPr>
        <w:t>units</w:t>
      </w:r>
      <w:r w:rsidR="00271E47" w:rsidRPr="00076F0F">
        <w:rPr>
          <w:lang w:val="en-US"/>
        </w:rPr>
        <w:t xml:space="preserve"> (</w:t>
      </w:r>
      <w:r w:rsidR="0021534F" w:rsidRPr="00076F0F">
        <w:rPr>
          <w:lang w:val="en-US"/>
        </w:rPr>
        <w:t xml:space="preserve">e.g., </w:t>
      </w:r>
      <w:r w:rsidR="00271E47" w:rsidRPr="00076F0F">
        <w:rPr>
          <w:lang w:val="en-US"/>
        </w:rPr>
        <w:t xml:space="preserve">T3 and T6 in the present study) </w:t>
      </w:r>
      <w:r w:rsidR="008C26F7" w:rsidRPr="00076F0F">
        <w:rPr>
          <w:lang w:val="en-US"/>
        </w:rPr>
        <w:t xml:space="preserve">or lowering the chemical inventory of </w:t>
      </w:r>
      <w:r w:rsidR="00271E47" w:rsidRPr="00076F0F">
        <w:rPr>
          <w:lang w:val="en-US"/>
        </w:rPr>
        <w:t xml:space="preserve">the exposed </w:t>
      </w:r>
      <w:r w:rsidR="00FC5F6B" w:rsidRPr="00076F0F">
        <w:rPr>
          <w:lang w:val="en-US"/>
        </w:rPr>
        <w:t xml:space="preserve">units </w:t>
      </w:r>
      <w:r w:rsidR="008C26F7" w:rsidRPr="00076F0F">
        <w:rPr>
          <w:lang w:val="en-US"/>
        </w:rPr>
        <w:t xml:space="preserve">to reduce the likelihood </w:t>
      </w:r>
      <w:r w:rsidR="008C26F7" w:rsidRPr="00076F0F">
        <w:rPr>
          <w:lang w:val="en-US"/>
        </w:rPr>
        <w:lastRenderedPageBreak/>
        <w:t xml:space="preserve">of domino effects, </w:t>
      </w:r>
      <w:r w:rsidR="00FC5F6B" w:rsidRPr="00076F0F">
        <w:rPr>
          <w:lang w:val="en-US"/>
        </w:rPr>
        <w:t xml:space="preserve">or may be permanent such as </w:t>
      </w:r>
      <w:r w:rsidR="00271E47" w:rsidRPr="00076F0F">
        <w:rPr>
          <w:lang w:val="en-US"/>
        </w:rPr>
        <w:t xml:space="preserve">fireproofing of </w:t>
      </w:r>
      <w:r w:rsidR="00FC5F6B" w:rsidRPr="00076F0F">
        <w:rPr>
          <w:lang w:val="en-US"/>
        </w:rPr>
        <w:t>the critical units (though not so practicable</w:t>
      </w:r>
      <w:r w:rsidR="00271E47" w:rsidRPr="00076F0F">
        <w:rPr>
          <w:lang w:val="en-US"/>
        </w:rPr>
        <w:t xml:space="preserve"> in th</w:t>
      </w:r>
      <w:r w:rsidR="00FC5F6B" w:rsidRPr="00076F0F">
        <w:rPr>
          <w:lang w:val="en-US"/>
        </w:rPr>
        <w:t>e wake of an imminent wildfire).</w:t>
      </w:r>
    </w:p>
    <w:p w14:paraId="2AD3C39F" w14:textId="58664BAF" w:rsidR="003C175C" w:rsidRDefault="00076F0F" w:rsidP="00585FB7">
      <w:pPr>
        <w:jc w:val="both"/>
        <w:rPr>
          <w:lang w:val="en-US"/>
        </w:rPr>
      </w:pPr>
      <w:r w:rsidRPr="00076F0F">
        <w:rPr>
          <w:lang w:val="en-US"/>
        </w:rPr>
        <w:t xml:space="preserve">In the present study, a number of random variables were used to </w:t>
      </w:r>
      <w:r>
        <w:rPr>
          <w:lang w:val="en-US"/>
        </w:rPr>
        <w:t>quantify</w:t>
      </w:r>
      <w:r w:rsidRPr="00076F0F">
        <w:rPr>
          <w:lang w:val="en-US"/>
        </w:rPr>
        <w:t xml:space="preserve"> the impact of wildfires on oil facilities. Some of these variables such as </w:t>
      </w:r>
      <w:r>
        <w:rPr>
          <w:lang w:val="en-US"/>
        </w:rPr>
        <w:t>ignition</w:t>
      </w:r>
      <w:r w:rsidRPr="00076F0F">
        <w:rPr>
          <w:lang w:val="en-US"/>
        </w:rPr>
        <w:t xml:space="preserve"> probability</w:t>
      </w:r>
      <w:r w:rsidR="00F6471E">
        <w:rPr>
          <w:lang w:val="en-US"/>
        </w:rPr>
        <w:t>, PI,</w:t>
      </w:r>
      <w:r>
        <w:rPr>
          <w:lang w:val="en-US"/>
        </w:rPr>
        <w:t xml:space="preserve"> (Figure 6) and head fire intensity</w:t>
      </w:r>
      <w:r w:rsidR="00F6471E">
        <w:rPr>
          <w:lang w:val="en-US"/>
        </w:rPr>
        <w:t>, I,</w:t>
      </w:r>
      <w:r>
        <w:rPr>
          <w:lang w:val="en-US"/>
        </w:rPr>
        <w:t xml:space="preserve"> (Figure 8)</w:t>
      </w:r>
      <w:r w:rsidR="00E668E3">
        <w:rPr>
          <w:lang w:val="en-US"/>
        </w:rPr>
        <w:t>,</w:t>
      </w:r>
      <w:r>
        <w:rPr>
          <w:lang w:val="en-US"/>
        </w:rPr>
        <w:t xml:space="preserve"> </w:t>
      </w:r>
      <w:r w:rsidR="00E668E3">
        <w:rPr>
          <w:lang w:val="en-US"/>
        </w:rPr>
        <w:t>which are</w:t>
      </w:r>
      <w:r w:rsidRPr="00076F0F">
        <w:rPr>
          <w:lang w:val="en-US"/>
        </w:rPr>
        <w:t xml:space="preserve"> </w:t>
      </w:r>
      <w:r w:rsidR="00E668E3">
        <w:rPr>
          <w:lang w:val="en-US"/>
        </w:rPr>
        <w:t xml:space="preserve">updated daily and available online, directly contribute to the calculated </w:t>
      </w:r>
      <w:r w:rsidRPr="00076F0F">
        <w:rPr>
          <w:lang w:val="en-US"/>
        </w:rPr>
        <w:t xml:space="preserve">risk </w:t>
      </w:r>
      <w:r w:rsidR="00E668E3">
        <w:rPr>
          <w:lang w:val="en-US"/>
        </w:rPr>
        <w:t>and are hence of paramount importance.</w:t>
      </w:r>
      <w:r w:rsidR="000E7C89">
        <w:rPr>
          <w:lang w:val="en-US"/>
        </w:rPr>
        <w:t xml:space="preserve"> </w:t>
      </w:r>
    </w:p>
    <w:p w14:paraId="2EBB5990" w14:textId="68003B1D" w:rsidR="00585FB7" w:rsidRDefault="000E7C89" w:rsidP="00585FB7">
      <w:pPr>
        <w:jc w:val="both"/>
        <w:rPr>
          <w:lang w:val="en-US"/>
        </w:rPr>
      </w:pPr>
      <w:r>
        <w:rPr>
          <w:lang w:val="en-US"/>
        </w:rPr>
        <w:t>Other parameters such as wind direction and speed, obtainable online or from weather stations, may change much more rapidly and over much shorter time intervals (e.g., a few minutes). Figure 11 shows the fire escalation probabilities</w:t>
      </w:r>
      <w:r w:rsidR="00197032">
        <w:rPr>
          <w:lang w:val="en-US"/>
        </w:rPr>
        <w:t xml:space="preserve"> of the storage tanks exposed </w:t>
      </w:r>
      <w:r>
        <w:rPr>
          <w:lang w:val="en-US"/>
        </w:rPr>
        <w:t xml:space="preserve">to the same wildfire as Figure 9 but </w:t>
      </w:r>
      <w:r w:rsidR="00197032">
        <w:rPr>
          <w:lang w:val="en-US"/>
        </w:rPr>
        <w:t xml:space="preserve">with </w:t>
      </w:r>
      <w:r>
        <w:rPr>
          <w:lang w:val="en-US"/>
        </w:rPr>
        <w:t xml:space="preserve">a wind </w:t>
      </w:r>
      <w:r w:rsidR="00197032">
        <w:rPr>
          <w:lang w:val="en-US"/>
        </w:rPr>
        <w:t xml:space="preserve">blowing from the </w:t>
      </w:r>
      <w:r>
        <w:rPr>
          <w:lang w:val="en-US"/>
        </w:rPr>
        <w:t>east</w:t>
      </w:r>
      <w:r w:rsidR="00197032">
        <w:rPr>
          <w:lang w:val="en-US"/>
        </w:rPr>
        <w:t xml:space="preserve"> </w:t>
      </w:r>
      <w:r>
        <w:rPr>
          <w:lang w:val="en-US"/>
        </w:rPr>
        <w:t>to</w:t>
      </w:r>
      <w:r w:rsidR="00197032">
        <w:rPr>
          <w:lang w:val="en-US"/>
        </w:rPr>
        <w:t xml:space="preserve"> the </w:t>
      </w:r>
      <w:r>
        <w:rPr>
          <w:lang w:val="en-US"/>
        </w:rPr>
        <w:t>west.</w:t>
      </w:r>
      <w:r w:rsidR="00E668E3">
        <w:rPr>
          <w:lang w:val="en-US"/>
        </w:rPr>
        <w:t xml:space="preserve"> </w:t>
      </w:r>
      <w:r w:rsidR="00197032">
        <w:rPr>
          <w:lang w:val="en-US"/>
        </w:rPr>
        <w:t>In this case, tank 1 is the only storage tank directly impacted by the wildfire’s heat radiation.</w:t>
      </w:r>
      <w:r w:rsidR="003C175C">
        <w:rPr>
          <w:lang w:val="en-US"/>
        </w:rPr>
        <w:t xml:space="preserve"> </w:t>
      </w:r>
      <w:r w:rsidR="00585FB7">
        <w:rPr>
          <w:lang w:val="en-US"/>
        </w:rPr>
        <w:t xml:space="preserve">After 60 minutes of being exposed to the wildfire, the fire at tank 1 would at most escalate to tank 2, resulting in a much less severe domino effect compared to the one in Figure 9. </w:t>
      </w:r>
    </w:p>
    <w:p w14:paraId="1C72F8F2" w14:textId="7C5C0391" w:rsidR="003C175C" w:rsidRDefault="00585FB7" w:rsidP="002B72E5">
      <w:pPr>
        <w:spacing w:after="0"/>
        <w:jc w:val="both"/>
        <w:rPr>
          <w:lang w:val="en-US"/>
        </w:rPr>
      </w:pPr>
      <w:r>
        <w:rPr>
          <w:lang w:val="en-US"/>
        </w:rPr>
        <w:t>Another important variable worth paying more attention is the estimation of burn probability (PB). In the present work, for illustrative purposes only, we employed a simplistic fire spread modeling with solely one influential parameter, that is, the probability of fire spread from a burning tree to its adjacent non-burning trees, θ (Figure 7). Using the same approach as Section 4.3 yet with a different amount of θ = 0.4, a negligible burn probability of PB = 0.0</w:t>
      </w:r>
      <w:r w:rsidR="003C175C">
        <w:rPr>
          <w:lang w:val="en-US"/>
        </w:rPr>
        <w:t>9</w:t>
      </w:r>
      <w:r>
        <w:rPr>
          <w:lang w:val="en-US"/>
        </w:rPr>
        <w:t xml:space="preserve"> was calculated (compare with PB = 0.63 resulted from θ = 0.5 in Section 4.3). Disregarding the oversimplicity of the employed fire spread model, </w:t>
      </w:r>
      <w:r w:rsidR="00E65FA4">
        <w:rPr>
          <w:lang w:val="en-US"/>
        </w:rPr>
        <w:t xml:space="preserve">it can be deduced that a </w:t>
      </w:r>
      <w:r>
        <w:rPr>
          <w:lang w:val="en-US"/>
        </w:rPr>
        <w:t xml:space="preserve">slight variation in the amount of θ seems to have a notable impact on the calculated risk, </w:t>
      </w:r>
      <w:r w:rsidR="003C175C">
        <w:rPr>
          <w:lang w:val="en-US"/>
        </w:rPr>
        <w:t>emphasizing the sensitivity of the analysis to this parameter.</w:t>
      </w:r>
    </w:p>
    <w:p w14:paraId="05C83CBA" w14:textId="77777777" w:rsidR="002B72E5" w:rsidRDefault="002B72E5" w:rsidP="003C175C">
      <w:pPr>
        <w:spacing w:after="240"/>
        <w:jc w:val="both"/>
        <w:rPr>
          <w:lang w:val="en-US"/>
        </w:rPr>
      </w:pPr>
    </w:p>
    <w:p w14:paraId="14EFE775" w14:textId="1DA59988" w:rsidR="00FF71CC" w:rsidRDefault="00585FB7" w:rsidP="00FD0726">
      <w:pPr>
        <w:jc w:val="center"/>
        <w:rPr>
          <w:lang w:val="en-US"/>
        </w:rPr>
      </w:pPr>
      <w:r>
        <w:object w:dxaOrig="5445" w:dyaOrig="3659" w14:anchorId="6180FFCB">
          <v:shape id="_x0000_i1042" type="#_x0000_t75" style="width:156pt;height:105.75pt" o:ole="">
            <v:imagedata r:id="rId28" o:title=""/>
          </v:shape>
          <o:OLEObject Type="Embed" ProgID="Visio.Drawing.11" ShapeID="_x0000_i1042" DrawAspect="Content" ObjectID="_1594553538" r:id="rId46"/>
        </w:object>
      </w:r>
      <w:r w:rsidR="000540AD">
        <w:tab/>
      </w:r>
      <w:r>
        <w:object w:dxaOrig="5445" w:dyaOrig="3659" w14:anchorId="15488471">
          <v:shape id="_x0000_i1043" type="#_x0000_t75" style="width:156pt;height:105pt" o:ole="">
            <v:imagedata r:id="rId47" o:title=""/>
          </v:shape>
          <o:OLEObject Type="Embed" ProgID="Visio.Drawing.11" ShapeID="_x0000_i1043" DrawAspect="Content" ObjectID="_1594553539" r:id="rId48"/>
        </w:object>
      </w:r>
    </w:p>
    <w:p w14:paraId="119F08CC" w14:textId="6CAC497A" w:rsidR="000540AD" w:rsidRPr="00154A63" w:rsidRDefault="000540AD" w:rsidP="000540AD">
      <w:pPr>
        <w:jc w:val="center"/>
        <w:rPr>
          <w:lang w:val="nl-NL"/>
        </w:rPr>
      </w:pPr>
      <w:r w:rsidRPr="006B03C6">
        <w:rPr>
          <w:lang w:val="nl-NL"/>
        </w:rPr>
        <w:t>t = 0</w:t>
      </w:r>
      <w:r>
        <w:rPr>
          <w:lang w:val="nl-NL"/>
        </w:rPr>
        <w:t xml:space="preserve"> min</w:t>
      </w:r>
      <w:r>
        <w:rPr>
          <w:lang w:val="nl-NL"/>
        </w:rPr>
        <w:tab/>
      </w:r>
      <w:r>
        <w:rPr>
          <w:lang w:val="nl-NL"/>
        </w:rPr>
        <w:tab/>
      </w:r>
      <w:r w:rsidRPr="006B03C6">
        <w:rPr>
          <w:lang w:val="nl-NL"/>
        </w:rPr>
        <w:tab/>
      </w:r>
      <w:r w:rsidRPr="006B03C6">
        <w:rPr>
          <w:lang w:val="nl-NL"/>
        </w:rPr>
        <w:tab/>
      </w:r>
      <w:r w:rsidRPr="00154A63">
        <w:rPr>
          <w:lang w:val="nl-NL"/>
        </w:rPr>
        <w:t>t = 20 min</w:t>
      </w:r>
    </w:p>
    <w:p w14:paraId="1890FCC2" w14:textId="4C3FFAE7" w:rsidR="000540AD" w:rsidRDefault="00585FB7" w:rsidP="00FD0726">
      <w:pPr>
        <w:jc w:val="center"/>
        <w:rPr>
          <w:lang w:val="en-US"/>
        </w:rPr>
      </w:pPr>
      <w:r>
        <w:object w:dxaOrig="5445" w:dyaOrig="3659" w14:anchorId="0D3D5687">
          <v:shape id="_x0000_i1044" type="#_x0000_t75" style="width:156pt;height:104.25pt" o:ole="">
            <v:imagedata r:id="rId49" o:title=""/>
          </v:shape>
          <o:OLEObject Type="Embed" ProgID="Visio.Drawing.11" ShapeID="_x0000_i1044" DrawAspect="Content" ObjectID="_1594553540" r:id="rId50"/>
        </w:object>
      </w:r>
      <w:r w:rsidR="000540AD">
        <w:rPr>
          <w:lang w:val="en-US"/>
        </w:rPr>
        <w:tab/>
      </w:r>
      <w:r>
        <w:object w:dxaOrig="5445" w:dyaOrig="3659" w14:anchorId="4830B469">
          <v:shape id="_x0000_i1045" type="#_x0000_t75" style="width:156pt;height:105pt" o:ole="">
            <v:imagedata r:id="rId51" o:title=""/>
          </v:shape>
          <o:OLEObject Type="Embed" ProgID="Visio.Drawing.11" ShapeID="_x0000_i1045" DrawAspect="Content" ObjectID="_1594553541" r:id="rId52"/>
        </w:object>
      </w:r>
    </w:p>
    <w:p w14:paraId="1D21300F" w14:textId="1597C805" w:rsidR="000540AD" w:rsidRPr="00154A63" w:rsidRDefault="000540AD" w:rsidP="000540AD">
      <w:pPr>
        <w:jc w:val="center"/>
        <w:rPr>
          <w:lang w:val="nl-NL"/>
        </w:rPr>
      </w:pPr>
      <w:r w:rsidRPr="006B03C6">
        <w:rPr>
          <w:lang w:val="nl-NL"/>
        </w:rPr>
        <w:t xml:space="preserve">t = </w:t>
      </w:r>
      <w:r>
        <w:rPr>
          <w:lang w:val="nl-NL"/>
        </w:rPr>
        <w:t>4</w:t>
      </w:r>
      <w:r w:rsidRPr="006B03C6">
        <w:rPr>
          <w:lang w:val="nl-NL"/>
        </w:rPr>
        <w:t>0</w:t>
      </w:r>
      <w:r>
        <w:rPr>
          <w:lang w:val="nl-NL"/>
        </w:rPr>
        <w:t xml:space="preserve"> min</w:t>
      </w:r>
      <w:r>
        <w:rPr>
          <w:lang w:val="nl-NL"/>
        </w:rPr>
        <w:tab/>
      </w:r>
      <w:r>
        <w:rPr>
          <w:lang w:val="nl-NL"/>
        </w:rPr>
        <w:tab/>
      </w:r>
      <w:r w:rsidRPr="006B03C6">
        <w:rPr>
          <w:lang w:val="nl-NL"/>
        </w:rPr>
        <w:tab/>
      </w:r>
      <w:r w:rsidRPr="006B03C6">
        <w:rPr>
          <w:lang w:val="nl-NL"/>
        </w:rPr>
        <w:tab/>
      </w:r>
      <w:r w:rsidRPr="00154A63">
        <w:rPr>
          <w:lang w:val="nl-NL"/>
        </w:rPr>
        <w:t xml:space="preserve">t = </w:t>
      </w:r>
      <w:r>
        <w:rPr>
          <w:lang w:val="nl-NL"/>
        </w:rPr>
        <w:t>6</w:t>
      </w:r>
      <w:r w:rsidRPr="00154A63">
        <w:rPr>
          <w:lang w:val="nl-NL"/>
        </w:rPr>
        <w:t>0 min</w:t>
      </w:r>
    </w:p>
    <w:p w14:paraId="41D4D603" w14:textId="77777777" w:rsidR="000540AD" w:rsidRDefault="000540AD" w:rsidP="000540AD">
      <w:pPr>
        <w:jc w:val="center"/>
        <w:rPr>
          <w:lang w:val="en-US"/>
        </w:rPr>
      </w:pPr>
      <w:r>
        <w:object w:dxaOrig="2200" w:dyaOrig="430" w14:anchorId="2632D891">
          <v:shape id="_x0000_i1046" type="#_x0000_t75" style="width:87pt;height:18pt" o:ole="">
            <v:imagedata r:id="rId36" o:title=""/>
          </v:shape>
          <o:OLEObject Type="Embed" ProgID="Visio.Drawing.11" ShapeID="_x0000_i1046" DrawAspect="Content" ObjectID="_1594553542" r:id="rId53"/>
        </w:object>
      </w:r>
      <w:r>
        <w:object w:dxaOrig="2257" w:dyaOrig="430" w14:anchorId="07AAE781">
          <v:shape id="_x0000_i1047" type="#_x0000_t75" style="width:89.25pt;height:18pt" o:ole="">
            <v:imagedata r:id="rId38" o:title=""/>
          </v:shape>
          <o:OLEObject Type="Embed" ProgID="Visio.Drawing.11" ShapeID="_x0000_i1047" DrawAspect="Content" ObjectID="_1594553543" r:id="rId54"/>
        </w:object>
      </w:r>
      <w:r>
        <w:object w:dxaOrig="2257" w:dyaOrig="430" w14:anchorId="427FF583">
          <v:shape id="_x0000_i1048" type="#_x0000_t75" style="width:89.25pt;height:18pt" o:ole="">
            <v:imagedata r:id="rId40" o:title=""/>
          </v:shape>
          <o:OLEObject Type="Embed" ProgID="Visio.Drawing.11" ShapeID="_x0000_i1048" DrawAspect="Content" ObjectID="_1594553544" r:id="rId55"/>
        </w:object>
      </w:r>
      <w:r>
        <w:object w:dxaOrig="2257" w:dyaOrig="430" w14:anchorId="41FA7E87">
          <v:shape id="_x0000_i1049" type="#_x0000_t75" style="width:89.25pt;height:18pt" o:ole="">
            <v:imagedata r:id="rId42" o:title=""/>
          </v:shape>
          <o:OLEObject Type="Embed" ProgID="Visio.Drawing.11" ShapeID="_x0000_i1049" DrawAspect="Content" ObjectID="_1594553545" r:id="rId56"/>
        </w:object>
      </w:r>
    </w:p>
    <w:p w14:paraId="211C127F" w14:textId="143051CD" w:rsidR="000540AD" w:rsidRDefault="000540AD" w:rsidP="00F6471E">
      <w:pPr>
        <w:jc w:val="center"/>
        <w:rPr>
          <w:lang w:val="en-US"/>
        </w:rPr>
      </w:pPr>
      <w:r w:rsidRPr="005F32D9">
        <w:t xml:space="preserve">Figure </w:t>
      </w:r>
      <w:r>
        <w:t>11</w:t>
      </w:r>
      <w:r w:rsidRPr="005F32D9">
        <w:t>.</w:t>
      </w:r>
      <w:r>
        <w:t xml:space="preserve"> Temporal escalation of fires </w:t>
      </w:r>
      <w:r w:rsidR="000E7C89">
        <w:t>given</w:t>
      </w:r>
      <w:r>
        <w:t xml:space="preserve"> the wildfire. The wind direction is east</w:t>
      </w:r>
      <w:r w:rsidR="00585FB7">
        <w:t xml:space="preserve"> </w:t>
      </w:r>
      <w:r>
        <w:t>to</w:t>
      </w:r>
      <w:r w:rsidR="00585FB7">
        <w:t xml:space="preserve"> </w:t>
      </w:r>
      <w:r>
        <w:t xml:space="preserve">west. </w:t>
      </w:r>
    </w:p>
    <w:p w14:paraId="7202E698" w14:textId="77777777" w:rsidR="003C175C" w:rsidRDefault="003C175C" w:rsidP="00F6471E">
      <w:pPr>
        <w:jc w:val="center"/>
        <w:rPr>
          <w:lang w:val="en-US"/>
        </w:rPr>
      </w:pPr>
    </w:p>
    <w:p w14:paraId="528F3B0F" w14:textId="77777777" w:rsidR="00C629ED" w:rsidRDefault="00C629ED" w:rsidP="00C629ED">
      <w:pPr>
        <w:pStyle w:val="Heading1"/>
      </w:pPr>
      <w:r>
        <w:t xml:space="preserve">Conclusions </w:t>
      </w:r>
    </w:p>
    <w:p w14:paraId="45FD51A5" w14:textId="6118426D" w:rsidR="00CA44A2" w:rsidRDefault="00CC4C42" w:rsidP="00CD4189">
      <w:pPr>
        <w:jc w:val="both"/>
      </w:pPr>
      <w:r>
        <w:t>The i</w:t>
      </w:r>
      <w:r w:rsidR="001B5D0D">
        <w:t xml:space="preserve">ncreasing number of wildfires due to </w:t>
      </w:r>
      <w:r w:rsidR="00AE737C">
        <w:t>climate change</w:t>
      </w:r>
      <w:r w:rsidR="00E83960">
        <w:t xml:space="preserve"> </w:t>
      </w:r>
      <w:r>
        <w:t>from</w:t>
      </w:r>
      <w:r w:rsidR="00E83960">
        <w:t xml:space="preserve"> one hand and an</w:t>
      </w:r>
      <w:r w:rsidR="001B5D0D">
        <w:t xml:space="preserve"> </w:t>
      </w:r>
      <w:r w:rsidR="00E83960" w:rsidRPr="00E83960">
        <w:t xml:space="preserve">increasing growth </w:t>
      </w:r>
      <w:r w:rsidR="00AE737C">
        <w:t xml:space="preserve">in the number of </w:t>
      </w:r>
      <w:r w:rsidR="00E83960">
        <w:t xml:space="preserve">oil exploration and production plants in </w:t>
      </w:r>
      <w:r>
        <w:t xml:space="preserve">the </w:t>
      </w:r>
      <w:r w:rsidR="00E83960">
        <w:t>wilderness</w:t>
      </w:r>
      <w:r w:rsidR="001B5D0D">
        <w:t xml:space="preserve"> from the other hand </w:t>
      </w:r>
      <w:r w:rsidR="00E83960">
        <w:t xml:space="preserve">have </w:t>
      </w:r>
      <w:r w:rsidR="001B5D0D">
        <w:t xml:space="preserve">exposed both the forests and </w:t>
      </w:r>
      <w:r w:rsidR="0052007E">
        <w:t xml:space="preserve">oil </w:t>
      </w:r>
      <w:r w:rsidR="00631782">
        <w:t>facilities</w:t>
      </w:r>
      <w:r w:rsidR="001B5D0D">
        <w:t xml:space="preserve"> to the risk of wildfires.</w:t>
      </w:r>
      <w:r w:rsidR="005A1202">
        <w:t xml:space="preserve"> </w:t>
      </w:r>
      <w:r w:rsidR="0052007E">
        <w:t xml:space="preserve">In the absence of guidelines </w:t>
      </w:r>
      <w:r w:rsidR="005A1202">
        <w:t xml:space="preserve">and methodologies </w:t>
      </w:r>
      <w:r w:rsidR="0052007E">
        <w:t xml:space="preserve">for quantitative impact assessment of wildfires on oil </w:t>
      </w:r>
      <w:r w:rsidR="005A1202">
        <w:t>facilities</w:t>
      </w:r>
      <w:r w:rsidR="0052007E">
        <w:t xml:space="preserve">, </w:t>
      </w:r>
      <w:r w:rsidR="005A1202">
        <w:t>i</w:t>
      </w:r>
      <w:r w:rsidR="001B5D0D">
        <w:t xml:space="preserve">n the present study, </w:t>
      </w:r>
      <w:r w:rsidR="00CD4189">
        <w:t xml:space="preserve">we have developed a </w:t>
      </w:r>
      <w:r w:rsidR="005A1202">
        <w:t xml:space="preserve">dynamic risk assessment framework by integrating </w:t>
      </w:r>
      <w:r w:rsidR="00CD4189">
        <w:t xml:space="preserve">available techniques and </w:t>
      </w:r>
      <w:r w:rsidR="005A1202">
        <w:t>online databases.</w:t>
      </w:r>
    </w:p>
    <w:p w14:paraId="49C350B2" w14:textId="31F05125" w:rsidR="005A1202" w:rsidRDefault="005A1202" w:rsidP="00CD4189">
      <w:pPr>
        <w:jc w:val="both"/>
      </w:pPr>
      <w:r>
        <w:t>The developed methodology uses daily updated maps of ignition probability and fire intensity, both available online for most wildland</w:t>
      </w:r>
      <w:r w:rsidR="00104111">
        <w:t>s</w:t>
      </w:r>
      <w:r>
        <w:t>, along with wildfire spread software to predict the probability and the magnitude of radiant heat an oil facility would be exposed to due to a potential wildfire. Having such information, the available techniques for domino effect analysis</w:t>
      </w:r>
      <w:r w:rsidR="00C20918">
        <w:t xml:space="preserve"> can be used to investigate the possibility of wildfire-induced domino scenarios in the facility. </w:t>
      </w:r>
      <w:r>
        <w:t xml:space="preserve"> </w:t>
      </w:r>
    </w:p>
    <w:p w14:paraId="22320CD9" w14:textId="13473E89" w:rsidR="00E83960" w:rsidRPr="00E83960" w:rsidRDefault="00C20918" w:rsidP="00CD4189">
      <w:pPr>
        <w:jc w:val="both"/>
      </w:pPr>
      <w:r>
        <w:t xml:space="preserve">The methodology can be used to identify safety distances both between the process units and the forest vegetation and between the process units themselves, especially in the design phase of oil facilities in wildland. For existing facilities, likewise, the methodology can assist facility owners in identification of critical process units and </w:t>
      </w:r>
      <w:r w:rsidR="00846DDA">
        <w:t xml:space="preserve">the facility </w:t>
      </w:r>
      <w:r>
        <w:t>vulnerabilit</w:t>
      </w:r>
      <w:r w:rsidR="00846DDA">
        <w:t>y</w:t>
      </w:r>
      <w:r>
        <w:t xml:space="preserve"> so that protective measures can be devised. </w:t>
      </w:r>
      <w:r w:rsidR="00846DDA">
        <w:t xml:space="preserve">The proposed methodology </w:t>
      </w:r>
      <w:r w:rsidR="008B5F26">
        <w:t xml:space="preserve">is modular, </w:t>
      </w:r>
      <w:r w:rsidR="00846DDA">
        <w:t>consist</w:t>
      </w:r>
      <w:r w:rsidR="008B5F26">
        <w:t>ing</w:t>
      </w:r>
      <w:r w:rsidR="00846DDA">
        <w:t xml:space="preserve"> of </w:t>
      </w:r>
      <w:r w:rsidR="008B5F26">
        <w:t xml:space="preserve">techniques and tools </w:t>
      </w:r>
      <w:r w:rsidR="00846DDA">
        <w:t>for estimation of wildfire’s ignition probability, burn probability, fire intensity, as well a</w:t>
      </w:r>
      <w:r w:rsidR="008B5F26">
        <w:t>s domino scenario probabilities;</w:t>
      </w:r>
      <w:r w:rsidR="00846DDA">
        <w:t xml:space="preserve"> </w:t>
      </w:r>
      <w:r w:rsidR="008B5F26">
        <w:t xml:space="preserve">as such, </w:t>
      </w:r>
      <w:r w:rsidR="00846DDA">
        <w:t xml:space="preserve">one may enhance its accuracy by replacing the current modules with more sophisticated </w:t>
      </w:r>
      <w:r w:rsidR="008B5F26">
        <w:t>ones</w:t>
      </w:r>
      <w:r w:rsidR="00AE336D">
        <w:t>.</w:t>
      </w:r>
    </w:p>
    <w:p w14:paraId="75239581" w14:textId="77777777" w:rsidR="00940719" w:rsidRDefault="00940719" w:rsidP="00940719">
      <w:pPr>
        <w:pStyle w:val="Heading1"/>
        <w:numPr>
          <w:ilvl w:val="0"/>
          <w:numId w:val="0"/>
        </w:numPr>
        <w:ind w:left="360" w:hanging="360"/>
      </w:pPr>
      <w:r>
        <w:lastRenderedPageBreak/>
        <w:t>Appendix</w:t>
      </w:r>
    </w:p>
    <w:p w14:paraId="712B6A4D" w14:textId="77777777" w:rsidR="00940719" w:rsidRDefault="00940719" w:rsidP="00940719">
      <w:r>
        <w:t>F</w:t>
      </w:r>
      <w:r w:rsidRPr="00940719">
        <w:rPr>
          <w:vertAlign w:val="subscript"/>
        </w:rPr>
        <w:t>view</w:t>
      </w:r>
      <w:r>
        <w:t xml:space="preserve"> can be calculated as a function of vertical F</w:t>
      </w:r>
      <w:r w:rsidRPr="00940719">
        <w:rPr>
          <w:vertAlign w:val="subscript"/>
        </w:rPr>
        <w:t>v</w:t>
      </w:r>
      <w:r>
        <w:t xml:space="preserve"> and horizontal F</w:t>
      </w:r>
      <w:r w:rsidRPr="00940719">
        <w:rPr>
          <w:vertAlign w:val="subscript"/>
        </w:rPr>
        <w:t>h</w:t>
      </w:r>
      <w:r>
        <w:t xml:space="preserve"> view factors as</w:t>
      </w:r>
      <w:r w:rsidR="00FA2C8B">
        <w:t xml:space="preserve"> (Mudan, 1987; </w:t>
      </w:r>
      <w:r w:rsidR="00FA2C8B">
        <w:rPr>
          <w:lang w:val="en-US"/>
        </w:rPr>
        <w:t>Assael and Kakosimos, 2010</w:t>
      </w:r>
      <w:r w:rsidR="00FA2C8B">
        <w:t>)</w:t>
      </w:r>
      <w:r>
        <w:t>:</w:t>
      </w:r>
    </w:p>
    <w:p w14:paraId="2999F04E" w14:textId="77777777" w:rsidR="00FA2C8B" w:rsidRDefault="00B81D30" w:rsidP="00940719">
      <w:pP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view</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v</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h</m:t>
                    </m:r>
                  </m:sub>
                </m:sSub>
              </m:e>
              <m:sup>
                <m:r>
                  <w:rPr>
                    <w:rFonts w:ascii="Cambria Math" w:hAnsi="Cambria Math"/>
                  </w:rPr>
                  <m:t>2</m:t>
                </m:r>
              </m:sup>
            </m:sSup>
          </m:e>
        </m:rad>
      </m:oMath>
      <w:r w:rsidR="00FA2C8B">
        <w:rPr>
          <w:rFonts w:eastAsiaTheme="minorEastAsia"/>
        </w:rPr>
        <w:t xml:space="preserve"> </w:t>
      </w:r>
    </w:p>
    <w:p w14:paraId="11A49C35" w14:textId="77777777" w:rsidR="00FA2C8B" w:rsidRDefault="00FA2C8B" w:rsidP="00940719">
      <w:r>
        <w:rPr>
          <w:rFonts w:eastAsiaTheme="minorEastAsia"/>
        </w:rPr>
        <w:t>where:</w:t>
      </w:r>
    </w:p>
    <w:p w14:paraId="730955BF" w14:textId="77777777" w:rsidR="00940719" w:rsidRDefault="00940719" w:rsidP="00940719">
      <m:oMath>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v</m:t>
            </m:r>
          </m:sub>
        </m:sSub>
        <m:r>
          <w:rPr>
            <w:rFonts w:ascii="Cambria Math" w:hAnsi="Cambria Math"/>
          </w:rPr>
          <m:t>=-E</m:t>
        </m:r>
        <m:sSup>
          <m:sSupPr>
            <m:ctrlPr>
              <w:rPr>
                <w:rFonts w:ascii="Cambria Math" w:hAnsi="Cambria Math"/>
                <w:i/>
              </w:rPr>
            </m:ctrlPr>
          </m:sSupPr>
          <m:e>
            <m:r>
              <w:rPr>
                <w:rFonts w:ascii="Cambria Math" w:hAnsi="Cambria Math"/>
              </w:rPr>
              <m:t xml:space="preserve"> tan</m:t>
            </m:r>
          </m:e>
          <m:sup>
            <m:r>
              <w:rPr>
                <w:rFonts w:ascii="Cambria Math" w:hAnsi="Cambria Math"/>
              </w:rPr>
              <m:t>-1</m:t>
            </m:r>
          </m:sup>
        </m:sSup>
        <m:r>
          <w:rPr>
            <w:rFonts w:ascii="Cambria Math" w:hAnsi="Cambria Math"/>
          </w:rPr>
          <m:t>∅</m:t>
        </m:r>
        <m:r>
          <w:rPr>
            <w:rFonts w:ascii="Cambria Math" w:eastAsiaTheme="minorEastAsia" w:hAnsi="Cambria Math"/>
          </w:rPr>
          <m:t>+E</m:t>
        </m:r>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β+1</m:t>
                        </m:r>
                      </m:e>
                    </m:d>
                  </m:e>
                  <m:sup>
                    <m:r>
                      <w:rPr>
                        <w:rFonts w:ascii="Cambria Math" w:eastAsiaTheme="minorEastAsia" w:hAnsi="Cambria Math"/>
                      </w:rPr>
                      <m:t>2</m:t>
                    </m:r>
                  </m:sup>
                </m:sSup>
                <m:r>
                  <w:rPr>
                    <w:rFonts w:ascii="Cambria Math" w:eastAsiaTheme="minorEastAsia" w:hAnsi="Cambria Math"/>
                  </w:rPr>
                  <m:t>-2β</m:t>
                </m:r>
                <m:d>
                  <m:dPr>
                    <m:ctrlPr>
                      <w:rPr>
                        <w:rFonts w:ascii="Cambria Math" w:eastAsiaTheme="minorEastAsia" w:hAnsi="Cambria Math"/>
                        <w:i/>
                      </w:rPr>
                    </m:ctrlPr>
                  </m:dPr>
                  <m:e>
                    <m:r>
                      <w:rPr>
                        <w:rFonts w:ascii="Cambria Math" w:eastAsiaTheme="minorEastAsia" w:hAnsi="Cambria Math"/>
                      </w:rPr>
                      <m:t>1+α sinθ</m:t>
                    </m:r>
                  </m:e>
                </m:d>
              </m:num>
              <m:den>
                <m:r>
                  <w:rPr>
                    <w:rFonts w:ascii="Cambria Math" w:eastAsiaTheme="minorEastAsia" w:hAnsi="Cambria Math"/>
                  </w:rPr>
                  <m:t>AB</m:t>
                </m:r>
              </m:den>
            </m:f>
          </m:e>
        </m:d>
        <m:sSup>
          <m:sSupPr>
            <m:ctrlPr>
              <w:rPr>
                <w:rFonts w:ascii="Cambria Math" w:eastAsiaTheme="minorEastAsia" w:hAnsi="Cambria Math"/>
                <w:i/>
              </w:rPr>
            </m:ctrlPr>
          </m:sSupPr>
          <m:e>
            <m:r>
              <w:rPr>
                <w:rFonts w:ascii="Cambria Math" w:eastAsiaTheme="minorEastAsia" w:hAnsi="Cambria Math"/>
              </w:rPr>
              <m:t>tan</m:t>
            </m:r>
          </m:e>
          <m:sup>
            <m:r>
              <w:rPr>
                <w:rFonts w:ascii="Cambria Math" w:eastAsiaTheme="minorEastAsia" w:hAnsi="Cambria Math"/>
              </w:rPr>
              <m:t>-1</m:t>
            </m:r>
          </m:sup>
        </m:s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B</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cosθ</m:t>
            </m:r>
          </m:num>
          <m:den>
            <m:r>
              <w:rPr>
                <w:rFonts w:ascii="Cambria Math" w:eastAsiaTheme="minorEastAsia" w:hAnsi="Cambria Math"/>
              </w:rPr>
              <m:t>C</m:t>
            </m:r>
          </m:den>
        </m:f>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tan</m:t>
                </m:r>
              </m:e>
              <m:sup>
                <m:r>
                  <w:rPr>
                    <w:rFonts w:ascii="Cambria Math" w:eastAsiaTheme="minorEastAsia" w:hAnsi="Cambria Math"/>
                  </w:rPr>
                  <m:t>-1</m:t>
                </m:r>
              </m:sup>
            </m:s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αβ-</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m:t>
                        </m:r>
                      </m:sup>
                    </m:sSup>
                    <m:r>
                      <w:rPr>
                        <w:rFonts w:ascii="Cambria Math" w:eastAsiaTheme="minorEastAsia" w:hAnsi="Cambria Math"/>
                      </w:rPr>
                      <m:t>sinθ</m:t>
                    </m:r>
                  </m:num>
                  <m:den>
                    <m:r>
                      <w:rPr>
                        <w:rFonts w:ascii="Cambria Math" w:eastAsiaTheme="minorEastAsia" w:hAnsi="Cambria Math"/>
                      </w:rPr>
                      <m:t>FC</m:t>
                    </m:r>
                  </m:den>
                </m:f>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tan</m:t>
                </m:r>
              </m:e>
              <m:sup>
                <m:r>
                  <w:rPr>
                    <w:rFonts w:ascii="Cambria Math" w:eastAsiaTheme="minorEastAsia" w:hAnsi="Cambria Math"/>
                  </w:rPr>
                  <m:t>-1</m:t>
                </m:r>
              </m:sup>
            </m:s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F sinθ</m:t>
                    </m:r>
                  </m:num>
                  <m:den>
                    <m:r>
                      <w:rPr>
                        <w:rFonts w:ascii="Cambria Math" w:eastAsiaTheme="minorEastAsia" w:hAnsi="Cambria Math"/>
                      </w:rPr>
                      <m:t>C</m:t>
                    </m:r>
                  </m:den>
                </m:f>
              </m:e>
            </m:d>
          </m:e>
        </m:d>
      </m:oMath>
      <w:r w:rsidR="00FA2C8B">
        <w:t xml:space="preserve"> </w:t>
      </w:r>
    </w:p>
    <w:p w14:paraId="482B7EF1" w14:textId="77777777" w:rsidR="00EA4C58" w:rsidRPr="00940719" w:rsidRDefault="001B609B" w:rsidP="00940719">
      <m:oMath>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 xml:space="preserve"> tan</m:t>
            </m:r>
          </m:e>
          <m:sup>
            <m:r>
              <w:rPr>
                <w:rFonts w:ascii="Cambria Math" w:hAnsi="Cambria Math"/>
              </w:rPr>
              <m:t>-1</m:t>
            </m:r>
          </m:sup>
        </m:s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sinθ</m:t>
            </m:r>
          </m:num>
          <m:den>
            <m:r>
              <w:rPr>
                <w:rFonts w:ascii="Cambria Math" w:eastAsiaTheme="minorEastAsia" w:hAnsi="Cambria Math"/>
              </w:rPr>
              <m:t>C</m:t>
            </m:r>
          </m:den>
        </m:f>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tan</m:t>
                </m:r>
              </m:e>
              <m:sup>
                <m:r>
                  <w:rPr>
                    <w:rFonts w:ascii="Cambria Math" w:eastAsiaTheme="minorEastAsia" w:hAnsi="Cambria Math"/>
                  </w:rPr>
                  <m:t>-1</m:t>
                </m:r>
              </m:sup>
            </m:s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αβ-</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m:t>
                        </m:r>
                      </m:sup>
                    </m:sSup>
                    <m:r>
                      <w:rPr>
                        <w:rFonts w:ascii="Cambria Math" w:eastAsiaTheme="minorEastAsia" w:hAnsi="Cambria Math"/>
                      </w:rPr>
                      <m:t xml:space="preserve"> sinθ</m:t>
                    </m:r>
                  </m:num>
                  <m:den>
                    <m:r>
                      <w:rPr>
                        <w:rFonts w:ascii="Cambria Math" w:eastAsiaTheme="minorEastAsia" w:hAnsi="Cambria Math"/>
                      </w:rPr>
                      <m:t>FC</m:t>
                    </m:r>
                  </m:den>
                </m:f>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tan</m:t>
                </m:r>
              </m:e>
              <m:sup>
                <m:r>
                  <w:rPr>
                    <w:rFonts w:ascii="Cambria Math" w:eastAsiaTheme="minorEastAsia" w:hAnsi="Cambria Math"/>
                  </w:rPr>
                  <m:t>-1</m:t>
                </m:r>
              </m:sup>
            </m:s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F sinθ</m:t>
                    </m:r>
                  </m:num>
                  <m:den>
                    <m:r>
                      <w:rPr>
                        <w:rFonts w:ascii="Cambria Math" w:eastAsiaTheme="minorEastAsia" w:hAnsi="Cambria Math"/>
                      </w:rPr>
                      <m:t>C</m:t>
                    </m:r>
                  </m:den>
                </m:f>
              </m:e>
            </m:d>
          </m:e>
        </m:d>
        <m:r>
          <w:rPr>
            <w:rFonts w:ascii="Cambria Math"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β+1</m:t>
                        </m:r>
                      </m:e>
                    </m:d>
                  </m:e>
                  <m:sup>
                    <m:r>
                      <w:rPr>
                        <w:rFonts w:ascii="Cambria Math" w:eastAsiaTheme="minorEastAsia" w:hAnsi="Cambria Math"/>
                      </w:rPr>
                      <m:t>2</m:t>
                    </m:r>
                  </m:sup>
                </m:sSup>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β+1+αβ sinθ</m:t>
                    </m:r>
                  </m:e>
                </m:d>
              </m:num>
              <m:den>
                <m:r>
                  <w:rPr>
                    <w:rFonts w:ascii="Cambria Math" w:eastAsiaTheme="minorEastAsia" w:hAnsi="Cambria Math"/>
                  </w:rPr>
                  <m:t>AB</m:t>
                </m:r>
              </m:den>
            </m:f>
          </m:e>
        </m:d>
        <m:sSup>
          <m:sSupPr>
            <m:ctrlPr>
              <w:rPr>
                <w:rFonts w:ascii="Cambria Math" w:eastAsiaTheme="minorEastAsia" w:hAnsi="Cambria Math"/>
                <w:i/>
              </w:rPr>
            </m:ctrlPr>
          </m:sSupPr>
          <m:e>
            <m:r>
              <w:rPr>
                <w:rFonts w:ascii="Cambria Math" w:eastAsiaTheme="minorEastAsia" w:hAnsi="Cambria Math"/>
              </w:rPr>
              <m:t>tan</m:t>
            </m:r>
          </m:e>
          <m:sup>
            <m:r>
              <w:rPr>
                <w:rFonts w:ascii="Cambria Math" w:eastAsiaTheme="minorEastAsia" w:hAnsi="Cambria Math"/>
              </w:rPr>
              <m:t>-1</m:t>
            </m:r>
          </m:sup>
        </m:s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B</m:t>
                </m:r>
              </m:den>
            </m:f>
          </m:e>
        </m:d>
      </m:oMath>
      <w:r w:rsidR="00FA2C8B">
        <w:t xml:space="preserve"> </w:t>
      </w:r>
    </w:p>
    <w:p w14:paraId="078AC4B6" w14:textId="12E73FCE" w:rsidR="001B609B" w:rsidRDefault="00FA2C8B" w:rsidP="007048EC">
      <m:oMath>
        <m:r>
          <w:rPr>
            <w:rFonts w:ascii="Cambria Math" w:hAnsi="Cambria Math"/>
          </w:rPr>
          <m:t>α=</m:t>
        </m:r>
        <m:f>
          <m:fPr>
            <m:ctrlPr>
              <w:rPr>
                <w:rFonts w:ascii="Cambria Math" w:hAnsi="Cambria Math"/>
                <w:i/>
              </w:rPr>
            </m:ctrlPr>
          </m:fPr>
          <m:num>
            <m:r>
              <w:rPr>
                <w:rFonts w:ascii="Cambria Math" w:hAnsi="Cambria Math"/>
              </w:rPr>
              <m:t>L</m:t>
            </m:r>
          </m:num>
          <m:den>
            <m:r>
              <w:rPr>
                <w:rFonts w:ascii="Cambria Math" w:hAnsi="Cambria Math"/>
              </w:rPr>
              <m:t>R</m:t>
            </m:r>
          </m:den>
        </m:f>
      </m:oMath>
      <w:r>
        <w:rPr>
          <w:rFonts w:eastAsiaTheme="minorEastAsia"/>
        </w:rPr>
        <w:t xml:space="preserve"> </w:t>
      </w:r>
      <w:r w:rsidR="0085017E">
        <w:rPr>
          <w:rFonts w:eastAsiaTheme="minorEastAsia"/>
        </w:rPr>
        <w:t>;</w:t>
      </w:r>
      <w:r w:rsidR="0085017E">
        <w:rPr>
          <w:rFonts w:eastAsiaTheme="minorEastAsia"/>
        </w:rPr>
        <w:tab/>
        <w:t xml:space="preserve"> </w:t>
      </w:r>
      <m:oMath>
        <m:r>
          <w:rPr>
            <w:rFonts w:ascii="Cambria Math" w:eastAsiaTheme="minorEastAsia" w:hAnsi="Cambria Math"/>
          </w:rPr>
          <m:t>β=</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R</m:t>
            </m:r>
          </m:den>
        </m:f>
      </m:oMath>
      <w:r>
        <w:t xml:space="preserve"> </w:t>
      </w:r>
    </w:p>
    <w:p w14:paraId="71A93BFA" w14:textId="77777777" w:rsidR="00FA2C8B" w:rsidRDefault="00FA2C8B" w:rsidP="007048EC">
      <m:oMath>
        <m:r>
          <w:rPr>
            <w:rFonts w:ascii="Cambria Math" w:hAnsi="Cambria Math"/>
          </w:rPr>
          <m:t>A=</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β+1</m:t>
                    </m:r>
                  </m:e>
                </m:d>
              </m:e>
              <m:sup>
                <m:r>
                  <w:rPr>
                    <w:rFonts w:ascii="Cambria Math" w:hAnsi="Cambria Math"/>
                  </w:rPr>
                  <m:t>2</m:t>
                </m:r>
              </m:sup>
            </m:sSup>
            <m:r>
              <w:rPr>
                <w:rFonts w:ascii="Cambria Math" w:hAnsi="Cambria Math"/>
              </w:rPr>
              <m:t>-2α</m:t>
            </m:r>
            <m:d>
              <m:dPr>
                <m:ctrlPr>
                  <w:rPr>
                    <w:rFonts w:ascii="Cambria Math" w:hAnsi="Cambria Math"/>
                    <w:i/>
                  </w:rPr>
                </m:ctrlPr>
              </m:dPr>
              <m:e>
                <m:r>
                  <w:rPr>
                    <w:rFonts w:ascii="Cambria Math" w:hAnsi="Cambria Math"/>
                  </w:rPr>
                  <m:t>β+1</m:t>
                </m:r>
              </m:e>
            </m:d>
            <m:r>
              <w:rPr>
                <w:rFonts w:ascii="Cambria Math" w:hAnsi="Cambria Math"/>
              </w:rPr>
              <m:t>sinθ</m:t>
            </m:r>
          </m:e>
        </m:rad>
      </m:oMath>
      <w:r>
        <w:t xml:space="preserve"> </w:t>
      </w:r>
    </w:p>
    <w:p w14:paraId="046ED910" w14:textId="77777777" w:rsidR="00FA2C8B" w:rsidRDefault="00FA2C8B" w:rsidP="007048EC">
      <m:oMath>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β-1</m:t>
                    </m:r>
                  </m:e>
                </m:d>
              </m:e>
              <m:sup>
                <m:r>
                  <w:rPr>
                    <w:rFonts w:ascii="Cambria Math" w:hAnsi="Cambria Math"/>
                  </w:rPr>
                  <m:t>2</m:t>
                </m:r>
              </m:sup>
            </m:sSup>
            <m:r>
              <w:rPr>
                <w:rFonts w:ascii="Cambria Math" w:hAnsi="Cambria Math"/>
              </w:rPr>
              <m:t>-2α</m:t>
            </m:r>
            <m:d>
              <m:dPr>
                <m:ctrlPr>
                  <w:rPr>
                    <w:rFonts w:ascii="Cambria Math" w:hAnsi="Cambria Math"/>
                    <w:i/>
                  </w:rPr>
                </m:ctrlPr>
              </m:dPr>
              <m:e>
                <m:r>
                  <w:rPr>
                    <w:rFonts w:ascii="Cambria Math" w:hAnsi="Cambria Math"/>
                  </w:rPr>
                  <m:t>β-1</m:t>
                </m:r>
              </m:e>
            </m:d>
            <m:r>
              <w:rPr>
                <w:rFonts w:ascii="Cambria Math" w:hAnsi="Cambria Math"/>
              </w:rPr>
              <m:t>sinθ</m:t>
            </m:r>
          </m:e>
        </m:rad>
      </m:oMath>
      <w:r>
        <w:t xml:space="preserve"> </w:t>
      </w:r>
    </w:p>
    <w:p w14:paraId="2B89FC60" w14:textId="77777777" w:rsidR="00FA2C8B" w:rsidRDefault="00FA2C8B" w:rsidP="007048EC">
      <m:oMath>
        <m:r>
          <w:rPr>
            <w:rFonts w:ascii="Cambria Math" w:hAnsi="Cambria Math"/>
          </w:rPr>
          <m:t>C=</m:t>
        </m:r>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θ</m:t>
            </m:r>
          </m:e>
        </m:rad>
      </m:oMath>
      <w:r>
        <w:t xml:space="preserve"> </w:t>
      </w:r>
    </w:p>
    <w:p w14:paraId="67A3C63D" w14:textId="77777777" w:rsidR="00FA2C8B" w:rsidRDefault="00FA2C8B" w:rsidP="007048EC">
      <w:pPr>
        <w:rPr>
          <w:rFonts w:eastAsiaTheme="minorEastAsia"/>
        </w:rPr>
      </w:pPr>
      <m:oMath>
        <m:r>
          <w:rPr>
            <w:rFonts w:ascii="Cambria Math" w:hAnsi="Cambria Math"/>
          </w:rPr>
          <m:t>∅=</m:t>
        </m:r>
        <m:rad>
          <m:radPr>
            <m:degHide m:val="1"/>
            <m:ctrlPr>
              <w:rPr>
                <w:rFonts w:ascii="Cambria Math" w:hAnsi="Cambria Math"/>
                <w:i/>
              </w:rPr>
            </m:ctrlPr>
          </m:radPr>
          <m:deg/>
          <m:e>
            <m:r>
              <w:rPr>
                <w:rFonts w:ascii="Cambria Math" w:hAnsi="Cambria Math"/>
              </w:rPr>
              <m:t>(β-1)/(β+1)</m:t>
            </m:r>
          </m:e>
        </m:rad>
      </m:oMath>
      <w:r>
        <w:rPr>
          <w:rFonts w:eastAsiaTheme="minorEastAsia"/>
        </w:rPr>
        <w:t xml:space="preserve"> </w:t>
      </w:r>
    </w:p>
    <w:p w14:paraId="3D11992B" w14:textId="06C022B1" w:rsidR="00FA2C8B" w:rsidRPr="00FA2C8B" w:rsidRDefault="00FA2C8B" w:rsidP="007048EC">
      <w:pPr>
        <w:rPr>
          <w:rFonts w:eastAsiaTheme="minorEastAsia"/>
        </w:rPr>
      </w:pPr>
      <m:oMath>
        <m:r>
          <w:rPr>
            <w:rFonts w:ascii="Cambria Math" w:hAnsi="Cambria Math"/>
          </w:rPr>
          <m:t>E=</m:t>
        </m:r>
        <m:f>
          <m:fPr>
            <m:ctrlPr>
              <w:rPr>
                <w:rFonts w:ascii="Cambria Math" w:hAnsi="Cambria Math"/>
                <w:i/>
              </w:rPr>
            </m:ctrlPr>
          </m:fPr>
          <m:num>
            <m:r>
              <w:rPr>
                <w:rFonts w:ascii="Cambria Math" w:hAnsi="Cambria Math"/>
              </w:rPr>
              <m:t>α cosθ</m:t>
            </m:r>
          </m:num>
          <m:den>
            <m:r>
              <w:rPr>
                <w:rFonts w:ascii="Cambria Math" w:hAnsi="Cambria Math"/>
              </w:rPr>
              <m:t>β-α sinθ</m:t>
            </m:r>
          </m:den>
        </m:f>
      </m:oMath>
      <w:r w:rsidR="0085017E">
        <w:t xml:space="preserve"> ;</w:t>
      </w:r>
      <w:r w:rsidR="0085017E">
        <w:tab/>
        <w:t xml:space="preserve"> </w:t>
      </w:r>
      <m:oMath>
        <m:r>
          <w:rPr>
            <w:rFonts w:ascii="Cambria Math" w:hAnsi="Cambria Math"/>
          </w:rPr>
          <m:t>F=</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-1</m:t>
            </m:r>
          </m:e>
        </m:rad>
      </m:oMath>
      <w:r>
        <w:rPr>
          <w:rFonts w:eastAsiaTheme="minorEastAsia"/>
        </w:rPr>
        <w:t xml:space="preserve"> </w:t>
      </w:r>
    </w:p>
    <w:p w14:paraId="672DC87B" w14:textId="77777777" w:rsidR="00FA2C8B" w:rsidRDefault="00C2614F" w:rsidP="00272CC5">
      <w:pPr>
        <w:jc w:val="both"/>
      </w:pPr>
      <w:r>
        <w:t>T</w:t>
      </w:r>
      <w:r w:rsidR="00FA2C8B">
        <w:t>he angle of tilt</w:t>
      </w:r>
      <w:r>
        <w:t>, θ,</w:t>
      </w:r>
      <w:r w:rsidR="00FA2C8B">
        <w:t xml:space="preserve"> can be calculated as a function of wind speed u</w:t>
      </w:r>
      <w:r w:rsidR="00FA2C8B" w:rsidRPr="00FA2C8B">
        <w:rPr>
          <w:vertAlign w:val="subscript"/>
        </w:rPr>
        <w:t>w</w:t>
      </w:r>
      <w:r w:rsidR="00FA2C8B">
        <w:t xml:space="preserve"> as (Pritchard and Binding, 1992):</w:t>
      </w:r>
    </w:p>
    <w:p w14:paraId="627109EC" w14:textId="77777777" w:rsidR="00FA2C8B" w:rsidRDefault="00B81D30" w:rsidP="007048EC">
      <w:pPr>
        <w:rPr>
          <w:rFonts w:eastAsiaTheme="minorEastAsia"/>
        </w:rPr>
      </w:pPr>
      <m:oMath>
        <m:f>
          <m:fPr>
            <m:ctrlPr>
              <w:rPr>
                <w:rFonts w:ascii="Cambria Math" w:hAnsi="Cambria Math"/>
                <w:i/>
              </w:rPr>
            </m:ctrlPr>
          </m:fPr>
          <m:num>
            <m:r>
              <w:rPr>
                <w:rFonts w:ascii="Cambria Math" w:hAnsi="Cambria Math"/>
              </w:rPr>
              <m:t>tanθ</m:t>
            </m:r>
          </m:num>
          <m:den>
            <m:r>
              <w:rPr>
                <w:rFonts w:ascii="Cambria Math" w:hAnsi="Cambria Math"/>
              </w:rPr>
              <m:t>cosθ</m:t>
            </m:r>
          </m:den>
        </m:f>
        <m:r>
          <w:rPr>
            <w:rFonts w:ascii="Cambria Math" w:hAnsi="Cambria Math"/>
          </w:rPr>
          <m:t>=0.666</m:t>
        </m:r>
        <m:sSup>
          <m:sSupPr>
            <m:ctrlPr>
              <w:rPr>
                <w:rFonts w:ascii="Cambria Math" w:hAnsi="Cambria Math"/>
                <w:i/>
              </w:rPr>
            </m:ctrlPr>
          </m:sSupPr>
          <m:e>
            <m:r>
              <w:rPr>
                <w:rFonts w:ascii="Cambria Math" w:hAnsi="Cambria Math"/>
              </w:rPr>
              <m:t>Fr</m:t>
            </m:r>
          </m:e>
          <m:sup>
            <m:r>
              <w:rPr>
                <w:rFonts w:ascii="Cambria Math" w:hAnsi="Cambria Math"/>
              </w:rPr>
              <m:t>0.333</m:t>
            </m:r>
          </m:sup>
        </m:sSup>
        <m:sSup>
          <m:sSupPr>
            <m:ctrlPr>
              <w:rPr>
                <w:rFonts w:ascii="Cambria Math" w:hAnsi="Cambria Math"/>
                <w:i/>
              </w:rPr>
            </m:ctrlPr>
          </m:sSupPr>
          <m:e>
            <m:r>
              <w:rPr>
                <w:rFonts w:ascii="Cambria Math" w:hAnsi="Cambria Math"/>
              </w:rPr>
              <m:t>Re</m:t>
            </m:r>
          </m:e>
          <m:sup>
            <m:r>
              <w:rPr>
                <w:rFonts w:ascii="Cambria Math" w:hAnsi="Cambria Math"/>
              </w:rPr>
              <m:t>0.117</m:t>
            </m:r>
          </m:sup>
        </m:sSup>
      </m:oMath>
      <w:r w:rsidR="00EB6A25">
        <w:rPr>
          <w:rFonts w:eastAsiaTheme="minorEastAsia"/>
        </w:rPr>
        <w:t xml:space="preserve"> </w:t>
      </w:r>
    </w:p>
    <w:p w14:paraId="25968A83" w14:textId="7F2E252A" w:rsidR="00EB6A25" w:rsidRDefault="00C2614F" w:rsidP="00A509AA">
      <w:pPr>
        <w:spacing w:after="240"/>
        <w:jc w:val="both"/>
      </w:pPr>
      <w:r>
        <w:rPr>
          <w:rFonts w:eastAsiaTheme="minorEastAsia"/>
        </w:rPr>
        <w:t xml:space="preserve">where </w:t>
      </w:r>
      <w:r w:rsidR="00EB6A25">
        <w:t xml:space="preserve">Fr is the Froud number </w:t>
      </w:r>
      <m:oMath>
        <m:r>
          <w:rPr>
            <w:rFonts w:ascii="Cambria Math" w:hAnsi="Cambria Math"/>
          </w:rPr>
          <m:t>Fr=</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w</m:t>
                    </m:r>
                  </m:sub>
                </m:sSub>
              </m:e>
              <m:sup>
                <m:r>
                  <w:rPr>
                    <w:rFonts w:ascii="Cambria Math" w:hAnsi="Cambria Math"/>
                  </w:rPr>
                  <m:t>2</m:t>
                </m:r>
              </m:sup>
            </m:sSup>
          </m:num>
          <m:den>
            <m:r>
              <w:rPr>
                <w:rFonts w:ascii="Cambria Math" w:hAnsi="Cambria Math"/>
              </w:rPr>
              <m:t>g∅</m:t>
            </m:r>
          </m:den>
        </m:f>
      </m:oMath>
      <w:r w:rsidR="00EB6A25">
        <w:t xml:space="preserve">, and Re is the Reynolds number </w:t>
      </w:r>
      <m:oMath>
        <m:r>
          <w:rPr>
            <w:rFonts w:ascii="Cambria Math" w:hAnsi="Cambria Math"/>
          </w:rPr>
          <m:t>Re=</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w</m:t>
                </m:r>
              </m:sub>
            </m:sSub>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rPr>
              <m:t>∅</m:t>
            </m:r>
          </m:num>
          <m:den>
            <m:sSub>
              <m:sSubPr>
                <m:ctrlPr>
                  <w:rPr>
                    <w:rFonts w:ascii="Cambria Math" w:hAnsi="Cambria Math"/>
                    <w:i/>
                  </w:rPr>
                </m:ctrlPr>
              </m:sSubPr>
              <m:e>
                <m:r>
                  <w:rPr>
                    <w:rFonts w:ascii="Cambria Math" w:hAnsi="Cambria Math"/>
                  </w:rPr>
                  <m:t>η</m:t>
                </m:r>
              </m:e>
              <m:sub>
                <m:r>
                  <w:rPr>
                    <w:rFonts w:ascii="Cambria Math" w:hAnsi="Cambria Math"/>
                  </w:rPr>
                  <m:t>a</m:t>
                </m:r>
              </m:sub>
            </m:sSub>
          </m:den>
        </m:f>
      </m:oMath>
      <w:r>
        <w:rPr>
          <w:rFonts w:eastAsiaTheme="minorEastAsia"/>
        </w:rPr>
        <w:t>, both non-dimensional numbers</w:t>
      </w:r>
      <w:r w:rsidR="00EB6A25">
        <w:rPr>
          <w:rFonts w:eastAsiaTheme="minorEastAsia"/>
        </w:rPr>
        <w:t>.</w:t>
      </w:r>
      <w:r>
        <w:rPr>
          <w:rFonts w:eastAsiaTheme="minorEastAsia"/>
        </w:rPr>
        <w:t xml:space="preserve"> </w:t>
      </w:r>
      <m:oMath>
        <m:sSub>
          <m:sSubPr>
            <m:ctrlPr>
              <w:rPr>
                <w:rFonts w:ascii="Cambria Math" w:hAnsi="Cambria Math"/>
                <w:i/>
              </w:rPr>
            </m:ctrlPr>
          </m:sSubPr>
          <m:e>
            <m:r>
              <w:rPr>
                <w:rFonts w:ascii="Cambria Math" w:hAnsi="Cambria Math"/>
              </w:rPr>
              <m:t>ρ</m:t>
            </m:r>
          </m:e>
          <m:sub>
            <m:r>
              <w:rPr>
                <w:rFonts w:ascii="Cambria Math" w:hAnsi="Cambria Math"/>
              </w:rPr>
              <m:t>a</m:t>
            </m:r>
          </m:sub>
        </m:sSub>
      </m:oMath>
      <w:r w:rsidR="00EB6A25">
        <w:rPr>
          <w:rFonts w:eastAsiaTheme="minorEastAsia"/>
        </w:rPr>
        <w:t xml:space="preserve"> and </w:t>
      </w:r>
      <m:oMath>
        <m:sSub>
          <m:sSubPr>
            <m:ctrlPr>
              <w:rPr>
                <w:rFonts w:ascii="Cambria Math" w:hAnsi="Cambria Math"/>
                <w:i/>
              </w:rPr>
            </m:ctrlPr>
          </m:sSubPr>
          <m:e>
            <m:r>
              <w:rPr>
                <w:rFonts w:ascii="Cambria Math" w:hAnsi="Cambria Math"/>
              </w:rPr>
              <m:t>η</m:t>
            </m:r>
          </m:e>
          <m:sub>
            <m:r>
              <w:rPr>
                <w:rFonts w:ascii="Cambria Math" w:hAnsi="Cambria Math"/>
              </w:rPr>
              <m:t>a</m:t>
            </m:r>
          </m:sub>
        </m:sSub>
      </m:oMath>
      <w:r w:rsidR="00EB6A25">
        <w:rPr>
          <w:rFonts w:eastAsiaTheme="minorEastAsia"/>
        </w:rPr>
        <w:t xml:space="preserve"> are, respectively, the density (~ 1.21 kg/m</w:t>
      </w:r>
      <w:r w:rsidR="00EB6A25" w:rsidRPr="00EB6A25">
        <w:rPr>
          <w:rFonts w:eastAsiaTheme="minorEastAsia"/>
          <w:vertAlign w:val="superscript"/>
        </w:rPr>
        <w:t>3</w:t>
      </w:r>
      <w:r w:rsidR="00EB6A25">
        <w:rPr>
          <w:rFonts w:eastAsiaTheme="minorEastAsia"/>
        </w:rPr>
        <w:t xml:space="preserve">) </w:t>
      </w:r>
      <w:r w:rsidR="00EB6A25">
        <w:t>and viscosity (~ 16.7 μ Pa s) of air</w:t>
      </w:r>
      <w:r w:rsidR="00A31061">
        <w:t>;</w:t>
      </w:r>
      <w:r w:rsidR="00EB6A25">
        <w:t xml:space="preserve"> </w:t>
      </w:r>
      <w:r w:rsidR="001F5DF7">
        <w:t>g is gravitational acceleration (~ 9.81 m/s</w:t>
      </w:r>
      <w:r w:rsidR="001F5DF7" w:rsidRPr="001F5DF7">
        <w:rPr>
          <w:vertAlign w:val="superscript"/>
        </w:rPr>
        <w:t>2</w:t>
      </w:r>
      <w:r w:rsidR="001F5DF7">
        <w:t xml:space="preserve">). </w:t>
      </w:r>
    </w:p>
    <w:p w14:paraId="62CAD2F4" w14:textId="77777777" w:rsidR="007048EC" w:rsidRPr="007048EC" w:rsidRDefault="007048EC" w:rsidP="007048EC">
      <w:pPr>
        <w:rPr>
          <w:rFonts w:asciiTheme="majorHAnsi" w:eastAsiaTheme="majorEastAsia" w:hAnsiTheme="majorHAnsi" w:cstheme="majorBidi"/>
          <w:b/>
          <w:bCs/>
          <w:color w:val="365F91" w:themeColor="accent1" w:themeShade="BF"/>
          <w:sz w:val="24"/>
          <w:szCs w:val="28"/>
        </w:rPr>
      </w:pPr>
      <w:r w:rsidRPr="007048EC">
        <w:rPr>
          <w:rFonts w:asciiTheme="majorHAnsi" w:eastAsiaTheme="majorEastAsia" w:hAnsiTheme="majorHAnsi" w:cstheme="majorBidi"/>
          <w:b/>
          <w:bCs/>
          <w:color w:val="365F91" w:themeColor="accent1" w:themeShade="BF"/>
          <w:sz w:val="24"/>
          <w:szCs w:val="28"/>
        </w:rPr>
        <w:t>References</w:t>
      </w:r>
    </w:p>
    <w:p w14:paraId="048DCD43" w14:textId="77777777" w:rsidR="00D27DFC" w:rsidRPr="009F51EE" w:rsidRDefault="00D27DFC" w:rsidP="009F51EE">
      <w:pPr>
        <w:pStyle w:val="ListParagraph"/>
        <w:numPr>
          <w:ilvl w:val="0"/>
          <w:numId w:val="12"/>
        </w:numPr>
        <w:rPr>
          <w:sz w:val="20"/>
          <w:szCs w:val="20"/>
          <w:lang w:val="en-US"/>
        </w:rPr>
      </w:pPr>
      <w:r w:rsidRPr="009F51EE">
        <w:rPr>
          <w:sz w:val="20"/>
          <w:szCs w:val="20"/>
        </w:rPr>
        <w:t>Abdolhamidzadeh B, Abbasi T, Rashtchian D, Abbasi SA. A new method for assessing domino effect in chemical process industry. Journal of Hazardous Materials, 2010; 182: 416–26.</w:t>
      </w:r>
    </w:p>
    <w:p w14:paraId="1B906190" w14:textId="77777777" w:rsidR="007F068E" w:rsidRPr="009F51EE" w:rsidRDefault="007F068E" w:rsidP="009F51EE">
      <w:pPr>
        <w:pStyle w:val="ListParagraph"/>
        <w:numPr>
          <w:ilvl w:val="0"/>
          <w:numId w:val="12"/>
        </w:numPr>
        <w:rPr>
          <w:sz w:val="20"/>
          <w:szCs w:val="20"/>
          <w:lang w:val="en-US"/>
        </w:rPr>
      </w:pPr>
      <w:r w:rsidRPr="009F51EE">
        <w:rPr>
          <w:sz w:val="20"/>
          <w:szCs w:val="20"/>
          <w:lang w:val="en-US"/>
        </w:rPr>
        <w:t xml:space="preserve">Alexander ME. Calculating and interpreting forest fire intensities. Canadian Journal of Botany, 1982, 60(4): 349-357. </w:t>
      </w:r>
    </w:p>
    <w:p w14:paraId="2C46BB56" w14:textId="77777777" w:rsidR="007F068E" w:rsidRPr="009F51EE" w:rsidRDefault="007F068E" w:rsidP="009F51EE">
      <w:pPr>
        <w:pStyle w:val="ListParagraph"/>
        <w:numPr>
          <w:ilvl w:val="0"/>
          <w:numId w:val="12"/>
        </w:numPr>
        <w:rPr>
          <w:sz w:val="20"/>
          <w:szCs w:val="20"/>
          <w:lang w:val="en-US"/>
        </w:rPr>
      </w:pPr>
      <w:r w:rsidRPr="009F51EE">
        <w:rPr>
          <w:sz w:val="20"/>
          <w:szCs w:val="20"/>
          <w:lang w:val="en-US"/>
        </w:rPr>
        <w:lastRenderedPageBreak/>
        <w:t>Alexander ME, Cruz MG. Interdependencies between flame length and fireline intensity in predicting crown fire initiation and crown scorch height. International Journal of Wildland Fire, 2012, 21, 95–113.</w:t>
      </w:r>
    </w:p>
    <w:p w14:paraId="308D9322" w14:textId="2444AB85" w:rsidR="007F068E" w:rsidRPr="009F51EE" w:rsidRDefault="007F068E" w:rsidP="009F51EE">
      <w:pPr>
        <w:pStyle w:val="ListParagraph"/>
        <w:numPr>
          <w:ilvl w:val="0"/>
          <w:numId w:val="12"/>
        </w:numPr>
        <w:rPr>
          <w:sz w:val="20"/>
          <w:szCs w:val="20"/>
          <w:lang w:val="en-US"/>
        </w:rPr>
      </w:pPr>
      <w:r w:rsidRPr="009F51EE">
        <w:rPr>
          <w:sz w:val="20"/>
          <w:szCs w:val="20"/>
          <w:lang w:val="en-US"/>
        </w:rPr>
        <w:t xml:space="preserve">Alberta Wildfire. Available from: </w:t>
      </w:r>
      <w:hyperlink r:id="rId57" w:history="1">
        <w:r w:rsidRPr="009F51EE">
          <w:rPr>
            <w:rStyle w:val="Hyperlink"/>
            <w:sz w:val="20"/>
            <w:szCs w:val="20"/>
            <w:lang w:val="en-US"/>
          </w:rPr>
          <w:t>http://wildfire.alberta.ca/wildfire-status/danger-forecast.aspx</w:t>
        </w:r>
      </w:hyperlink>
      <w:r w:rsidRPr="009F51EE">
        <w:rPr>
          <w:sz w:val="20"/>
          <w:szCs w:val="20"/>
          <w:lang w:val="en-US"/>
        </w:rPr>
        <w:t>.</w:t>
      </w:r>
    </w:p>
    <w:p w14:paraId="5AF1C0F9" w14:textId="54498A1F" w:rsidR="007F068E" w:rsidRPr="009F51EE" w:rsidRDefault="007F068E" w:rsidP="009F51EE">
      <w:pPr>
        <w:pStyle w:val="ListParagraph"/>
        <w:numPr>
          <w:ilvl w:val="0"/>
          <w:numId w:val="12"/>
        </w:numPr>
        <w:rPr>
          <w:sz w:val="20"/>
          <w:szCs w:val="20"/>
          <w:lang w:val="en-US"/>
        </w:rPr>
      </w:pPr>
      <w:r w:rsidRPr="009F51EE">
        <w:rPr>
          <w:sz w:val="20"/>
          <w:szCs w:val="20"/>
          <w:lang w:val="en-US"/>
        </w:rPr>
        <w:t xml:space="preserve">Utah State University. Available from: </w:t>
      </w:r>
      <w:hyperlink r:id="rId58" w:history="1">
        <w:r w:rsidRPr="009F51EE">
          <w:rPr>
            <w:rStyle w:val="Hyperlink"/>
            <w:sz w:val="20"/>
            <w:szCs w:val="20"/>
            <w:lang w:val="en-US"/>
          </w:rPr>
          <w:t>http://ocw.usu.edu/Forest__Range__and_Wildlife_Sciences/Wildland_Fire_Management_and_Planning/Unit_1__The_Fire_Environment_Part_2.html</w:t>
        </w:r>
      </w:hyperlink>
      <w:r w:rsidRPr="009F51EE">
        <w:rPr>
          <w:sz w:val="20"/>
          <w:szCs w:val="20"/>
          <w:lang w:val="en-US"/>
        </w:rPr>
        <w:t>).</w:t>
      </w:r>
    </w:p>
    <w:p w14:paraId="603BD662" w14:textId="77777777" w:rsidR="007F068E" w:rsidRPr="009F51EE" w:rsidRDefault="007F068E" w:rsidP="009F51EE">
      <w:pPr>
        <w:pStyle w:val="ListParagraph"/>
        <w:numPr>
          <w:ilvl w:val="0"/>
          <w:numId w:val="12"/>
        </w:numPr>
        <w:spacing w:after="160"/>
        <w:jc w:val="both"/>
        <w:rPr>
          <w:rFonts w:eastAsia="Times New Roman" w:cs="Times New Roman"/>
          <w:noProof w:val="0"/>
          <w:sz w:val="20"/>
          <w:szCs w:val="20"/>
          <w:lang w:val="en-GB" w:eastAsia="ja-JP"/>
        </w:rPr>
      </w:pPr>
      <w:r w:rsidRPr="009F51EE">
        <w:rPr>
          <w:rFonts w:eastAsia="Times New Roman" w:cs="Times New Roman"/>
          <w:noProof w:val="0"/>
          <w:sz w:val="20"/>
          <w:szCs w:val="20"/>
          <w:lang w:val="en-GB" w:eastAsia="ja-JP"/>
        </w:rPr>
        <w:t xml:space="preserve">ALOHA, 2014. US Environmental Protection Agency, National Oceanic and Atmospheric Administration. Available at: </w:t>
      </w:r>
      <w:hyperlink r:id="rId59" w:history="1">
        <w:r w:rsidRPr="009F51EE">
          <w:rPr>
            <w:rStyle w:val="Hyperlink"/>
            <w:rFonts w:eastAsia="Times New Roman" w:cs="Times New Roman"/>
            <w:noProof w:val="0"/>
            <w:sz w:val="20"/>
            <w:szCs w:val="20"/>
            <w:lang w:val="en-GB" w:eastAsia="ja-JP"/>
          </w:rPr>
          <w:t>http://www.epa.gov/OEM/cameo/aloha.htm</w:t>
        </w:r>
      </w:hyperlink>
    </w:p>
    <w:p w14:paraId="0B023D8C" w14:textId="6FFFD84E" w:rsidR="00800358" w:rsidRPr="009F51EE" w:rsidRDefault="00800358" w:rsidP="009F51EE">
      <w:pPr>
        <w:pStyle w:val="ListParagraph"/>
        <w:numPr>
          <w:ilvl w:val="0"/>
          <w:numId w:val="12"/>
        </w:numPr>
        <w:spacing w:after="160"/>
        <w:jc w:val="both"/>
        <w:rPr>
          <w:rFonts w:eastAsia="Times New Roman" w:cs="Times New Roman"/>
          <w:noProof w:val="0"/>
          <w:sz w:val="20"/>
          <w:szCs w:val="20"/>
          <w:lang w:val="en-GB" w:eastAsia="ja-JP"/>
        </w:rPr>
      </w:pPr>
      <w:r w:rsidRPr="009F51EE">
        <w:rPr>
          <w:sz w:val="20"/>
          <w:szCs w:val="20"/>
          <w:lang w:val="en-US"/>
        </w:rPr>
        <w:t>Andrews PL. Current status and future needs of the BehavePlus Fire Modeling System. International Journal of Wildland Fire, 2013, 23(1): 21-33.</w:t>
      </w:r>
    </w:p>
    <w:p w14:paraId="0F5F33A1" w14:textId="77777777" w:rsidR="007F068E" w:rsidRPr="009F51EE" w:rsidRDefault="007F068E" w:rsidP="009F51EE">
      <w:pPr>
        <w:pStyle w:val="ListParagraph"/>
        <w:numPr>
          <w:ilvl w:val="0"/>
          <w:numId w:val="12"/>
        </w:numPr>
        <w:spacing w:after="160"/>
        <w:jc w:val="both"/>
        <w:rPr>
          <w:sz w:val="20"/>
          <w:szCs w:val="20"/>
          <w:lang w:val="en-US"/>
        </w:rPr>
      </w:pPr>
      <w:r w:rsidRPr="009F51EE">
        <w:rPr>
          <w:sz w:val="20"/>
          <w:szCs w:val="20"/>
          <w:lang w:val="en-US"/>
        </w:rPr>
        <w:t>Assael MJ, Kakosimos KE. Fires, explosions, and toxic gas dispersions: effects calculation and risk analysis. 2010, CRC Press, Taylor &amp; Francis Group, Boca Raton, FL, ISBN: 978-1-4398-2675-1.</w:t>
      </w:r>
    </w:p>
    <w:p w14:paraId="16EC9F1A" w14:textId="0EA0575B" w:rsidR="00D27DFC" w:rsidRPr="009F51EE" w:rsidRDefault="00D27DFC" w:rsidP="009F51EE">
      <w:pPr>
        <w:pStyle w:val="ListParagraph"/>
        <w:numPr>
          <w:ilvl w:val="0"/>
          <w:numId w:val="12"/>
        </w:numPr>
        <w:rPr>
          <w:sz w:val="20"/>
          <w:szCs w:val="20"/>
        </w:rPr>
      </w:pPr>
      <w:r w:rsidRPr="009F51EE">
        <w:rPr>
          <w:sz w:val="20"/>
          <w:szCs w:val="20"/>
        </w:rPr>
        <w:t>Bagster DF, Pitblado RM. Estimation of domino incident frequencies - an approach. Process Safety and Environmental Protection, 1991; 69: 195–199.</w:t>
      </w:r>
    </w:p>
    <w:p w14:paraId="746DCE7B" w14:textId="77777777" w:rsidR="007F068E" w:rsidRPr="009F51EE" w:rsidRDefault="007F068E" w:rsidP="009F51EE">
      <w:pPr>
        <w:pStyle w:val="ListParagraph"/>
        <w:numPr>
          <w:ilvl w:val="0"/>
          <w:numId w:val="12"/>
        </w:numPr>
        <w:spacing w:after="160"/>
        <w:jc w:val="both"/>
        <w:rPr>
          <w:sz w:val="20"/>
          <w:szCs w:val="20"/>
          <w:lang w:val="en-US"/>
        </w:rPr>
      </w:pPr>
      <w:r w:rsidRPr="009F51EE">
        <w:rPr>
          <w:sz w:val="20"/>
          <w:szCs w:val="20"/>
          <w:lang w:val="en-US"/>
        </w:rPr>
        <w:t xml:space="preserve">Butler BW, Cohen JD. Field verification of a firefighter safety zone model. Proceedings of the 2000 International Wildfire Safety Summit, Edmonton, Alberta, October 10-12, 2000, pp: 54-61. </w:t>
      </w:r>
    </w:p>
    <w:p w14:paraId="748159E7" w14:textId="77777777" w:rsidR="007F068E" w:rsidRPr="009F51EE" w:rsidRDefault="007F068E" w:rsidP="009F51EE">
      <w:pPr>
        <w:pStyle w:val="ListParagraph"/>
        <w:numPr>
          <w:ilvl w:val="0"/>
          <w:numId w:val="12"/>
        </w:numPr>
        <w:rPr>
          <w:sz w:val="20"/>
          <w:szCs w:val="20"/>
          <w:lang w:val="en-US"/>
        </w:rPr>
      </w:pPr>
      <w:r w:rsidRPr="009F51EE">
        <w:rPr>
          <w:sz w:val="20"/>
          <w:szCs w:val="20"/>
          <w:lang w:val="en-US"/>
        </w:rPr>
        <w:t xml:space="preserve">Byram GM. 1959. Combustion of forest fuels. In Forest Fire: Control and Use. Edited by K.P. Davis. McGraw Hill, New York, 61-89. </w:t>
      </w:r>
    </w:p>
    <w:p w14:paraId="7FD95087" w14:textId="77777777" w:rsidR="007F068E" w:rsidRPr="009F51EE" w:rsidRDefault="007F068E" w:rsidP="009F51EE">
      <w:pPr>
        <w:pStyle w:val="ListParagraph"/>
        <w:numPr>
          <w:ilvl w:val="0"/>
          <w:numId w:val="12"/>
        </w:numPr>
        <w:rPr>
          <w:sz w:val="20"/>
          <w:szCs w:val="20"/>
        </w:rPr>
      </w:pPr>
      <w:r w:rsidRPr="009F51EE">
        <w:rPr>
          <w:sz w:val="20"/>
          <w:szCs w:val="20"/>
        </w:rPr>
        <w:t>Drossel B, Schwabl, F. Self-organized critical forest-fire model. Physical Review Letters, 1992; 69: 1629–1632.</w:t>
      </w:r>
    </w:p>
    <w:p w14:paraId="0B545A23" w14:textId="7F4791B6" w:rsidR="00D27DFC" w:rsidRPr="009F51EE" w:rsidRDefault="00D27DFC" w:rsidP="009F51EE">
      <w:pPr>
        <w:pStyle w:val="ListParagraph"/>
        <w:numPr>
          <w:ilvl w:val="0"/>
          <w:numId w:val="12"/>
        </w:numPr>
        <w:rPr>
          <w:sz w:val="20"/>
          <w:szCs w:val="20"/>
        </w:rPr>
      </w:pPr>
      <w:r w:rsidRPr="009F51EE">
        <w:rPr>
          <w:sz w:val="20"/>
          <w:szCs w:val="20"/>
        </w:rPr>
        <w:t xml:space="preserve">Campedel M. Analysis of major industrial accidents triggered by natural events reported in the principal available chemical accident databases. European Commission Joint Research Centre. EURScientific and Technical Research Report: JRC42281. OPOCE. 2008. ISSN: 1018-5593. Available from: </w:t>
      </w:r>
      <w:hyperlink r:id="rId60" w:history="1">
        <w:r w:rsidRPr="009F51EE">
          <w:rPr>
            <w:rStyle w:val="Hyperlink"/>
            <w:sz w:val="20"/>
            <w:szCs w:val="20"/>
          </w:rPr>
          <w:t>http://publications.jrc.ec.europa.eu/repository/handle/JRC42281</w:t>
        </w:r>
      </w:hyperlink>
      <w:r w:rsidRPr="009F51EE">
        <w:rPr>
          <w:sz w:val="20"/>
          <w:szCs w:val="20"/>
        </w:rPr>
        <w:t>.</w:t>
      </w:r>
    </w:p>
    <w:p w14:paraId="1567FCDD" w14:textId="77777777" w:rsidR="00D27DFC" w:rsidRPr="009F51EE" w:rsidRDefault="00D27DFC" w:rsidP="009F51EE">
      <w:pPr>
        <w:pStyle w:val="ListParagraph"/>
        <w:numPr>
          <w:ilvl w:val="0"/>
          <w:numId w:val="12"/>
        </w:numPr>
        <w:rPr>
          <w:sz w:val="20"/>
          <w:szCs w:val="20"/>
          <w:lang w:val="en-US"/>
        </w:rPr>
      </w:pPr>
      <w:r w:rsidRPr="009F51EE">
        <w:rPr>
          <w:sz w:val="20"/>
          <w:szCs w:val="20"/>
        </w:rPr>
        <w:t>Casal J. 2017. Evaluation of the Effects and Consequences of Major Accidents in Industrial Plants. 2nd Edition. Elsevier, ISBN: 9780444638830.</w:t>
      </w:r>
    </w:p>
    <w:p w14:paraId="56691A39" w14:textId="77777777" w:rsidR="007F068E" w:rsidRPr="009F51EE" w:rsidRDefault="007F068E" w:rsidP="009F51EE">
      <w:pPr>
        <w:pStyle w:val="ListParagraph"/>
        <w:numPr>
          <w:ilvl w:val="0"/>
          <w:numId w:val="12"/>
        </w:numPr>
        <w:rPr>
          <w:sz w:val="20"/>
          <w:szCs w:val="20"/>
          <w:lang w:val="en-US"/>
        </w:rPr>
      </w:pPr>
      <w:r w:rsidRPr="009F51EE">
        <w:rPr>
          <w:sz w:val="20"/>
          <w:szCs w:val="20"/>
          <w:lang w:val="en-US"/>
        </w:rPr>
        <w:t>Cheney NP. Quantifying bushfires. Mathematical and Computer Modelling, 1990, 13(12): 9-15.</w:t>
      </w:r>
    </w:p>
    <w:p w14:paraId="1073CBC3" w14:textId="77777777" w:rsidR="007F068E" w:rsidRPr="009F51EE" w:rsidRDefault="007F068E" w:rsidP="009F51EE">
      <w:pPr>
        <w:pStyle w:val="ListParagraph"/>
        <w:numPr>
          <w:ilvl w:val="0"/>
          <w:numId w:val="12"/>
        </w:numPr>
        <w:spacing w:after="160"/>
        <w:jc w:val="both"/>
        <w:rPr>
          <w:sz w:val="20"/>
          <w:szCs w:val="20"/>
          <w:lang w:val="en-GB"/>
        </w:rPr>
      </w:pPr>
      <w:r w:rsidRPr="009F51EE">
        <w:rPr>
          <w:sz w:val="20"/>
          <w:szCs w:val="20"/>
          <w:lang w:val="en-GB"/>
        </w:rPr>
        <w:t xml:space="preserve">Chuvieco E, Aguado I, Dimitrakopoulos AP. Conversion of fuel moisture content values to ignition potential for integrated fire danger assessment. Canadian Journal of Forest Research, 2004; 34(11): 2284-2293. </w:t>
      </w:r>
    </w:p>
    <w:p w14:paraId="61D5F8DE" w14:textId="77777777" w:rsidR="00D27DFC" w:rsidRPr="009F51EE" w:rsidRDefault="00D27DFC" w:rsidP="009F51EE">
      <w:pPr>
        <w:pStyle w:val="ListParagraph"/>
        <w:numPr>
          <w:ilvl w:val="0"/>
          <w:numId w:val="12"/>
        </w:numPr>
        <w:rPr>
          <w:sz w:val="20"/>
          <w:szCs w:val="20"/>
        </w:rPr>
      </w:pPr>
      <w:r w:rsidRPr="009F51EE">
        <w:rPr>
          <w:sz w:val="20"/>
          <w:szCs w:val="20"/>
        </w:rPr>
        <w:t>Cozzani V, Gubinelli G, Antonioni G, Spadoni G, Zanelli S. The assessment of risk caused by domino effect in quantitative area risk analysis. Journal of Hazardous Materials, 2005, A127, 14–30.</w:t>
      </w:r>
    </w:p>
    <w:p w14:paraId="5F636ED3" w14:textId="77777777" w:rsidR="00D27DFC" w:rsidRDefault="00D27DFC" w:rsidP="009F51EE">
      <w:pPr>
        <w:pStyle w:val="ListParagraph"/>
        <w:numPr>
          <w:ilvl w:val="0"/>
          <w:numId w:val="12"/>
        </w:numPr>
        <w:rPr>
          <w:sz w:val="20"/>
          <w:szCs w:val="20"/>
        </w:rPr>
      </w:pPr>
      <w:r w:rsidRPr="009F51EE">
        <w:rPr>
          <w:sz w:val="20"/>
          <w:szCs w:val="20"/>
        </w:rPr>
        <w:t xml:space="preserve">Cozzani V, Gubinelli G, Salzano E. Escalation thresholds in the assessment of domino accidental events. Journal of Hazardous Materials, 2006; A129: 1–21. </w:t>
      </w:r>
    </w:p>
    <w:p w14:paraId="208D6EF8" w14:textId="46F12F63" w:rsidR="00881C6C" w:rsidRPr="009F51EE" w:rsidRDefault="00881C6C" w:rsidP="00881C6C">
      <w:pPr>
        <w:pStyle w:val="ListParagraph"/>
        <w:numPr>
          <w:ilvl w:val="0"/>
          <w:numId w:val="12"/>
        </w:numPr>
        <w:rPr>
          <w:sz w:val="20"/>
          <w:szCs w:val="20"/>
        </w:rPr>
      </w:pPr>
      <w:r>
        <w:rPr>
          <w:sz w:val="20"/>
          <w:szCs w:val="20"/>
        </w:rPr>
        <w:t xml:space="preserve">Dadashzadeh M, Khan F, Abbassi R, Hawboldt K. </w:t>
      </w:r>
      <w:r w:rsidRPr="00881C6C">
        <w:rPr>
          <w:sz w:val="20"/>
          <w:szCs w:val="20"/>
        </w:rPr>
        <w:t>Combustion products toxicity risk assessment in an offshore installation</w:t>
      </w:r>
      <w:r>
        <w:rPr>
          <w:sz w:val="20"/>
          <w:szCs w:val="20"/>
        </w:rPr>
        <w:t>. Process Safety and Environmental Protection, 2014; 92(6): 616-624.</w:t>
      </w:r>
    </w:p>
    <w:p w14:paraId="34CC45CF" w14:textId="77777777" w:rsidR="00D27DFC" w:rsidRPr="009F51EE" w:rsidRDefault="00D27DFC" w:rsidP="009F51EE">
      <w:pPr>
        <w:pStyle w:val="ListParagraph"/>
        <w:numPr>
          <w:ilvl w:val="0"/>
          <w:numId w:val="12"/>
        </w:numPr>
        <w:spacing w:after="160"/>
        <w:jc w:val="both"/>
        <w:rPr>
          <w:sz w:val="20"/>
          <w:szCs w:val="20"/>
          <w:lang w:val="en-US"/>
        </w:rPr>
      </w:pPr>
      <w:r w:rsidRPr="009F51EE">
        <w:rPr>
          <w:sz w:val="20"/>
          <w:szCs w:val="20"/>
          <w:lang w:val="en-US"/>
        </w:rPr>
        <w:lastRenderedPageBreak/>
        <w:t xml:space="preserve">ENFORM. 2012. FireSmart® Field Guide for Upstream Oil and Gas Industry. Available from: </w:t>
      </w:r>
      <w:hyperlink r:id="rId61" w:history="1">
        <w:r w:rsidRPr="009F51EE">
          <w:rPr>
            <w:rStyle w:val="Hyperlink"/>
            <w:sz w:val="20"/>
            <w:szCs w:val="20"/>
            <w:lang w:val="en-US"/>
          </w:rPr>
          <w:t>http://www.enform.ca/resources/detail/66/firesmart-field-guide-for-upstream-oil-and-gas-industry</w:t>
        </w:r>
      </w:hyperlink>
      <w:r w:rsidRPr="009F51EE">
        <w:rPr>
          <w:sz w:val="20"/>
          <w:szCs w:val="20"/>
          <w:lang w:val="en-US"/>
        </w:rPr>
        <w:t>.</w:t>
      </w:r>
    </w:p>
    <w:p w14:paraId="3C098794" w14:textId="72C3D126" w:rsidR="0043578C" w:rsidRPr="009F51EE" w:rsidRDefault="0043578C" w:rsidP="009F51EE">
      <w:pPr>
        <w:pStyle w:val="ListParagraph"/>
        <w:numPr>
          <w:ilvl w:val="0"/>
          <w:numId w:val="12"/>
        </w:numPr>
        <w:spacing w:after="160"/>
        <w:jc w:val="both"/>
        <w:rPr>
          <w:sz w:val="20"/>
          <w:szCs w:val="20"/>
          <w:lang w:val="en-US"/>
        </w:rPr>
      </w:pPr>
      <w:r w:rsidRPr="009F51EE">
        <w:rPr>
          <w:sz w:val="20"/>
          <w:szCs w:val="20"/>
          <w:lang w:val="en-US"/>
        </w:rPr>
        <w:t>Finney MA. 1998. FARSITE: Fire Area Simulator—model development and evaluation. Res. Pap. RMRS-RP-4. Fort Collins, CO: U.S. Department of Agriculture, Forest Service, Rocky Mountain Research Station. 47 p.</w:t>
      </w:r>
    </w:p>
    <w:p w14:paraId="54A30FAE" w14:textId="3551878D" w:rsidR="0043578C" w:rsidRPr="009F51EE" w:rsidRDefault="0043578C" w:rsidP="009F51EE">
      <w:pPr>
        <w:pStyle w:val="ListParagraph"/>
        <w:numPr>
          <w:ilvl w:val="0"/>
          <w:numId w:val="12"/>
        </w:numPr>
        <w:spacing w:after="160"/>
        <w:jc w:val="both"/>
        <w:rPr>
          <w:sz w:val="20"/>
          <w:szCs w:val="20"/>
          <w:lang w:val="en-US"/>
        </w:rPr>
      </w:pPr>
      <w:r w:rsidRPr="009F51EE">
        <w:rPr>
          <w:sz w:val="20"/>
          <w:szCs w:val="20"/>
          <w:lang w:val="en-US"/>
        </w:rPr>
        <w:t>Finney MA. 2006. An overview of FlamMap fire modeling capabilities. In: Andrews, P.L., Butler, B.W. (Comps). Fuels management-how to measure success: conference proceedings; March 28–30; Portland, OR. Proc. RMRS-P-41. Fort Collins, CO: U.S. Department of Agriculture, Forest Service, Rocky Mountain Research Station: 213–220.</w:t>
      </w:r>
    </w:p>
    <w:p w14:paraId="0E9D7B07" w14:textId="13058408" w:rsidR="0043578C" w:rsidRPr="009F51EE" w:rsidRDefault="0043578C" w:rsidP="009F51EE">
      <w:pPr>
        <w:pStyle w:val="ListParagraph"/>
        <w:numPr>
          <w:ilvl w:val="0"/>
          <w:numId w:val="12"/>
        </w:numPr>
        <w:spacing w:after="160"/>
        <w:jc w:val="both"/>
        <w:rPr>
          <w:sz w:val="20"/>
          <w:szCs w:val="20"/>
          <w:lang w:val="en-US"/>
        </w:rPr>
      </w:pPr>
      <w:r w:rsidRPr="009F51EE">
        <w:rPr>
          <w:sz w:val="20"/>
          <w:szCs w:val="20"/>
          <w:lang w:val="en-US"/>
        </w:rPr>
        <w:t>Finney MA, Grenfell IC, McHugh CW, Seli RC, Tretheway D, Stratton RD, Britton S. A method for ensemble wildland fire simulation. Environmental Modeling and Assessment, 2011a, 16: 153-167.</w:t>
      </w:r>
    </w:p>
    <w:p w14:paraId="593CE8F3" w14:textId="72D3B43C" w:rsidR="0043578C" w:rsidRPr="009F51EE" w:rsidRDefault="0043578C" w:rsidP="009F51EE">
      <w:pPr>
        <w:pStyle w:val="ListParagraph"/>
        <w:numPr>
          <w:ilvl w:val="0"/>
          <w:numId w:val="12"/>
        </w:numPr>
        <w:spacing w:after="160"/>
        <w:jc w:val="both"/>
        <w:rPr>
          <w:sz w:val="20"/>
          <w:szCs w:val="20"/>
          <w:lang w:val="en-US"/>
        </w:rPr>
      </w:pPr>
      <w:r w:rsidRPr="009F51EE">
        <w:rPr>
          <w:sz w:val="20"/>
          <w:szCs w:val="20"/>
          <w:lang w:val="en-US"/>
        </w:rPr>
        <w:t>Finney MA, McHugh CW, Grenfell IC, Riley KL, Short KC. A simulation of probabilistic wildfire risk components for the continental United States. Stochastic Environment</w:t>
      </w:r>
      <w:r w:rsidR="007F068E" w:rsidRPr="009F51EE">
        <w:rPr>
          <w:sz w:val="20"/>
          <w:szCs w:val="20"/>
          <w:lang w:val="en-US"/>
        </w:rPr>
        <w:t>al Research and Risk Assessment, 2011b,</w:t>
      </w:r>
      <w:r w:rsidRPr="009F51EE">
        <w:rPr>
          <w:sz w:val="20"/>
          <w:szCs w:val="20"/>
          <w:lang w:val="en-US"/>
        </w:rPr>
        <w:t xml:space="preserve"> 25(7): 973-1000.</w:t>
      </w:r>
    </w:p>
    <w:p w14:paraId="74CE98E3" w14:textId="1795B3D8" w:rsidR="00D27DFC" w:rsidRPr="009F51EE" w:rsidRDefault="00D27DFC" w:rsidP="009F51EE">
      <w:pPr>
        <w:pStyle w:val="ListParagraph"/>
        <w:numPr>
          <w:ilvl w:val="0"/>
          <w:numId w:val="12"/>
        </w:numPr>
        <w:rPr>
          <w:sz w:val="20"/>
          <w:szCs w:val="20"/>
          <w:lang w:val="en-US"/>
        </w:rPr>
      </w:pPr>
      <w:r w:rsidRPr="009F51EE">
        <w:rPr>
          <w:sz w:val="20"/>
          <w:szCs w:val="20"/>
        </w:rPr>
        <w:t>Flannigan MD, Wotton BM, Marshall GA, de Groot WJ, Johnston J, Jurko N, Cantin AS. Fuel moisture sensitivity to temperature and precipitation: climate change implications. Climatic Change, 2016; 134:59–71.</w:t>
      </w:r>
    </w:p>
    <w:p w14:paraId="634B3A30" w14:textId="77777777" w:rsidR="007F068E" w:rsidRPr="009F51EE" w:rsidRDefault="007F068E" w:rsidP="009F51EE">
      <w:pPr>
        <w:pStyle w:val="ListParagraph"/>
        <w:numPr>
          <w:ilvl w:val="0"/>
          <w:numId w:val="12"/>
        </w:numPr>
        <w:spacing w:after="160"/>
        <w:jc w:val="both"/>
        <w:rPr>
          <w:sz w:val="20"/>
          <w:szCs w:val="20"/>
          <w:lang w:val="en-GB"/>
        </w:rPr>
      </w:pPr>
      <w:r w:rsidRPr="009F51EE">
        <w:rPr>
          <w:sz w:val="20"/>
          <w:szCs w:val="20"/>
          <w:lang w:val="en-GB"/>
        </w:rPr>
        <w:t xml:space="preserve">Forzieri G, Cescatti A, Batista e Silva F, Feyen L. Increasing risk over time of weather-related hazards to the European population: a data-driven prognostic study. Lancet Planet Health, 2017, 1: e200–e208. </w:t>
      </w:r>
    </w:p>
    <w:p w14:paraId="248F3FD3" w14:textId="457707AF" w:rsidR="00D27DFC" w:rsidRPr="009F51EE" w:rsidRDefault="00D27DFC" w:rsidP="009F51EE">
      <w:pPr>
        <w:pStyle w:val="ListParagraph"/>
        <w:numPr>
          <w:ilvl w:val="0"/>
          <w:numId w:val="12"/>
        </w:numPr>
        <w:rPr>
          <w:sz w:val="20"/>
          <w:szCs w:val="20"/>
        </w:rPr>
      </w:pPr>
      <w:r w:rsidRPr="009F51EE">
        <w:rPr>
          <w:sz w:val="20"/>
          <w:szCs w:val="20"/>
        </w:rPr>
        <w:t>Gledhill J, Lines I. Development of methods to assess the significance of domino effects from major hazard sites. London, UK: Health and Safety Executive, HM Stationery Office; 1998.</w:t>
      </w:r>
    </w:p>
    <w:p w14:paraId="54A6FBE3" w14:textId="77777777" w:rsidR="00800358" w:rsidRPr="009F51EE" w:rsidRDefault="00800358" w:rsidP="009F51EE">
      <w:pPr>
        <w:pStyle w:val="ListParagraph"/>
        <w:numPr>
          <w:ilvl w:val="0"/>
          <w:numId w:val="12"/>
        </w:numPr>
        <w:spacing w:after="160"/>
        <w:jc w:val="both"/>
        <w:rPr>
          <w:sz w:val="20"/>
          <w:szCs w:val="20"/>
          <w:lang w:val="en-US"/>
        </w:rPr>
      </w:pPr>
      <w:r w:rsidRPr="009F51EE">
        <w:rPr>
          <w:sz w:val="20"/>
          <w:szCs w:val="20"/>
          <w:lang w:val="en-US"/>
        </w:rPr>
        <w:t xml:space="preserve">Heymes F, Aprin L, Ayral PA, Slangen P, Dusserre G. Impact of wildfires on LPG tanks. Chemical Engineering Transactions, 2013, 31, 637-642. </w:t>
      </w:r>
    </w:p>
    <w:p w14:paraId="026E943A" w14:textId="467A7568" w:rsidR="00D27DFC" w:rsidRPr="009F51EE" w:rsidRDefault="007F068E" w:rsidP="009F51EE">
      <w:pPr>
        <w:pStyle w:val="ListParagraph"/>
        <w:numPr>
          <w:ilvl w:val="0"/>
          <w:numId w:val="12"/>
        </w:numPr>
        <w:rPr>
          <w:sz w:val="20"/>
          <w:szCs w:val="20"/>
          <w:lang w:val="en-US"/>
        </w:rPr>
      </w:pPr>
      <w:r w:rsidRPr="009F51EE">
        <w:rPr>
          <w:sz w:val="20"/>
          <w:szCs w:val="20"/>
          <w:lang w:val="en-US"/>
        </w:rPr>
        <w:t>Jurdao S, Chuvieco E, Jorge M, Arevalillo JM. Modelling fire ignition probability from satellite estimates of live fuel moisture content. Fire Ecology, 2012; 8(1): 77-97.</w:t>
      </w:r>
    </w:p>
    <w:p w14:paraId="4ECE3463" w14:textId="77777777" w:rsidR="007F068E" w:rsidRPr="009F51EE" w:rsidRDefault="007F068E" w:rsidP="009F51EE">
      <w:pPr>
        <w:pStyle w:val="ListParagraph"/>
        <w:numPr>
          <w:ilvl w:val="0"/>
          <w:numId w:val="12"/>
        </w:numPr>
        <w:rPr>
          <w:sz w:val="20"/>
          <w:szCs w:val="20"/>
          <w:lang w:val="en-US"/>
        </w:rPr>
      </w:pPr>
      <w:r w:rsidRPr="009F51EE">
        <w:rPr>
          <w:sz w:val="20"/>
          <w:szCs w:val="20"/>
          <w:lang w:val="en-US"/>
        </w:rPr>
        <w:t>Khakzad N, Khan F, Amyotte P, Cozzani V. Domino effect analysis using Bayesian networks. Risk Analysis, 2013; 33: 292–306.</w:t>
      </w:r>
    </w:p>
    <w:p w14:paraId="57BC868A" w14:textId="77777777" w:rsidR="007F068E" w:rsidRPr="009F51EE" w:rsidRDefault="007F068E" w:rsidP="009F51EE">
      <w:pPr>
        <w:pStyle w:val="ListParagraph"/>
        <w:numPr>
          <w:ilvl w:val="0"/>
          <w:numId w:val="12"/>
        </w:numPr>
        <w:rPr>
          <w:sz w:val="20"/>
          <w:szCs w:val="20"/>
          <w:lang w:val="en-US"/>
        </w:rPr>
      </w:pPr>
      <w:r w:rsidRPr="009F51EE">
        <w:rPr>
          <w:sz w:val="20"/>
          <w:szCs w:val="20"/>
          <w:lang w:val="en-US"/>
        </w:rPr>
        <w:t>Khakzad N. Application of dynamic Bayesian network to risk analysis of domino effects in chemical infrastructures. Reliability Engineering and System Safety, 2015; 138: 263–272.</w:t>
      </w:r>
    </w:p>
    <w:p w14:paraId="76824E65" w14:textId="77777777" w:rsidR="007F068E" w:rsidRPr="009F51EE" w:rsidRDefault="007F068E" w:rsidP="009F51EE">
      <w:pPr>
        <w:pStyle w:val="ListParagraph"/>
        <w:numPr>
          <w:ilvl w:val="0"/>
          <w:numId w:val="12"/>
        </w:numPr>
        <w:rPr>
          <w:sz w:val="20"/>
          <w:szCs w:val="20"/>
          <w:lang w:val="en-US"/>
        </w:rPr>
      </w:pPr>
      <w:r w:rsidRPr="009F51EE">
        <w:rPr>
          <w:sz w:val="20"/>
          <w:szCs w:val="20"/>
          <w:lang w:val="en-US"/>
        </w:rPr>
        <w:t>Khan F, Abbasi SA. An assessment of the likehood of occurence, and the damage potential of domino effect (chain of accidents) in a typical cluster of industries. Journal of Loss Prevention in the Process Industries, 2001; 14(4): 283-306.</w:t>
      </w:r>
    </w:p>
    <w:p w14:paraId="1B84AF11" w14:textId="77777777" w:rsidR="007F068E" w:rsidRPr="009F51EE" w:rsidRDefault="007F068E" w:rsidP="009F51EE">
      <w:pPr>
        <w:pStyle w:val="ListParagraph"/>
        <w:numPr>
          <w:ilvl w:val="0"/>
          <w:numId w:val="12"/>
        </w:numPr>
        <w:rPr>
          <w:sz w:val="20"/>
          <w:szCs w:val="20"/>
        </w:rPr>
      </w:pPr>
      <w:r w:rsidRPr="009F51EE">
        <w:rPr>
          <w:sz w:val="20"/>
          <w:szCs w:val="20"/>
        </w:rPr>
        <w:t>Krausmann E, Mushtaq F. A qualitative Natech damage scale for the impact of floods on selected industrial facilities. Natural Hazards, 2008; 46: 179–197.</w:t>
      </w:r>
    </w:p>
    <w:p w14:paraId="4C3CD619" w14:textId="77777777" w:rsidR="007F068E" w:rsidRPr="009F51EE" w:rsidRDefault="007F068E" w:rsidP="009F51EE">
      <w:pPr>
        <w:pStyle w:val="ListParagraph"/>
        <w:numPr>
          <w:ilvl w:val="0"/>
          <w:numId w:val="12"/>
        </w:numPr>
        <w:rPr>
          <w:sz w:val="20"/>
          <w:szCs w:val="20"/>
        </w:rPr>
      </w:pPr>
      <w:r w:rsidRPr="009F51EE">
        <w:rPr>
          <w:sz w:val="20"/>
          <w:szCs w:val="20"/>
        </w:rPr>
        <w:t>Krausmann E, Baranzini D. Natech risk reduction in the European Union. Journal of Risk Research, 2012; 15(8): 1027-1047.</w:t>
      </w:r>
    </w:p>
    <w:p w14:paraId="62F6F723" w14:textId="000678F9" w:rsidR="007F068E" w:rsidRPr="009F51EE" w:rsidRDefault="007F068E" w:rsidP="009F51EE">
      <w:pPr>
        <w:pStyle w:val="ListParagraph"/>
        <w:numPr>
          <w:ilvl w:val="0"/>
          <w:numId w:val="12"/>
        </w:numPr>
        <w:rPr>
          <w:sz w:val="20"/>
          <w:szCs w:val="20"/>
          <w:lang w:val="en-US"/>
        </w:rPr>
      </w:pPr>
      <w:r w:rsidRPr="009F51EE">
        <w:rPr>
          <w:sz w:val="20"/>
          <w:szCs w:val="20"/>
          <w:lang w:val="en-US"/>
        </w:rPr>
        <w:t>Landucci G, Gubinelli G, Antonioni G, Cozzani V. The assessment of the damage probability of storage tanks in domino events triggered by fire. Accident Analysis and Prevention, 2009; 41: 1206–1215.</w:t>
      </w:r>
    </w:p>
    <w:p w14:paraId="024EF82F" w14:textId="77777777" w:rsidR="007F068E" w:rsidRPr="009F51EE" w:rsidRDefault="007F068E" w:rsidP="009F51EE">
      <w:pPr>
        <w:pStyle w:val="ListParagraph"/>
        <w:numPr>
          <w:ilvl w:val="0"/>
          <w:numId w:val="12"/>
        </w:numPr>
        <w:spacing w:after="160"/>
        <w:jc w:val="both"/>
        <w:rPr>
          <w:sz w:val="20"/>
          <w:szCs w:val="20"/>
          <w:lang w:val="en-GB"/>
        </w:rPr>
      </w:pPr>
      <w:r w:rsidRPr="009F51EE">
        <w:rPr>
          <w:sz w:val="20"/>
          <w:szCs w:val="20"/>
          <w:lang w:val="en-GB"/>
        </w:rPr>
        <w:lastRenderedPageBreak/>
        <w:t xml:space="preserve">Larjavaara M, Kuuluvainen T, Tanskanen H, Venäläinen A. Variation in forest fire ignition probability in Finland. Silva Fennica, 2004; 38(3): 253-266. </w:t>
      </w:r>
    </w:p>
    <w:p w14:paraId="046CB2F8" w14:textId="77777777" w:rsidR="007F068E" w:rsidRPr="009F51EE" w:rsidRDefault="007F068E" w:rsidP="009F51EE">
      <w:pPr>
        <w:pStyle w:val="ListParagraph"/>
        <w:numPr>
          <w:ilvl w:val="0"/>
          <w:numId w:val="12"/>
        </w:numPr>
        <w:spacing w:after="160"/>
        <w:jc w:val="both"/>
        <w:rPr>
          <w:sz w:val="20"/>
          <w:szCs w:val="20"/>
          <w:lang w:val="en-GB"/>
        </w:rPr>
      </w:pPr>
      <w:r w:rsidRPr="009F51EE">
        <w:rPr>
          <w:sz w:val="20"/>
          <w:szCs w:val="20"/>
          <w:lang w:val="en-GB"/>
        </w:rPr>
        <w:t xml:space="preserve">Lawson B, Armitage B, Dalrymple GN. Wildfire ignition probability predictor (WIPP). Natural Resources Canada, Canadian Forest Service, Pacific Forestry Centre, Victoria, BC. R&amp;D Update, March 1996. Available from </w:t>
      </w:r>
      <w:hyperlink r:id="rId62" w:history="1">
        <w:r w:rsidRPr="009F51EE">
          <w:rPr>
            <w:rStyle w:val="Hyperlink"/>
            <w:sz w:val="20"/>
            <w:szCs w:val="20"/>
            <w:lang w:val="en-GB"/>
          </w:rPr>
          <w:t>http://www.cfs.nrcan.gc.ca/pubwarehouse/pdfs/4649.pdf</w:t>
        </w:r>
      </w:hyperlink>
      <w:r w:rsidRPr="009F51EE">
        <w:rPr>
          <w:sz w:val="20"/>
          <w:szCs w:val="20"/>
          <w:lang w:val="en-GB"/>
        </w:rPr>
        <w:t>.</w:t>
      </w:r>
    </w:p>
    <w:p w14:paraId="70CAA320" w14:textId="77777777" w:rsidR="007F068E" w:rsidRPr="009F51EE" w:rsidRDefault="007F068E" w:rsidP="009F51EE">
      <w:pPr>
        <w:pStyle w:val="ListParagraph"/>
        <w:numPr>
          <w:ilvl w:val="0"/>
          <w:numId w:val="12"/>
        </w:numPr>
        <w:spacing w:after="160"/>
        <w:jc w:val="both"/>
        <w:rPr>
          <w:rFonts w:eastAsia="Times New Roman" w:cs="Times New Roman"/>
          <w:noProof w:val="0"/>
          <w:sz w:val="20"/>
          <w:szCs w:val="20"/>
          <w:lang w:val="en-GB" w:eastAsia="ja-JP"/>
        </w:rPr>
      </w:pPr>
      <w:r w:rsidRPr="009F51EE">
        <w:rPr>
          <w:rFonts w:eastAsia="Times New Roman" w:cs="Times New Roman"/>
          <w:noProof w:val="0"/>
          <w:sz w:val="20"/>
          <w:szCs w:val="20"/>
          <w:lang w:val="en-GB" w:eastAsia="ja-JP"/>
        </w:rPr>
        <w:t xml:space="preserve">Lozano OM, </w:t>
      </w:r>
      <w:proofErr w:type="spellStart"/>
      <w:r w:rsidRPr="009F51EE">
        <w:rPr>
          <w:rFonts w:eastAsia="Times New Roman" w:cs="Times New Roman"/>
          <w:noProof w:val="0"/>
          <w:sz w:val="20"/>
          <w:szCs w:val="20"/>
          <w:lang w:val="en-GB" w:eastAsia="ja-JP"/>
        </w:rPr>
        <w:t>Salis</w:t>
      </w:r>
      <w:proofErr w:type="spellEnd"/>
      <w:r w:rsidRPr="009F51EE">
        <w:rPr>
          <w:rFonts w:eastAsia="Times New Roman" w:cs="Times New Roman"/>
          <w:noProof w:val="0"/>
          <w:sz w:val="20"/>
          <w:szCs w:val="20"/>
          <w:lang w:val="en-GB" w:eastAsia="ja-JP"/>
        </w:rPr>
        <w:t xml:space="preserve"> M, Ager AA, </w:t>
      </w:r>
      <w:proofErr w:type="spellStart"/>
      <w:r w:rsidRPr="009F51EE">
        <w:rPr>
          <w:rFonts w:eastAsia="Times New Roman" w:cs="Times New Roman"/>
          <w:noProof w:val="0"/>
          <w:sz w:val="20"/>
          <w:szCs w:val="20"/>
          <w:lang w:val="en-GB" w:eastAsia="ja-JP"/>
        </w:rPr>
        <w:t>Arca</w:t>
      </w:r>
      <w:proofErr w:type="spellEnd"/>
      <w:r w:rsidRPr="009F51EE">
        <w:rPr>
          <w:rFonts w:eastAsia="Times New Roman" w:cs="Times New Roman"/>
          <w:noProof w:val="0"/>
          <w:sz w:val="20"/>
          <w:szCs w:val="20"/>
          <w:lang w:val="en-GB" w:eastAsia="ja-JP"/>
        </w:rPr>
        <w:t xml:space="preserve"> B, </w:t>
      </w:r>
      <w:proofErr w:type="spellStart"/>
      <w:r w:rsidRPr="009F51EE">
        <w:rPr>
          <w:rFonts w:eastAsia="Times New Roman" w:cs="Times New Roman"/>
          <w:noProof w:val="0"/>
          <w:sz w:val="20"/>
          <w:szCs w:val="20"/>
          <w:lang w:val="en-GB" w:eastAsia="ja-JP"/>
        </w:rPr>
        <w:t>Alcasena</w:t>
      </w:r>
      <w:proofErr w:type="spellEnd"/>
      <w:r w:rsidRPr="009F51EE">
        <w:rPr>
          <w:rFonts w:eastAsia="Times New Roman" w:cs="Times New Roman"/>
          <w:noProof w:val="0"/>
          <w:sz w:val="20"/>
          <w:szCs w:val="20"/>
          <w:lang w:val="en-GB" w:eastAsia="ja-JP"/>
        </w:rPr>
        <w:t xml:space="preserve"> FJ, Monteiro AT, Finney MA, Del Giudice L, </w:t>
      </w:r>
      <w:proofErr w:type="spellStart"/>
      <w:r w:rsidRPr="009F51EE">
        <w:rPr>
          <w:rFonts w:eastAsia="Times New Roman" w:cs="Times New Roman"/>
          <w:noProof w:val="0"/>
          <w:sz w:val="20"/>
          <w:szCs w:val="20"/>
          <w:lang w:val="en-GB" w:eastAsia="ja-JP"/>
        </w:rPr>
        <w:t>Scoccimarro</w:t>
      </w:r>
      <w:proofErr w:type="spellEnd"/>
      <w:r w:rsidRPr="009F51EE">
        <w:rPr>
          <w:rFonts w:eastAsia="Times New Roman" w:cs="Times New Roman"/>
          <w:noProof w:val="0"/>
          <w:sz w:val="20"/>
          <w:szCs w:val="20"/>
          <w:lang w:val="en-GB" w:eastAsia="ja-JP"/>
        </w:rPr>
        <w:t xml:space="preserve"> E, Spano D. Assessing climate change impacts on wildfire exposure in Mediterranean areas. Risk Analysis, 2016: doi:10.1111/risa.12739</w:t>
      </w:r>
    </w:p>
    <w:p w14:paraId="396CB87E" w14:textId="77777777" w:rsidR="007F068E" w:rsidRPr="009F51EE" w:rsidRDefault="007F068E" w:rsidP="009F51EE">
      <w:pPr>
        <w:pStyle w:val="ListParagraph"/>
        <w:numPr>
          <w:ilvl w:val="0"/>
          <w:numId w:val="12"/>
        </w:numPr>
        <w:rPr>
          <w:sz w:val="20"/>
          <w:szCs w:val="20"/>
        </w:rPr>
      </w:pPr>
      <w:r w:rsidRPr="009F51EE">
        <w:rPr>
          <w:sz w:val="20"/>
          <w:szCs w:val="20"/>
        </w:rPr>
        <w:t>Mingguang Z, Jiang J. An improved probit method for assessment of domino effect to chemical process equipment caused by overpressure. Journal of Hazardous Materials, 2008; 158(2-3): 280-286.</w:t>
      </w:r>
    </w:p>
    <w:p w14:paraId="02DCB958" w14:textId="77777777" w:rsidR="007F068E" w:rsidRPr="009F51EE" w:rsidRDefault="007F068E" w:rsidP="009F51EE">
      <w:pPr>
        <w:pStyle w:val="ListParagraph"/>
        <w:numPr>
          <w:ilvl w:val="0"/>
          <w:numId w:val="12"/>
        </w:numPr>
        <w:spacing w:after="160"/>
        <w:jc w:val="both"/>
        <w:rPr>
          <w:sz w:val="20"/>
          <w:szCs w:val="20"/>
          <w:lang w:val="en-US"/>
        </w:rPr>
      </w:pPr>
      <w:r w:rsidRPr="009F51EE">
        <w:rPr>
          <w:sz w:val="20"/>
          <w:szCs w:val="20"/>
          <w:lang w:val="en-US"/>
        </w:rPr>
        <w:t>Moudan KS. Geometric view factors for thermal radiation hazard assessment. Fire Safety Journal, 1987, 12: 89-96.</w:t>
      </w:r>
    </w:p>
    <w:p w14:paraId="135B9ABD" w14:textId="48DA90E1" w:rsidR="007F068E" w:rsidRPr="009F51EE" w:rsidRDefault="007F068E" w:rsidP="009F51EE">
      <w:pPr>
        <w:pStyle w:val="ListParagraph"/>
        <w:numPr>
          <w:ilvl w:val="0"/>
          <w:numId w:val="12"/>
        </w:numPr>
        <w:rPr>
          <w:sz w:val="20"/>
          <w:szCs w:val="20"/>
          <w:lang w:val="en-US"/>
        </w:rPr>
      </w:pPr>
      <w:r w:rsidRPr="009F51EE">
        <w:rPr>
          <w:sz w:val="20"/>
          <w:szCs w:val="20"/>
          <w:lang w:val="en-US"/>
        </w:rPr>
        <w:t xml:space="preserve">National Geographic. Available from: </w:t>
      </w:r>
      <w:hyperlink r:id="rId63" w:history="1">
        <w:r w:rsidRPr="009F51EE">
          <w:rPr>
            <w:rStyle w:val="Hyperlink"/>
            <w:sz w:val="20"/>
            <w:szCs w:val="20"/>
            <w:lang w:val="en-US"/>
          </w:rPr>
          <w:t>http://www.nationalgeographic.com/environment/natural-disasters/wildfires/</w:t>
        </w:r>
      </w:hyperlink>
    </w:p>
    <w:p w14:paraId="58F76AA0" w14:textId="77777777" w:rsidR="007F068E" w:rsidRPr="009F51EE" w:rsidRDefault="007F068E" w:rsidP="009F51EE">
      <w:pPr>
        <w:pStyle w:val="ListParagraph"/>
        <w:numPr>
          <w:ilvl w:val="0"/>
          <w:numId w:val="12"/>
        </w:numPr>
        <w:jc w:val="both"/>
        <w:rPr>
          <w:sz w:val="20"/>
          <w:szCs w:val="20"/>
        </w:rPr>
      </w:pPr>
      <w:r w:rsidRPr="009F51EE">
        <w:rPr>
          <w:sz w:val="20"/>
          <w:szCs w:val="20"/>
        </w:rPr>
        <w:t>Neapolitan R. 2003. Learning Bayesian Networks. Prentice Hall, Inc., Upper Saddle River, NJ, USA.</w:t>
      </w:r>
    </w:p>
    <w:p w14:paraId="1101A9FE" w14:textId="77777777" w:rsidR="00800358" w:rsidRPr="009F51EE" w:rsidRDefault="00800358" w:rsidP="009F51EE">
      <w:pPr>
        <w:pStyle w:val="ListParagraph"/>
        <w:numPr>
          <w:ilvl w:val="0"/>
          <w:numId w:val="12"/>
        </w:numPr>
        <w:spacing w:after="160"/>
        <w:jc w:val="both"/>
        <w:rPr>
          <w:sz w:val="20"/>
          <w:szCs w:val="20"/>
          <w:lang w:val="en-US"/>
        </w:rPr>
      </w:pPr>
      <w:r w:rsidRPr="009F51EE">
        <w:rPr>
          <w:sz w:val="20"/>
          <w:szCs w:val="20"/>
          <w:lang w:val="en-US"/>
        </w:rPr>
        <w:t xml:space="preserve">Papadopoulos GD, Pavlidou FN. A Comparative review on wildfire simulators. IEEE Systems Journal, 2010, 5(2): 233 – 243. </w:t>
      </w:r>
    </w:p>
    <w:p w14:paraId="4FFA35DE" w14:textId="77777777" w:rsidR="00800358" w:rsidRPr="009F51EE" w:rsidRDefault="00800358" w:rsidP="009F51EE">
      <w:pPr>
        <w:pStyle w:val="ListParagraph"/>
        <w:numPr>
          <w:ilvl w:val="0"/>
          <w:numId w:val="12"/>
        </w:numPr>
        <w:rPr>
          <w:sz w:val="20"/>
          <w:szCs w:val="20"/>
        </w:rPr>
      </w:pPr>
      <w:r w:rsidRPr="009F51EE">
        <w:rPr>
          <w:sz w:val="20"/>
          <w:szCs w:val="20"/>
        </w:rPr>
        <w:t xml:space="preserve">Parry ML, Canziani OF, Palutikof JP, van der Linden PJ, Hanson CE. IPCC, 2007: Climate Change 2007: Impacts, Adaptation and Vulnerability. Contribution of Working Group II to the Fourth Assessment Report of the Intergovernmental Panel on Climate Change. Cambridge University Press, Cambridge. UK, 976pp. Available from </w:t>
      </w:r>
      <w:hyperlink r:id="rId64" w:history="1">
        <w:r w:rsidRPr="009F51EE">
          <w:rPr>
            <w:rStyle w:val="Hyperlink"/>
            <w:sz w:val="20"/>
            <w:szCs w:val="20"/>
          </w:rPr>
          <w:t>https://www.ipcc.ch/pdf/assessment-report/ar4/wg2/ar4_wg2_full_report.pdf</w:t>
        </w:r>
      </w:hyperlink>
      <w:r w:rsidRPr="009F51EE">
        <w:rPr>
          <w:sz w:val="20"/>
          <w:szCs w:val="20"/>
        </w:rPr>
        <w:t>.</w:t>
      </w:r>
    </w:p>
    <w:p w14:paraId="4CF15AB1" w14:textId="77777777" w:rsidR="00800358" w:rsidRPr="009F51EE" w:rsidRDefault="00800358" w:rsidP="009F51EE">
      <w:pPr>
        <w:pStyle w:val="ListParagraph"/>
        <w:numPr>
          <w:ilvl w:val="0"/>
          <w:numId w:val="12"/>
        </w:numPr>
        <w:rPr>
          <w:sz w:val="20"/>
          <w:szCs w:val="20"/>
        </w:rPr>
      </w:pPr>
      <w:r w:rsidRPr="009F51EE">
        <w:rPr>
          <w:sz w:val="20"/>
          <w:szCs w:val="20"/>
          <w:lang w:val="en-US"/>
        </w:rPr>
        <w:t>Pastor E, Zarate L, Planas E, Arnaldos J. Mathematical models and calculation systems for the study of wildland fire behaviour. Progress in Energy and Combustion Science, 2003; 29: 139–153.</w:t>
      </w:r>
    </w:p>
    <w:p w14:paraId="373F7F2F" w14:textId="77777777" w:rsidR="007F068E" w:rsidRPr="009F51EE" w:rsidRDefault="007F068E" w:rsidP="009F51EE">
      <w:pPr>
        <w:pStyle w:val="ListParagraph"/>
        <w:numPr>
          <w:ilvl w:val="0"/>
          <w:numId w:val="12"/>
        </w:numPr>
        <w:jc w:val="both"/>
        <w:rPr>
          <w:sz w:val="20"/>
          <w:szCs w:val="20"/>
        </w:rPr>
      </w:pPr>
      <w:r w:rsidRPr="009F51EE">
        <w:rPr>
          <w:sz w:val="20"/>
          <w:szCs w:val="20"/>
        </w:rPr>
        <w:t>Pearl J. Probabilistic reasoning in intelligent systems. San Francisco, CA: Morgan Kaufmann; 1988.</w:t>
      </w:r>
    </w:p>
    <w:p w14:paraId="18BFD51D" w14:textId="77777777" w:rsidR="007F068E" w:rsidRPr="009F51EE" w:rsidRDefault="007F068E" w:rsidP="009F51EE">
      <w:pPr>
        <w:pStyle w:val="ListParagraph"/>
        <w:numPr>
          <w:ilvl w:val="0"/>
          <w:numId w:val="12"/>
        </w:numPr>
        <w:rPr>
          <w:sz w:val="20"/>
          <w:szCs w:val="20"/>
          <w:lang w:val="en-US"/>
        </w:rPr>
      </w:pPr>
      <w:r w:rsidRPr="009F51EE">
        <w:rPr>
          <w:sz w:val="20"/>
          <w:szCs w:val="20"/>
          <w:lang w:val="en-US"/>
        </w:rPr>
        <w:t>Preisler HK, Brillinger DR, Burgan RE, Benoit JW. Probability based models for estimation of wildfire risk. International Journal of wildland fire, 2004; 13(2): 133-42.</w:t>
      </w:r>
    </w:p>
    <w:p w14:paraId="093188DB" w14:textId="77777777" w:rsidR="007F068E" w:rsidRPr="009F51EE" w:rsidRDefault="007F068E" w:rsidP="009F51EE">
      <w:pPr>
        <w:pStyle w:val="ListParagraph"/>
        <w:numPr>
          <w:ilvl w:val="0"/>
          <w:numId w:val="12"/>
        </w:numPr>
        <w:spacing w:after="160"/>
        <w:jc w:val="both"/>
        <w:rPr>
          <w:sz w:val="20"/>
          <w:szCs w:val="20"/>
          <w:lang w:val="en-US"/>
        </w:rPr>
      </w:pPr>
      <w:r w:rsidRPr="009F51EE">
        <w:rPr>
          <w:sz w:val="20"/>
          <w:szCs w:val="20"/>
          <w:lang w:val="en-US"/>
        </w:rPr>
        <w:t>Pritchard MJ, Binding TM. FIRE2: A new approach for predicting thermal radiation levels from hydrocarbon pool fires. IChemE Symposium Series, 1992, 130: 491-505.</w:t>
      </w:r>
    </w:p>
    <w:p w14:paraId="151AC6D3" w14:textId="40F66681" w:rsidR="007F068E" w:rsidRPr="009F51EE" w:rsidRDefault="007F068E" w:rsidP="009F51EE">
      <w:pPr>
        <w:pStyle w:val="ListParagraph"/>
        <w:numPr>
          <w:ilvl w:val="0"/>
          <w:numId w:val="12"/>
        </w:numPr>
        <w:spacing w:after="160"/>
        <w:jc w:val="both"/>
        <w:rPr>
          <w:sz w:val="20"/>
          <w:szCs w:val="20"/>
          <w:lang w:val="en-US"/>
        </w:rPr>
      </w:pPr>
      <w:r w:rsidRPr="009F51EE">
        <w:rPr>
          <w:sz w:val="20"/>
          <w:szCs w:val="20"/>
          <w:lang w:val="en-US"/>
        </w:rPr>
        <w:t>Romps DM, Seeley JT, Vollaro D, Molinari J. Projected increase in lightning strikes in the United States due to global warming. Science, 2014; 346(6211): 851-854.</w:t>
      </w:r>
    </w:p>
    <w:p w14:paraId="6FB5E414" w14:textId="77777777" w:rsidR="007F068E" w:rsidRPr="009F51EE" w:rsidRDefault="007F068E" w:rsidP="009F51EE">
      <w:pPr>
        <w:pStyle w:val="ListParagraph"/>
        <w:numPr>
          <w:ilvl w:val="0"/>
          <w:numId w:val="12"/>
        </w:numPr>
        <w:rPr>
          <w:sz w:val="20"/>
          <w:szCs w:val="20"/>
          <w:lang w:val="en-US"/>
        </w:rPr>
      </w:pPr>
      <w:r w:rsidRPr="009F51EE">
        <w:rPr>
          <w:sz w:val="20"/>
          <w:szCs w:val="20"/>
          <w:lang w:val="en-US"/>
        </w:rPr>
        <w:t>Rothermel, R. C. 1972. A mathematical model for predicting fire spread in wildland fuels. Res. Pap. INT-115. Ogden, UT: U.S. Department of Agriculture, Forest Service, Intermountain Forest and Range Experiment Station. 40 p.</w:t>
      </w:r>
    </w:p>
    <w:p w14:paraId="61D9D6BC" w14:textId="2FFBCB87" w:rsidR="007F068E" w:rsidRPr="009F51EE" w:rsidRDefault="007F068E" w:rsidP="009F51EE">
      <w:pPr>
        <w:pStyle w:val="ListParagraph"/>
        <w:numPr>
          <w:ilvl w:val="0"/>
          <w:numId w:val="12"/>
        </w:numPr>
        <w:rPr>
          <w:sz w:val="20"/>
          <w:szCs w:val="20"/>
          <w:lang w:val="en-US"/>
        </w:rPr>
      </w:pPr>
      <w:r w:rsidRPr="009F51EE">
        <w:rPr>
          <w:sz w:val="20"/>
          <w:szCs w:val="20"/>
          <w:lang w:val="en-US"/>
        </w:rPr>
        <w:t>Rothermel, R. C. 1991. Predicting behavior and size of crown fires in the Northern Rocky Mountains. Res. Pap. INT-438. Ogden, UT: U.S. Department of Agriculture, Forest Service, Intermountain Forest and Range Experiment Station. 46 p.</w:t>
      </w:r>
    </w:p>
    <w:p w14:paraId="6A080F98" w14:textId="77777777" w:rsidR="00800358" w:rsidRPr="009F51EE" w:rsidRDefault="00800358" w:rsidP="009F51EE">
      <w:pPr>
        <w:pStyle w:val="ListParagraph"/>
        <w:numPr>
          <w:ilvl w:val="0"/>
          <w:numId w:val="12"/>
        </w:numPr>
        <w:spacing w:after="160"/>
        <w:jc w:val="both"/>
        <w:rPr>
          <w:rFonts w:eastAsia="Times New Roman" w:cs="Times New Roman"/>
          <w:noProof w:val="0"/>
          <w:sz w:val="20"/>
          <w:szCs w:val="20"/>
          <w:lang w:val="en-GB" w:eastAsia="ja-JP"/>
        </w:rPr>
      </w:pPr>
      <w:r w:rsidRPr="009F51EE">
        <w:rPr>
          <w:rFonts w:eastAsia="Times New Roman" w:cs="Times New Roman"/>
          <w:noProof w:val="0"/>
          <w:sz w:val="20"/>
          <w:szCs w:val="20"/>
          <w:lang w:val="en-GB" w:eastAsia="ja-JP"/>
        </w:rPr>
        <w:lastRenderedPageBreak/>
        <w:t xml:space="preserve">Scott J, </w:t>
      </w:r>
      <w:proofErr w:type="spellStart"/>
      <w:r w:rsidRPr="009F51EE">
        <w:rPr>
          <w:rFonts w:eastAsia="Times New Roman" w:cs="Times New Roman"/>
          <w:noProof w:val="0"/>
          <w:sz w:val="20"/>
          <w:szCs w:val="20"/>
          <w:lang w:val="en-GB" w:eastAsia="ja-JP"/>
        </w:rPr>
        <w:t>Helmbrecht</w:t>
      </w:r>
      <w:proofErr w:type="spellEnd"/>
      <w:r w:rsidRPr="009F51EE">
        <w:rPr>
          <w:rFonts w:eastAsia="Times New Roman" w:cs="Times New Roman"/>
          <w:noProof w:val="0"/>
          <w:sz w:val="20"/>
          <w:szCs w:val="20"/>
          <w:lang w:val="en-GB" w:eastAsia="ja-JP"/>
        </w:rPr>
        <w:t xml:space="preserve"> D, Thompson MP, Calkin DE, </w:t>
      </w:r>
      <w:proofErr w:type="spellStart"/>
      <w:r w:rsidRPr="009F51EE">
        <w:rPr>
          <w:rFonts w:eastAsia="Times New Roman" w:cs="Times New Roman"/>
          <w:noProof w:val="0"/>
          <w:sz w:val="20"/>
          <w:szCs w:val="20"/>
          <w:lang w:val="en-GB" w:eastAsia="ja-JP"/>
        </w:rPr>
        <w:t>Marcille</w:t>
      </w:r>
      <w:proofErr w:type="spellEnd"/>
      <w:r w:rsidRPr="009F51EE">
        <w:rPr>
          <w:rFonts w:eastAsia="Times New Roman" w:cs="Times New Roman"/>
          <w:noProof w:val="0"/>
          <w:sz w:val="20"/>
          <w:szCs w:val="20"/>
          <w:lang w:val="en-GB" w:eastAsia="ja-JP"/>
        </w:rPr>
        <w:t xml:space="preserve"> K. Probabilistic assessment of wildfire hazard and municipal watershed exposure. Natural Hazards, 2012; 64: 707–728.</w:t>
      </w:r>
    </w:p>
    <w:p w14:paraId="6DBEE0DB" w14:textId="77777777" w:rsidR="008C1056" w:rsidRPr="009F51EE" w:rsidRDefault="003D2E5E" w:rsidP="009F51EE">
      <w:pPr>
        <w:pStyle w:val="ListParagraph"/>
        <w:numPr>
          <w:ilvl w:val="0"/>
          <w:numId w:val="12"/>
        </w:numPr>
        <w:rPr>
          <w:sz w:val="20"/>
          <w:szCs w:val="20"/>
        </w:rPr>
      </w:pPr>
      <w:r w:rsidRPr="009F51EE">
        <w:rPr>
          <w:sz w:val="20"/>
          <w:szCs w:val="20"/>
        </w:rPr>
        <w:t>Scott</w:t>
      </w:r>
      <w:r w:rsidR="00F514AE" w:rsidRPr="009F51EE">
        <w:rPr>
          <w:sz w:val="20"/>
          <w:szCs w:val="20"/>
        </w:rPr>
        <w:t xml:space="preserve"> JH, </w:t>
      </w:r>
      <w:r w:rsidRPr="009F51EE">
        <w:rPr>
          <w:sz w:val="20"/>
          <w:szCs w:val="20"/>
        </w:rPr>
        <w:t>Thompson</w:t>
      </w:r>
      <w:r w:rsidR="00F514AE" w:rsidRPr="009F51EE">
        <w:rPr>
          <w:sz w:val="20"/>
          <w:szCs w:val="20"/>
        </w:rPr>
        <w:t xml:space="preserve"> MP, </w:t>
      </w:r>
      <w:r w:rsidRPr="009F51EE">
        <w:rPr>
          <w:sz w:val="20"/>
          <w:szCs w:val="20"/>
        </w:rPr>
        <w:t>Calkin</w:t>
      </w:r>
      <w:r w:rsidR="00F514AE" w:rsidRPr="009F51EE">
        <w:rPr>
          <w:sz w:val="20"/>
          <w:szCs w:val="20"/>
        </w:rPr>
        <w:t xml:space="preserve"> DE. 2013. A wildfire risk assessment framework for land and resource management. General Technical Report RMRS-GTR-315. U.S. Department of Agriculture, Forest Service, Rocky Mountain Research Station. 83 p. Available from: </w:t>
      </w:r>
      <w:hyperlink r:id="rId65" w:history="1">
        <w:r w:rsidR="00F514AE" w:rsidRPr="009F51EE">
          <w:rPr>
            <w:rStyle w:val="Hyperlink"/>
            <w:sz w:val="20"/>
            <w:szCs w:val="20"/>
          </w:rPr>
          <w:t>https://www.nrs.fs.fed.us/pubs/44723</w:t>
        </w:r>
      </w:hyperlink>
      <w:r w:rsidR="00F514AE" w:rsidRPr="009F51EE">
        <w:rPr>
          <w:sz w:val="20"/>
          <w:szCs w:val="20"/>
        </w:rPr>
        <w:t>.</w:t>
      </w:r>
    </w:p>
    <w:p w14:paraId="06926C5F" w14:textId="77777777" w:rsidR="00800358" w:rsidRPr="009F51EE" w:rsidRDefault="00800358" w:rsidP="009F51EE">
      <w:pPr>
        <w:pStyle w:val="ListParagraph"/>
        <w:numPr>
          <w:ilvl w:val="0"/>
          <w:numId w:val="12"/>
        </w:numPr>
        <w:rPr>
          <w:sz w:val="20"/>
          <w:szCs w:val="20"/>
        </w:rPr>
      </w:pPr>
      <w:r w:rsidRPr="009F51EE">
        <w:rPr>
          <w:sz w:val="20"/>
          <w:szCs w:val="20"/>
        </w:rPr>
        <w:t>Seveso Directive III. Directive 2012/18/EU of the European Parliament and of the Council of 4 July 2012 on the control of major-accident hazards involving dangerous substances, amending and subsequently repealing Council Directive 96/82/EC. Official Journal of the European Communities, 2012, No L 197: 1-37.</w:t>
      </w:r>
    </w:p>
    <w:p w14:paraId="4EC51823" w14:textId="77777777" w:rsidR="003D2E5E" w:rsidRPr="009F51EE" w:rsidRDefault="0046771C" w:rsidP="009F51EE">
      <w:pPr>
        <w:pStyle w:val="ListParagraph"/>
        <w:numPr>
          <w:ilvl w:val="0"/>
          <w:numId w:val="12"/>
        </w:numPr>
        <w:rPr>
          <w:sz w:val="20"/>
          <w:szCs w:val="20"/>
        </w:rPr>
      </w:pPr>
      <w:r w:rsidRPr="009F51EE">
        <w:rPr>
          <w:sz w:val="20"/>
          <w:szCs w:val="20"/>
        </w:rPr>
        <w:t xml:space="preserve">The European Forest Fire Information System (EFFIS). Available from: </w:t>
      </w:r>
      <w:hyperlink r:id="rId66" w:history="1">
        <w:r w:rsidRPr="009F51EE">
          <w:rPr>
            <w:rStyle w:val="Hyperlink"/>
            <w:sz w:val="20"/>
            <w:szCs w:val="20"/>
          </w:rPr>
          <w:t>http://effis.jrc.ec.europa.eu/</w:t>
        </w:r>
      </w:hyperlink>
      <w:r w:rsidRPr="009F51EE">
        <w:rPr>
          <w:sz w:val="20"/>
          <w:szCs w:val="20"/>
        </w:rPr>
        <w:t xml:space="preserve">. </w:t>
      </w:r>
    </w:p>
    <w:p w14:paraId="53816FDE" w14:textId="77777777" w:rsidR="00800358" w:rsidRPr="009F51EE" w:rsidRDefault="00800358" w:rsidP="009F51EE">
      <w:pPr>
        <w:pStyle w:val="ListParagraph"/>
        <w:numPr>
          <w:ilvl w:val="0"/>
          <w:numId w:val="12"/>
        </w:numPr>
        <w:spacing w:after="160"/>
        <w:jc w:val="both"/>
        <w:rPr>
          <w:sz w:val="20"/>
          <w:szCs w:val="20"/>
          <w:lang w:val="en-US"/>
        </w:rPr>
      </w:pPr>
      <w:r w:rsidRPr="009F51EE">
        <w:rPr>
          <w:sz w:val="20"/>
          <w:szCs w:val="20"/>
          <w:lang w:val="en-US"/>
        </w:rPr>
        <w:t xml:space="preserve">The Globe and Mail. 14 million barrels or about $760-million. Available from: </w:t>
      </w:r>
      <w:hyperlink r:id="rId67" w:history="1">
        <w:r w:rsidRPr="009F51EE">
          <w:rPr>
            <w:rStyle w:val="Hyperlink"/>
            <w:sz w:val="20"/>
            <w:szCs w:val="20"/>
            <w:lang w:val="en-US"/>
          </w:rPr>
          <w:t>https://beta.theglobeandmail.com/report-on-business/industry-news/energy-and-resources/estimated-oil-sands-losses-could-top-760-million-from-wildfireshutdown/article29984575/?ref=http://www.theglobeandmail.com&amp;</w:t>
        </w:r>
      </w:hyperlink>
    </w:p>
    <w:p w14:paraId="50A3FBE7" w14:textId="62E23ABC" w:rsidR="009F7C37" w:rsidRPr="009F51EE" w:rsidRDefault="00800358" w:rsidP="009F51EE">
      <w:pPr>
        <w:pStyle w:val="ListParagraph"/>
        <w:numPr>
          <w:ilvl w:val="0"/>
          <w:numId w:val="12"/>
        </w:numPr>
        <w:rPr>
          <w:sz w:val="20"/>
          <w:szCs w:val="20"/>
        </w:rPr>
      </w:pPr>
      <w:r w:rsidRPr="009F51EE">
        <w:rPr>
          <w:sz w:val="20"/>
          <w:szCs w:val="20"/>
        </w:rPr>
        <w:t xml:space="preserve">University of Alberta. Available from: </w:t>
      </w:r>
      <w:hyperlink r:id="rId68" w:history="1">
        <w:r w:rsidR="009F7C37" w:rsidRPr="009F51EE">
          <w:rPr>
            <w:rStyle w:val="Hyperlink"/>
            <w:sz w:val="20"/>
            <w:szCs w:val="20"/>
          </w:rPr>
          <w:t>https://www.ualberta.ca/news-and-events/newsarticles/2016/may/fort-mcmurray-blaze-among-most-extreme-of-wildfires</w:t>
        </w:r>
      </w:hyperlink>
    </w:p>
    <w:p w14:paraId="7B1C2BDA" w14:textId="1E459965" w:rsidR="00927C1B" w:rsidRPr="009F51EE" w:rsidRDefault="00AE737C" w:rsidP="009F51EE">
      <w:pPr>
        <w:pStyle w:val="ListParagraph"/>
        <w:numPr>
          <w:ilvl w:val="0"/>
          <w:numId w:val="12"/>
        </w:numPr>
        <w:rPr>
          <w:sz w:val="20"/>
          <w:szCs w:val="20"/>
        </w:rPr>
      </w:pPr>
      <w:r w:rsidRPr="009F51EE">
        <w:rPr>
          <w:sz w:val="20"/>
          <w:szCs w:val="20"/>
        </w:rPr>
        <w:t>v</w:t>
      </w:r>
      <w:r w:rsidR="00927C1B" w:rsidRPr="009F51EE">
        <w:rPr>
          <w:sz w:val="20"/>
          <w:szCs w:val="20"/>
        </w:rPr>
        <w:t>an Wagner, C. E. 1977. Conditions for the start and spread of crown fire. Canadian Journal of Forest Research. 7(1): 23-34.</w:t>
      </w:r>
    </w:p>
    <w:p w14:paraId="7ABB954A" w14:textId="77777777" w:rsidR="00615D2E" w:rsidRPr="009F51EE" w:rsidRDefault="00615D2E" w:rsidP="009F51EE">
      <w:pPr>
        <w:pStyle w:val="ListParagraph"/>
        <w:numPr>
          <w:ilvl w:val="0"/>
          <w:numId w:val="12"/>
        </w:numPr>
        <w:rPr>
          <w:sz w:val="20"/>
          <w:szCs w:val="20"/>
        </w:rPr>
      </w:pPr>
      <w:r w:rsidRPr="009F51EE">
        <w:rPr>
          <w:sz w:val="20"/>
          <w:szCs w:val="20"/>
        </w:rPr>
        <w:t>Vilchez AJ, Montiel H, Casal J. Arnaldos J. Analytical expressions for the calculation of damage percentage using the probit methodology. Journal of Loss Prevention in the Process Industries, 2001; 14:193–197.</w:t>
      </w:r>
    </w:p>
    <w:sectPr w:rsidR="00615D2E" w:rsidRPr="009F51E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DE341" w14:textId="77777777" w:rsidR="004367F2" w:rsidRDefault="004367F2" w:rsidP="00E262A6">
      <w:pPr>
        <w:spacing w:after="0" w:line="240" w:lineRule="auto"/>
      </w:pPr>
      <w:r>
        <w:separator/>
      </w:r>
    </w:p>
  </w:endnote>
  <w:endnote w:type="continuationSeparator" w:id="0">
    <w:p w14:paraId="0231098F" w14:textId="77777777" w:rsidR="004367F2" w:rsidRDefault="004367F2" w:rsidP="00E26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F1355" w14:textId="77777777" w:rsidR="004367F2" w:rsidRDefault="004367F2" w:rsidP="00E262A6">
      <w:pPr>
        <w:spacing w:after="0" w:line="240" w:lineRule="auto"/>
      </w:pPr>
      <w:r>
        <w:separator/>
      </w:r>
    </w:p>
  </w:footnote>
  <w:footnote w:type="continuationSeparator" w:id="0">
    <w:p w14:paraId="5C93015C" w14:textId="77777777" w:rsidR="004367F2" w:rsidRDefault="004367F2" w:rsidP="00E262A6">
      <w:pPr>
        <w:spacing w:after="0" w:line="240" w:lineRule="auto"/>
      </w:pPr>
      <w:r>
        <w:continuationSeparator/>
      </w:r>
    </w:p>
  </w:footnote>
  <w:footnote w:id="1">
    <w:p w14:paraId="42CC101C" w14:textId="77777777" w:rsidR="00CE6D60" w:rsidRPr="0098048C" w:rsidRDefault="00CE6D60">
      <w:pPr>
        <w:pStyle w:val="FootnoteText"/>
      </w:pPr>
      <w:r>
        <w:rPr>
          <w:rStyle w:val="FootnoteReference"/>
        </w:rPr>
        <w:footnoteRef/>
      </w:r>
      <w:r>
        <w:t xml:space="preserve"> </w:t>
      </w:r>
      <w:r w:rsidRPr="0098048C">
        <w:t xml:space="preserve">FARSITE is available from </w:t>
      </w:r>
      <w:hyperlink r:id="rId1" w:history="1">
        <w:r w:rsidRPr="00573AAE">
          <w:rPr>
            <w:rStyle w:val="Hyperlink"/>
          </w:rPr>
          <w:t>https://www.firelab.org/project/farsite</w:t>
        </w:r>
      </w:hyperlink>
      <w:r w:rsidRPr="0098048C">
        <w:t>.</w:t>
      </w:r>
      <w:r>
        <w:t xml:space="preserve"> </w:t>
      </w:r>
    </w:p>
  </w:footnote>
  <w:footnote w:id="2">
    <w:p w14:paraId="25F4FBC3" w14:textId="77777777" w:rsidR="00CE6D60" w:rsidRPr="00A56196" w:rsidRDefault="00CE6D60" w:rsidP="006A213D">
      <w:pPr>
        <w:pStyle w:val="FootnoteText"/>
        <w:rPr>
          <w:lang w:val="en-US"/>
        </w:rPr>
      </w:pPr>
      <w:r>
        <w:rPr>
          <w:rStyle w:val="FootnoteReference"/>
        </w:rPr>
        <w:footnoteRef/>
      </w:r>
      <w:r>
        <w:t xml:space="preserve"> </w:t>
      </w:r>
      <w:r>
        <w:rPr>
          <w:lang w:val="en-US"/>
        </w:rPr>
        <w:t xml:space="preserve">In the present study, the storage tanks are considered to have two states, namely “Fire” and “Safe”. </w:t>
      </w:r>
    </w:p>
  </w:footnote>
  <w:footnote w:id="3">
    <w:p w14:paraId="0082829D" w14:textId="77777777" w:rsidR="00CE6D60" w:rsidRPr="005E3062" w:rsidRDefault="00CE6D60">
      <w:pPr>
        <w:pStyle w:val="FootnoteText"/>
        <w:rPr>
          <w:lang w:val="en-US"/>
        </w:rPr>
      </w:pPr>
      <w:r>
        <w:rPr>
          <w:rStyle w:val="FootnoteReference"/>
        </w:rPr>
        <w:footnoteRef/>
      </w:r>
      <w:r>
        <w:t xml:space="preserve"> </w:t>
      </w:r>
      <w:r>
        <w:rPr>
          <w:lang w:val="en-US"/>
        </w:rPr>
        <w:t xml:space="preserve">The programme is available from </w:t>
      </w:r>
      <w:hyperlink r:id="rId2" w:history="1">
        <w:r w:rsidRPr="00C34DB5">
          <w:rPr>
            <w:rStyle w:val="Hyperlink"/>
            <w:lang w:val="en-US"/>
          </w:rPr>
          <w:t>http://www.shodor.org/interactivate/activities/Fire/</w:t>
        </w:r>
      </w:hyperlink>
      <w:r>
        <w:rPr>
          <w:lang w:val="en-US"/>
        </w:rPr>
        <w:t>.</w:t>
      </w:r>
    </w:p>
  </w:footnote>
  <w:footnote w:id="4">
    <w:p w14:paraId="42615D55" w14:textId="697BD62C" w:rsidR="00CE6D60" w:rsidRPr="00DC6BCA" w:rsidRDefault="00CE6D60">
      <w:pPr>
        <w:pStyle w:val="FootnoteText"/>
        <w:rPr>
          <w:lang w:val="en-US"/>
        </w:rPr>
      </w:pPr>
      <w:r>
        <w:rPr>
          <w:rStyle w:val="FootnoteReference"/>
        </w:rPr>
        <w:footnoteRef/>
      </w:r>
      <w:r>
        <w:t xml:space="preserve"> </w:t>
      </w:r>
      <w:hyperlink r:id="rId3" w:history="1">
        <w:r w:rsidRPr="00C05376">
          <w:rPr>
            <w:rStyle w:val="Hyperlink"/>
            <w:lang w:val="en-US"/>
          </w:rPr>
          <w:t>http://www.bbc.co.uk/newsbeat/article/41608281/wildfires-why-they-start-and-how-they-can-be-stopped</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1167D"/>
    <w:multiLevelType w:val="hybridMultilevel"/>
    <w:tmpl w:val="40C6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12123E"/>
    <w:multiLevelType w:val="hybridMultilevel"/>
    <w:tmpl w:val="011032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8C662BB"/>
    <w:multiLevelType w:val="hybridMultilevel"/>
    <w:tmpl w:val="D988F0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42A7289"/>
    <w:multiLevelType w:val="hybridMultilevel"/>
    <w:tmpl w:val="664A7E90"/>
    <w:lvl w:ilvl="0" w:tplc="B16C019E">
      <w:start w:val="2"/>
      <w:numFmt w:val="bullet"/>
      <w:lvlText w:val="-"/>
      <w:lvlJc w:val="center"/>
      <w:pPr>
        <w:ind w:left="360" w:hanging="360"/>
      </w:pPr>
      <w:rPr>
        <w:rFonts w:ascii="Cambria" w:eastAsiaTheme="majorEastAsia" w:hAnsi="Cambria" w:cstheme="maj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37284678"/>
    <w:multiLevelType w:val="hybridMultilevel"/>
    <w:tmpl w:val="2A24F2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40941D04"/>
    <w:multiLevelType w:val="hybridMultilevel"/>
    <w:tmpl w:val="C35E7EC6"/>
    <w:lvl w:ilvl="0" w:tplc="5D087A34">
      <w:start w:val="1"/>
      <w:numFmt w:val="decimal"/>
      <w:pStyle w:val="Heading1"/>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85A55A5"/>
    <w:multiLevelType w:val="hybridMultilevel"/>
    <w:tmpl w:val="00AE5D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E682302"/>
    <w:multiLevelType w:val="hybridMultilevel"/>
    <w:tmpl w:val="70D8A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2DE6211"/>
    <w:multiLevelType w:val="hybridMultilevel"/>
    <w:tmpl w:val="07AEF1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56042B6F"/>
    <w:multiLevelType w:val="hybridMultilevel"/>
    <w:tmpl w:val="E6166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CB767A7"/>
    <w:multiLevelType w:val="hybridMultilevel"/>
    <w:tmpl w:val="778EEF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5"/>
  </w:num>
  <w:num w:numId="2">
    <w:abstractNumId w:val="5"/>
  </w:num>
  <w:num w:numId="3">
    <w:abstractNumId w:val="6"/>
  </w:num>
  <w:num w:numId="4">
    <w:abstractNumId w:val="9"/>
  </w:num>
  <w:num w:numId="5">
    <w:abstractNumId w:val="7"/>
  </w:num>
  <w:num w:numId="6">
    <w:abstractNumId w:val="0"/>
  </w:num>
  <w:num w:numId="7">
    <w:abstractNumId w:val="4"/>
  </w:num>
  <w:num w:numId="8">
    <w:abstractNumId w:val="10"/>
  </w:num>
  <w:num w:numId="9">
    <w:abstractNumId w:val="2"/>
  </w:num>
  <w:num w:numId="10">
    <w:abstractNumId w:val="1"/>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DA2"/>
    <w:rsid w:val="00000CA1"/>
    <w:rsid w:val="00003C9F"/>
    <w:rsid w:val="00011257"/>
    <w:rsid w:val="00013BD1"/>
    <w:rsid w:val="000141B0"/>
    <w:rsid w:val="00021DF0"/>
    <w:rsid w:val="000241D2"/>
    <w:rsid w:val="0002756B"/>
    <w:rsid w:val="00031385"/>
    <w:rsid w:val="00031882"/>
    <w:rsid w:val="00033350"/>
    <w:rsid w:val="00044401"/>
    <w:rsid w:val="00045011"/>
    <w:rsid w:val="000540AD"/>
    <w:rsid w:val="00075E0E"/>
    <w:rsid w:val="00076F0F"/>
    <w:rsid w:val="00082844"/>
    <w:rsid w:val="000907B3"/>
    <w:rsid w:val="000A0E87"/>
    <w:rsid w:val="000B7118"/>
    <w:rsid w:val="000C0803"/>
    <w:rsid w:val="000C2B84"/>
    <w:rsid w:val="000E76AC"/>
    <w:rsid w:val="000E7866"/>
    <w:rsid w:val="000E7C89"/>
    <w:rsid w:val="000F59E0"/>
    <w:rsid w:val="00101589"/>
    <w:rsid w:val="00101EEE"/>
    <w:rsid w:val="00103EA8"/>
    <w:rsid w:val="00104111"/>
    <w:rsid w:val="00104D2C"/>
    <w:rsid w:val="001112F9"/>
    <w:rsid w:val="0011558D"/>
    <w:rsid w:val="0014164B"/>
    <w:rsid w:val="0014457D"/>
    <w:rsid w:val="00154A63"/>
    <w:rsid w:val="00156350"/>
    <w:rsid w:val="00160DB3"/>
    <w:rsid w:val="00162468"/>
    <w:rsid w:val="001659C7"/>
    <w:rsid w:val="00165FEC"/>
    <w:rsid w:val="00166870"/>
    <w:rsid w:val="00183B10"/>
    <w:rsid w:val="001946F0"/>
    <w:rsid w:val="00196828"/>
    <w:rsid w:val="00197032"/>
    <w:rsid w:val="001A6146"/>
    <w:rsid w:val="001A7AD2"/>
    <w:rsid w:val="001B5D0D"/>
    <w:rsid w:val="001B609B"/>
    <w:rsid w:val="001C011D"/>
    <w:rsid w:val="001C0F43"/>
    <w:rsid w:val="001C4942"/>
    <w:rsid w:val="001C6003"/>
    <w:rsid w:val="001E11FE"/>
    <w:rsid w:val="001E463B"/>
    <w:rsid w:val="001F22F5"/>
    <w:rsid w:val="001F4700"/>
    <w:rsid w:val="001F5DF7"/>
    <w:rsid w:val="00200EC9"/>
    <w:rsid w:val="00201582"/>
    <w:rsid w:val="002034BC"/>
    <w:rsid w:val="00205225"/>
    <w:rsid w:val="0021534F"/>
    <w:rsid w:val="00222B4D"/>
    <w:rsid w:val="00223084"/>
    <w:rsid w:val="00224F6A"/>
    <w:rsid w:val="00231191"/>
    <w:rsid w:val="00247BED"/>
    <w:rsid w:val="0026459A"/>
    <w:rsid w:val="00271C04"/>
    <w:rsid w:val="00271E47"/>
    <w:rsid w:val="00272CC5"/>
    <w:rsid w:val="00282DF6"/>
    <w:rsid w:val="00284844"/>
    <w:rsid w:val="002859A2"/>
    <w:rsid w:val="0029588A"/>
    <w:rsid w:val="00296264"/>
    <w:rsid w:val="002B62B6"/>
    <w:rsid w:val="002B722D"/>
    <w:rsid w:val="002B72E5"/>
    <w:rsid w:val="002C4CDF"/>
    <w:rsid w:val="002C61FC"/>
    <w:rsid w:val="002C77AA"/>
    <w:rsid w:val="002D1446"/>
    <w:rsid w:val="002D636E"/>
    <w:rsid w:val="002E01A6"/>
    <w:rsid w:val="002E1871"/>
    <w:rsid w:val="002E2AE5"/>
    <w:rsid w:val="002E3735"/>
    <w:rsid w:val="002E6386"/>
    <w:rsid w:val="002F00AF"/>
    <w:rsid w:val="00313F0A"/>
    <w:rsid w:val="00316005"/>
    <w:rsid w:val="00325D36"/>
    <w:rsid w:val="00326728"/>
    <w:rsid w:val="003272CD"/>
    <w:rsid w:val="00331DD4"/>
    <w:rsid w:val="003413CD"/>
    <w:rsid w:val="0034195E"/>
    <w:rsid w:val="00341A33"/>
    <w:rsid w:val="00343786"/>
    <w:rsid w:val="00345DE2"/>
    <w:rsid w:val="00360917"/>
    <w:rsid w:val="00364477"/>
    <w:rsid w:val="00373077"/>
    <w:rsid w:val="003813B7"/>
    <w:rsid w:val="003851C1"/>
    <w:rsid w:val="00385F4E"/>
    <w:rsid w:val="0038656D"/>
    <w:rsid w:val="0039090B"/>
    <w:rsid w:val="00390AA8"/>
    <w:rsid w:val="0039547B"/>
    <w:rsid w:val="0039618B"/>
    <w:rsid w:val="00396373"/>
    <w:rsid w:val="003A6D30"/>
    <w:rsid w:val="003A751C"/>
    <w:rsid w:val="003B3D52"/>
    <w:rsid w:val="003C10EF"/>
    <w:rsid w:val="003C175C"/>
    <w:rsid w:val="003C247D"/>
    <w:rsid w:val="003C5249"/>
    <w:rsid w:val="003C5866"/>
    <w:rsid w:val="003D08C2"/>
    <w:rsid w:val="003D2E5E"/>
    <w:rsid w:val="003D52EB"/>
    <w:rsid w:val="003D7455"/>
    <w:rsid w:val="003E02C3"/>
    <w:rsid w:val="003E1E70"/>
    <w:rsid w:val="003E20CC"/>
    <w:rsid w:val="003E2642"/>
    <w:rsid w:val="003E34F6"/>
    <w:rsid w:val="003E4EF6"/>
    <w:rsid w:val="003E69DA"/>
    <w:rsid w:val="003E6CB2"/>
    <w:rsid w:val="00407C88"/>
    <w:rsid w:val="0042188E"/>
    <w:rsid w:val="00431659"/>
    <w:rsid w:val="00432914"/>
    <w:rsid w:val="0043578C"/>
    <w:rsid w:val="004367F2"/>
    <w:rsid w:val="00440336"/>
    <w:rsid w:val="00444FD5"/>
    <w:rsid w:val="004450E2"/>
    <w:rsid w:val="00451AC1"/>
    <w:rsid w:val="004570FE"/>
    <w:rsid w:val="0046771C"/>
    <w:rsid w:val="00470C03"/>
    <w:rsid w:val="00470FA8"/>
    <w:rsid w:val="0047719E"/>
    <w:rsid w:val="0048003A"/>
    <w:rsid w:val="00481A47"/>
    <w:rsid w:val="00481D6B"/>
    <w:rsid w:val="0048221C"/>
    <w:rsid w:val="00483B62"/>
    <w:rsid w:val="00485496"/>
    <w:rsid w:val="004935F9"/>
    <w:rsid w:val="00495D87"/>
    <w:rsid w:val="004A7CBD"/>
    <w:rsid w:val="004B3259"/>
    <w:rsid w:val="004C31F1"/>
    <w:rsid w:val="004C3D0E"/>
    <w:rsid w:val="004C5267"/>
    <w:rsid w:val="004C63A4"/>
    <w:rsid w:val="004D4179"/>
    <w:rsid w:val="004D4770"/>
    <w:rsid w:val="004D4A49"/>
    <w:rsid w:val="004E0490"/>
    <w:rsid w:val="004E11DD"/>
    <w:rsid w:val="004F4F45"/>
    <w:rsid w:val="004F525E"/>
    <w:rsid w:val="005040F6"/>
    <w:rsid w:val="0052007E"/>
    <w:rsid w:val="00531135"/>
    <w:rsid w:val="00532272"/>
    <w:rsid w:val="005336F5"/>
    <w:rsid w:val="00535109"/>
    <w:rsid w:val="00546715"/>
    <w:rsid w:val="005567E5"/>
    <w:rsid w:val="00565D8B"/>
    <w:rsid w:val="0056641F"/>
    <w:rsid w:val="005717EE"/>
    <w:rsid w:val="005769C1"/>
    <w:rsid w:val="00577802"/>
    <w:rsid w:val="00577C42"/>
    <w:rsid w:val="00577FD8"/>
    <w:rsid w:val="005839ED"/>
    <w:rsid w:val="00584044"/>
    <w:rsid w:val="005847A7"/>
    <w:rsid w:val="00585CF1"/>
    <w:rsid w:val="00585FB7"/>
    <w:rsid w:val="0058659C"/>
    <w:rsid w:val="00586994"/>
    <w:rsid w:val="0059220E"/>
    <w:rsid w:val="00592499"/>
    <w:rsid w:val="005939D1"/>
    <w:rsid w:val="005952AB"/>
    <w:rsid w:val="0059794F"/>
    <w:rsid w:val="005979B8"/>
    <w:rsid w:val="005A1202"/>
    <w:rsid w:val="005A2CFD"/>
    <w:rsid w:val="005A2D2E"/>
    <w:rsid w:val="005A5A0F"/>
    <w:rsid w:val="005A6E09"/>
    <w:rsid w:val="005B5739"/>
    <w:rsid w:val="005C31AB"/>
    <w:rsid w:val="005C38F0"/>
    <w:rsid w:val="005C3B78"/>
    <w:rsid w:val="005C6AAE"/>
    <w:rsid w:val="005D2823"/>
    <w:rsid w:val="005D2AB4"/>
    <w:rsid w:val="005E0D49"/>
    <w:rsid w:val="005E1778"/>
    <w:rsid w:val="005E2507"/>
    <w:rsid w:val="005E3062"/>
    <w:rsid w:val="005E75F1"/>
    <w:rsid w:val="005F0B46"/>
    <w:rsid w:val="005F0CB2"/>
    <w:rsid w:val="005F32D9"/>
    <w:rsid w:val="005F3715"/>
    <w:rsid w:val="005F5977"/>
    <w:rsid w:val="005F643E"/>
    <w:rsid w:val="00615D2E"/>
    <w:rsid w:val="00616E0F"/>
    <w:rsid w:val="0062262A"/>
    <w:rsid w:val="00624EBC"/>
    <w:rsid w:val="00631782"/>
    <w:rsid w:val="00634319"/>
    <w:rsid w:val="006442A6"/>
    <w:rsid w:val="0064630D"/>
    <w:rsid w:val="00646948"/>
    <w:rsid w:val="006549F4"/>
    <w:rsid w:val="00655AFF"/>
    <w:rsid w:val="00656ED7"/>
    <w:rsid w:val="00661F42"/>
    <w:rsid w:val="006717F8"/>
    <w:rsid w:val="00671B6E"/>
    <w:rsid w:val="0067323E"/>
    <w:rsid w:val="00680352"/>
    <w:rsid w:val="006879F1"/>
    <w:rsid w:val="00691531"/>
    <w:rsid w:val="006A1175"/>
    <w:rsid w:val="006A213D"/>
    <w:rsid w:val="006A38EE"/>
    <w:rsid w:val="006A47F8"/>
    <w:rsid w:val="006A5F9F"/>
    <w:rsid w:val="006A632D"/>
    <w:rsid w:val="006B03C6"/>
    <w:rsid w:val="006B5274"/>
    <w:rsid w:val="006C24F9"/>
    <w:rsid w:val="006C29E9"/>
    <w:rsid w:val="006C46B6"/>
    <w:rsid w:val="006D0D56"/>
    <w:rsid w:val="006D66E1"/>
    <w:rsid w:val="006E06B4"/>
    <w:rsid w:val="006E15A5"/>
    <w:rsid w:val="006E295C"/>
    <w:rsid w:val="006E5613"/>
    <w:rsid w:val="006F30C6"/>
    <w:rsid w:val="00700B06"/>
    <w:rsid w:val="007048EC"/>
    <w:rsid w:val="00707311"/>
    <w:rsid w:val="00712B12"/>
    <w:rsid w:val="00722021"/>
    <w:rsid w:val="00723E81"/>
    <w:rsid w:val="0072480C"/>
    <w:rsid w:val="00724931"/>
    <w:rsid w:val="007310FD"/>
    <w:rsid w:val="007401E3"/>
    <w:rsid w:val="00740B24"/>
    <w:rsid w:val="0074607A"/>
    <w:rsid w:val="00750652"/>
    <w:rsid w:val="00754EA5"/>
    <w:rsid w:val="00761F47"/>
    <w:rsid w:val="00766C2F"/>
    <w:rsid w:val="007739FF"/>
    <w:rsid w:val="00783184"/>
    <w:rsid w:val="00784E89"/>
    <w:rsid w:val="007934A1"/>
    <w:rsid w:val="007937BB"/>
    <w:rsid w:val="007938F9"/>
    <w:rsid w:val="007A6848"/>
    <w:rsid w:val="007A6DB6"/>
    <w:rsid w:val="007A6F73"/>
    <w:rsid w:val="007B2633"/>
    <w:rsid w:val="007B3596"/>
    <w:rsid w:val="007C568A"/>
    <w:rsid w:val="007D1F3D"/>
    <w:rsid w:val="007D79B3"/>
    <w:rsid w:val="007E1BAB"/>
    <w:rsid w:val="007F068E"/>
    <w:rsid w:val="007F20BC"/>
    <w:rsid w:val="007F3869"/>
    <w:rsid w:val="007F5DC9"/>
    <w:rsid w:val="007F77AE"/>
    <w:rsid w:val="00800358"/>
    <w:rsid w:val="00805734"/>
    <w:rsid w:val="008101F5"/>
    <w:rsid w:val="0081562D"/>
    <w:rsid w:val="008267D1"/>
    <w:rsid w:val="00826C96"/>
    <w:rsid w:val="00830B12"/>
    <w:rsid w:val="00831366"/>
    <w:rsid w:val="00836EAC"/>
    <w:rsid w:val="008440AF"/>
    <w:rsid w:val="0084640F"/>
    <w:rsid w:val="00846DDA"/>
    <w:rsid w:val="0085017E"/>
    <w:rsid w:val="00852001"/>
    <w:rsid w:val="008531B6"/>
    <w:rsid w:val="00857B9B"/>
    <w:rsid w:val="00861362"/>
    <w:rsid w:val="0086164C"/>
    <w:rsid w:val="00863E5E"/>
    <w:rsid w:val="00865820"/>
    <w:rsid w:val="0087776D"/>
    <w:rsid w:val="00881C6C"/>
    <w:rsid w:val="008903C8"/>
    <w:rsid w:val="008934C5"/>
    <w:rsid w:val="00893547"/>
    <w:rsid w:val="008A6BC0"/>
    <w:rsid w:val="008B0045"/>
    <w:rsid w:val="008B0FBE"/>
    <w:rsid w:val="008B20B9"/>
    <w:rsid w:val="008B308B"/>
    <w:rsid w:val="008B45D0"/>
    <w:rsid w:val="008B5F26"/>
    <w:rsid w:val="008C1056"/>
    <w:rsid w:val="008C26F7"/>
    <w:rsid w:val="008C62BE"/>
    <w:rsid w:val="008C6D45"/>
    <w:rsid w:val="008D3D1C"/>
    <w:rsid w:val="008E4F1E"/>
    <w:rsid w:val="008E5A2D"/>
    <w:rsid w:val="00902089"/>
    <w:rsid w:val="00903EF6"/>
    <w:rsid w:val="0090437B"/>
    <w:rsid w:val="00912B56"/>
    <w:rsid w:val="00914010"/>
    <w:rsid w:val="00922391"/>
    <w:rsid w:val="0092241D"/>
    <w:rsid w:val="00927C1B"/>
    <w:rsid w:val="00930541"/>
    <w:rsid w:val="00934964"/>
    <w:rsid w:val="00936547"/>
    <w:rsid w:val="00937251"/>
    <w:rsid w:val="00940719"/>
    <w:rsid w:val="00941B13"/>
    <w:rsid w:val="009435C4"/>
    <w:rsid w:val="009676CC"/>
    <w:rsid w:val="0097094E"/>
    <w:rsid w:val="00970BBF"/>
    <w:rsid w:val="00972815"/>
    <w:rsid w:val="009732C8"/>
    <w:rsid w:val="00974D5D"/>
    <w:rsid w:val="0098048C"/>
    <w:rsid w:val="00990423"/>
    <w:rsid w:val="00990842"/>
    <w:rsid w:val="00991D0D"/>
    <w:rsid w:val="00993F71"/>
    <w:rsid w:val="009A060A"/>
    <w:rsid w:val="009B68F5"/>
    <w:rsid w:val="009C11E0"/>
    <w:rsid w:val="009C133A"/>
    <w:rsid w:val="009D28D1"/>
    <w:rsid w:val="009D38E1"/>
    <w:rsid w:val="009E3ACD"/>
    <w:rsid w:val="009F51EE"/>
    <w:rsid w:val="009F65D2"/>
    <w:rsid w:val="009F7C37"/>
    <w:rsid w:val="00A0163A"/>
    <w:rsid w:val="00A06793"/>
    <w:rsid w:val="00A13C69"/>
    <w:rsid w:val="00A157A1"/>
    <w:rsid w:val="00A20474"/>
    <w:rsid w:val="00A20735"/>
    <w:rsid w:val="00A24A45"/>
    <w:rsid w:val="00A31061"/>
    <w:rsid w:val="00A33D8B"/>
    <w:rsid w:val="00A35C62"/>
    <w:rsid w:val="00A367F7"/>
    <w:rsid w:val="00A368A8"/>
    <w:rsid w:val="00A37841"/>
    <w:rsid w:val="00A37D8C"/>
    <w:rsid w:val="00A47E48"/>
    <w:rsid w:val="00A509AA"/>
    <w:rsid w:val="00A54A07"/>
    <w:rsid w:val="00A56086"/>
    <w:rsid w:val="00A61E0C"/>
    <w:rsid w:val="00A6236F"/>
    <w:rsid w:val="00A64C73"/>
    <w:rsid w:val="00A766AD"/>
    <w:rsid w:val="00A8317D"/>
    <w:rsid w:val="00A83495"/>
    <w:rsid w:val="00A85D1B"/>
    <w:rsid w:val="00A86E67"/>
    <w:rsid w:val="00A94226"/>
    <w:rsid w:val="00AA3BD1"/>
    <w:rsid w:val="00AA48BD"/>
    <w:rsid w:val="00AB00F7"/>
    <w:rsid w:val="00AB6352"/>
    <w:rsid w:val="00AC5456"/>
    <w:rsid w:val="00AD2D73"/>
    <w:rsid w:val="00AE31D4"/>
    <w:rsid w:val="00AE336D"/>
    <w:rsid w:val="00AE70CD"/>
    <w:rsid w:val="00AE737C"/>
    <w:rsid w:val="00B01606"/>
    <w:rsid w:val="00B045AD"/>
    <w:rsid w:val="00B12F1B"/>
    <w:rsid w:val="00B20473"/>
    <w:rsid w:val="00B20846"/>
    <w:rsid w:val="00B24DF9"/>
    <w:rsid w:val="00B2709C"/>
    <w:rsid w:val="00B3043F"/>
    <w:rsid w:val="00B429A0"/>
    <w:rsid w:val="00B443B8"/>
    <w:rsid w:val="00B458C3"/>
    <w:rsid w:val="00B5087D"/>
    <w:rsid w:val="00B51D14"/>
    <w:rsid w:val="00B563ED"/>
    <w:rsid w:val="00B566B6"/>
    <w:rsid w:val="00B65287"/>
    <w:rsid w:val="00B76C97"/>
    <w:rsid w:val="00B81D30"/>
    <w:rsid w:val="00B82053"/>
    <w:rsid w:val="00B83482"/>
    <w:rsid w:val="00BA17D8"/>
    <w:rsid w:val="00BA3C25"/>
    <w:rsid w:val="00BA4ADC"/>
    <w:rsid w:val="00BA79FB"/>
    <w:rsid w:val="00BB2587"/>
    <w:rsid w:val="00BB6C66"/>
    <w:rsid w:val="00BC0FD0"/>
    <w:rsid w:val="00BC7305"/>
    <w:rsid w:val="00BC7B9C"/>
    <w:rsid w:val="00BD0E50"/>
    <w:rsid w:val="00BD5406"/>
    <w:rsid w:val="00BE03CB"/>
    <w:rsid w:val="00BE49B3"/>
    <w:rsid w:val="00BF32EE"/>
    <w:rsid w:val="00BF6DD9"/>
    <w:rsid w:val="00C01DA2"/>
    <w:rsid w:val="00C02467"/>
    <w:rsid w:val="00C024DD"/>
    <w:rsid w:val="00C10771"/>
    <w:rsid w:val="00C163FF"/>
    <w:rsid w:val="00C172DB"/>
    <w:rsid w:val="00C20918"/>
    <w:rsid w:val="00C25C42"/>
    <w:rsid w:val="00C2614F"/>
    <w:rsid w:val="00C3424B"/>
    <w:rsid w:val="00C35B5A"/>
    <w:rsid w:val="00C37B76"/>
    <w:rsid w:val="00C429E4"/>
    <w:rsid w:val="00C53B6D"/>
    <w:rsid w:val="00C55EC7"/>
    <w:rsid w:val="00C603DB"/>
    <w:rsid w:val="00C629ED"/>
    <w:rsid w:val="00C62AB1"/>
    <w:rsid w:val="00C63765"/>
    <w:rsid w:val="00C73138"/>
    <w:rsid w:val="00C74F01"/>
    <w:rsid w:val="00C80050"/>
    <w:rsid w:val="00C83B8A"/>
    <w:rsid w:val="00C8630F"/>
    <w:rsid w:val="00C86908"/>
    <w:rsid w:val="00C86BF6"/>
    <w:rsid w:val="00C92C45"/>
    <w:rsid w:val="00C9384C"/>
    <w:rsid w:val="00CA44A2"/>
    <w:rsid w:val="00CB04BA"/>
    <w:rsid w:val="00CB43B1"/>
    <w:rsid w:val="00CC4C42"/>
    <w:rsid w:val="00CC4DCD"/>
    <w:rsid w:val="00CC685E"/>
    <w:rsid w:val="00CD1CCE"/>
    <w:rsid w:val="00CD2652"/>
    <w:rsid w:val="00CD3335"/>
    <w:rsid w:val="00CD4189"/>
    <w:rsid w:val="00CE6D60"/>
    <w:rsid w:val="00CE6E43"/>
    <w:rsid w:val="00CF6AF6"/>
    <w:rsid w:val="00D0498A"/>
    <w:rsid w:val="00D0681E"/>
    <w:rsid w:val="00D14F93"/>
    <w:rsid w:val="00D152DC"/>
    <w:rsid w:val="00D2134B"/>
    <w:rsid w:val="00D27DFC"/>
    <w:rsid w:val="00D32482"/>
    <w:rsid w:val="00D361C0"/>
    <w:rsid w:val="00D402BA"/>
    <w:rsid w:val="00D410F6"/>
    <w:rsid w:val="00D47115"/>
    <w:rsid w:val="00D52BA5"/>
    <w:rsid w:val="00D52D75"/>
    <w:rsid w:val="00D52E98"/>
    <w:rsid w:val="00D61D1F"/>
    <w:rsid w:val="00D63438"/>
    <w:rsid w:val="00D638CC"/>
    <w:rsid w:val="00D6596E"/>
    <w:rsid w:val="00D76C9D"/>
    <w:rsid w:val="00D841C8"/>
    <w:rsid w:val="00D84596"/>
    <w:rsid w:val="00D91AF1"/>
    <w:rsid w:val="00D95001"/>
    <w:rsid w:val="00D95758"/>
    <w:rsid w:val="00D9584A"/>
    <w:rsid w:val="00D96085"/>
    <w:rsid w:val="00DB31A6"/>
    <w:rsid w:val="00DC6BCA"/>
    <w:rsid w:val="00DD5A3C"/>
    <w:rsid w:val="00DD636D"/>
    <w:rsid w:val="00DD79D5"/>
    <w:rsid w:val="00DE2E8E"/>
    <w:rsid w:val="00DE421C"/>
    <w:rsid w:val="00DE7B7C"/>
    <w:rsid w:val="00DF6083"/>
    <w:rsid w:val="00DF6769"/>
    <w:rsid w:val="00E06ED1"/>
    <w:rsid w:val="00E15DDE"/>
    <w:rsid w:val="00E23FD1"/>
    <w:rsid w:val="00E25EC6"/>
    <w:rsid w:val="00E262A6"/>
    <w:rsid w:val="00E26E0B"/>
    <w:rsid w:val="00E27CF3"/>
    <w:rsid w:val="00E41A9B"/>
    <w:rsid w:val="00E43104"/>
    <w:rsid w:val="00E44DBB"/>
    <w:rsid w:val="00E44FA5"/>
    <w:rsid w:val="00E467E0"/>
    <w:rsid w:val="00E61474"/>
    <w:rsid w:val="00E64326"/>
    <w:rsid w:val="00E65FA4"/>
    <w:rsid w:val="00E668E3"/>
    <w:rsid w:val="00E72CCE"/>
    <w:rsid w:val="00E824F1"/>
    <w:rsid w:val="00E83960"/>
    <w:rsid w:val="00E8417F"/>
    <w:rsid w:val="00E93144"/>
    <w:rsid w:val="00E965A2"/>
    <w:rsid w:val="00EA4471"/>
    <w:rsid w:val="00EA4C58"/>
    <w:rsid w:val="00EA5E4C"/>
    <w:rsid w:val="00EB6A25"/>
    <w:rsid w:val="00EC02BD"/>
    <w:rsid w:val="00ED0F21"/>
    <w:rsid w:val="00ED2ECC"/>
    <w:rsid w:val="00EE0840"/>
    <w:rsid w:val="00EE4A24"/>
    <w:rsid w:val="00EE5752"/>
    <w:rsid w:val="00EE5EE7"/>
    <w:rsid w:val="00EF0980"/>
    <w:rsid w:val="00EF4CAF"/>
    <w:rsid w:val="00EF5886"/>
    <w:rsid w:val="00F023ED"/>
    <w:rsid w:val="00F034CA"/>
    <w:rsid w:val="00F0351D"/>
    <w:rsid w:val="00F051B1"/>
    <w:rsid w:val="00F053CA"/>
    <w:rsid w:val="00F13EED"/>
    <w:rsid w:val="00F2048E"/>
    <w:rsid w:val="00F24EF1"/>
    <w:rsid w:val="00F2519C"/>
    <w:rsid w:val="00F25DC7"/>
    <w:rsid w:val="00F31C38"/>
    <w:rsid w:val="00F33A17"/>
    <w:rsid w:val="00F50641"/>
    <w:rsid w:val="00F514AE"/>
    <w:rsid w:val="00F523A8"/>
    <w:rsid w:val="00F55ACC"/>
    <w:rsid w:val="00F6471E"/>
    <w:rsid w:val="00F71507"/>
    <w:rsid w:val="00F72538"/>
    <w:rsid w:val="00F7709C"/>
    <w:rsid w:val="00F82875"/>
    <w:rsid w:val="00F83AA8"/>
    <w:rsid w:val="00F84969"/>
    <w:rsid w:val="00F8530B"/>
    <w:rsid w:val="00F874E1"/>
    <w:rsid w:val="00F87C35"/>
    <w:rsid w:val="00F93E54"/>
    <w:rsid w:val="00F94A39"/>
    <w:rsid w:val="00FA2322"/>
    <w:rsid w:val="00FA2C8B"/>
    <w:rsid w:val="00FA774E"/>
    <w:rsid w:val="00FB2098"/>
    <w:rsid w:val="00FC5F6B"/>
    <w:rsid w:val="00FD0726"/>
    <w:rsid w:val="00FE074B"/>
    <w:rsid w:val="00FE30E0"/>
    <w:rsid w:val="00FE426E"/>
    <w:rsid w:val="00FE4AA0"/>
    <w:rsid w:val="00FF3C2C"/>
    <w:rsid w:val="00FF5C33"/>
    <w:rsid w:val="00FF646F"/>
    <w:rsid w:val="00FF6A60"/>
    <w:rsid w:val="00FF6FE4"/>
    <w:rsid w:val="00FF71CC"/>
    <w:rsid w:val="00FF7B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774EB867"/>
  <w15:docId w15:val="{A620A4FB-0B56-4B10-B1E1-9B588F63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322"/>
    <w:pPr>
      <w:spacing w:after="120" w:line="360" w:lineRule="auto"/>
    </w:pPr>
    <w:rPr>
      <w:rFonts w:ascii="Cambria" w:hAnsi="Cambria"/>
      <w:noProof/>
    </w:rPr>
  </w:style>
  <w:style w:type="paragraph" w:styleId="Heading1">
    <w:name w:val="heading 1"/>
    <w:basedOn w:val="Normal"/>
    <w:next w:val="Normal"/>
    <w:link w:val="Heading1Char"/>
    <w:autoRedefine/>
    <w:uiPriority w:val="9"/>
    <w:qFormat/>
    <w:rsid w:val="00FA2322"/>
    <w:pPr>
      <w:keepNext/>
      <w:keepLines/>
      <w:numPr>
        <w:numId w:val="1"/>
      </w:numPr>
      <w:spacing w:before="240" w:after="0"/>
      <w:ind w:left="36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Normal"/>
    <w:next w:val="Normal"/>
    <w:link w:val="Heading2Char"/>
    <w:autoRedefine/>
    <w:uiPriority w:val="9"/>
    <w:unhideWhenUsed/>
    <w:qFormat/>
    <w:rsid w:val="00160DB3"/>
    <w:pPr>
      <w:keepNext/>
      <w:keepLines/>
      <w:spacing w:before="120"/>
      <w:outlineLvl w:val="1"/>
    </w:pPr>
    <w:rPr>
      <w:rFonts w:asciiTheme="majorHAnsi" w:eastAsiaTheme="majorEastAsia" w:hAnsiTheme="majorHAnsi" w:cstheme="majorBidi"/>
      <w:b/>
      <w:bCs/>
      <w:color w:val="365F91" w:themeColor="accent1" w:themeShade="BF"/>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85017E"/>
    <w:pPr>
      <w:spacing w:after="300"/>
      <w:contextualSpacing/>
      <w:jc w:val="both"/>
    </w:pPr>
    <w:rPr>
      <w:rFonts w:asciiTheme="majorHAnsi" w:eastAsiaTheme="majorEastAsia" w:hAnsiTheme="majorHAnsi" w:cstheme="majorBidi"/>
      <w:b/>
      <w:color w:val="365F91" w:themeColor="accent1" w:themeShade="BF"/>
      <w:spacing w:val="5"/>
      <w:kern w:val="28"/>
      <w:sz w:val="44"/>
      <w:szCs w:val="44"/>
      <w:lang w:val="en-US"/>
    </w:rPr>
  </w:style>
  <w:style w:type="character" w:customStyle="1" w:styleId="TitleChar">
    <w:name w:val="Title Char"/>
    <w:basedOn w:val="DefaultParagraphFont"/>
    <w:link w:val="Title"/>
    <w:uiPriority w:val="10"/>
    <w:rsid w:val="0085017E"/>
    <w:rPr>
      <w:rFonts w:asciiTheme="majorHAnsi" w:eastAsiaTheme="majorEastAsia" w:hAnsiTheme="majorHAnsi" w:cstheme="majorBidi"/>
      <w:b/>
      <w:noProof/>
      <w:color w:val="365F91" w:themeColor="accent1" w:themeShade="BF"/>
      <w:spacing w:val="5"/>
      <w:kern w:val="28"/>
      <w:sz w:val="44"/>
      <w:szCs w:val="44"/>
      <w:lang w:val="en-US"/>
    </w:rPr>
  </w:style>
  <w:style w:type="character" w:customStyle="1" w:styleId="Heading1Char">
    <w:name w:val="Heading 1 Char"/>
    <w:basedOn w:val="DefaultParagraphFont"/>
    <w:link w:val="Heading1"/>
    <w:uiPriority w:val="9"/>
    <w:rsid w:val="00FA2322"/>
    <w:rPr>
      <w:rFonts w:asciiTheme="majorHAnsi" w:eastAsiaTheme="majorEastAsia" w:hAnsiTheme="majorHAnsi" w:cstheme="majorBidi"/>
      <w:b/>
      <w:bCs/>
      <w:noProof/>
      <w:color w:val="365F91" w:themeColor="accent1" w:themeShade="BF"/>
      <w:sz w:val="24"/>
      <w:szCs w:val="28"/>
    </w:rPr>
  </w:style>
  <w:style w:type="character" w:customStyle="1" w:styleId="Heading2Char">
    <w:name w:val="Heading 2 Char"/>
    <w:basedOn w:val="DefaultParagraphFont"/>
    <w:link w:val="Heading2"/>
    <w:uiPriority w:val="9"/>
    <w:rsid w:val="00160DB3"/>
    <w:rPr>
      <w:rFonts w:asciiTheme="majorHAnsi" w:eastAsiaTheme="majorEastAsia" w:hAnsiTheme="majorHAnsi" w:cstheme="majorBidi"/>
      <w:b/>
      <w:bCs/>
      <w:noProof/>
      <w:color w:val="365F91" w:themeColor="accent1" w:themeShade="BF"/>
      <w:szCs w:val="26"/>
      <w:lang w:val="en-US"/>
    </w:rPr>
  </w:style>
  <w:style w:type="paragraph" w:styleId="ListParagraph">
    <w:name w:val="List Paragraph"/>
    <w:basedOn w:val="Normal"/>
    <w:uiPriority w:val="34"/>
    <w:qFormat/>
    <w:rsid w:val="00F2048E"/>
    <w:pPr>
      <w:ind w:left="720"/>
      <w:contextualSpacing/>
    </w:pPr>
  </w:style>
  <w:style w:type="character" w:styleId="CommentReference">
    <w:name w:val="annotation reference"/>
    <w:basedOn w:val="DefaultParagraphFont"/>
    <w:uiPriority w:val="99"/>
    <w:semiHidden/>
    <w:unhideWhenUsed/>
    <w:rsid w:val="00C629ED"/>
    <w:rPr>
      <w:sz w:val="16"/>
      <w:szCs w:val="16"/>
    </w:rPr>
  </w:style>
  <w:style w:type="paragraph" w:styleId="CommentText">
    <w:name w:val="annotation text"/>
    <w:basedOn w:val="Normal"/>
    <w:link w:val="CommentTextChar"/>
    <w:uiPriority w:val="99"/>
    <w:semiHidden/>
    <w:unhideWhenUsed/>
    <w:rsid w:val="00C629ED"/>
    <w:pPr>
      <w:spacing w:line="240" w:lineRule="auto"/>
    </w:pPr>
    <w:rPr>
      <w:sz w:val="20"/>
      <w:szCs w:val="20"/>
    </w:rPr>
  </w:style>
  <w:style w:type="character" w:customStyle="1" w:styleId="CommentTextChar">
    <w:name w:val="Comment Text Char"/>
    <w:basedOn w:val="DefaultParagraphFont"/>
    <w:link w:val="CommentText"/>
    <w:uiPriority w:val="99"/>
    <w:semiHidden/>
    <w:rsid w:val="00C629ED"/>
    <w:rPr>
      <w:rFonts w:ascii="Cambria" w:hAnsi="Cambria"/>
      <w:noProof/>
      <w:sz w:val="20"/>
      <w:szCs w:val="20"/>
    </w:rPr>
  </w:style>
  <w:style w:type="paragraph" w:styleId="CommentSubject">
    <w:name w:val="annotation subject"/>
    <w:basedOn w:val="CommentText"/>
    <w:next w:val="CommentText"/>
    <w:link w:val="CommentSubjectChar"/>
    <w:uiPriority w:val="99"/>
    <w:semiHidden/>
    <w:unhideWhenUsed/>
    <w:rsid w:val="00C629ED"/>
    <w:rPr>
      <w:b/>
      <w:bCs/>
    </w:rPr>
  </w:style>
  <w:style w:type="character" w:customStyle="1" w:styleId="CommentSubjectChar">
    <w:name w:val="Comment Subject Char"/>
    <w:basedOn w:val="CommentTextChar"/>
    <w:link w:val="CommentSubject"/>
    <w:uiPriority w:val="99"/>
    <w:semiHidden/>
    <w:rsid w:val="00C629ED"/>
    <w:rPr>
      <w:rFonts w:ascii="Cambria" w:hAnsi="Cambria"/>
      <w:b/>
      <w:bCs/>
      <w:noProof/>
      <w:sz w:val="20"/>
      <w:szCs w:val="20"/>
    </w:rPr>
  </w:style>
  <w:style w:type="paragraph" w:styleId="BalloonText">
    <w:name w:val="Balloon Text"/>
    <w:basedOn w:val="Normal"/>
    <w:link w:val="BalloonTextChar"/>
    <w:uiPriority w:val="99"/>
    <w:semiHidden/>
    <w:unhideWhenUsed/>
    <w:rsid w:val="00C62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9ED"/>
    <w:rPr>
      <w:rFonts w:ascii="Tahoma" w:hAnsi="Tahoma" w:cs="Tahoma"/>
      <w:noProof/>
      <w:sz w:val="16"/>
      <w:szCs w:val="16"/>
    </w:rPr>
  </w:style>
  <w:style w:type="character" w:styleId="Hyperlink">
    <w:name w:val="Hyperlink"/>
    <w:basedOn w:val="DefaultParagraphFont"/>
    <w:uiPriority w:val="99"/>
    <w:unhideWhenUsed/>
    <w:rsid w:val="00A37841"/>
    <w:rPr>
      <w:color w:val="0000FF" w:themeColor="hyperlink"/>
      <w:u w:val="single"/>
    </w:rPr>
  </w:style>
  <w:style w:type="paragraph" w:styleId="FootnoteText">
    <w:name w:val="footnote text"/>
    <w:basedOn w:val="Normal"/>
    <w:link w:val="FootnoteTextChar"/>
    <w:uiPriority w:val="99"/>
    <w:semiHidden/>
    <w:unhideWhenUsed/>
    <w:rsid w:val="00E262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62A6"/>
    <w:rPr>
      <w:rFonts w:ascii="Cambria" w:hAnsi="Cambria"/>
      <w:noProof/>
      <w:sz w:val="20"/>
      <w:szCs w:val="20"/>
    </w:rPr>
  </w:style>
  <w:style w:type="character" w:styleId="FootnoteReference">
    <w:name w:val="footnote reference"/>
    <w:basedOn w:val="DefaultParagraphFont"/>
    <w:uiPriority w:val="99"/>
    <w:semiHidden/>
    <w:unhideWhenUsed/>
    <w:rsid w:val="00E262A6"/>
    <w:rPr>
      <w:vertAlign w:val="superscript"/>
    </w:rPr>
  </w:style>
  <w:style w:type="character" w:styleId="PlaceholderText">
    <w:name w:val="Placeholder Text"/>
    <w:basedOn w:val="DefaultParagraphFont"/>
    <w:uiPriority w:val="99"/>
    <w:semiHidden/>
    <w:rsid w:val="00F87C35"/>
    <w:rPr>
      <w:color w:val="808080"/>
    </w:rPr>
  </w:style>
  <w:style w:type="character" w:styleId="FollowedHyperlink">
    <w:name w:val="FollowedHyperlink"/>
    <w:basedOn w:val="DefaultParagraphFont"/>
    <w:uiPriority w:val="99"/>
    <w:semiHidden/>
    <w:unhideWhenUsed/>
    <w:rsid w:val="00B566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45941">
      <w:bodyDiv w:val="1"/>
      <w:marLeft w:val="0"/>
      <w:marRight w:val="0"/>
      <w:marTop w:val="0"/>
      <w:marBottom w:val="0"/>
      <w:divBdr>
        <w:top w:val="none" w:sz="0" w:space="0" w:color="auto"/>
        <w:left w:val="none" w:sz="0" w:space="0" w:color="auto"/>
        <w:bottom w:val="none" w:sz="0" w:space="0" w:color="auto"/>
        <w:right w:val="none" w:sz="0" w:space="0" w:color="auto"/>
      </w:divBdr>
    </w:div>
    <w:div w:id="281309008">
      <w:bodyDiv w:val="1"/>
      <w:marLeft w:val="0"/>
      <w:marRight w:val="0"/>
      <w:marTop w:val="0"/>
      <w:marBottom w:val="0"/>
      <w:divBdr>
        <w:top w:val="none" w:sz="0" w:space="0" w:color="auto"/>
        <w:left w:val="none" w:sz="0" w:space="0" w:color="auto"/>
        <w:bottom w:val="none" w:sz="0" w:space="0" w:color="auto"/>
        <w:right w:val="none" w:sz="0" w:space="0" w:color="auto"/>
      </w:divBdr>
    </w:div>
    <w:div w:id="1248418173">
      <w:bodyDiv w:val="1"/>
      <w:marLeft w:val="0"/>
      <w:marRight w:val="0"/>
      <w:marTop w:val="0"/>
      <w:marBottom w:val="0"/>
      <w:divBdr>
        <w:top w:val="none" w:sz="0" w:space="0" w:color="auto"/>
        <w:left w:val="none" w:sz="0" w:space="0" w:color="auto"/>
        <w:bottom w:val="none" w:sz="0" w:space="0" w:color="auto"/>
        <w:right w:val="none" w:sz="0" w:space="0" w:color="auto"/>
      </w:divBdr>
    </w:div>
    <w:div w:id="1568689438">
      <w:bodyDiv w:val="1"/>
      <w:marLeft w:val="0"/>
      <w:marRight w:val="0"/>
      <w:marTop w:val="0"/>
      <w:marBottom w:val="0"/>
      <w:divBdr>
        <w:top w:val="none" w:sz="0" w:space="0" w:color="auto"/>
        <w:left w:val="none" w:sz="0" w:space="0" w:color="auto"/>
        <w:bottom w:val="none" w:sz="0" w:space="0" w:color="auto"/>
        <w:right w:val="none" w:sz="0" w:space="0" w:color="auto"/>
      </w:divBdr>
    </w:div>
    <w:div w:id="1754474834">
      <w:bodyDiv w:val="1"/>
      <w:marLeft w:val="0"/>
      <w:marRight w:val="0"/>
      <w:marTop w:val="0"/>
      <w:marBottom w:val="0"/>
      <w:divBdr>
        <w:top w:val="none" w:sz="0" w:space="0" w:color="auto"/>
        <w:left w:val="none" w:sz="0" w:space="0" w:color="auto"/>
        <w:bottom w:val="none" w:sz="0" w:space="0" w:color="auto"/>
        <w:right w:val="none" w:sz="0" w:space="0" w:color="auto"/>
      </w:divBdr>
    </w:div>
    <w:div w:id="1816220482">
      <w:bodyDiv w:val="1"/>
      <w:marLeft w:val="0"/>
      <w:marRight w:val="0"/>
      <w:marTop w:val="0"/>
      <w:marBottom w:val="0"/>
      <w:divBdr>
        <w:top w:val="none" w:sz="0" w:space="0" w:color="auto"/>
        <w:left w:val="none" w:sz="0" w:space="0" w:color="auto"/>
        <w:bottom w:val="none" w:sz="0" w:space="0" w:color="auto"/>
        <w:right w:val="none" w:sz="0" w:space="0" w:color="auto"/>
      </w:divBdr>
    </w:div>
    <w:div w:id="200763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0.emf"/><Relationship Id="rId50" Type="http://schemas.openxmlformats.org/officeDocument/2006/relationships/oleObject" Target="embeddings/oleObject20.bin"/><Relationship Id="rId55" Type="http://schemas.openxmlformats.org/officeDocument/2006/relationships/oleObject" Target="embeddings/oleObject24.bin"/><Relationship Id="rId63" Type="http://schemas.openxmlformats.org/officeDocument/2006/relationships/hyperlink" Target="http://www.nationalgeographic.com/environment/natural-disasters/wildfires/" TargetMode="External"/><Relationship Id="rId68" Type="http://schemas.openxmlformats.org/officeDocument/2006/relationships/hyperlink" Target="https://www.ualberta.ca/news-and-events/newsarticles/2016/may/fort-mcmurray-blaze-among-most-extreme-of-wildfir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4.bin"/><Relationship Id="rId40" Type="http://schemas.openxmlformats.org/officeDocument/2006/relationships/image" Target="media/image18.emf"/><Relationship Id="rId45" Type="http://schemas.openxmlformats.org/officeDocument/2006/relationships/chart" Target="charts/chart1.xml"/><Relationship Id="rId53" Type="http://schemas.openxmlformats.org/officeDocument/2006/relationships/oleObject" Target="embeddings/oleObject22.bin"/><Relationship Id="rId58" Type="http://schemas.openxmlformats.org/officeDocument/2006/relationships/hyperlink" Target="http://ocw.usu.edu/Forest__Range__and_Wildlife_Sciences/Wildland_Fire_Management_and_Planning/Unit_1__The_Fire_Environment_Part_2.html" TargetMode="External"/><Relationship Id="rId66" Type="http://schemas.openxmlformats.org/officeDocument/2006/relationships/hyperlink" Target="http://effis.jrc.ec.europa.eu/"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1.emf"/><Relationship Id="rId57" Type="http://schemas.openxmlformats.org/officeDocument/2006/relationships/hyperlink" Target="http://wildfire.alberta.ca/wildfire-status/danger-forecast.aspx" TargetMode="External"/><Relationship Id="rId61" Type="http://schemas.openxmlformats.org/officeDocument/2006/relationships/hyperlink" Target="http://www.enform.ca/resources/detail/66/firesmart-field-guide-for-upstream-oil-and-gas-industry" TargetMode="Externa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yperlink" Target="http://www.Matche.com" TargetMode="External"/><Relationship Id="rId52" Type="http://schemas.openxmlformats.org/officeDocument/2006/relationships/oleObject" Target="embeddings/oleObject21.bin"/><Relationship Id="rId60" Type="http://schemas.openxmlformats.org/officeDocument/2006/relationships/hyperlink" Target="http://publications.jrc.ec.europa.eu/repository/handle/JRC42281" TargetMode="External"/><Relationship Id="rId65" Type="http://schemas.openxmlformats.org/officeDocument/2006/relationships/hyperlink" Target="https://www.nrs.fs.fed.us/pubs/447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19.bin"/><Relationship Id="rId56" Type="http://schemas.openxmlformats.org/officeDocument/2006/relationships/oleObject" Target="embeddings/oleObject25.bin"/><Relationship Id="rId64" Type="http://schemas.openxmlformats.org/officeDocument/2006/relationships/hyperlink" Target="https://www.ipcc.ch/pdf/assessment-report/ar4/wg2/ar4_wg2_full_report.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emf"/><Relationship Id="rId46" Type="http://schemas.openxmlformats.org/officeDocument/2006/relationships/oleObject" Target="embeddings/oleObject18.bin"/><Relationship Id="rId59" Type="http://schemas.openxmlformats.org/officeDocument/2006/relationships/hyperlink" Target="http://www.epa.gov/OEM/cameo/aloha.htm" TargetMode="External"/><Relationship Id="rId67" Type="http://schemas.openxmlformats.org/officeDocument/2006/relationships/hyperlink" Target="https://beta.theglobeandmail.com/report-on-business/industry-news/energy-and-resources/estimated-oil-sands-losses-could-top-760-million-from-wildfireshutdown/article29984575/?ref=http://www.theglobeandmail.com&amp;" TargetMode="External"/><Relationship Id="rId20" Type="http://schemas.openxmlformats.org/officeDocument/2006/relationships/image" Target="media/image8.e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hyperlink" Target="http://www.cfs.nrcan.gc.ca/pubwarehouse/pdfs/4649.pdf"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bbc.co.uk/newsbeat/article/41608281/wildfires-why-they-start-and-how-they-can-be-stopped" TargetMode="External"/><Relationship Id="rId2" Type="http://schemas.openxmlformats.org/officeDocument/2006/relationships/hyperlink" Target="http://www.shodor.org/interactivate/activities/Fire/" TargetMode="External"/><Relationship Id="rId1" Type="http://schemas.openxmlformats.org/officeDocument/2006/relationships/hyperlink" Target="https://www.firelab.org/project/farsit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30535977400918"/>
          <c:y val="5.1400554097404488E-2"/>
          <c:w val="0.75353640245471687"/>
          <c:h val="0.70028164309045793"/>
        </c:manualLayout>
      </c:layout>
      <c:barChart>
        <c:barDir val="col"/>
        <c:grouping val="clustered"/>
        <c:varyColors val="0"/>
        <c:ser>
          <c:idx val="0"/>
          <c:order val="0"/>
          <c:invertIfNegative val="0"/>
          <c:cat>
            <c:strRef>
              <c:f>Sheet2!$D$13:$D$16</c:f>
              <c:strCache>
                <c:ptCount val="4"/>
                <c:pt idx="0">
                  <c:v>None</c:v>
                </c:pt>
                <c:pt idx="1">
                  <c:v>T6</c:v>
                </c:pt>
                <c:pt idx="2">
                  <c:v>T3</c:v>
                </c:pt>
                <c:pt idx="3">
                  <c:v>T6 &amp; T3</c:v>
                </c:pt>
              </c:strCache>
            </c:strRef>
          </c:cat>
          <c:val>
            <c:numRef>
              <c:f>Sheet2!$E$13:$E$16</c:f>
              <c:numCache>
                <c:formatCode>General</c:formatCode>
                <c:ptCount val="4"/>
                <c:pt idx="0">
                  <c:v>2.67</c:v>
                </c:pt>
                <c:pt idx="1">
                  <c:v>2.59</c:v>
                </c:pt>
                <c:pt idx="2">
                  <c:v>2.77</c:v>
                </c:pt>
                <c:pt idx="3">
                  <c:v>2.79</c:v>
                </c:pt>
              </c:numCache>
            </c:numRef>
          </c:val>
          <c:extLst>
            <c:ext xmlns:c16="http://schemas.microsoft.com/office/drawing/2014/chart" uri="{C3380CC4-5D6E-409C-BE32-E72D297353CC}">
              <c16:uniqueId val="{00000000-C12E-4ED6-8CCE-F6C47260BFDA}"/>
            </c:ext>
          </c:extLst>
        </c:ser>
        <c:dLbls>
          <c:showLegendKey val="0"/>
          <c:showVal val="0"/>
          <c:showCatName val="0"/>
          <c:showSerName val="0"/>
          <c:showPercent val="0"/>
          <c:showBubbleSize val="0"/>
        </c:dLbls>
        <c:gapWidth val="124"/>
        <c:overlap val="-28"/>
        <c:axId val="79043584"/>
        <c:axId val="36967552"/>
      </c:barChart>
      <c:catAx>
        <c:axId val="79043584"/>
        <c:scaling>
          <c:orientation val="minMax"/>
        </c:scaling>
        <c:delete val="0"/>
        <c:axPos val="b"/>
        <c:title>
          <c:tx>
            <c:rich>
              <a:bodyPr/>
              <a:lstStyle/>
              <a:p>
                <a:pPr>
                  <a:defRPr sz="800" b="0"/>
                </a:pPr>
                <a:r>
                  <a:rPr lang="en-US" sz="800" b="0"/>
                  <a:t>Fireproofing plan</a:t>
                </a:r>
              </a:p>
            </c:rich>
          </c:tx>
          <c:layout>
            <c:manualLayout>
              <c:xMode val="edge"/>
              <c:yMode val="edge"/>
              <c:x val="0.40093234747488965"/>
              <c:y val="0.86593203812239861"/>
            </c:manualLayout>
          </c:layout>
          <c:overlay val="0"/>
        </c:title>
        <c:numFmt formatCode="General" sourceLinked="0"/>
        <c:majorTickMark val="none"/>
        <c:minorTickMark val="none"/>
        <c:tickLblPos val="nextTo"/>
        <c:txPr>
          <a:bodyPr/>
          <a:lstStyle/>
          <a:p>
            <a:pPr>
              <a:defRPr sz="800"/>
            </a:pPr>
            <a:endParaRPr lang="en-US"/>
          </a:p>
        </c:txPr>
        <c:crossAx val="36967552"/>
        <c:crosses val="autoZero"/>
        <c:auto val="1"/>
        <c:lblAlgn val="ctr"/>
        <c:lblOffset val="100"/>
        <c:noMultiLvlLbl val="0"/>
      </c:catAx>
      <c:valAx>
        <c:axId val="36967552"/>
        <c:scaling>
          <c:orientation val="minMax"/>
          <c:max val="2.8"/>
          <c:min val="2.5"/>
        </c:scaling>
        <c:delete val="0"/>
        <c:axPos val="l"/>
        <c:title>
          <c:tx>
            <c:rich>
              <a:bodyPr/>
              <a:lstStyle/>
              <a:p>
                <a:pPr>
                  <a:defRPr sz="800" b="0"/>
                </a:pPr>
                <a:r>
                  <a:rPr lang="en-US" sz="800" b="0"/>
                  <a:t>Total cost (Million</a:t>
                </a:r>
                <a:r>
                  <a:rPr lang="en-US" sz="800" b="0" baseline="0"/>
                  <a:t> $)</a:t>
                </a:r>
                <a:endParaRPr lang="en-US" sz="800" b="0"/>
              </a:p>
            </c:rich>
          </c:tx>
          <c:layout>
            <c:manualLayout>
              <c:xMode val="edge"/>
              <c:yMode val="edge"/>
              <c:x val="6.2247812542803538E-2"/>
              <c:y val="0.14072365454983907"/>
            </c:manualLayout>
          </c:layout>
          <c:overlay val="0"/>
        </c:title>
        <c:numFmt formatCode="#,##0.00" sourceLinked="0"/>
        <c:majorTickMark val="out"/>
        <c:minorTickMark val="none"/>
        <c:tickLblPos val="nextTo"/>
        <c:txPr>
          <a:bodyPr/>
          <a:lstStyle/>
          <a:p>
            <a:pPr>
              <a:defRPr sz="800"/>
            </a:pPr>
            <a:endParaRPr lang="en-US"/>
          </a:p>
        </c:txPr>
        <c:crossAx val="79043584"/>
        <c:crosses val="autoZero"/>
        <c:crossBetween val="between"/>
        <c:majorUnit val="0.1"/>
      </c:valAx>
      <c:spPr>
        <a:ln>
          <a:solidFill>
            <a:schemeClr val="tx1"/>
          </a:solid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9C85271-384D-4C4C-AD94-09DFF87EC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8626</Words>
  <Characters>49170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57681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Nima Khakzad - TBM</dc:creator>
  <cp:lastModifiedBy>Aiken, Wendy</cp:lastModifiedBy>
  <cp:revision>2</cp:revision>
  <dcterms:created xsi:type="dcterms:W3CDTF">2018-07-31T13:45:00Z</dcterms:created>
  <dcterms:modified xsi:type="dcterms:W3CDTF">2018-07-31T13:45:00Z</dcterms:modified>
</cp:coreProperties>
</file>