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83" w:rsidRPr="00913960" w:rsidRDefault="002D5272" w:rsidP="00462B83">
      <w:pPr>
        <w:tabs>
          <w:tab w:val="left" w:pos="3402"/>
          <w:tab w:val="left" w:pos="3827"/>
        </w:tabs>
        <w:spacing w:line="240" w:lineRule="auto"/>
        <w:contextualSpacing/>
        <w:jc w:val="center"/>
        <w:rPr>
          <w:smallCaps/>
          <w:sz w:val="48"/>
          <w:szCs w:val="48"/>
        </w:rPr>
      </w:pPr>
      <w:r>
        <w:rPr>
          <w:smallCaps/>
          <w:sz w:val="48"/>
          <w:szCs w:val="48"/>
        </w:rPr>
        <w:t>Level 6</w:t>
      </w:r>
      <w:r w:rsidR="00DF5616">
        <w:rPr>
          <w:smallCaps/>
          <w:sz w:val="48"/>
          <w:szCs w:val="48"/>
        </w:rPr>
        <w:t xml:space="preserve"> </w:t>
      </w:r>
      <w:r w:rsidR="00462B83">
        <w:rPr>
          <w:smallCaps/>
          <w:sz w:val="48"/>
          <w:szCs w:val="48"/>
        </w:rPr>
        <w:t>b</w:t>
      </w:r>
      <w:r w:rsidR="00462B83" w:rsidRPr="00913960">
        <w:rPr>
          <w:smallCaps/>
          <w:sz w:val="48"/>
          <w:szCs w:val="48"/>
        </w:rPr>
        <w:t xml:space="preserve">uilding </w:t>
      </w:r>
      <w:r w:rsidR="00462B83">
        <w:rPr>
          <w:smallCaps/>
          <w:sz w:val="48"/>
          <w:szCs w:val="48"/>
        </w:rPr>
        <w:t>i</w:t>
      </w:r>
      <w:r w:rsidR="00462B83" w:rsidRPr="00913960">
        <w:rPr>
          <w:smallCaps/>
          <w:sz w:val="48"/>
          <w:szCs w:val="48"/>
        </w:rPr>
        <w:t xml:space="preserve">nformation </w:t>
      </w:r>
      <w:r w:rsidR="00462B83">
        <w:rPr>
          <w:smallCaps/>
          <w:sz w:val="48"/>
          <w:szCs w:val="48"/>
        </w:rPr>
        <w:t>m</w:t>
      </w:r>
      <w:r w:rsidR="00462B83" w:rsidRPr="00913960">
        <w:rPr>
          <w:smallCaps/>
          <w:sz w:val="48"/>
          <w:szCs w:val="48"/>
        </w:rPr>
        <w:t xml:space="preserve">odelling (BIM) </w:t>
      </w:r>
      <w:r w:rsidR="005227EC">
        <w:rPr>
          <w:smallCaps/>
          <w:sz w:val="48"/>
          <w:szCs w:val="48"/>
        </w:rPr>
        <w:t xml:space="preserve">Civil Engineering </w:t>
      </w:r>
      <w:r w:rsidR="00013C80">
        <w:rPr>
          <w:smallCaps/>
          <w:sz w:val="48"/>
          <w:szCs w:val="48"/>
        </w:rPr>
        <w:t>Curriculum</w:t>
      </w:r>
    </w:p>
    <w:p w:rsidR="00462B83" w:rsidRPr="00DF3079" w:rsidRDefault="00462B83" w:rsidP="00462B83">
      <w:pPr>
        <w:pStyle w:val="Address"/>
        <w:spacing w:before="0" w:line="240" w:lineRule="auto"/>
        <w:jc w:val="center"/>
        <w:rPr>
          <w:rStyle w:val="Hyperlink"/>
          <w:b w:val="0"/>
          <w:i w:val="0"/>
          <w:color w:val="000000" w:themeColor="text1"/>
          <w:sz w:val="22"/>
          <w:szCs w:val="22"/>
          <w:vertAlign w:val="superscript"/>
        </w:rPr>
      </w:pPr>
      <w:r w:rsidRPr="00DF3079">
        <w:rPr>
          <w:b w:val="0"/>
          <w:i w:val="0"/>
          <w:sz w:val="22"/>
          <w:szCs w:val="22"/>
        </w:rPr>
        <w:t>Robert Eadie</w:t>
      </w:r>
      <w:r>
        <w:rPr>
          <w:b w:val="0"/>
          <w:i w:val="0"/>
          <w:sz w:val="22"/>
          <w:szCs w:val="22"/>
        </w:rPr>
        <w:t xml:space="preserve"> </w:t>
      </w:r>
      <w:r>
        <w:rPr>
          <w:b w:val="0"/>
          <w:i w:val="0"/>
          <w:sz w:val="22"/>
          <w:szCs w:val="22"/>
          <w:vertAlign w:val="superscript"/>
        </w:rPr>
        <w:t>*</w:t>
      </w:r>
      <w:r w:rsidRPr="004364DA">
        <w:rPr>
          <w:b w:val="0"/>
          <w:i w:val="0"/>
          <w:sz w:val="22"/>
          <w:szCs w:val="22"/>
          <w:vertAlign w:val="superscript"/>
        </w:rPr>
        <w:t>1</w:t>
      </w:r>
      <w:r w:rsidRPr="004364DA">
        <w:rPr>
          <w:rStyle w:val="Hyperlink"/>
          <w:b w:val="0"/>
          <w:i w:val="0"/>
          <w:color w:val="000000" w:themeColor="text1"/>
          <w:sz w:val="22"/>
          <w:szCs w:val="22"/>
          <w:u w:val="none"/>
        </w:rPr>
        <w:t xml:space="preserve"> and M</w:t>
      </w:r>
      <w:r w:rsidR="00013C80">
        <w:rPr>
          <w:rStyle w:val="Hyperlink"/>
          <w:b w:val="0"/>
          <w:i w:val="0"/>
          <w:color w:val="000000" w:themeColor="text1"/>
          <w:sz w:val="22"/>
          <w:szCs w:val="22"/>
          <w:u w:val="none"/>
        </w:rPr>
        <w:t>ark Rice</w:t>
      </w:r>
      <w:r w:rsidRPr="004364DA">
        <w:rPr>
          <w:rStyle w:val="Hyperlink"/>
          <w:b w:val="0"/>
          <w:i w:val="0"/>
          <w:color w:val="000000" w:themeColor="text1"/>
          <w:sz w:val="22"/>
          <w:szCs w:val="22"/>
          <w:u w:val="none"/>
        </w:rPr>
        <w:t xml:space="preserve"> </w:t>
      </w:r>
      <w:r w:rsidRPr="004364DA">
        <w:rPr>
          <w:rStyle w:val="Hyperlink"/>
          <w:b w:val="0"/>
          <w:i w:val="0"/>
          <w:color w:val="000000" w:themeColor="text1"/>
          <w:sz w:val="22"/>
          <w:szCs w:val="22"/>
          <w:u w:val="none"/>
          <w:vertAlign w:val="superscript"/>
        </w:rPr>
        <w:t>#2</w:t>
      </w:r>
    </w:p>
    <w:p w:rsidR="00462B83" w:rsidRPr="004364DA" w:rsidRDefault="00462B83" w:rsidP="00462B83">
      <w:pPr>
        <w:pStyle w:val="Address"/>
        <w:spacing w:before="0" w:line="240" w:lineRule="auto"/>
        <w:jc w:val="center"/>
        <w:rPr>
          <w:rStyle w:val="Hyperlink"/>
          <w:b w:val="0"/>
          <w:color w:val="000000" w:themeColor="text1"/>
          <w:u w:val="none"/>
        </w:rPr>
      </w:pPr>
      <w:proofErr w:type="gramStart"/>
      <w:r w:rsidRPr="004364DA">
        <w:rPr>
          <w:rStyle w:val="Hyperlink"/>
          <w:b w:val="0"/>
          <w:color w:val="000000" w:themeColor="text1"/>
          <w:u w:val="none"/>
          <w:vertAlign w:val="superscript"/>
        </w:rPr>
        <w:t xml:space="preserve">1 </w:t>
      </w:r>
      <w:r w:rsidRPr="004364DA">
        <w:rPr>
          <w:rStyle w:val="Hyperlink"/>
          <w:b w:val="0"/>
          <w:color w:val="000000" w:themeColor="text1"/>
          <w:u w:val="none"/>
        </w:rPr>
        <w:t>School of the Built Environment, Ulster University, Shore Road, Newtownabbey, UK.</w:t>
      </w:r>
      <w:proofErr w:type="gramEnd"/>
    </w:p>
    <w:p w:rsidR="00462B83" w:rsidRPr="004364DA" w:rsidRDefault="00462B83" w:rsidP="00462B83">
      <w:pPr>
        <w:pStyle w:val="Address"/>
        <w:spacing w:before="0" w:line="240" w:lineRule="auto"/>
        <w:jc w:val="center"/>
        <w:rPr>
          <w:rStyle w:val="Hyperlink"/>
          <w:b w:val="0"/>
          <w:color w:val="000000" w:themeColor="text1"/>
          <w:u w:val="none"/>
        </w:rPr>
      </w:pPr>
      <w:r w:rsidRPr="004364DA">
        <w:rPr>
          <w:rStyle w:val="Hyperlink"/>
          <w:b w:val="0"/>
          <w:color w:val="000000" w:themeColor="text1"/>
          <w:u w:val="none"/>
          <w:vertAlign w:val="superscript"/>
        </w:rPr>
        <w:t xml:space="preserve">2 </w:t>
      </w:r>
      <w:r w:rsidR="00013C80">
        <w:rPr>
          <w:rStyle w:val="Hyperlink"/>
          <w:b w:val="0"/>
          <w:color w:val="000000" w:themeColor="text1"/>
          <w:u w:val="none"/>
        </w:rPr>
        <w:t xml:space="preserve">Graham </w:t>
      </w:r>
      <w:proofErr w:type="gramStart"/>
      <w:r w:rsidR="00013C80">
        <w:rPr>
          <w:rStyle w:val="Hyperlink"/>
          <w:b w:val="0"/>
          <w:color w:val="000000" w:themeColor="text1"/>
          <w:u w:val="none"/>
        </w:rPr>
        <w:t>Construction</w:t>
      </w:r>
      <w:proofErr w:type="gramEnd"/>
      <w:r w:rsidRPr="004364DA">
        <w:rPr>
          <w:rStyle w:val="Hyperlink"/>
          <w:b w:val="0"/>
          <w:color w:val="000000" w:themeColor="text1"/>
          <w:u w:val="none"/>
        </w:rPr>
        <w:t>,</w:t>
      </w:r>
      <w:r w:rsidR="00013C80">
        <w:rPr>
          <w:rStyle w:val="Hyperlink"/>
          <w:b w:val="0"/>
          <w:color w:val="000000" w:themeColor="text1"/>
          <w:u w:val="none"/>
        </w:rPr>
        <w:t xml:space="preserve"> Devon, England</w:t>
      </w:r>
      <w:r w:rsidRPr="004364DA">
        <w:rPr>
          <w:rStyle w:val="Hyperlink"/>
          <w:b w:val="0"/>
          <w:color w:val="000000" w:themeColor="text1"/>
          <w:u w:val="none"/>
        </w:rPr>
        <w:t>, UK.</w:t>
      </w:r>
    </w:p>
    <w:p w:rsidR="00462B83" w:rsidRPr="00CD7657" w:rsidRDefault="00462B83" w:rsidP="00462B83">
      <w:pPr>
        <w:pStyle w:val="Address"/>
        <w:spacing w:before="0" w:after="120" w:line="240" w:lineRule="auto"/>
        <w:jc w:val="center"/>
        <w:rPr>
          <w:rStyle w:val="Hyperlink"/>
          <w:rFonts w:ascii="Courier New" w:hAnsi="Courier New" w:cs="Courier New"/>
          <w:b w:val="0"/>
          <w:color w:val="000000" w:themeColor="text1"/>
          <w:sz w:val="18"/>
          <w:szCs w:val="18"/>
        </w:rPr>
      </w:pPr>
      <w:r w:rsidRPr="00372C78">
        <w:rPr>
          <w:rStyle w:val="Hyperlink"/>
          <w:b w:val="0"/>
          <w:color w:val="000000" w:themeColor="text1"/>
          <w:vertAlign w:val="superscript"/>
        </w:rPr>
        <w:t>1</w:t>
      </w:r>
      <w:r>
        <w:rPr>
          <w:rStyle w:val="Hyperlink"/>
          <w:b w:val="0"/>
          <w:color w:val="000000" w:themeColor="text1"/>
          <w:vertAlign w:val="superscript"/>
        </w:rPr>
        <w:t xml:space="preserve"> </w:t>
      </w:r>
      <w:hyperlink r:id="rId9" w:history="1">
        <w:r w:rsidRPr="00913960">
          <w:rPr>
            <w:rStyle w:val="Hyperlink"/>
            <w:rFonts w:ascii="Courier New" w:hAnsi="Courier New" w:cs="Courier New"/>
            <w:b w:val="0"/>
            <w:sz w:val="18"/>
            <w:szCs w:val="18"/>
          </w:rPr>
          <w:t>r.eadie@ulster.ac.uk</w:t>
        </w:r>
      </w:hyperlink>
    </w:p>
    <w:p w:rsidR="00462B83" w:rsidRDefault="00462B83" w:rsidP="00F04E79">
      <w:pPr>
        <w:spacing w:before="120" w:after="120"/>
        <w:rPr>
          <w:b/>
          <w:sz w:val="22"/>
        </w:rPr>
        <w:sectPr w:rsidR="00462B83" w:rsidSect="00462B83">
          <w:pgSz w:w="9923" w:h="13608"/>
          <w:pgMar w:top="1134" w:right="851" w:bottom="1134" w:left="1134" w:header="709" w:footer="709" w:gutter="0"/>
          <w:cols w:space="284"/>
          <w:docGrid w:linePitch="360" w:charSpace="79"/>
        </w:sectPr>
      </w:pPr>
    </w:p>
    <w:p w:rsidR="00782010" w:rsidRPr="00F04E79" w:rsidRDefault="00782010" w:rsidP="000A44BB">
      <w:pPr>
        <w:spacing w:after="0" w:line="240" w:lineRule="auto"/>
        <w:rPr>
          <w:b/>
          <w:sz w:val="22"/>
        </w:rPr>
      </w:pPr>
      <w:r w:rsidRPr="00F04E79">
        <w:rPr>
          <w:b/>
          <w:sz w:val="22"/>
        </w:rPr>
        <w:lastRenderedPageBreak/>
        <w:t>Abstract</w:t>
      </w:r>
    </w:p>
    <w:p w:rsidR="00086875" w:rsidRDefault="00086875" w:rsidP="006E0DE3">
      <w:pPr>
        <w:spacing w:after="0" w:line="240" w:lineRule="auto"/>
        <w:ind w:firstLine="142"/>
        <w:rPr>
          <w:color w:val="000000" w:themeColor="text1"/>
          <w:sz w:val="18"/>
          <w:szCs w:val="18"/>
        </w:rPr>
      </w:pPr>
      <w:r w:rsidRPr="00086875">
        <w:rPr>
          <w:color w:val="000000" w:themeColor="text1"/>
          <w:sz w:val="18"/>
          <w:szCs w:val="18"/>
        </w:rPr>
        <w:t xml:space="preserve">Building Information Modelling (BIM) teaching </w:t>
      </w:r>
      <w:r>
        <w:rPr>
          <w:color w:val="000000" w:themeColor="text1"/>
          <w:sz w:val="18"/>
          <w:szCs w:val="18"/>
        </w:rPr>
        <w:t>has been added to the curriculum of Civil Engineering courses in the United Kingdom relatively recently</w:t>
      </w:r>
      <w:r w:rsidRPr="00086875">
        <w:rPr>
          <w:color w:val="000000" w:themeColor="text1"/>
          <w:sz w:val="18"/>
          <w:szCs w:val="18"/>
        </w:rPr>
        <w:t>.</w:t>
      </w:r>
      <w:r>
        <w:rPr>
          <w:color w:val="000000" w:themeColor="text1"/>
          <w:sz w:val="18"/>
          <w:szCs w:val="18"/>
        </w:rPr>
        <w:t xml:space="preserve"> The BIM Academic Forum reported in 2013 on a general way to implement BIM</w:t>
      </w:r>
      <w:r w:rsidRPr="00086875">
        <w:rPr>
          <w:color w:val="000000" w:themeColor="text1"/>
          <w:sz w:val="18"/>
          <w:szCs w:val="18"/>
        </w:rPr>
        <w:t xml:space="preserve"> </w:t>
      </w:r>
      <w:r>
        <w:rPr>
          <w:color w:val="000000" w:themeColor="text1"/>
          <w:sz w:val="18"/>
          <w:szCs w:val="18"/>
        </w:rPr>
        <w:t>teaching.</w:t>
      </w:r>
      <w:r w:rsidR="00A64570">
        <w:rPr>
          <w:color w:val="000000" w:themeColor="text1"/>
          <w:sz w:val="18"/>
          <w:szCs w:val="18"/>
        </w:rPr>
        <w:t xml:space="preserve"> </w:t>
      </w:r>
      <w:r w:rsidR="009A154C">
        <w:rPr>
          <w:color w:val="000000" w:themeColor="text1"/>
          <w:sz w:val="18"/>
          <w:szCs w:val="18"/>
        </w:rPr>
        <w:t xml:space="preserve">Further work </w:t>
      </w:r>
      <w:r w:rsidR="00A64570">
        <w:rPr>
          <w:color w:val="000000" w:themeColor="text1"/>
          <w:sz w:val="18"/>
          <w:szCs w:val="18"/>
        </w:rPr>
        <w:t>specifi</w:t>
      </w:r>
      <w:r w:rsidR="009A154C">
        <w:rPr>
          <w:color w:val="000000" w:themeColor="text1"/>
          <w:sz w:val="18"/>
          <w:szCs w:val="18"/>
        </w:rPr>
        <w:t>ed</w:t>
      </w:r>
      <w:r w:rsidR="00A64570">
        <w:rPr>
          <w:color w:val="000000" w:themeColor="text1"/>
          <w:sz w:val="18"/>
          <w:szCs w:val="18"/>
        </w:rPr>
        <w:t xml:space="preserve"> Level 6 topics</w:t>
      </w:r>
      <w:r w:rsidR="009A154C">
        <w:rPr>
          <w:color w:val="000000" w:themeColor="text1"/>
          <w:sz w:val="18"/>
          <w:szCs w:val="18"/>
        </w:rPr>
        <w:t xml:space="preserve">. However, the </w:t>
      </w:r>
      <w:r w:rsidR="00A64570">
        <w:rPr>
          <w:color w:val="000000" w:themeColor="text1"/>
          <w:sz w:val="18"/>
          <w:szCs w:val="18"/>
        </w:rPr>
        <w:t>importan</w:t>
      </w:r>
      <w:r w:rsidR="009A154C">
        <w:rPr>
          <w:color w:val="000000" w:themeColor="text1"/>
          <w:sz w:val="18"/>
          <w:szCs w:val="18"/>
        </w:rPr>
        <w:t>ce</w:t>
      </w:r>
      <w:r w:rsidR="00A64570">
        <w:rPr>
          <w:color w:val="000000" w:themeColor="text1"/>
          <w:sz w:val="18"/>
          <w:szCs w:val="18"/>
        </w:rPr>
        <w:t xml:space="preserve"> of </w:t>
      </w:r>
      <w:r w:rsidR="009A154C">
        <w:rPr>
          <w:color w:val="000000" w:themeColor="text1"/>
          <w:sz w:val="18"/>
          <w:szCs w:val="18"/>
        </w:rPr>
        <w:t xml:space="preserve">each of </w:t>
      </w:r>
      <w:r w:rsidR="00A64570">
        <w:rPr>
          <w:color w:val="000000" w:themeColor="text1"/>
          <w:sz w:val="18"/>
          <w:szCs w:val="18"/>
        </w:rPr>
        <w:t>these topics in relation to the structures and highways disciplines w</w:t>
      </w:r>
      <w:r w:rsidR="009A154C">
        <w:rPr>
          <w:color w:val="000000" w:themeColor="text1"/>
          <w:sz w:val="18"/>
          <w:szCs w:val="18"/>
        </w:rPr>
        <w:t>as</w:t>
      </w:r>
      <w:r w:rsidR="00A64570">
        <w:rPr>
          <w:color w:val="000000" w:themeColor="text1"/>
          <w:sz w:val="18"/>
          <w:szCs w:val="18"/>
        </w:rPr>
        <w:t xml:space="preserve"> not fully researched. This paper examines</w:t>
      </w:r>
      <w:r w:rsidR="009A154C">
        <w:rPr>
          <w:color w:val="000000" w:themeColor="text1"/>
          <w:sz w:val="18"/>
          <w:szCs w:val="18"/>
        </w:rPr>
        <w:t>,</w:t>
      </w:r>
      <w:r w:rsidR="00A64570">
        <w:rPr>
          <w:color w:val="000000" w:themeColor="text1"/>
          <w:sz w:val="18"/>
          <w:szCs w:val="18"/>
        </w:rPr>
        <w:t xml:space="preserve"> from a BAF perspective</w:t>
      </w:r>
      <w:r w:rsidR="009A154C">
        <w:rPr>
          <w:color w:val="000000" w:themeColor="text1"/>
          <w:sz w:val="18"/>
          <w:szCs w:val="18"/>
        </w:rPr>
        <w:t>,</w:t>
      </w:r>
      <w:r w:rsidR="00A64570">
        <w:rPr>
          <w:color w:val="000000" w:themeColor="text1"/>
          <w:sz w:val="18"/>
          <w:szCs w:val="18"/>
        </w:rPr>
        <w:t xml:space="preserve"> the </w:t>
      </w:r>
      <w:r w:rsidR="009A154C">
        <w:rPr>
          <w:color w:val="000000" w:themeColor="text1"/>
          <w:sz w:val="18"/>
          <w:szCs w:val="18"/>
        </w:rPr>
        <w:t xml:space="preserve">topics and their importance to the specialisms. It shows that all BIM topics are more important to students specialising in structures than those in highways. It further indicates that both </w:t>
      </w:r>
      <w:r w:rsidR="009A154C" w:rsidRPr="009A154C">
        <w:rPr>
          <w:color w:val="000000" w:themeColor="text1"/>
          <w:sz w:val="18"/>
          <w:szCs w:val="18"/>
        </w:rPr>
        <w:t xml:space="preserve">streams </w:t>
      </w:r>
      <w:r w:rsidR="009A154C">
        <w:rPr>
          <w:color w:val="000000" w:themeColor="text1"/>
          <w:sz w:val="18"/>
          <w:szCs w:val="18"/>
        </w:rPr>
        <w:t xml:space="preserve">need to concentrate on </w:t>
      </w:r>
      <w:r w:rsidR="009A154C" w:rsidRPr="009A154C">
        <w:rPr>
          <w:color w:val="000000" w:themeColor="text1"/>
          <w:sz w:val="18"/>
          <w:szCs w:val="18"/>
        </w:rPr>
        <w:t>BIM roles, BIM data maturity principles, and Collaboration tools.</w:t>
      </w:r>
      <w:r w:rsidR="009A154C">
        <w:rPr>
          <w:color w:val="000000" w:themeColor="text1"/>
          <w:sz w:val="18"/>
          <w:szCs w:val="18"/>
        </w:rPr>
        <w:t xml:space="preserve"> Big Data can be mentioned but can be minimised. </w:t>
      </w:r>
    </w:p>
    <w:p w:rsidR="00782010" w:rsidRPr="00782010" w:rsidRDefault="00782010" w:rsidP="000A44BB">
      <w:pPr>
        <w:spacing w:after="0" w:line="240" w:lineRule="auto"/>
        <w:rPr>
          <w:b/>
          <w:sz w:val="22"/>
        </w:rPr>
      </w:pPr>
      <w:r w:rsidRPr="00782010">
        <w:rPr>
          <w:b/>
          <w:sz w:val="22"/>
        </w:rPr>
        <w:t>Keywords</w:t>
      </w:r>
    </w:p>
    <w:p w:rsidR="00462B83" w:rsidRPr="00462B83" w:rsidRDefault="00462B83" w:rsidP="000A44BB">
      <w:pPr>
        <w:spacing w:after="0" w:line="240" w:lineRule="auto"/>
        <w:jc w:val="both"/>
        <w:rPr>
          <w:sz w:val="18"/>
        </w:rPr>
      </w:pPr>
      <w:r w:rsidRPr="00462B83">
        <w:rPr>
          <w:sz w:val="18"/>
        </w:rPr>
        <w:t>Building Information Modelling</w:t>
      </w:r>
      <w:r>
        <w:rPr>
          <w:sz w:val="18"/>
        </w:rPr>
        <w:t>;</w:t>
      </w:r>
      <w:r w:rsidRPr="00462B83">
        <w:rPr>
          <w:sz w:val="18"/>
        </w:rPr>
        <w:t xml:space="preserve"> Disadvantages</w:t>
      </w:r>
      <w:r>
        <w:rPr>
          <w:sz w:val="18"/>
        </w:rPr>
        <w:t>;</w:t>
      </w:r>
      <w:r w:rsidRPr="00462B83">
        <w:rPr>
          <w:sz w:val="18"/>
        </w:rPr>
        <w:t xml:space="preserve"> BIM Implementation</w:t>
      </w:r>
      <w:r>
        <w:rPr>
          <w:sz w:val="18"/>
        </w:rPr>
        <w:t>;</w:t>
      </w:r>
      <w:r w:rsidRPr="00462B83">
        <w:rPr>
          <w:sz w:val="18"/>
        </w:rPr>
        <w:t xml:space="preserve"> BIM interoperability</w:t>
      </w:r>
    </w:p>
    <w:p w:rsidR="00874196" w:rsidRDefault="00874196" w:rsidP="000A44BB">
      <w:pPr>
        <w:spacing w:after="0"/>
        <w:rPr>
          <w:b/>
          <w:sz w:val="22"/>
        </w:rPr>
      </w:pPr>
    </w:p>
    <w:p w:rsidR="00017FDD" w:rsidRPr="00462B83" w:rsidRDefault="00462B83" w:rsidP="000A44BB">
      <w:pPr>
        <w:spacing w:after="0"/>
        <w:rPr>
          <w:b/>
        </w:rPr>
      </w:pPr>
      <w:r w:rsidRPr="00462B83">
        <w:rPr>
          <w:b/>
          <w:sz w:val="22"/>
        </w:rPr>
        <w:t>1.</w:t>
      </w:r>
      <w:r>
        <w:rPr>
          <w:b/>
          <w:sz w:val="22"/>
        </w:rPr>
        <w:t xml:space="preserve"> </w:t>
      </w:r>
      <w:r w:rsidR="00782010" w:rsidRPr="00462B83">
        <w:rPr>
          <w:b/>
          <w:sz w:val="22"/>
        </w:rPr>
        <w:t>Introduction</w:t>
      </w:r>
    </w:p>
    <w:p w:rsidR="00874196" w:rsidRDefault="00462B83" w:rsidP="006E0DE3">
      <w:pPr>
        <w:spacing w:after="0" w:line="240" w:lineRule="auto"/>
        <w:ind w:firstLine="142"/>
        <w:jc w:val="both"/>
      </w:pPr>
      <w:r w:rsidRPr="00BF4415">
        <w:rPr>
          <w:color w:val="000000" w:themeColor="text1"/>
          <w:szCs w:val="20"/>
          <w:lang w:val="en-US"/>
        </w:rPr>
        <w:t xml:space="preserve">Building Information Modeling (BIM) </w:t>
      </w:r>
      <w:r w:rsidR="00237764">
        <w:rPr>
          <w:color w:val="000000" w:themeColor="text1"/>
          <w:szCs w:val="20"/>
          <w:lang w:val="en-US"/>
        </w:rPr>
        <w:t>has been made mandatory in the UK from April 2016</w:t>
      </w:r>
      <w:r w:rsidR="005227EC">
        <w:rPr>
          <w:color w:val="000000" w:themeColor="text1"/>
          <w:szCs w:val="20"/>
          <w:lang w:val="en-US"/>
        </w:rPr>
        <w:t>, through</w:t>
      </w:r>
      <w:r w:rsidR="00606462">
        <w:rPr>
          <w:color w:val="000000" w:themeColor="text1"/>
          <w:szCs w:val="20"/>
          <w:lang w:val="en-US"/>
        </w:rPr>
        <w:t xml:space="preserve"> the UK Government Construction Strategy </w:t>
      </w:r>
      <w:r w:rsidR="00E30FA3">
        <w:rPr>
          <w:color w:val="000000" w:themeColor="text1"/>
          <w:szCs w:val="20"/>
          <w:lang w:val="en-US"/>
        </w:rPr>
        <w:t>[1]</w:t>
      </w:r>
      <w:r w:rsidR="00237764">
        <w:rPr>
          <w:color w:val="000000" w:themeColor="text1"/>
          <w:szCs w:val="20"/>
          <w:lang w:val="en-US"/>
        </w:rPr>
        <w:t>.</w:t>
      </w:r>
      <w:r w:rsidR="005227EC">
        <w:rPr>
          <w:color w:val="000000" w:themeColor="text1"/>
          <w:szCs w:val="20"/>
          <w:lang w:val="en-US"/>
        </w:rPr>
        <w:t xml:space="preserve"> This has resulted in hasty incorporation of BIM across </w:t>
      </w:r>
      <w:r w:rsidR="009C393B">
        <w:rPr>
          <w:color w:val="000000" w:themeColor="text1"/>
          <w:szCs w:val="20"/>
          <w:lang w:val="en-US"/>
        </w:rPr>
        <w:t xml:space="preserve">many Higher Education Institutions (HEI’s). </w:t>
      </w:r>
      <w:r w:rsidR="00AF3478">
        <w:rPr>
          <w:color w:val="000000" w:themeColor="text1"/>
          <w:szCs w:val="20"/>
          <w:lang w:val="en-US"/>
        </w:rPr>
        <w:t>The</w:t>
      </w:r>
      <w:r w:rsidR="00AF3478" w:rsidRPr="00B84078">
        <w:t xml:space="preserve"> BIM Academic Forum (BAF) was founded </w:t>
      </w:r>
      <w:r w:rsidR="00AF3478">
        <w:t xml:space="preserve">in 2011 </w:t>
      </w:r>
      <w:r w:rsidR="00AF3478" w:rsidRPr="00B84078">
        <w:t>to pro</w:t>
      </w:r>
      <w:r w:rsidR="00AF3478">
        <w:t>duce a standard set</w:t>
      </w:r>
      <w:r w:rsidR="00AF3478" w:rsidRPr="00B84078">
        <w:t xml:space="preserve"> </w:t>
      </w:r>
      <w:r w:rsidR="00AF3478">
        <w:t xml:space="preserve">of </w:t>
      </w:r>
      <w:r w:rsidR="00AF3478" w:rsidRPr="00B84078">
        <w:t xml:space="preserve">guidance and </w:t>
      </w:r>
      <w:r w:rsidR="00AF3478">
        <w:t xml:space="preserve">provide </w:t>
      </w:r>
      <w:r w:rsidR="00AF3478" w:rsidRPr="00B84078">
        <w:t>consistency in BIM adopti</w:t>
      </w:r>
      <w:r w:rsidR="00AF3478">
        <w:t>o</w:t>
      </w:r>
      <w:r w:rsidR="00AF3478" w:rsidRPr="00B84078">
        <w:t xml:space="preserve">n across </w:t>
      </w:r>
      <w:r w:rsidR="00AF3478">
        <w:t xml:space="preserve">these </w:t>
      </w:r>
      <w:r w:rsidR="00AF3478" w:rsidRPr="00B84078">
        <w:t>HEI</w:t>
      </w:r>
      <w:r w:rsidR="00AF3478">
        <w:t>s</w:t>
      </w:r>
      <w:r w:rsidR="00F33912">
        <w:t xml:space="preserve"> [2]</w:t>
      </w:r>
      <w:r w:rsidR="00AF3478" w:rsidRPr="00B84078">
        <w:t xml:space="preserve">. </w:t>
      </w:r>
      <w:r w:rsidR="0054709C">
        <w:t>T</w:t>
      </w:r>
      <w:r w:rsidR="0054709C" w:rsidRPr="0054709C">
        <w:t xml:space="preserve">he </w:t>
      </w:r>
      <w:r w:rsidR="0054709C">
        <w:t xml:space="preserve">main task of the BAF was the </w:t>
      </w:r>
      <w:r w:rsidR="0054709C" w:rsidRPr="0054709C">
        <w:t>development of a ‘</w:t>
      </w:r>
      <w:r w:rsidR="0054709C" w:rsidRPr="0054709C">
        <w:rPr>
          <w:i/>
        </w:rPr>
        <w:t>BIM academic framework</w:t>
      </w:r>
      <w:r w:rsidR="0054709C" w:rsidRPr="0054709C">
        <w:t xml:space="preserve">’; the </w:t>
      </w:r>
      <w:r w:rsidR="0054709C">
        <w:t xml:space="preserve">outcome was the production of a </w:t>
      </w:r>
      <w:r w:rsidR="0054709C" w:rsidRPr="0054709C">
        <w:rPr>
          <w:i/>
        </w:rPr>
        <w:t>Learning Outcome Framework</w:t>
      </w:r>
      <w:r w:rsidR="006E0DE3">
        <w:rPr>
          <w:i/>
        </w:rPr>
        <w:t xml:space="preserve"> (2013)</w:t>
      </w:r>
      <w:r w:rsidR="006E0DE3">
        <w:t xml:space="preserve"> [3]</w:t>
      </w:r>
      <w:r w:rsidR="00EE6CBF">
        <w:t>.</w:t>
      </w:r>
      <w:r w:rsidR="0054709C">
        <w:t xml:space="preserve"> This Framework is not discipline specific. </w:t>
      </w:r>
      <w:r w:rsidR="006E0DE3">
        <w:t>However, i</w:t>
      </w:r>
      <w:r w:rsidR="0054709C">
        <w:t xml:space="preserve">t allows </w:t>
      </w:r>
      <w:r w:rsidR="006E0DE3">
        <w:t xml:space="preserve">HEI’s </w:t>
      </w:r>
      <w:r w:rsidR="0054709C">
        <w:t xml:space="preserve">flexibility to </w:t>
      </w:r>
      <w:r w:rsidR="0054709C">
        <w:lastRenderedPageBreak/>
        <w:t xml:space="preserve">implement </w:t>
      </w:r>
      <w:r w:rsidR="006E0DE3">
        <w:t>it</w:t>
      </w:r>
      <w:r w:rsidR="0054709C">
        <w:t xml:space="preserve"> in a </w:t>
      </w:r>
      <w:r w:rsidR="0054709C" w:rsidRPr="0054709C">
        <w:t xml:space="preserve">‘discipline-specific’ undergraduate and postgraduate </w:t>
      </w:r>
      <w:r w:rsidR="0054709C">
        <w:t xml:space="preserve">manner. </w:t>
      </w:r>
    </w:p>
    <w:p w:rsidR="005973B8" w:rsidRPr="00874196" w:rsidRDefault="00462B83" w:rsidP="00874196">
      <w:pPr>
        <w:spacing w:after="0" w:line="240" w:lineRule="auto"/>
        <w:jc w:val="both"/>
      </w:pPr>
      <w:r w:rsidRPr="00BF4415">
        <w:rPr>
          <w:color w:val="000000" w:themeColor="text1"/>
          <w:szCs w:val="20"/>
          <w:lang w:val="en-US"/>
        </w:rPr>
        <w:t xml:space="preserve">  </w:t>
      </w:r>
    </w:p>
    <w:p w:rsidR="00462B83" w:rsidRDefault="00462B83" w:rsidP="000A44BB">
      <w:pPr>
        <w:spacing w:after="0" w:line="240" w:lineRule="auto"/>
      </w:pPr>
      <w:r w:rsidRPr="00462B83">
        <w:rPr>
          <w:b/>
          <w:sz w:val="22"/>
        </w:rPr>
        <w:t>1.</w:t>
      </w:r>
      <w:r>
        <w:rPr>
          <w:b/>
          <w:sz w:val="22"/>
        </w:rPr>
        <w:t xml:space="preserve">1 </w:t>
      </w:r>
      <w:r w:rsidR="006E200A">
        <w:rPr>
          <w:b/>
          <w:sz w:val="22"/>
        </w:rPr>
        <w:t xml:space="preserve">Embedding BIM in the Curriculum </w:t>
      </w:r>
    </w:p>
    <w:p w:rsidR="00462B83" w:rsidRDefault="006E200A" w:rsidP="00FF32FA">
      <w:pPr>
        <w:spacing w:after="0" w:line="240" w:lineRule="auto"/>
        <w:ind w:firstLine="142"/>
        <w:jc w:val="both"/>
        <w:rPr>
          <w:color w:val="000000" w:themeColor="text1"/>
          <w:szCs w:val="20"/>
          <w:lang w:val="en-US"/>
        </w:rPr>
      </w:pPr>
      <w:r>
        <w:rPr>
          <w:color w:val="000000" w:themeColor="text1"/>
          <w:szCs w:val="20"/>
          <w:lang w:val="en-US"/>
        </w:rPr>
        <w:t xml:space="preserve">The BAF </w:t>
      </w:r>
      <w:r w:rsidR="00AE503F">
        <w:rPr>
          <w:color w:val="000000" w:themeColor="text1"/>
          <w:szCs w:val="20"/>
          <w:lang w:val="en-US"/>
        </w:rPr>
        <w:t xml:space="preserve">(2013a) </w:t>
      </w:r>
      <w:r w:rsidR="009305EF">
        <w:rPr>
          <w:color w:val="000000" w:themeColor="text1"/>
          <w:szCs w:val="20"/>
          <w:lang w:val="en-US"/>
        </w:rPr>
        <w:t xml:space="preserve">[3] </w:t>
      </w:r>
      <w:r w:rsidR="00AE503F">
        <w:rPr>
          <w:color w:val="000000" w:themeColor="text1"/>
          <w:szCs w:val="20"/>
          <w:lang w:val="en-US"/>
        </w:rPr>
        <w:t xml:space="preserve">cite previous </w:t>
      </w:r>
      <w:r>
        <w:rPr>
          <w:color w:val="000000" w:themeColor="text1"/>
          <w:szCs w:val="20"/>
          <w:lang w:val="en-US"/>
        </w:rPr>
        <w:t xml:space="preserve">used work by </w:t>
      </w:r>
      <w:r w:rsidRPr="006E200A">
        <w:rPr>
          <w:color w:val="000000" w:themeColor="text1"/>
          <w:szCs w:val="20"/>
          <w:lang w:val="en-US"/>
        </w:rPr>
        <w:t xml:space="preserve">Williams and Lees </w:t>
      </w:r>
      <w:r>
        <w:rPr>
          <w:color w:val="000000" w:themeColor="text1"/>
          <w:szCs w:val="20"/>
          <w:lang w:val="en-US"/>
        </w:rPr>
        <w:t>(</w:t>
      </w:r>
      <w:r w:rsidRPr="006E200A">
        <w:rPr>
          <w:color w:val="000000" w:themeColor="text1"/>
          <w:szCs w:val="20"/>
          <w:lang w:val="en-US"/>
        </w:rPr>
        <w:t>2009)</w:t>
      </w:r>
      <w:r>
        <w:rPr>
          <w:color w:val="000000" w:themeColor="text1"/>
          <w:szCs w:val="20"/>
          <w:lang w:val="en-US"/>
        </w:rPr>
        <w:t xml:space="preserve"> to determine the impact of </w:t>
      </w:r>
      <w:r w:rsidR="00474104">
        <w:rPr>
          <w:color w:val="000000" w:themeColor="text1"/>
          <w:szCs w:val="20"/>
          <w:lang w:val="en-US"/>
        </w:rPr>
        <w:t xml:space="preserve">infusing or </w:t>
      </w:r>
      <w:r>
        <w:rPr>
          <w:color w:val="000000" w:themeColor="text1"/>
          <w:szCs w:val="20"/>
          <w:lang w:val="en-US"/>
        </w:rPr>
        <w:t xml:space="preserve">embedding BIM into the curriculum </w:t>
      </w:r>
      <w:r w:rsidR="006E0DE3">
        <w:rPr>
          <w:color w:val="000000" w:themeColor="text1"/>
          <w:szCs w:val="20"/>
          <w:lang w:val="en-US"/>
        </w:rPr>
        <w:t>for</w:t>
      </w:r>
      <w:r>
        <w:rPr>
          <w:color w:val="000000" w:themeColor="text1"/>
          <w:szCs w:val="20"/>
          <w:lang w:val="en-US"/>
        </w:rPr>
        <w:t xml:space="preserve"> the following elements: the </w:t>
      </w:r>
      <w:r w:rsidRPr="006E200A">
        <w:rPr>
          <w:color w:val="000000" w:themeColor="text1"/>
          <w:szCs w:val="20"/>
          <w:lang w:val="en-US"/>
        </w:rPr>
        <w:t>BIM descriptor</w:t>
      </w:r>
      <w:r>
        <w:rPr>
          <w:color w:val="000000" w:themeColor="text1"/>
          <w:szCs w:val="20"/>
          <w:lang w:val="en-US"/>
        </w:rPr>
        <w:t xml:space="preserve">, </w:t>
      </w:r>
      <w:r w:rsidRPr="006E200A">
        <w:rPr>
          <w:color w:val="000000" w:themeColor="text1"/>
          <w:szCs w:val="20"/>
          <w:lang w:val="en-US"/>
        </w:rPr>
        <w:t>Curriculum</w:t>
      </w:r>
      <w:r>
        <w:rPr>
          <w:color w:val="000000" w:themeColor="text1"/>
          <w:szCs w:val="20"/>
          <w:lang w:val="en-US"/>
        </w:rPr>
        <w:t xml:space="preserve">, </w:t>
      </w:r>
      <w:r w:rsidRPr="006E200A">
        <w:rPr>
          <w:color w:val="000000" w:themeColor="text1"/>
          <w:szCs w:val="20"/>
          <w:lang w:val="en-US"/>
        </w:rPr>
        <w:t>Structure</w:t>
      </w:r>
      <w:r>
        <w:rPr>
          <w:color w:val="000000" w:themeColor="text1"/>
          <w:szCs w:val="20"/>
          <w:lang w:val="en-US"/>
        </w:rPr>
        <w:t xml:space="preserve">, Staff, Infrastructure and Curriculum research gap.  </w:t>
      </w:r>
    </w:p>
    <w:p w:rsidR="00610062" w:rsidRDefault="00610062" w:rsidP="000A44BB">
      <w:pPr>
        <w:spacing w:after="0" w:line="240" w:lineRule="auto"/>
        <w:jc w:val="both"/>
        <w:rPr>
          <w:color w:val="000000" w:themeColor="text1"/>
          <w:szCs w:val="20"/>
          <w:lang w:val="en-US"/>
        </w:rPr>
      </w:pPr>
    </w:p>
    <w:p w:rsidR="006E200A" w:rsidRDefault="00610062" w:rsidP="000A44BB">
      <w:pPr>
        <w:spacing w:after="0" w:line="240" w:lineRule="auto"/>
        <w:jc w:val="both"/>
        <w:rPr>
          <w:b/>
          <w:sz w:val="22"/>
        </w:rPr>
      </w:pPr>
      <w:r w:rsidRPr="00462B83">
        <w:rPr>
          <w:b/>
          <w:sz w:val="22"/>
        </w:rPr>
        <w:t>1.</w:t>
      </w:r>
      <w:r>
        <w:rPr>
          <w:b/>
          <w:sz w:val="22"/>
        </w:rPr>
        <w:t>2 Civil Engineering Strands at Ulster</w:t>
      </w:r>
    </w:p>
    <w:p w:rsidR="003658B0" w:rsidRDefault="00610062" w:rsidP="00FF32FA">
      <w:pPr>
        <w:spacing w:after="0" w:line="240" w:lineRule="auto"/>
        <w:ind w:firstLine="142"/>
        <w:jc w:val="both"/>
        <w:rPr>
          <w:color w:val="000000" w:themeColor="text1"/>
          <w:szCs w:val="20"/>
          <w:lang w:val="en-US"/>
        </w:rPr>
      </w:pPr>
      <w:r>
        <w:rPr>
          <w:color w:val="000000" w:themeColor="text1"/>
          <w:szCs w:val="20"/>
          <w:lang w:val="en-US"/>
        </w:rPr>
        <w:t xml:space="preserve">Ulster University has two </w:t>
      </w:r>
      <w:r w:rsidR="003661B5">
        <w:rPr>
          <w:color w:val="000000" w:themeColor="text1"/>
          <w:szCs w:val="20"/>
          <w:lang w:val="en-US"/>
        </w:rPr>
        <w:t xml:space="preserve">major strengths in research which feed into the Bachelor of Engineering BEng (Hons) Civil Engineering Course and the </w:t>
      </w:r>
      <w:r>
        <w:rPr>
          <w:color w:val="000000" w:themeColor="text1"/>
          <w:szCs w:val="20"/>
          <w:lang w:val="en-US"/>
        </w:rPr>
        <w:t xml:space="preserve">strands on the Master of Civil Engineering </w:t>
      </w:r>
      <w:r w:rsidR="006E0DE3">
        <w:rPr>
          <w:color w:val="000000" w:themeColor="text1"/>
          <w:szCs w:val="20"/>
          <w:lang w:val="en-US"/>
        </w:rPr>
        <w:t xml:space="preserve">(MEng) </w:t>
      </w:r>
      <w:r>
        <w:rPr>
          <w:color w:val="000000" w:themeColor="text1"/>
          <w:szCs w:val="20"/>
          <w:lang w:val="en-US"/>
        </w:rPr>
        <w:t xml:space="preserve">Course: Structures and Highways. </w:t>
      </w:r>
    </w:p>
    <w:p w:rsidR="00610062" w:rsidRDefault="005F479A" w:rsidP="00FF32FA">
      <w:pPr>
        <w:spacing w:after="0" w:line="240" w:lineRule="auto"/>
        <w:ind w:firstLine="142"/>
        <w:jc w:val="both"/>
        <w:rPr>
          <w:lang w:val="en"/>
        </w:rPr>
      </w:pPr>
      <w:r>
        <w:rPr>
          <w:color w:val="000000" w:themeColor="text1"/>
          <w:szCs w:val="20"/>
          <w:lang w:val="en-US"/>
        </w:rPr>
        <w:t>The structures element focuses on fire research</w:t>
      </w:r>
      <w:r w:rsidR="006E0DE3">
        <w:rPr>
          <w:color w:val="000000" w:themeColor="text1"/>
          <w:szCs w:val="20"/>
          <w:lang w:val="en-US"/>
        </w:rPr>
        <w:t xml:space="preserve">, with </w:t>
      </w:r>
      <w:r>
        <w:rPr>
          <w:color w:val="000000" w:themeColor="text1"/>
          <w:szCs w:val="20"/>
          <w:lang w:val="en-US"/>
        </w:rPr>
        <w:t xml:space="preserve">the fire laboratory </w:t>
      </w:r>
      <w:r w:rsidR="006E0DE3">
        <w:rPr>
          <w:color w:val="000000" w:themeColor="text1"/>
          <w:szCs w:val="20"/>
          <w:lang w:val="en-US"/>
        </w:rPr>
        <w:t>(</w:t>
      </w:r>
      <w:r w:rsidR="006E0DE3">
        <w:rPr>
          <w:lang w:val="en"/>
        </w:rPr>
        <w:t>Fire SERT)</w:t>
      </w:r>
      <w:r>
        <w:rPr>
          <w:color w:val="000000" w:themeColor="text1"/>
          <w:szCs w:val="20"/>
          <w:lang w:val="en-US"/>
        </w:rPr>
        <w:t xml:space="preserve"> the second biggest in the U</w:t>
      </w:r>
      <w:r w:rsidR="006E0DE3">
        <w:rPr>
          <w:color w:val="000000" w:themeColor="text1"/>
          <w:szCs w:val="20"/>
          <w:lang w:val="en-US"/>
        </w:rPr>
        <w:t>K</w:t>
      </w:r>
      <w:r>
        <w:rPr>
          <w:color w:val="000000" w:themeColor="text1"/>
          <w:szCs w:val="20"/>
          <w:lang w:val="en-US"/>
        </w:rPr>
        <w:t xml:space="preserve">. </w:t>
      </w:r>
      <w:r>
        <w:rPr>
          <w:lang w:val="en"/>
        </w:rPr>
        <w:t xml:space="preserve">Fire SERT's state-of-the-art facilities have produced </w:t>
      </w:r>
      <w:r w:rsidR="006E0DE3">
        <w:rPr>
          <w:lang w:val="en"/>
        </w:rPr>
        <w:t xml:space="preserve">the </w:t>
      </w:r>
      <w:r w:rsidR="002B47FF" w:rsidRPr="002B47FF">
        <w:rPr>
          <w:lang w:val="en"/>
        </w:rPr>
        <w:t>Euro code Design for Composite Floor Cellular Steel Beams in Fire</w:t>
      </w:r>
      <w:r w:rsidR="0035029F">
        <w:rPr>
          <w:lang w:val="en"/>
        </w:rPr>
        <w:t xml:space="preserve"> [4]</w:t>
      </w:r>
      <w:r>
        <w:rPr>
          <w:lang w:val="en"/>
        </w:rPr>
        <w:t xml:space="preserve">. </w:t>
      </w:r>
    </w:p>
    <w:p w:rsidR="003658B0" w:rsidRDefault="003658B0" w:rsidP="00FF32FA">
      <w:pPr>
        <w:spacing w:after="0" w:line="240" w:lineRule="auto"/>
        <w:ind w:firstLine="142"/>
        <w:jc w:val="both"/>
        <w:rPr>
          <w:color w:val="000000" w:themeColor="text1"/>
          <w:szCs w:val="20"/>
          <w:lang w:val="en-US"/>
        </w:rPr>
      </w:pPr>
      <w:r>
        <w:rPr>
          <w:lang w:val="en"/>
        </w:rPr>
        <w:t>The Highways element aligns with the research into skid resistance and photogrammetry that the University has produced over the last number of years</w:t>
      </w:r>
      <w:r w:rsidR="006E0DE3">
        <w:rPr>
          <w:lang w:val="en"/>
        </w:rPr>
        <w:t xml:space="preserve"> aligned with Formula 1</w:t>
      </w:r>
      <w:r>
        <w:rPr>
          <w:lang w:val="en"/>
        </w:rPr>
        <w:t xml:space="preserve">. </w:t>
      </w:r>
    </w:p>
    <w:p w:rsidR="00610062" w:rsidRDefault="006E0DE3" w:rsidP="00FF32FA">
      <w:pPr>
        <w:spacing w:after="0" w:line="240" w:lineRule="auto"/>
        <w:ind w:firstLine="142"/>
        <w:jc w:val="both"/>
        <w:rPr>
          <w:color w:val="000000" w:themeColor="text1"/>
          <w:szCs w:val="20"/>
          <w:lang w:val="en-US"/>
        </w:rPr>
      </w:pPr>
      <w:r>
        <w:rPr>
          <w:color w:val="000000" w:themeColor="text1"/>
          <w:szCs w:val="20"/>
          <w:lang w:val="en-US"/>
        </w:rPr>
        <w:t>Students o</w:t>
      </w:r>
      <w:r w:rsidR="003661B5">
        <w:rPr>
          <w:color w:val="000000" w:themeColor="text1"/>
          <w:szCs w:val="20"/>
          <w:lang w:val="en-US"/>
        </w:rPr>
        <w:t xml:space="preserve">n the </w:t>
      </w:r>
      <w:proofErr w:type="gramStart"/>
      <w:r w:rsidR="003661B5">
        <w:rPr>
          <w:color w:val="000000" w:themeColor="text1"/>
          <w:szCs w:val="20"/>
          <w:lang w:val="en-US"/>
        </w:rPr>
        <w:t>BEng(</w:t>
      </w:r>
      <w:proofErr w:type="gramEnd"/>
      <w:r w:rsidR="003661B5">
        <w:rPr>
          <w:color w:val="000000" w:themeColor="text1"/>
          <w:szCs w:val="20"/>
          <w:lang w:val="en-US"/>
        </w:rPr>
        <w:t>Hons) Civil Engineering complet</w:t>
      </w:r>
      <w:r>
        <w:rPr>
          <w:color w:val="000000" w:themeColor="text1"/>
          <w:szCs w:val="20"/>
          <w:lang w:val="en-US"/>
        </w:rPr>
        <w:t>e</w:t>
      </w:r>
      <w:r w:rsidR="003661B5">
        <w:rPr>
          <w:color w:val="000000" w:themeColor="text1"/>
          <w:szCs w:val="20"/>
          <w:lang w:val="en-US"/>
        </w:rPr>
        <w:t xml:space="preserve"> the final year at level 6 Bachelor (</w:t>
      </w:r>
      <w:proofErr w:type="spellStart"/>
      <w:r w:rsidR="003661B5">
        <w:rPr>
          <w:color w:val="000000" w:themeColor="text1"/>
          <w:szCs w:val="20"/>
          <w:lang w:val="en-US"/>
        </w:rPr>
        <w:t>Honours</w:t>
      </w:r>
      <w:proofErr w:type="spellEnd"/>
      <w:r w:rsidR="003661B5">
        <w:rPr>
          <w:color w:val="000000" w:themeColor="text1"/>
          <w:szCs w:val="20"/>
          <w:lang w:val="en-US"/>
        </w:rPr>
        <w:t>) Level</w:t>
      </w:r>
      <w:r w:rsidR="00A948FF">
        <w:rPr>
          <w:color w:val="000000" w:themeColor="text1"/>
          <w:szCs w:val="20"/>
          <w:lang w:val="en-US"/>
        </w:rPr>
        <w:t>, which i</w:t>
      </w:r>
      <w:r w:rsidR="003661B5">
        <w:rPr>
          <w:color w:val="000000" w:themeColor="text1"/>
          <w:szCs w:val="20"/>
          <w:lang w:val="en-US"/>
        </w:rPr>
        <w:t>s the penultimate year for MEng students</w:t>
      </w:r>
      <w:r w:rsidR="003658B0">
        <w:rPr>
          <w:color w:val="000000" w:themeColor="text1"/>
          <w:szCs w:val="20"/>
          <w:lang w:val="en-US"/>
        </w:rPr>
        <w:t>.</w:t>
      </w:r>
      <w:r w:rsidR="003661B5">
        <w:rPr>
          <w:color w:val="000000" w:themeColor="text1"/>
          <w:szCs w:val="20"/>
          <w:lang w:val="en-US"/>
        </w:rPr>
        <w:t xml:space="preserve"> Therefore </w:t>
      </w:r>
      <w:r>
        <w:rPr>
          <w:color w:val="000000" w:themeColor="text1"/>
          <w:szCs w:val="20"/>
          <w:lang w:val="en-US"/>
        </w:rPr>
        <w:t xml:space="preserve">BIM </w:t>
      </w:r>
      <w:r w:rsidR="003661B5">
        <w:rPr>
          <w:color w:val="000000" w:themeColor="text1"/>
          <w:szCs w:val="20"/>
          <w:lang w:val="en-US"/>
        </w:rPr>
        <w:t xml:space="preserve">teaching at this level must </w:t>
      </w:r>
      <w:r>
        <w:rPr>
          <w:color w:val="000000" w:themeColor="text1"/>
          <w:szCs w:val="20"/>
          <w:lang w:val="en-US"/>
        </w:rPr>
        <w:t xml:space="preserve">enable </w:t>
      </w:r>
      <w:r w:rsidR="003661B5">
        <w:rPr>
          <w:color w:val="000000" w:themeColor="text1"/>
          <w:szCs w:val="20"/>
          <w:lang w:val="en-US"/>
        </w:rPr>
        <w:t xml:space="preserve">these students </w:t>
      </w:r>
      <w:r>
        <w:rPr>
          <w:color w:val="000000" w:themeColor="text1"/>
          <w:szCs w:val="20"/>
          <w:lang w:val="en-US"/>
        </w:rPr>
        <w:t>to complete</w:t>
      </w:r>
      <w:r w:rsidR="003661B5">
        <w:rPr>
          <w:color w:val="000000" w:themeColor="text1"/>
          <w:szCs w:val="20"/>
          <w:lang w:val="en-US"/>
        </w:rPr>
        <w:t xml:space="preserve"> the specialisms at lev</w:t>
      </w:r>
      <w:r w:rsidR="00A948FF">
        <w:rPr>
          <w:color w:val="000000" w:themeColor="text1"/>
          <w:szCs w:val="20"/>
          <w:lang w:val="en-US"/>
        </w:rPr>
        <w:t>el 7 Master of Engineering</w:t>
      </w:r>
      <w:r w:rsidR="003661B5">
        <w:rPr>
          <w:color w:val="000000" w:themeColor="text1"/>
          <w:szCs w:val="20"/>
          <w:lang w:val="en-US"/>
        </w:rPr>
        <w:t>.</w:t>
      </w:r>
      <w:r w:rsidR="003658B0">
        <w:rPr>
          <w:color w:val="000000" w:themeColor="text1"/>
          <w:szCs w:val="20"/>
          <w:lang w:val="en-US"/>
        </w:rPr>
        <w:t xml:space="preserve"> </w:t>
      </w:r>
    </w:p>
    <w:p w:rsidR="003658B0" w:rsidRDefault="003658B0" w:rsidP="000A44BB">
      <w:pPr>
        <w:spacing w:after="0" w:line="240" w:lineRule="auto"/>
        <w:jc w:val="both"/>
        <w:rPr>
          <w:color w:val="000000" w:themeColor="text1"/>
          <w:szCs w:val="20"/>
          <w:lang w:val="en-US"/>
        </w:rPr>
      </w:pPr>
    </w:p>
    <w:p w:rsidR="00F05411" w:rsidRDefault="00F05411" w:rsidP="00F05411">
      <w:pPr>
        <w:spacing w:after="0" w:line="240" w:lineRule="auto"/>
      </w:pPr>
      <w:r w:rsidRPr="00462B83">
        <w:rPr>
          <w:b/>
          <w:sz w:val="22"/>
        </w:rPr>
        <w:t>1.</w:t>
      </w:r>
      <w:r w:rsidR="00610062">
        <w:rPr>
          <w:b/>
          <w:sz w:val="22"/>
        </w:rPr>
        <w:t>3</w:t>
      </w:r>
      <w:r>
        <w:rPr>
          <w:b/>
          <w:sz w:val="22"/>
        </w:rPr>
        <w:t xml:space="preserve"> Linking </w:t>
      </w:r>
      <w:r w:rsidR="00A9373D">
        <w:rPr>
          <w:b/>
          <w:sz w:val="22"/>
        </w:rPr>
        <w:t>Level 6</w:t>
      </w:r>
      <w:r>
        <w:rPr>
          <w:b/>
          <w:sz w:val="22"/>
        </w:rPr>
        <w:t xml:space="preserve"> Subjects to the Curriculum </w:t>
      </w:r>
    </w:p>
    <w:p w:rsidR="00842B60" w:rsidRDefault="003658B0" w:rsidP="007B3612">
      <w:pPr>
        <w:spacing w:after="0" w:line="240" w:lineRule="auto"/>
        <w:ind w:firstLine="142"/>
        <w:jc w:val="both"/>
        <w:rPr>
          <w:color w:val="000000" w:themeColor="text1"/>
          <w:szCs w:val="20"/>
          <w:lang w:val="en-US"/>
        </w:rPr>
      </w:pPr>
      <w:r>
        <w:rPr>
          <w:color w:val="000000" w:themeColor="text1"/>
          <w:szCs w:val="20"/>
          <w:lang w:val="en-US"/>
        </w:rPr>
        <w:t xml:space="preserve">Ulster University has implemented BIM but has also been carrying out research into </w:t>
      </w:r>
      <w:r w:rsidR="000C3831">
        <w:rPr>
          <w:color w:val="000000" w:themeColor="text1"/>
          <w:szCs w:val="20"/>
          <w:lang w:val="en-US"/>
        </w:rPr>
        <w:t xml:space="preserve">the </w:t>
      </w:r>
      <w:r>
        <w:rPr>
          <w:color w:val="000000" w:themeColor="text1"/>
          <w:szCs w:val="20"/>
          <w:lang w:val="en-US"/>
        </w:rPr>
        <w:t>topics need</w:t>
      </w:r>
      <w:r w:rsidR="000C3831">
        <w:rPr>
          <w:color w:val="000000" w:themeColor="text1"/>
          <w:szCs w:val="20"/>
          <w:lang w:val="en-US"/>
        </w:rPr>
        <w:t>ing</w:t>
      </w:r>
      <w:r>
        <w:rPr>
          <w:color w:val="000000" w:themeColor="text1"/>
          <w:szCs w:val="20"/>
          <w:lang w:val="en-US"/>
        </w:rPr>
        <w:t xml:space="preserve"> covered and how it is delivered from a pedagogical standpoint. </w:t>
      </w:r>
      <w:r w:rsidR="00842B60">
        <w:rPr>
          <w:color w:val="000000" w:themeColor="text1"/>
          <w:szCs w:val="20"/>
          <w:lang w:val="en-US"/>
        </w:rPr>
        <w:t xml:space="preserve">Previous work by </w:t>
      </w:r>
      <w:proofErr w:type="spellStart"/>
      <w:r w:rsidR="00842B60">
        <w:rPr>
          <w:color w:val="000000" w:themeColor="text1"/>
          <w:szCs w:val="20"/>
          <w:lang w:val="en-US"/>
        </w:rPr>
        <w:t>McLernon</w:t>
      </w:r>
      <w:proofErr w:type="spellEnd"/>
      <w:r w:rsidR="00842B60">
        <w:rPr>
          <w:color w:val="000000" w:themeColor="text1"/>
          <w:szCs w:val="20"/>
          <w:lang w:val="en-US"/>
        </w:rPr>
        <w:t xml:space="preserve"> et al (2014)</w:t>
      </w:r>
      <w:r w:rsidR="00A8203A">
        <w:rPr>
          <w:color w:val="000000" w:themeColor="text1"/>
          <w:szCs w:val="20"/>
          <w:lang w:val="en-US"/>
        </w:rPr>
        <w:t xml:space="preserve"> [</w:t>
      </w:r>
      <w:r w:rsidR="005163DE">
        <w:rPr>
          <w:color w:val="000000" w:themeColor="text1"/>
          <w:szCs w:val="20"/>
          <w:lang w:val="en-US"/>
        </w:rPr>
        <w:t>5</w:t>
      </w:r>
      <w:r w:rsidR="00A8203A">
        <w:rPr>
          <w:color w:val="000000" w:themeColor="text1"/>
          <w:szCs w:val="20"/>
          <w:lang w:val="en-US"/>
        </w:rPr>
        <w:t>]</w:t>
      </w:r>
      <w:r w:rsidR="00842B60">
        <w:rPr>
          <w:color w:val="000000" w:themeColor="text1"/>
          <w:szCs w:val="20"/>
          <w:lang w:val="en-US"/>
        </w:rPr>
        <w:t xml:space="preserve"> </w:t>
      </w:r>
      <w:r>
        <w:rPr>
          <w:color w:val="000000" w:themeColor="text1"/>
          <w:szCs w:val="20"/>
          <w:lang w:val="en-US"/>
        </w:rPr>
        <w:t xml:space="preserve">suggested </w:t>
      </w:r>
      <w:r w:rsidR="00842B60">
        <w:rPr>
          <w:color w:val="000000" w:themeColor="text1"/>
          <w:szCs w:val="20"/>
          <w:lang w:val="en-US"/>
        </w:rPr>
        <w:t xml:space="preserve">the following BIM related topics </w:t>
      </w:r>
      <w:r>
        <w:rPr>
          <w:color w:val="000000" w:themeColor="text1"/>
          <w:szCs w:val="20"/>
          <w:lang w:val="en-US"/>
        </w:rPr>
        <w:t xml:space="preserve">need </w:t>
      </w:r>
      <w:r w:rsidR="00842B60">
        <w:rPr>
          <w:color w:val="000000" w:themeColor="text1"/>
          <w:szCs w:val="20"/>
          <w:lang w:val="en-US"/>
        </w:rPr>
        <w:t>to be taught in final year</w:t>
      </w:r>
      <w:r w:rsidR="003661B5">
        <w:rPr>
          <w:color w:val="000000" w:themeColor="text1"/>
          <w:szCs w:val="20"/>
          <w:lang w:val="en-US"/>
        </w:rPr>
        <w:t xml:space="preserve"> Bachelor of Engineering and Bachelor of Science (Level 6)</w:t>
      </w:r>
      <w:r w:rsidR="00842B60">
        <w:rPr>
          <w:color w:val="000000" w:themeColor="text1"/>
          <w:szCs w:val="20"/>
          <w:lang w:val="en-US"/>
        </w:rPr>
        <w:t>.</w:t>
      </w:r>
      <w:r w:rsidR="007B3612">
        <w:rPr>
          <w:color w:val="000000" w:themeColor="text1"/>
          <w:szCs w:val="20"/>
          <w:lang w:val="en-US"/>
        </w:rPr>
        <w:t xml:space="preserve"> </w:t>
      </w:r>
      <w:r w:rsidR="003950C2">
        <w:rPr>
          <w:color w:val="000000" w:themeColor="text1"/>
          <w:szCs w:val="20"/>
          <w:lang w:val="en-US"/>
        </w:rPr>
        <w:t>These are:-</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Producti</w:t>
      </w:r>
      <w:r w:rsidR="00610062">
        <w:rPr>
          <w:color w:val="000000" w:themeColor="text1"/>
          <w:szCs w:val="20"/>
          <w:lang w:val="en-US"/>
        </w:rPr>
        <w:t xml:space="preserve">vity improvements from BIM </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Service diversification as a result o</w:t>
      </w:r>
      <w:r w:rsidR="00610062">
        <w:rPr>
          <w:color w:val="000000" w:themeColor="text1"/>
          <w:szCs w:val="20"/>
          <w:lang w:val="en-US"/>
        </w:rPr>
        <w:t>f BIM</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BIM Case study evidence from early adopters</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BIM Roles (BIM Execution Plans, Roles, Responsibilities, Zoning Strategy, Federation, Deliverables, Data Drops)</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Big Data – informing design – evidence based design</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Sustainable Construction Principles + Carbon Targets + demands for natural resources / LEAN Principles (war on waste)</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Change Management theory / principles</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BIM Protocol / implementation within existing forms of contract / Model Delivery Plan / Employers Information Requirements</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proofErr w:type="spellStart"/>
      <w:r w:rsidRPr="00A8203A">
        <w:rPr>
          <w:color w:val="000000" w:themeColor="text1"/>
          <w:szCs w:val="20"/>
          <w:lang w:val="en-US"/>
        </w:rPr>
        <w:t>COBie</w:t>
      </w:r>
      <w:proofErr w:type="spellEnd"/>
      <w:r w:rsidRPr="00A8203A">
        <w:rPr>
          <w:color w:val="000000" w:themeColor="text1"/>
          <w:szCs w:val="20"/>
          <w:lang w:val="en-US"/>
        </w:rPr>
        <w:t xml:space="preserve"> structures and families / templates</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BIM Data maturity principles</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PAS1192:3 Asset Information Modelling – keeping the model up to date during FM / Occupation.</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Collaboration Tools - Adding specifications, technical booklets, O&amp;M information into data fields for Assemblies, Elements and Materials</w:t>
      </w:r>
    </w:p>
    <w:p w:rsidR="00B67887" w:rsidRPr="00A8203A" w:rsidRDefault="00B67887" w:rsidP="00610062">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 xml:space="preserve">Common Data Environment </w:t>
      </w:r>
      <w:r w:rsidR="009723FE">
        <w:rPr>
          <w:color w:val="000000" w:themeColor="text1"/>
          <w:szCs w:val="20"/>
          <w:lang w:val="en-US"/>
        </w:rPr>
        <w:t>(CDE)</w:t>
      </w:r>
      <w:r w:rsidRPr="00A8203A">
        <w:rPr>
          <w:color w:val="000000" w:themeColor="text1"/>
          <w:szCs w:val="20"/>
          <w:lang w:val="en-US"/>
        </w:rPr>
        <w:t>- Adding U-Values / Carbon Footprint data into model components</w:t>
      </w:r>
    </w:p>
    <w:p w:rsidR="003661B5" w:rsidRPr="003661B5" w:rsidRDefault="00B67887" w:rsidP="003661B5">
      <w:pPr>
        <w:pStyle w:val="ListParagraph"/>
        <w:numPr>
          <w:ilvl w:val="0"/>
          <w:numId w:val="18"/>
        </w:numPr>
        <w:spacing w:after="0" w:line="240" w:lineRule="auto"/>
        <w:ind w:left="284" w:hanging="284"/>
        <w:jc w:val="both"/>
        <w:rPr>
          <w:color w:val="000000" w:themeColor="text1"/>
          <w:szCs w:val="20"/>
          <w:lang w:val="en-US"/>
        </w:rPr>
      </w:pPr>
      <w:r w:rsidRPr="00A8203A">
        <w:rPr>
          <w:color w:val="000000" w:themeColor="text1"/>
          <w:szCs w:val="20"/>
          <w:lang w:val="en-US"/>
        </w:rPr>
        <w:t>Accessing data for de-construction using a variety of tools depending on vocational route</w:t>
      </w:r>
    </w:p>
    <w:p w:rsidR="00F05411" w:rsidRDefault="00610062" w:rsidP="007B3612">
      <w:pPr>
        <w:spacing w:after="0" w:line="240" w:lineRule="auto"/>
        <w:ind w:firstLine="142"/>
        <w:jc w:val="both"/>
        <w:rPr>
          <w:color w:val="000000" w:themeColor="text1"/>
          <w:szCs w:val="20"/>
          <w:lang w:val="en-US"/>
        </w:rPr>
      </w:pPr>
      <w:r>
        <w:rPr>
          <w:color w:val="000000" w:themeColor="text1"/>
          <w:szCs w:val="20"/>
          <w:lang w:val="en-US"/>
        </w:rPr>
        <w:t>However, what th</w:t>
      </w:r>
      <w:r w:rsidR="00D84A51">
        <w:rPr>
          <w:color w:val="000000" w:themeColor="text1"/>
          <w:szCs w:val="20"/>
          <w:lang w:val="en-US"/>
        </w:rPr>
        <w:t>is</w:t>
      </w:r>
      <w:r>
        <w:rPr>
          <w:color w:val="000000" w:themeColor="text1"/>
          <w:szCs w:val="20"/>
          <w:lang w:val="en-US"/>
        </w:rPr>
        <w:t xml:space="preserve"> </w:t>
      </w:r>
      <w:r w:rsidR="0092668B">
        <w:rPr>
          <w:color w:val="000000" w:themeColor="text1"/>
          <w:szCs w:val="20"/>
          <w:lang w:val="en-US"/>
        </w:rPr>
        <w:t xml:space="preserve">research </w:t>
      </w:r>
      <w:r w:rsidR="00D84A51">
        <w:rPr>
          <w:color w:val="000000" w:themeColor="text1"/>
          <w:szCs w:val="20"/>
          <w:lang w:val="en-US"/>
        </w:rPr>
        <w:t xml:space="preserve">[5] </w:t>
      </w:r>
      <w:r w:rsidR="0092668B">
        <w:rPr>
          <w:color w:val="000000" w:themeColor="text1"/>
          <w:szCs w:val="20"/>
          <w:lang w:val="en-US"/>
        </w:rPr>
        <w:t>did not decide was the extent each of these elements relate</w:t>
      </w:r>
      <w:r w:rsidR="00D84A51">
        <w:rPr>
          <w:color w:val="000000" w:themeColor="text1"/>
          <w:szCs w:val="20"/>
          <w:lang w:val="en-US"/>
        </w:rPr>
        <w:t>s</w:t>
      </w:r>
      <w:r w:rsidR="0092668B">
        <w:rPr>
          <w:color w:val="000000" w:themeColor="text1"/>
          <w:szCs w:val="20"/>
          <w:lang w:val="en-US"/>
        </w:rPr>
        <w:t xml:space="preserve"> to Civil Engineering</w:t>
      </w:r>
      <w:r w:rsidR="00D84A51">
        <w:rPr>
          <w:color w:val="000000" w:themeColor="text1"/>
          <w:szCs w:val="20"/>
          <w:lang w:val="en-US"/>
        </w:rPr>
        <w:t xml:space="preserve">’s </w:t>
      </w:r>
      <w:r w:rsidR="0092668B">
        <w:rPr>
          <w:color w:val="000000" w:themeColor="text1"/>
          <w:szCs w:val="20"/>
          <w:lang w:val="en-US"/>
        </w:rPr>
        <w:t>two specialist strands</w:t>
      </w:r>
      <w:r w:rsidR="00D84A51">
        <w:rPr>
          <w:color w:val="000000" w:themeColor="text1"/>
          <w:szCs w:val="20"/>
          <w:lang w:val="en-US"/>
        </w:rPr>
        <w:t xml:space="preserve"> at Ulster</w:t>
      </w:r>
      <w:r w:rsidR="0092668B">
        <w:rPr>
          <w:color w:val="000000" w:themeColor="text1"/>
          <w:szCs w:val="20"/>
          <w:lang w:val="en-US"/>
        </w:rPr>
        <w:t>: Structures and Highways. This paper seeks to fill this knowledge gap.</w:t>
      </w:r>
      <w:r w:rsidR="00C965AC">
        <w:rPr>
          <w:color w:val="000000" w:themeColor="text1"/>
          <w:szCs w:val="20"/>
          <w:lang w:val="en-US"/>
        </w:rPr>
        <w:t xml:space="preserve"> </w:t>
      </w:r>
    </w:p>
    <w:p w:rsidR="00610062" w:rsidRPr="00BF4415" w:rsidRDefault="00610062" w:rsidP="000A44BB">
      <w:pPr>
        <w:spacing w:after="0" w:line="240" w:lineRule="auto"/>
        <w:jc w:val="both"/>
        <w:rPr>
          <w:color w:val="000000" w:themeColor="text1"/>
          <w:szCs w:val="20"/>
          <w:lang w:val="en-US"/>
        </w:rPr>
      </w:pPr>
    </w:p>
    <w:p w:rsidR="00BC24FE" w:rsidRDefault="00BC24FE" w:rsidP="000A44BB">
      <w:pPr>
        <w:spacing w:after="0" w:line="240" w:lineRule="auto"/>
        <w:rPr>
          <w:b/>
          <w:sz w:val="22"/>
        </w:rPr>
      </w:pPr>
      <w:r>
        <w:rPr>
          <w:b/>
          <w:sz w:val="22"/>
        </w:rPr>
        <w:lastRenderedPageBreak/>
        <w:t>2</w:t>
      </w:r>
      <w:r w:rsidRPr="00462B83">
        <w:rPr>
          <w:b/>
          <w:sz w:val="22"/>
        </w:rPr>
        <w:t>.</w:t>
      </w:r>
      <w:r>
        <w:rPr>
          <w:b/>
          <w:sz w:val="22"/>
        </w:rPr>
        <w:t xml:space="preserve"> Research method</w:t>
      </w:r>
    </w:p>
    <w:p w:rsidR="009305EF" w:rsidRPr="009305EF" w:rsidRDefault="009305EF" w:rsidP="009305EF">
      <w:pPr>
        <w:spacing w:after="0" w:line="240" w:lineRule="auto"/>
        <w:jc w:val="both"/>
        <w:rPr>
          <w:b/>
          <w:color w:val="000000" w:themeColor="text1"/>
        </w:rPr>
      </w:pPr>
      <w:r w:rsidRPr="009305EF">
        <w:rPr>
          <w:b/>
          <w:color w:val="000000" w:themeColor="text1"/>
        </w:rPr>
        <w:t xml:space="preserve">2.1 </w:t>
      </w:r>
      <w:r w:rsidR="0092668B">
        <w:rPr>
          <w:b/>
          <w:color w:val="000000" w:themeColor="text1"/>
        </w:rPr>
        <w:t xml:space="preserve">Definition of </w:t>
      </w:r>
      <w:r w:rsidRPr="009305EF">
        <w:rPr>
          <w:b/>
          <w:color w:val="000000" w:themeColor="text1"/>
        </w:rPr>
        <w:t>Survey sample</w:t>
      </w:r>
    </w:p>
    <w:p w:rsidR="009305EF" w:rsidRDefault="009305EF" w:rsidP="007B3612">
      <w:pPr>
        <w:spacing w:after="0" w:line="240" w:lineRule="auto"/>
        <w:ind w:firstLine="142"/>
        <w:jc w:val="both"/>
        <w:rPr>
          <w:color w:val="000000" w:themeColor="text1"/>
        </w:rPr>
      </w:pPr>
      <w:r w:rsidRPr="009305EF">
        <w:rPr>
          <w:color w:val="000000" w:themeColor="text1"/>
        </w:rPr>
        <w:t>The BAF</w:t>
      </w:r>
      <w:r>
        <w:rPr>
          <w:color w:val="000000" w:themeColor="text1"/>
        </w:rPr>
        <w:t xml:space="preserve"> contains</w:t>
      </w:r>
      <w:r w:rsidRPr="009305EF">
        <w:rPr>
          <w:color w:val="000000" w:themeColor="text1"/>
        </w:rPr>
        <w:t xml:space="preserve"> </w:t>
      </w:r>
      <w:r w:rsidR="00320C99">
        <w:rPr>
          <w:color w:val="000000" w:themeColor="text1"/>
        </w:rPr>
        <w:t xml:space="preserve">more than </w:t>
      </w:r>
      <w:r w:rsidR="00320C99" w:rsidRPr="009305EF">
        <w:rPr>
          <w:color w:val="000000" w:themeColor="text1"/>
        </w:rPr>
        <w:t xml:space="preserve">30 </w:t>
      </w:r>
      <w:r w:rsidRPr="009305EF">
        <w:rPr>
          <w:color w:val="000000" w:themeColor="text1"/>
        </w:rPr>
        <w:t xml:space="preserve">academic representatives from </w:t>
      </w:r>
      <w:r>
        <w:rPr>
          <w:color w:val="000000" w:themeColor="text1"/>
        </w:rPr>
        <w:t xml:space="preserve">a wide spectrum of </w:t>
      </w:r>
      <w:r w:rsidRPr="009305EF">
        <w:rPr>
          <w:color w:val="000000" w:themeColor="text1"/>
        </w:rPr>
        <w:t>UK and Ireland</w:t>
      </w:r>
      <w:r>
        <w:rPr>
          <w:color w:val="000000" w:themeColor="text1"/>
        </w:rPr>
        <w:t xml:space="preserve"> HEI’s</w:t>
      </w:r>
      <w:r w:rsidR="00320C99">
        <w:rPr>
          <w:color w:val="000000" w:themeColor="text1"/>
        </w:rPr>
        <w:t xml:space="preserve"> </w:t>
      </w:r>
      <w:r w:rsidRPr="009305EF">
        <w:rPr>
          <w:color w:val="000000" w:themeColor="text1"/>
        </w:rPr>
        <w:t>[</w:t>
      </w:r>
      <w:r>
        <w:rPr>
          <w:color w:val="000000" w:themeColor="text1"/>
        </w:rPr>
        <w:t>3</w:t>
      </w:r>
      <w:r w:rsidRPr="009305EF">
        <w:rPr>
          <w:color w:val="000000" w:themeColor="text1"/>
        </w:rPr>
        <w:t xml:space="preserve">]. </w:t>
      </w:r>
      <w:r w:rsidR="004322DE">
        <w:rPr>
          <w:color w:val="000000" w:themeColor="text1"/>
        </w:rPr>
        <w:t>Th</w:t>
      </w:r>
      <w:r w:rsidR="00320C99">
        <w:rPr>
          <w:color w:val="000000" w:themeColor="text1"/>
        </w:rPr>
        <w:t>is</w:t>
      </w:r>
      <w:r w:rsidR="004322DE">
        <w:rPr>
          <w:color w:val="000000" w:themeColor="text1"/>
        </w:rPr>
        <w:t xml:space="preserve"> </w:t>
      </w:r>
      <w:r w:rsidR="001F24E2">
        <w:rPr>
          <w:color w:val="000000" w:themeColor="text1"/>
        </w:rPr>
        <w:t xml:space="preserve">documents </w:t>
      </w:r>
      <w:r w:rsidR="004322DE">
        <w:rPr>
          <w:color w:val="000000" w:themeColor="text1"/>
        </w:rPr>
        <w:t xml:space="preserve">list </w:t>
      </w:r>
      <w:r w:rsidR="001F24E2">
        <w:rPr>
          <w:color w:val="000000" w:themeColor="text1"/>
        </w:rPr>
        <w:t>wa</w:t>
      </w:r>
      <w:r w:rsidR="00320C99">
        <w:rPr>
          <w:color w:val="000000" w:themeColor="text1"/>
        </w:rPr>
        <w:t>s used to determine that t</w:t>
      </w:r>
      <w:r w:rsidR="004322DE">
        <w:rPr>
          <w:color w:val="000000" w:themeColor="text1"/>
        </w:rPr>
        <w:t>hirty-</w:t>
      </w:r>
      <w:r w:rsidR="001F24E2">
        <w:rPr>
          <w:color w:val="000000" w:themeColor="text1"/>
        </w:rPr>
        <w:t>e</w:t>
      </w:r>
      <w:r w:rsidR="004322DE">
        <w:rPr>
          <w:color w:val="000000" w:themeColor="text1"/>
        </w:rPr>
        <w:t>ight institutions were established as having members</w:t>
      </w:r>
      <w:r w:rsidR="007354AB">
        <w:rPr>
          <w:color w:val="000000" w:themeColor="text1"/>
        </w:rPr>
        <w:t xml:space="preserve"> of staff acting as members of the BAF</w:t>
      </w:r>
      <w:r w:rsidR="004322DE">
        <w:rPr>
          <w:color w:val="000000" w:themeColor="text1"/>
        </w:rPr>
        <w:t xml:space="preserve">. </w:t>
      </w:r>
      <w:r w:rsidR="00320C99">
        <w:rPr>
          <w:color w:val="000000" w:themeColor="text1"/>
        </w:rPr>
        <w:t>As part of this research a</w:t>
      </w:r>
      <w:r w:rsidR="007354AB">
        <w:rPr>
          <w:color w:val="000000" w:themeColor="text1"/>
        </w:rPr>
        <w:t xml:space="preserve">ll 38 were contacted and twenty-four </w:t>
      </w:r>
      <w:r w:rsidRPr="009305EF">
        <w:rPr>
          <w:color w:val="000000" w:themeColor="text1"/>
        </w:rPr>
        <w:t xml:space="preserve">agreed to </w:t>
      </w:r>
      <w:r w:rsidR="007354AB">
        <w:rPr>
          <w:color w:val="000000" w:themeColor="text1"/>
        </w:rPr>
        <w:t>participate</w:t>
      </w:r>
      <w:r w:rsidRPr="009305EF">
        <w:rPr>
          <w:color w:val="000000" w:themeColor="text1"/>
        </w:rPr>
        <w:t xml:space="preserve">. BAF members </w:t>
      </w:r>
      <w:r w:rsidR="00173CED">
        <w:rPr>
          <w:color w:val="000000" w:themeColor="text1"/>
        </w:rPr>
        <w:t xml:space="preserve">had the requisite knowledge to complete the framework for BIM teaching </w:t>
      </w:r>
      <w:r w:rsidR="00320C99">
        <w:rPr>
          <w:color w:val="000000" w:themeColor="text1"/>
        </w:rPr>
        <w:t xml:space="preserve">and therefore had </w:t>
      </w:r>
      <w:r w:rsidR="00173CED">
        <w:rPr>
          <w:color w:val="000000" w:themeColor="text1"/>
        </w:rPr>
        <w:t xml:space="preserve">discipline specific </w:t>
      </w:r>
      <w:r w:rsidR="00320C99">
        <w:rPr>
          <w:color w:val="000000" w:themeColor="text1"/>
        </w:rPr>
        <w:t>skill</w:t>
      </w:r>
      <w:r w:rsidR="00173CED">
        <w:rPr>
          <w:color w:val="000000" w:themeColor="text1"/>
        </w:rPr>
        <w:t xml:space="preserve">. </w:t>
      </w:r>
    </w:p>
    <w:p w:rsidR="00320C99" w:rsidRDefault="00320C99" w:rsidP="009305EF">
      <w:pPr>
        <w:spacing w:after="0" w:line="240" w:lineRule="auto"/>
        <w:jc w:val="both"/>
        <w:rPr>
          <w:b/>
          <w:color w:val="000000" w:themeColor="text1"/>
        </w:rPr>
      </w:pPr>
    </w:p>
    <w:p w:rsidR="009305EF" w:rsidRPr="00173CED" w:rsidRDefault="00173CED" w:rsidP="009305EF">
      <w:pPr>
        <w:spacing w:after="0" w:line="240" w:lineRule="auto"/>
        <w:jc w:val="both"/>
        <w:rPr>
          <w:b/>
          <w:color w:val="000000" w:themeColor="text1"/>
        </w:rPr>
      </w:pPr>
      <w:r w:rsidRPr="00173CED">
        <w:rPr>
          <w:b/>
          <w:color w:val="000000" w:themeColor="text1"/>
        </w:rPr>
        <w:t>2</w:t>
      </w:r>
      <w:r w:rsidR="009305EF" w:rsidRPr="00173CED">
        <w:rPr>
          <w:b/>
          <w:color w:val="000000" w:themeColor="text1"/>
        </w:rPr>
        <w:t>.2</w:t>
      </w:r>
      <w:r w:rsidR="009305EF" w:rsidRPr="00173CED">
        <w:rPr>
          <w:b/>
          <w:color w:val="000000" w:themeColor="text1"/>
        </w:rPr>
        <w:tab/>
        <w:t>Survey software</w:t>
      </w:r>
      <w:r w:rsidR="0092668B">
        <w:rPr>
          <w:b/>
          <w:color w:val="000000" w:themeColor="text1"/>
        </w:rPr>
        <w:t xml:space="preserve"> used</w:t>
      </w:r>
    </w:p>
    <w:p w:rsidR="007D3143" w:rsidRDefault="00AE3268" w:rsidP="007B3612">
      <w:pPr>
        <w:spacing w:after="0" w:line="240" w:lineRule="auto"/>
        <w:ind w:firstLine="142"/>
        <w:jc w:val="both"/>
        <w:rPr>
          <w:color w:val="000000" w:themeColor="text1"/>
        </w:rPr>
      </w:pPr>
      <w:r>
        <w:rPr>
          <w:color w:val="000000" w:themeColor="text1"/>
        </w:rPr>
        <w:t xml:space="preserve">The </w:t>
      </w:r>
      <w:proofErr w:type="spellStart"/>
      <w:r w:rsidR="009305EF" w:rsidRPr="009305EF">
        <w:rPr>
          <w:color w:val="000000" w:themeColor="text1"/>
        </w:rPr>
        <w:t>Limesurvey</w:t>
      </w:r>
      <w:proofErr w:type="spellEnd"/>
      <w:r w:rsidR="009305EF" w:rsidRPr="009305EF">
        <w:rPr>
          <w:color w:val="000000" w:themeColor="text1"/>
        </w:rPr>
        <w:t xml:space="preserve">™ </w:t>
      </w:r>
      <w:r>
        <w:rPr>
          <w:color w:val="000000" w:themeColor="text1"/>
        </w:rPr>
        <w:t xml:space="preserve">package supplied both the pilot and the full </w:t>
      </w:r>
      <w:r w:rsidR="009305EF" w:rsidRPr="009305EF">
        <w:rPr>
          <w:color w:val="000000" w:themeColor="text1"/>
        </w:rPr>
        <w:t>structured</w:t>
      </w:r>
      <w:r>
        <w:rPr>
          <w:color w:val="000000" w:themeColor="text1"/>
        </w:rPr>
        <w:t xml:space="preserve"> </w:t>
      </w:r>
      <w:r w:rsidR="009305EF" w:rsidRPr="009305EF">
        <w:rPr>
          <w:color w:val="000000" w:themeColor="text1"/>
        </w:rPr>
        <w:t>questionnaire</w:t>
      </w:r>
      <w:r w:rsidR="007448F1">
        <w:rPr>
          <w:color w:val="000000" w:themeColor="text1"/>
        </w:rPr>
        <w:t xml:space="preserve">. </w:t>
      </w:r>
      <w:r w:rsidR="00320C99">
        <w:rPr>
          <w:color w:val="000000" w:themeColor="text1"/>
        </w:rPr>
        <w:t>T</w:t>
      </w:r>
      <w:r w:rsidR="007448F1">
        <w:rPr>
          <w:color w:val="000000" w:themeColor="text1"/>
        </w:rPr>
        <w:t xml:space="preserve">he software is a PHP frontend to a MYSQL database, </w:t>
      </w:r>
      <w:r w:rsidR="00320C99">
        <w:rPr>
          <w:color w:val="000000" w:themeColor="text1"/>
        </w:rPr>
        <w:t xml:space="preserve">with </w:t>
      </w:r>
      <w:r w:rsidR="007448F1">
        <w:rPr>
          <w:color w:val="000000" w:themeColor="text1"/>
        </w:rPr>
        <w:t>r</w:t>
      </w:r>
      <w:r w:rsidR="009305EF" w:rsidRPr="009305EF">
        <w:rPr>
          <w:color w:val="000000" w:themeColor="text1"/>
        </w:rPr>
        <w:t xml:space="preserve">esponses stored </w:t>
      </w:r>
      <w:r w:rsidR="007448F1">
        <w:rPr>
          <w:color w:val="000000" w:themeColor="text1"/>
        </w:rPr>
        <w:t>and analysed directly</w:t>
      </w:r>
      <w:r w:rsidR="009305EF" w:rsidRPr="009305EF">
        <w:rPr>
          <w:color w:val="000000" w:themeColor="text1"/>
        </w:rPr>
        <w:t xml:space="preserve"> </w:t>
      </w:r>
      <w:r w:rsidR="00320C99">
        <w:rPr>
          <w:color w:val="000000" w:themeColor="text1"/>
        </w:rPr>
        <w:t>via</w:t>
      </w:r>
      <w:r w:rsidR="009305EF" w:rsidRPr="009305EF">
        <w:rPr>
          <w:color w:val="000000" w:themeColor="text1"/>
        </w:rPr>
        <w:t xml:space="preserve"> the </w:t>
      </w:r>
      <w:proofErr w:type="spellStart"/>
      <w:r w:rsidR="009305EF" w:rsidRPr="009305EF">
        <w:rPr>
          <w:color w:val="000000" w:themeColor="text1"/>
        </w:rPr>
        <w:t>Limesurvey</w:t>
      </w:r>
      <w:proofErr w:type="spellEnd"/>
      <w:r w:rsidR="009305EF" w:rsidRPr="009305EF">
        <w:rPr>
          <w:color w:val="000000" w:themeColor="text1"/>
        </w:rPr>
        <w:t>™ software</w:t>
      </w:r>
      <w:r w:rsidR="00154405">
        <w:rPr>
          <w:color w:val="000000" w:themeColor="text1"/>
        </w:rPr>
        <w:t xml:space="preserve"> for basic statistics and further using the Relative Importance Index (RII)</w:t>
      </w:r>
      <w:r w:rsidR="009305EF" w:rsidRPr="009305EF">
        <w:rPr>
          <w:color w:val="000000" w:themeColor="text1"/>
        </w:rPr>
        <w:t xml:space="preserve">. </w:t>
      </w:r>
    </w:p>
    <w:p w:rsidR="003658B0" w:rsidRDefault="003658B0" w:rsidP="009305EF">
      <w:pPr>
        <w:spacing w:after="0" w:line="240" w:lineRule="auto"/>
        <w:jc w:val="both"/>
        <w:rPr>
          <w:color w:val="000000" w:themeColor="text1"/>
        </w:rPr>
      </w:pPr>
    </w:p>
    <w:p w:rsidR="009305EF" w:rsidRPr="007D3143" w:rsidRDefault="007D3143" w:rsidP="009305EF">
      <w:pPr>
        <w:spacing w:after="0" w:line="240" w:lineRule="auto"/>
        <w:jc w:val="both"/>
        <w:rPr>
          <w:b/>
          <w:color w:val="000000" w:themeColor="text1"/>
        </w:rPr>
      </w:pPr>
      <w:r>
        <w:rPr>
          <w:b/>
          <w:color w:val="000000" w:themeColor="text1"/>
        </w:rPr>
        <w:t>2</w:t>
      </w:r>
      <w:r w:rsidR="009305EF" w:rsidRPr="007D3143">
        <w:rPr>
          <w:b/>
          <w:color w:val="000000" w:themeColor="text1"/>
        </w:rPr>
        <w:t>.3</w:t>
      </w:r>
      <w:r w:rsidR="009305EF" w:rsidRPr="007D3143">
        <w:rPr>
          <w:b/>
          <w:color w:val="000000" w:themeColor="text1"/>
        </w:rPr>
        <w:tab/>
        <w:t xml:space="preserve">Survey </w:t>
      </w:r>
      <w:r w:rsidR="0092668B" w:rsidRPr="007D3143">
        <w:rPr>
          <w:b/>
          <w:color w:val="000000" w:themeColor="text1"/>
        </w:rPr>
        <w:t xml:space="preserve">validity </w:t>
      </w:r>
      <w:r w:rsidR="0092668B">
        <w:rPr>
          <w:b/>
          <w:color w:val="000000" w:themeColor="text1"/>
        </w:rPr>
        <w:t xml:space="preserve">and </w:t>
      </w:r>
      <w:r w:rsidR="009305EF" w:rsidRPr="007D3143">
        <w:rPr>
          <w:b/>
          <w:color w:val="000000" w:themeColor="text1"/>
        </w:rPr>
        <w:t xml:space="preserve">response </w:t>
      </w:r>
      <w:r w:rsidR="0092668B">
        <w:rPr>
          <w:b/>
          <w:color w:val="000000" w:themeColor="text1"/>
        </w:rPr>
        <w:t>statistics</w:t>
      </w:r>
      <w:r w:rsidR="009305EF" w:rsidRPr="007D3143">
        <w:rPr>
          <w:b/>
          <w:color w:val="000000" w:themeColor="text1"/>
        </w:rPr>
        <w:t xml:space="preserve"> </w:t>
      </w:r>
    </w:p>
    <w:p w:rsidR="00FF32FA" w:rsidRDefault="009305EF" w:rsidP="007B3612">
      <w:pPr>
        <w:spacing w:after="0" w:line="240" w:lineRule="auto"/>
        <w:ind w:firstLine="142"/>
        <w:jc w:val="both"/>
        <w:rPr>
          <w:color w:val="000000" w:themeColor="text1"/>
        </w:rPr>
      </w:pPr>
      <w:r w:rsidRPr="009305EF">
        <w:rPr>
          <w:color w:val="000000" w:themeColor="text1"/>
        </w:rPr>
        <w:t xml:space="preserve">Fifteen </w:t>
      </w:r>
      <w:r w:rsidR="00D445CC">
        <w:rPr>
          <w:color w:val="000000" w:themeColor="text1"/>
        </w:rPr>
        <w:t xml:space="preserve">entirely completed </w:t>
      </w:r>
      <w:r w:rsidRPr="009305EF">
        <w:rPr>
          <w:color w:val="000000" w:themeColor="text1"/>
        </w:rPr>
        <w:t xml:space="preserve">responses </w:t>
      </w:r>
      <w:r w:rsidR="00320C99" w:rsidRPr="009305EF">
        <w:rPr>
          <w:color w:val="000000" w:themeColor="text1"/>
        </w:rPr>
        <w:t>were</w:t>
      </w:r>
      <w:r w:rsidRPr="009305EF">
        <w:rPr>
          <w:color w:val="000000" w:themeColor="text1"/>
        </w:rPr>
        <w:t xml:space="preserve"> </w:t>
      </w:r>
      <w:r w:rsidR="00D445CC">
        <w:rPr>
          <w:color w:val="000000" w:themeColor="text1"/>
        </w:rPr>
        <w:t>received</w:t>
      </w:r>
      <w:r w:rsidR="00E770AB">
        <w:rPr>
          <w:color w:val="000000" w:themeColor="text1"/>
        </w:rPr>
        <w:t xml:space="preserve"> with a </w:t>
      </w:r>
      <w:r w:rsidR="00E770AB" w:rsidRPr="009305EF">
        <w:rPr>
          <w:color w:val="000000" w:themeColor="text1"/>
        </w:rPr>
        <w:t>62.5% response rate attained</w:t>
      </w:r>
      <w:r w:rsidRPr="009305EF">
        <w:rPr>
          <w:color w:val="000000" w:themeColor="text1"/>
        </w:rPr>
        <w:t xml:space="preserve">. Partially completed responses were ignored. </w:t>
      </w:r>
      <w:r w:rsidR="001358E3">
        <w:rPr>
          <w:color w:val="000000" w:themeColor="text1"/>
        </w:rPr>
        <w:t xml:space="preserve">The method of determining sample size devised by </w:t>
      </w:r>
      <w:proofErr w:type="spellStart"/>
      <w:r w:rsidRPr="009305EF">
        <w:rPr>
          <w:color w:val="000000" w:themeColor="text1"/>
        </w:rPr>
        <w:t>Krejcie</w:t>
      </w:r>
      <w:proofErr w:type="spellEnd"/>
      <w:r w:rsidRPr="009305EF">
        <w:rPr>
          <w:color w:val="000000" w:themeColor="text1"/>
        </w:rPr>
        <w:t xml:space="preserve"> and Morgan (1970) [</w:t>
      </w:r>
      <w:r w:rsidR="005163DE">
        <w:rPr>
          <w:color w:val="000000" w:themeColor="text1"/>
        </w:rPr>
        <w:t>6</w:t>
      </w:r>
      <w:r w:rsidRPr="009305EF">
        <w:rPr>
          <w:color w:val="000000" w:themeColor="text1"/>
        </w:rPr>
        <w:t xml:space="preserve">] </w:t>
      </w:r>
      <w:r w:rsidR="001358E3">
        <w:rPr>
          <w:color w:val="000000" w:themeColor="text1"/>
        </w:rPr>
        <w:t xml:space="preserve">required all the </w:t>
      </w:r>
      <w:r w:rsidRPr="009305EF">
        <w:rPr>
          <w:color w:val="000000" w:themeColor="text1"/>
        </w:rPr>
        <w:t xml:space="preserve">HEIs </w:t>
      </w:r>
      <w:r w:rsidR="001358E3">
        <w:rPr>
          <w:color w:val="000000" w:themeColor="text1"/>
        </w:rPr>
        <w:t xml:space="preserve">be contacted </w:t>
      </w:r>
      <w:r w:rsidRPr="009305EF">
        <w:rPr>
          <w:color w:val="000000" w:themeColor="text1"/>
        </w:rPr>
        <w:t xml:space="preserve">for validity. </w:t>
      </w:r>
      <w:r w:rsidR="001358E3">
        <w:rPr>
          <w:color w:val="000000" w:themeColor="text1"/>
        </w:rPr>
        <w:t xml:space="preserve"> Rubin and </w:t>
      </w:r>
      <w:proofErr w:type="spellStart"/>
      <w:r w:rsidR="001358E3">
        <w:rPr>
          <w:color w:val="000000" w:themeColor="text1"/>
        </w:rPr>
        <w:t>Babbie</w:t>
      </w:r>
      <w:proofErr w:type="spellEnd"/>
      <w:r w:rsidR="001358E3">
        <w:rPr>
          <w:color w:val="000000" w:themeColor="text1"/>
        </w:rPr>
        <w:t xml:space="preserve"> (</w:t>
      </w:r>
      <w:r w:rsidR="008F6356">
        <w:rPr>
          <w:color w:val="000000" w:themeColor="text1"/>
        </w:rPr>
        <w:t>2009</w:t>
      </w:r>
      <w:r w:rsidR="001358E3">
        <w:rPr>
          <w:color w:val="000000" w:themeColor="text1"/>
        </w:rPr>
        <w:t>)</w:t>
      </w:r>
      <w:r w:rsidR="005163DE">
        <w:rPr>
          <w:color w:val="000000" w:themeColor="text1"/>
        </w:rPr>
        <w:t xml:space="preserve"> [7</w:t>
      </w:r>
      <w:r w:rsidR="008F6356">
        <w:rPr>
          <w:color w:val="000000" w:themeColor="text1"/>
        </w:rPr>
        <w:t>]</w:t>
      </w:r>
      <w:r w:rsidR="001358E3">
        <w:rPr>
          <w:color w:val="000000" w:themeColor="text1"/>
        </w:rPr>
        <w:t xml:space="preserve"> state a</w:t>
      </w:r>
      <w:r w:rsidRPr="009305EF">
        <w:rPr>
          <w:color w:val="000000" w:themeColor="text1"/>
        </w:rPr>
        <w:t xml:space="preserve"> minimum response rate of </w:t>
      </w:r>
      <w:r w:rsidR="00E770AB">
        <w:rPr>
          <w:color w:val="000000" w:themeColor="text1"/>
        </w:rPr>
        <w:t>50%. With 15 responses received</w:t>
      </w:r>
      <w:r w:rsidRPr="009305EF">
        <w:rPr>
          <w:color w:val="000000" w:themeColor="text1"/>
        </w:rPr>
        <w:t xml:space="preserve">, subsequent analysis met this criterion. </w:t>
      </w:r>
    </w:p>
    <w:p w:rsidR="00FF32FA" w:rsidRDefault="00FF32FA" w:rsidP="00FF32FA">
      <w:pPr>
        <w:spacing w:after="0" w:line="240" w:lineRule="auto"/>
        <w:jc w:val="both"/>
        <w:rPr>
          <w:color w:val="000000" w:themeColor="text1"/>
        </w:rPr>
      </w:pPr>
    </w:p>
    <w:p w:rsidR="00FF32FA" w:rsidRPr="007D3143" w:rsidRDefault="00FF32FA" w:rsidP="00FF32FA">
      <w:pPr>
        <w:spacing w:after="0" w:line="240" w:lineRule="auto"/>
        <w:jc w:val="both"/>
        <w:rPr>
          <w:b/>
          <w:color w:val="000000" w:themeColor="text1"/>
        </w:rPr>
      </w:pPr>
      <w:r>
        <w:rPr>
          <w:b/>
          <w:color w:val="000000" w:themeColor="text1"/>
        </w:rPr>
        <w:t>2</w:t>
      </w:r>
      <w:r w:rsidRPr="007D3143">
        <w:rPr>
          <w:b/>
          <w:color w:val="000000" w:themeColor="text1"/>
        </w:rPr>
        <w:t>.</w:t>
      </w:r>
      <w:r>
        <w:rPr>
          <w:b/>
          <w:color w:val="000000" w:themeColor="text1"/>
        </w:rPr>
        <w:t>4 Analysis Techniques Used</w:t>
      </w:r>
      <w:r w:rsidRPr="007D3143">
        <w:rPr>
          <w:b/>
          <w:color w:val="000000" w:themeColor="text1"/>
        </w:rPr>
        <w:t xml:space="preserve"> </w:t>
      </w:r>
    </w:p>
    <w:p w:rsidR="009305EF" w:rsidRDefault="00FF32FA" w:rsidP="007B3612">
      <w:pPr>
        <w:spacing w:after="0" w:line="240" w:lineRule="auto"/>
        <w:ind w:firstLine="142"/>
        <w:jc w:val="both"/>
      </w:pPr>
      <w:r w:rsidRPr="005B22BF">
        <w:t xml:space="preserve">The Likert scale used </w:t>
      </w:r>
      <w:r>
        <w:t xml:space="preserve">for both the Highways strand (denoted H) and the Structures stand (Denoted S) was </w:t>
      </w:r>
      <w:r w:rsidRPr="005B22BF">
        <w:t>‘5 Extremely Relevant’, ‘4 Very Relevant’, ‘3 Moderately Relevant’, ‘2 Slightly Relevant’, and ‘1 Not at all Relevant’.</w:t>
      </w:r>
      <w:r>
        <w:t xml:space="preserve"> This allowed the determination of the relevance of each of the topics in Section 1.3.</w:t>
      </w:r>
    </w:p>
    <w:p w:rsidR="00FF32FA" w:rsidRDefault="007B3612" w:rsidP="007B3612">
      <w:pPr>
        <w:spacing w:after="0" w:line="240" w:lineRule="auto"/>
        <w:ind w:firstLine="142"/>
        <w:rPr>
          <w:rFonts w:cs="Times New Roman"/>
          <w:szCs w:val="20"/>
        </w:rPr>
      </w:pPr>
      <w:r>
        <w:t xml:space="preserve">Comparisons between the specialisms were ranked and </w:t>
      </w:r>
      <w:r w:rsidR="00FF32FA">
        <w:t>analysed using the Relative Importance Index (RII) Formula</w:t>
      </w:r>
      <w:r w:rsidR="00FF32FA" w:rsidRPr="00C55346">
        <w:rPr>
          <w:rFonts w:cs="Times New Roman"/>
          <w:sz w:val="24"/>
          <w:szCs w:val="24"/>
        </w:rPr>
        <w:t xml:space="preserve">. </w:t>
      </w:r>
      <w:r w:rsidR="00FF32FA" w:rsidRPr="00FA53E8">
        <w:rPr>
          <w:rFonts w:cs="Times New Roman"/>
          <w:szCs w:val="20"/>
        </w:rPr>
        <w:t xml:space="preserve">RII is defined </w:t>
      </w:r>
      <w:r w:rsidR="00FF32FA">
        <w:rPr>
          <w:rFonts w:cs="Times New Roman"/>
          <w:szCs w:val="20"/>
        </w:rPr>
        <w:t>as</w:t>
      </w:r>
      <w:r w:rsidR="00FF32FA" w:rsidRPr="00FA53E8">
        <w:rPr>
          <w:rFonts w:cs="Times New Roman"/>
          <w:szCs w:val="20"/>
        </w:rPr>
        <w:t>:-</w:t>
      </w:r>
    </w:p>
    <w:p w:rsidR="00FF32FA" w:rsidRPr="00FA53E8" w:rsidRDefault="001F24E2" w:rsidP="00FF32FA">
      <w:pPr>
        <w:spacing w:after="0" w:line="240" w:lineRule="auto"/>
        <w:rPr>
          <w:b/>
        </w:rPr>
      </w:pPr>
      <w:bookmarkStart w:id="0" w:name="_GoBack"/>
      <w:r>
        <w:rPr>
          <w:rFonts w:eastAsia="Times New Roman" w:cs="Arial"/>
          <w:color w:val="00000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7pt" equationxml="&lt;">
            <v:imagedata r:id="rId10" o:title="" chromakey="white"/>
          </v:shape>
        </w:pict>
      </w:r>
      <w:bookmarkEnd w:id="0"/>
    </w:p>
    <w:p w:rsidR="00FF32FA" w:rsidRPr="00FA53E8" w:rsidRDefault="00FF32FA" w:rsidP="007B3612">
      <w:pPr>
        <w:keepNext/>
        <w:keepLines/>
        <w:spacing w:after="0" w:line="276" w:lineRule="auto"/>
        <w:ind w:right="-1"/>
        <w:jc w:val="both"/>
        <w:outlineLvl w:val="3"/>
        <w:rPr>
          <w:rFonts w:cs="Times New Roman"/>
          <w:szCs w:val="20"/>
        </w:rPr>
      </w:pPr>
      <w:r w:rsidRPr="00FA53E8">
        <w:rPr>
          <w:rFonts w:cs="Times New Roman"/>
          <w:szCs w:val="20"/>
        </w:rPr>
        <w:lastRenderedPageBreak/>
        <w:t>Where:</w:t>
      </w:r>
      <w:r>
        <w:rPr>
          <w:rFonts w:cs="Times New Roman"/>
          <w:szCs w:val="20"/>
        </w:rPr>
        <w:t xml:space="preserve"> </w:t>
      </w:r>
      <w:r w:rsidRPr="00FA53E8">
        <w:rPr>
          <w:rFonts w:cs="Times New Roman"/>
          <w:b/>
          <w:szCs w:val="20"/>
        </w:rPr>
        <w:t>W</w:t>
      </w:r>
      <w:r w:rsidRPr="00FA53E8">
        <w:rPr>
          <w:rFonts w:cs="Times New Roman"/>
          <w:szCs w:val="20"/>
        </w:rPr>
        <w:t xml:space="preserve"> is the weighting given to each element by the respondents</w:t>
      </w:r>
      <w:r>
        <w:rPr>
          <w:rFonts w:cs="Times New Roman"/>
          <w:szCs w:val="20"/>
        </w:rPr>
        <w:t xml:space="preserve"> -</w:t>
      </w:r>
      <w:r w:rsidRPr="005B22BF">
        <w:t xml:space="preserve">‘5 </w:t>
      </w:r>
      <w:proofErr w:type="gramStart"/>
      <w:r w:rsidRPr="005B22BF">
        <w:t>Extremely</w:t>
      </w:r>
      <w:proofErr w:type="gramEnd"/>
      <w:r w:rsidRPr="005B22BF">
        <w:t xml:space="preserve"> Relevant’, ‘4 Very Relevant’, ‘3 Moderately Relevant’, ‘2 Slightly Relevant’, and ‘1 Not at all Relevant’</w:t>
      </w:r>
      <w:r w:rsidRPr="00FA53E8">
        <w:rPr>
          <w:rFonts w:cs="Times New Roman"/>
          <w:szCs w:val="20"/>
        </w:rPr>
        <w:t xml:space="preserve">; </w:t>
      </w:r>
    </w:p>
    <w:p w:rsidR="00FF32FA" w:rsidRPr="00FA53E8" w:rsidRDefault="00FF32FA" w:rsidP="007B3612">
      <w:pPr>
        <w:keepNext/>
        <w:keepLines/>
        <w:spacing w:after="0" w:line="276" w:lineRule="auto"/>
        <w:jc w:val="both"/>
        <w:outlineLvl w:val="3"/>
        <w:rPr>
          <w:rFonts w:cs="Times New Roman"/>
          <w:szCs w:val="20"/>
        </w:rPr>
      </w:pPr>
      <w:r w:rsidRPr="00FA53E8">
        <w:rPr>
          <w:rFonts w:cs="Times New Roman"/>
          <w:b/>
          <w:szCs w:val="20"/>
        </w:rPr>
        <w:t>A</w:t>
      </w:r>
      <w:r w:rsidRPr="00FA53E8">
        <w:rPr>
          <w:rFonts w:cs="Times New Roman"/>
          <w:szCs w:val="20"/>
        </w:rPr>
        <w:t xml:space="preserve"> is the highest weight; and </w:t>
      </w:r>
    </w:p>
    <w:p w:rsidR="00FF32FA" w:rsidRPr="00FA53E8" w:rsidRDefault="00FF32FA" w:rsidP="007B3612">
      <w:pPr>
        <w:keepNext/>
        <w:keepLines/>
        <w:spacing w:after="0" w:line="276" w:lineRule="auto"/>
        <w:jc w:val="both"/>
        <w:outlineLvl w:val="3"/>
        <w:rPr>
          <w:rFonts w:cs="Times New Roman"/>
          <w:szCs w:val="20"/>
        </w:rPr>
      </w:pPr>
      <w:r w:rsidRPr="00FA53E8">
        <w:rPr>
          <w:rFonts w:cs="Times New Roman"/>
          <w:b/>
          <w:szCs w:val="20"/>
        </w:rPr>
        <w:t>N</w:t>
      </w:r>
      <w:r w:rsidRPr="00FA53E8">
        <w:rPr>
          <w:rFonts w:cs="Times New Roman"/>
          <w:szCs w:val="20"/>
        </w:rPr>
        <w:t xml:space="preserve"> is the total number of respondents. </w:t>
      </w:r>
    </w:p>
    <w:p w:rsidR="00FF32FA" w:rsidRDefault="007B3612" w:rsidP="00FF32FA">
      <w:pPr>
        <w:spacing w:after="0" w:line="240" w:lineRule="auto"/>
        <w:jc w:val="both"/>
        <w:rPr>
          <w:color w:val="000000" w:themeColor="text1"/>
        </w:rPr>
      </w:pPr>
      <w:r>
        <w:rPr>
          <w:color w:val="000000" w:themeColor="text1"/>
        </w:rPr>
        <w:t>The closer the result is to 1 the more important it is.</w:t>
      </w:r>
    </w:p>
    <w:p w:rsidR="003658B0" w:rsidRPr="009305EF" w:rsidRDefault="003658B0" w:rsidP="009305EF">
      <w:pPr>
        <w:spacing w:after="0" w:line="240" w:lineRule="auto"/>
        <w:jc w:val="both"/>
        <w:rPr>
          <w:color w:val="000000" w:themeColor="text1"/>
        </w:rPr>
      </w:pPr>
    </w:p>
    <w:p w:rsidR="009305EF" w:rsidRPr="0092668B" w:rsidRDefault="0092668B" w:rsidP="009305EF">
      <w:pPr>
        <w:spacing w:after="0" w:line="240" w:lineRule="auto"/>
        <w:jc w:val="both"/>
        <w:rPr>
          <w:b/>
          <w:color w:val="000000" w:themeColor="text1"/>
        </w:rPr>
      </w:pPr>
      <w:r w:rsidRPr="0092668B">
        <w:rPr>
          <w:b/>
          <w:color w:val="000000" w:themeColor="text1"/>
        </w:rPr>
        <w:t>2</w:t>
      </w:r>
      <w:r w:rsidR="009305EF" w:rsidRPr="0092668B">
        <w:rPr>
          <w:b/>
          <w:color w:val="000000" w:themeColor="text1"/>
        </w:rPr>
        <w:t>.</w:t>
      </w:r>
      <w:r w:rsidR="00FF32FA">
        <w:rPr>
          <w:b/>
          <w:color w:val="000000" w:themeColor="text1"/>
        </w:rPr>
        <w:t>5</w:t>
      </w:r>
      <w:r w:rsidR="009305EF" w:rsidRPr="0092668B">
        <w:rPr>
          <w:b/>
          <w:color w:val="000000" w:themeColor="text1"/>
        </w:rPr>
        <w:tab/>
        <w:t>Expertise of the participants in BIM</w:t>
      </w:r>
    </w:p>
    <w:p w:rsidR="00D2332F" w:rsidRPr="00D2332F" w:rsidRDefault="00E514A9" w:rsidP="00D2332F">
      <w:pPr>
        <w:spacing w:after="0" w:line="240" w:lineRule="auto"/>
        <w:jc w:val="both"/>
        <w:rPr>
          <w:color w:val="000000" w:themeColor="text1"/>
        </w:rPr>
      </w:pPr>
      <w:r>
        <w:rPr>
          <w:color w:val="000000" w:themeColor="text1"/>
        </w:rPr>
        <w:t xml:space="preserve">The UK Government uses the </w:t>
      </w:r>
      <w:r w:rsidRPr="009305EF">
        <w:rPr>
          <w:color w:val="000000" w:themeColor="text1"/>
        </w:rPr>
        <w:t>Bew and Richards Triangle</w:t>
      </w:r>
      <w:r w:rsidR="00D2332F" w:rsidRPr="009305EF">
        <w:rPr>
          <w:color w:val="000000" w:themeColor="text1"/>
        </w:rPr>
        <w:t>, l</w:t>
      </w:r>
      <w:r w:rsidR="00E770AB">
        <w:rPr>
          <w:color w:val="000000" w:themeColor="text1"/>
        </w:rPr>
        <w:t>evel</w:t>
      </w:r>
      <w:r w:rsidR="00D2332F" w:rsidRPr="009305EF">
        <w:rPr>
          <w:color w:val="000000" w:themeColor="text1"/>
        </w:rPr>
        <w:t xml:space="preserve"> 0-3</w:t>
      </w:r>
      <w:r w:rsidR="00E770AB">
        <w:rPr>
          <w:color w:val="000000" w:themeColor="text1"/>
        </w:rPr>
        <w:t>,</w:t>
      </w:r>
      <w:r w:rsidR="00D2332F">
        <w:rPr>
          <w:color w:val="000000" w:themeColor="text1"/>
        </w:rPr>
        <w:t xml:space="preserve"> </w:t>
      </w:r>
      <w:r>
        <w:rPr>
          <w:color w:val="000000" w:themeColor="text1"/>
        </w:rPr>
        <w:t xml:space="preserve">to measure </w:t>
      </w:r>
      <w:r w:rsidR="009305EF" w:rsidRPr="009305EF">
        <w:rPr>
          <w:color w:val="000000" w:themeColor="text1"/>
        </w:rPr>
        <w:t>BIM expertise</w:t>
      </w:r>
      <w:r>
        <w:rPr>
          <w:color w:val="000000" w:themeColor="text1"/>
        </w:rPr>
        <w:t xml:space="preserve"> [</w:t>
      </w:r>
      <w:r w:rsidR="00BC73D2">
        <w:rPr>
          <w:color w:val="000000" w:themeColor="text1"/>
        </w:rPr>
        <w:t>1</w:t>
      </w:r>
      <w:r>
        <w:rPr>
          <w:color w:val="000000" w:themeColor="text1"/>
        </w:rPr>
        <w:t xml:space="preserve">]. </w:t>
      </w:r>
      <w:r w:rsidR="009305EF" w:rsidRPr="009305EF">
        <w:rPr>
          <w:color w:val="000000" w:themeColor="text1"/>
        </w:rPr>
        <w:t xml:space="preserve"> </w:t>
      </w:r>
      <w:r w:rsidR="00D2332F" w:rsidRPr="00D2332F">
        <w:rPr>
          <w:color w:val="000000" w:themeColor="text1"/>
        </w:rPr>
        <w:t>The BIM Industry Working Group (2011)</w:t>
      </w:r>
      <w:r w:rsidR="00D2332F">
        <w:rPr>
          <w:color w:val="000000" w:themeColor="text1"/>
        </w:rPr>
        <w:t xml:space="preserve"> [</w:t>
      </w:r>
      <w:r w:rsidR="00BC73D2">
        <w:rPr>
          <w:color w:val="000000" w:themeColor="text1"/>
        </w:rPr>
        <w:t>8</w:t>
      </w:r>
      <w:r w:rsidR="00D2332F">
        <w:rPr>
          <w:color w:val="000000" w:themeColor="text1"/>
        </w:rPr>
        <w:t>]</w:t>
      </w:r>
      <w:r w:rsidR="00D2332F" w:rsidRPr="00D2332F">
        <w:rPr>
          <w:color w:val="000000" w:themeColor="text1"/>
        </w:rPr>
        <w:t xml:space="preserve"> </w:t>
      </w:r>
      <w:r w:rsidR="00E770AB">
        <w:rPr>
          <w:color w:val="000000" w:themeColor="text1"/>
        </w:rPr>
        <w:t xml:space="preserve">define </w:t>
      </w:r>
      <w:r w:rsidR="00D2332F" w:rsidRPr="00D2332F">
        <w:rPr>
          <w:color w:val="000000" w:themeColor="text1"/>
        </w:rPr>
        <w:t>the</w:t>
      </w:r>
      <w:r w:rsidR="00E770AB">
        <w:rPr>
          <w:color w:val="000000" w:themeColor="text1"/>
        </w:rPr>
        <w:t>se</w:t>
      </w:r>
      <w:r w:rsidR="00D2332F" w:rsidRPr="00D2332F">
        <w:rPr>
          <w:color w:val="000000" w:themeColor="text1"/>
        </w:rPr>
        <w:t xml:space="preserve"> levels of BIM:-</w:t>
      </w:r>
    </w:p>
    <w:p w:rsidR="00D2332F" w:rsidRPr="00D2332F" w:rsidRDefault="00D2332F" w:rsidP="00D2332F">
      <w:pPr>
        <w:spacing w:after="0" w:line="240" w:lineRule="auto"/>
        <w:jc w:val="both"/>
        <w:rPr>
          <w:i/>
          <w:color w:val="000000" w:themeColor="text1"/>
        </w:rPr>
      </w:pPr>
      <w:proofErr w:type="gramStart"/>
      <w:r w:rsidRPr="00154405">
        <w:rPr>
          <w:b/>
          <w:i/>
          <w:color w:val="000000" w:themeColor="text1"/>
        </w:rPr>
        <w:t>Level 0</w:t>
      </w:r>
      <w:r w:rsidRPr="00D2332F">
        <w:rPr>
          <w:i/>
          <w:color w:val="000000" w:themeColor="text1"/>
        </w:rPr>
        <w:t xml:space="preserve"> – Unmanaged CAD probably 2D, with paper (or electronic paper) as the most likely exchange mechanism.</w:t>
      </w:r>
      <w:proofErr w:type="gramEnd"/>
    </w:p>
    <w:p w:rsidR="00D2332F" w:rsidRPr="00D2332F" w:rsidRDefault="00D2332F" w:rsidP="00D2332F">
      <w:pPr>
        <w:spacing w:after="0" w:line="240" w:lineRule="auto"/>
        <w:jc w:val="both"/>
        <w:rPr>
          <w:i/>
          <w:color w:val="000000" w:themeColor="text1"/>
        </w:rPr>
      </w:pPr>
      <w:r w:rsidRPr="00154405">
        <w:rPr>
          <w:b/>
          <w:i/>
          <w:color w:val="000000" w:themeColor="text1"/>
        </w:rPr>
        <w:t>Level 1</w:t>
      </w:r>
      <w:r w:rsidRPr="00D2332F">
        <w:rPr>
          <w:i/>
          <w:color w:val="000000" w:themeColor="text1"/>
        </w:rPr>
        <w:t xml:space="preserve"> – Managed CAD in 2 or 3D format using BS1192:2007 with a collaboration tool providing a common data environment, possibly some standard data structures and formats. Commercial data managed by standalone finance and cost management packages with no integration.</w:t>
      </w:r>
    </w:p>
    <w:p w:rsidR="00D2332F" w:rsidRPr="00D2332F" w:rsidRDefault="00D2332F" w:rsidP="00D2332F">
      <w:pPr>
        <w:spacing w:after="0" w:line="240" w:lineRule="auto"/>
        <w:jc w:val="both"/>
        <w:rPr>
          <w:i/>
          <w:color w:val="000000" w:themeColor="text1"/>
        </w:rPr>
      </w:pPr>
      <w:r w:rsidRPr="00154405">
        <w:rPr>
          <w:b/>
          <w:i/>
          <w:color w:val="000000" w:themeColor="text1"/>
        </w:rPr>
        <w:t>Level 2</w:t>
      </w:r>
      <w:r w:rsidRPr="00D2332F">
        <w:rPr>
          <w:i/>
          <w:color w:val="000000" w:themeColor="text1"/>
        </w:rPr>
        <w:t xml:space="preserve"> – Managed 3D environment held in separate discipline “BIM” tools with attached data. Commercial data managed by an ERP. Integration on the basis of proprietary interfaces or bespoke middleware could be regarded as “</w:t>
      </w:r>
      <w:proofErr w:type="spellStart"/>
      <w:r w:rsidRPr="00D2332F">
        <w:rPr>
          <w:i/>
          <w:color w:val="000000" w:themeColor="text1"/>
        </w:rPr>
        <w:t>pBIM</w:t>
      </w:r>
      <w:proofErr w:type="spellEnd"/>
      <w:r w:rsidRPr="00D2332F">
        <w:rPr>
          <w:i/>
          <w:color w:val="000000" w:themeColor="text1"/>
        </w:rPr>
        <w:t>” (proprietary). The approach may utilise 4D programme data and 5D cost elements as well as feed operational systems.</w:t>
      </w:r>
    </w:p>
    <w:p w:rsidR="00D2332F" w:rsidRPr="00D2332F" w:rsidRDefault="00D2332F" w:rsidP="00D2332F">
      <w:pPr>
        <w:spacing w:after="0" w:line="240" w:lineRule="auto"/>
        <w:jc w:val="both"/>
        <w:rPr>
          <w:i/>
          <w:color w:val="000000" w:themeColor="text1"/>
        </w:rPr>
      </w:pPr>
      <w:r w:rsidRPr="00154405">
        <w:rPr>
          <w:b/>
          <w:i/>
          <w:color w:val="000000" w:themeColor="text1"/>
        </w:rPr>
        <w:t>Level 3</w:t>
      </w:r>
      <w:r w:rsidRPr="00D2332F">
        <w:rPr>
          <w:i/>
          <w:color w:val="000000" w:themeColor="text1"/>
        </w:rPr>
        <w:t xml:space="preserve"> - Fully open process and data integration enabled by web services compliant with emerging IFC / IFD standards, managed by a collaborative model server. Could be regarded as </w:t>
      </w:r>
      <w:proofErr w:type="spellStart"/>
      <w:r w:rsidRPr="00D2332F">
        <w:rPr>
          <w:i/>
          <w:color w:val="000000" w:themeColor="text1"/>
        </w:rPr>
        <w:t>iBIM</w:t>
      </w:r>
      <w:proofErr w:type="spellEnd"/>
      <w:r w:rsidRPr="00D2332F">
        <w:rPr>
          <w:i/>
          <w:color w:val="000000" w:themeColor="text1"/>
        </w:rPr>
        <w:t xml:space="preserve"> or integrated BIM potentially employing concurrent engineering processes</w:t>
      </w:r>
    </w:p>
    <w:p w:rsidR="00D2332F" w:rsidRDefault="00D2332F" w:rsidP="009305EF">
      <w:pPr>
        <w:spacing w:after="0" w:line="240" w:lineRule="auto"/>
        <w:jc w:val="both"/>
        <w:rPr>
          <w:color w:val="000000" w:themeColor="text1"/>
        </w:rPr>
      </w:pPr>
    </w:p>
    <w:p w:rsidR="009305EF" w:rsidRPr="009305EF" w:rsidRDefault="009305EF" w:rsidP="009305EF">
      <w:pPr>
        <w:spacing w:after="0" w:line="240" w:lineRule="auto"/>
        <w:jc w:val="both"/>
        <w:rPr>
          <w:color w:val="000000" w:themeColor="text1"/>
        </w:rPr>
      </w:pPr>
      <w:r w:rsidRPr="009305EF">
        <w:rPr>
          <w:color w:val="000000" w:themeColor="text1"/>
        </w:rPr>
        <w:t>The UK Government requires level 2 on all its contracts by 1st April 2016 [</w:t>
      </w:r>
      <w:r w:rsidR="00E42451">
        <w:rPr>
          <w:color w:val="000000" w:themeColor="text1"/>
        </w:rPr>
        <w:t>1</w:t>
      </w:r>
      <w:r w:rsidRPr="009305EF">
        <w:rPr>
          <w:color w:val="000000" w:themeColor="text1"/>
        </w:rPr>
        <w:t xml:space="preserve">]. </w:t>
      </w:r>
      <w:r w:rsidR="00E42451">
        <w:rPr>
          <w:color w:val="000000" w:themeColor="text1"/>
        </w:rPr>
        <w:t xml:space="preserve">The survey examined the </w:t>
      </w:r>
      <w:r w:rsidR="004F6D72">
        <w:rPr>
          <w:color w:val="000000" w:themeColor="text1"/>
        </w:rPr>
        <w:t xml:space="preserve">experience and </w:t>
      </w:r>
      <w:r w:rsidR="00F80D32">
        <w:rPr>
          <w:color w:val="000000" w:themeColor="text1"/>
        </w:rPr>
        <w:t xml:space="preserve">skill </w:t>
      </w:r>
      <w:r w:rsidRPr="009305EF">
        <w:rPr>
          <w:color w:val="000000" w:themeColor="text1"/>
        </w:rPr>
        <w:t xml:space="preserve">level of academics </w:t>
      </w:r>
      <w:r w:rsidR="00E42451">
        <w:rPr>
          <w:color w:val="000000" w:themeColor="text1"/>
        </w:rPr>
        <w:t>on the BAF</w:t>
      </w:r>
      <w:r w:rsidR="004F6D72">
        <w:rPr>
          <w:color w:val="000000" w:themeColor="text1"/>
        </w:rPr>
        <w:t>. F</w:t>
      </w:r>
      <w:r w:rsidR="00E42451">
        <w:rPr>
          <w:color w:val="000000" w:themeColor="text1"/>
        </w:rPr>
        <w:t>indings are in Table 1</w:t>
      </w:r>
      <w:r w:rsidRPr="009305EF">
        <w:rPr>
          <w:color w:val="000000" w:themeColor="text1"/>
        </w:rPr>
        <w:t>.</w:t>
      </w:r>
    </w:p>
    <w:p w:rsidR="009305EF" w:rsidRDefault="009305EF" w:rsidP="009305EF">
      <w:pPr>
        <w:spacing w:after="0" w:line="240" w:lineRule="auto"/>
        <w:jc w:val="both"/>
        <w:rPr>
          <w:color w:val="000000" w:themeColor="text1"/>
        </w:rPr>
      </w:pPr>
    </w:p>
    <w:p w:rsidR="007B3612" w:rsidRPr="009305EF" w:rsidRDefault="007B3612" w:rsidP="009305EF">
      <w:pPr>
        <w:spacing w:after="0" w:line="240" w:lineRule="auto"/>
        <w:jc w:val="both"/>
        <w:rPr>
          <w:color w:val="000000" w:themeColor="text1"/>
        </w:rPr>
      </w:pPr>
    </w:p>
    <w:p w:rsidR="00E514A9" w:rsidRPr="00260BA0" w:rsidRDefault="00E514A9" w:rsidP="00E514A9">
      <w:pPr>
        <w:spacing w:after="0" w:line="240" w:lineRule="auto"/>
        <w:rPr>
          <w:b/>
          <w:i/>
        </w:rPr>
      </w:pPr>
      <w:r w:rsidRPr="00260BA0">
        <w:rPr>
          <w:b/>
          <w:i/>
        </w:rPr>
        <w:lastRenderedPageBreak/>
        <w:t xml:space="preserve">Table 1 </w:t>
      </w:r>
      <w:r w:rsidR="007B3612">
        <w:rPr>
          <w:b/>
          <w:i/>
        </w:rPr>
        <w:t>Level of Academic Experience</w:t>
      </w:r>
    </w:p>
    <w:tbl>
      <w:tblPr>
        <w:tblStyle w:val="TableGrid1"/>
        <w:tblW w:w="5000" w:type="pct"/>
        <w:tblLook w:val="04A0" w:firstRow="1" w:lastRow="0" w:firstColumn="1" w:lastColumn="0" w:noHBand="0" w:noVBand="1"/>
      </w:tblPr>
      <w:tblGrid>
        <w:gridCol w:w="1348"/>
        <w:gridCol w:w="1348"/>
        <w:gridCol w:w="1347"/>
      </w:tblGrid>
      <w:tr w:rsidR="00E514A9" w:rsidRPr="00E514A9" w:rsidTr="00E514A9">
        <w:trPr>
          <w:trHeight w:val="442"/>
        </w:trPr>
        <w:tc>
          <w:tcPr>
            <w:tcW w:w="5000" w:type="pct"/>
            <w:gridSpan w:val="3"/>
            <w:hideMark/>
          </w:tcPr>
          <w:p w:rsidR="00E514A9" w:rsidRPr="00E514A9" w:rsidRDefault="00E514A9" w:rsidP="00E514A9">
            <w:pPr>
              <w:jc w:val="center"/>
              <w:rPr>
                <w:rFonts w:eastAsia="Times New Roman"/>
                <w:b/>
                <w:bCs/>
                <w:lang w:val="en-IE"/>
              </w:rPr>
            </w:pPr>
            <w:r>
              <w:rPr>
                <w:rFonts w:eastAsia="Times New Roman"/>
                <w:b/>
                <w:bCs/>
                <w:lang w:val="en-IE"/>
              </w:rPr>
              <w:t>Level of Experience by Academics o</w:t>
            </w:r>
            <w:r w:rsidRPr="00E514A9">
              <w:rPr>
                <w:rFonts w:eastAsia="Times New Roman"/>
                <w:b/>
                <w:bCs/>
                <w:lang w:val="en-IE"/>
              </w:rPr>
              <w:t xml:space="preserve">n the Bew and Richards </w:t>
            </w:r>
            <w:r>
              <w:rPr>
                <w:rFonts w:eastAsia="Times New Roman"/>
                <w:b/>
                <w:bCs/>
                <w:lang w:val="en-IE"/>
              </w:rPr>
              <w:t>S</w:t>
            </w:r>
            <w:r w:rsidRPr="00E514A9">
              <w:rPr>
                <w:rFonts w:eastAsia="Times New Roman"/>
                <w:b/>
                <w:bCs/>
                <w:lang w:val="en-IE"/>
              </w:rPr>
              <w:t>cale</w:t>
            </w:r>
          </w:p>
        </w:tc>
      </w:tr>
      <w:tr w:rsidR="00E514A9" w:rsidRPr="00E514A9" w:rsidTr="00E514A9">
        <w:trPr>
          <w:trHeight w:val="95"/>
        </w:trPr>
        <w:tc>
          <w:tcPr>
            <w:tcW w:w="1667" w:type="pct"/>
            <w:hideMark/>
          </w:tcPr>
          <w:p w:rsidR="00E514A9" w:rsidRPr="00E514A9" w:rsidRDefault="00E514A9" w:rsidP="00E514A9">
            <w:pPr>
              <w:jc w:val="center"/>
              <w:rPr>
                <w:rFonts w:eastAsia="Times New Roman"/>
                <w:b/>
                <w:bCs/>
                <w:lang w:val="en-IE"/>
              </w:rPr>
            </w:pPr>
            <w:r w:rsidRPr="00E514A9">
              <w:rPr>
                <w:rFonts w:eastAsia="Times New Roman"/>
                <w:b/>
                <w:bCs/>
                <w:lang w:val="en-IE"/>
              </w:rPr>
              <w:t>Answer</w:t>
            </w:r>
          </w:p>
        </w:tc>
        <w:tc>
          <w:tcPr>
            <w:tcW w:w="1667" w:type="pct"/>
            <w:hideMark/>
          </w:tcPr>
          <w:p w:rsidR="00E514A9" w:rsidRPr="00E514A9" w:rsidRDefault="00E514A9" w:rsidP="00E514A9">
            <w:pPr>
              <w:jc w:val="center"/>
              <w:rPr>
                <w:rFonts w:eastAsia="Times New Roman"/>
                <w:b/>
                <w:bCs/>
                <w:lang w:val="en-IE"/>
              </w:rPr>
            </w:pPr>
            <w:r w:rsidRPr="00E514A9">
              <w:rPr>
                <w:rFonts w:eastAsia="Times New Roman"/>
                <w:b/>
                <w:bCs/>
                <w:lang w:val="en-IE"/>
              </w:rPr>
              <w:t>Count</w:t>
            </w:r>
          </w:p>
        </w:tc>
        <w:tc>
          <w:tcPr>
            <w:tcW w:w="1667" w:type="pct"/>
            <w:hideMark/>
          </w:tcPr>
          <w:p w:rsidR="00E514A9" w:rsidRPr="00E514A9" w:rsidRDefault="00E514A9" w:rsidP="00E514A9">
            <w:pPr>
              <w:jc w:val="center"/>
              <w:rPr>
                <w:rFonts w:eastAsia="Times New Roman"/>
                <w:b/>
                <w:bCs/>
                <w:lang w:val="en-IE"/>
              </w:rPr>
            </w:pPr>
            <w:r w:rsidRPr="00E514A9">
              <w:rPr>
                <w:rFonts w:eastAsia="Times New Roman"/>
                <w:b/>
                <w:bCs/>
                <w:lang w:val="en-IE"/>
              </w:rPr>
              <w:t>Percentage</w:t>
            </w:r>
          </w:p>
        </w:tc>
      </w:tr>
      <w:tr w:rsidR="00E514A9" w:rsidRPr="00E514A9" w:rsidTr="00E514A9">
        <w:trPr>
          <w:trHeight w:val="47"/>
        </w:trPr>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Level 0</w:t>
            </w:r>
          </w:p>
        </w:tc>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0</w:t>
            </w:r>
          </w:p>
        </w:tc>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0%</w:t>
            </w:r>
          </w:p>
        </w:tc>
      </w:tr>
      <w:tr w:rsidR="00E514A9" w:rsidRPr="00E514A9" w:rsidTr="00E514A9">
        <w:trPr>
          <w:trHeight w:val="47"/>
        </w:trPr>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Level 1</w:t>
            </w:r>
          </w:p>
        </w:tc>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1</w:t>
            </w:r>
          </w:p>
        </w:tc>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7%</w:t>
            </w:r>
          </w:p>
        </w:tc>
      </w:tr>
      <w:tr w:rsidR="00E514A9" w:rsidRPr="00E514A9" w:rsidTr="00E514A9">
        <w:trPr>
          <w:trHeight w:val="47"/>
        </w:trPr>
        <w:tc>
          <w:tcPr>
            <w:tcW w:w="1667" w:type="pct"/>
          </w:tcPr>
          <w:p w:rsidR="00E514A9" w:rsidRPr="00E514A9" w:rsidRDefault="00E514A9" w:rsidP="00E514A9">
            <w:pPr>
              <w:jc w:val="center"/>
              <w:rPr>
                <w:rFonts w:eastAsia="Times New Roman"/>
                <w:lang w:val="en-IE"/>
              </w:rPr>
            </w:pPr>
            <w:r w:rsidRPr="00E514A9">
              <w:rPr>
                <w:rFonts w:eastAsia="Times New Roman"/>
                <w:lang w:val="en-IE"/>
              </w:rPr>
              <w:t>Level 2</w:t>
            </w:r>
          </w:p>
        </w:tc>
        <w:tc>
          <w:tcPr>
            <w:tcW w:w="1667" w:type="pct"/>
          </w:tcPr>
          <w:p w:rsidR="00E514A9" w:rsidRPr="00E514A9" w:rsidRDefault="00E514A9" w:rsidP="00E514A9">
            <w:pPr>
              <w:jc w:val="center"/>
              <w:rPr>
                <w:rFonts w:eastAsia="Times New Roman"/>
                <w:lang w:val="en-IE"/>
              </w:rPr>
            </w:pPr>
            <w:r w:rsidRPr="00E514A9">
              <w:rPr>
                <w:rFonts w:eastAsia="Times New Roman"/>
                <w:lang w:val="en-IE"/>
              </w:rPr>
              <w:t>9</w:t>
            </w:r>
          </w:p>
        </w:tc>
        <w:tc>
          <w:tcPr>
            <w:tcW w:w="1667" w:type="pct"/>
          </w:tcPr>
          <w:p w:rsidR="00E514A9" w:rsidRPr="00E514A9" w:rsidRDefault="00E514A9" w:rsidP="00E514A9">
            <w:pPr>
              <w:jc w:val="center"/>
              <w:rPr>
                <w:rFonts w:eastAsia="Times New Roman"/>
                <w:lang w:val="en-IE"/>
              </w:rPr>
            </w:pPr>
            <w:r w:rsidRPr="00E514A9">
              <w:rPr>
                <w:rFonts w:eastAsia="Times New Roman"/>
                <w:lang w:val="en-IE"/>
              </w:rPr>
              <w:t>60%</w:t>
            </w:r>
          </w:p>
        </w:tc>
      </w:tr>
      <w:tr w:rsidR="00E514A9" w:rsidRPr="00E514A9" w:rsidTr="00E514A9">
        <w:trPr>
          <w:trHeight w:val="47"/>
        </w:trPr>
        <w:tc>
          <w:tcPr>
            <w:tcW w:w="1667" w:type="pct"/>
          </w:tcPr>
          <w:p w:rsidR="00E514A9" w:rsidRPr="00E514A9" w:rsidRDefault="00E514A9" w:rsidP="00E514A9">
            <w:pPr>
              <w:jc w:val="center"/>
              <w:rPr>
                <w:rFonts w:eastAsia="Times New Roman"/>
                <w:lang w:val="en-IE"/>
              </w:rPr>
            </w:pPr>
            <w:r w:rsidRPr="00E514A9">
              <w:rPr>
                <w:rFonts w:eastAsia="Times New Roman"/>
                <w:lang w:val="en-IE"/>
              </w:rPr>
              <w:t>Level 3</w:t>
            </w:r>
          </w:p>
        </w:tc>
        <w:tc>
          <w:tcPr>
            <w:tcW w:w="1667" w:type="pct"/>
          </w:tcPr>
          <w:p w:rsidR="00E514A9" w:rsidRPr="00E514A9" w:rsidRDefault="00E514A9" w:rsidP="00E514A9">
            <w:pPr>
              <w:jc w:val="center"/>
              <w:rPr>
                <w:rFonts w:eastAsia="Times New Roman"/>
                <w:lang w:val="en-IE"/>
              </w:rPr>
            </w:pPr>
            <w:r w:rsidRPr="00E514A9">
              <w:rPr>
                <w:rFonts w:eastAsia="Times New Roman"/>
                <w:lang w:val="en-IE"/>
              </w:rPr>
              <w:t>5</w:t>
            </w:r>
          </w:p>
        </w:tc>
        <w:tc>
          <w:tcPr>
            <w:tcW w:w="1667" w:type="pct"/>
          </w:tcPr>
          <w:p w:rsidR="00E514A9" w:rsidRPr="00E514A9" w:rsidRDefault="00E514A9" w:rsidP="00E514A9">
            <w:pPr>
              <w:jc w:val="center"/>
              <w:rPr>
                <w:rFonts w:eastAsia="Times New Roman"/>
                <w:lang w:val="en-IE"/>
              </w:rPr>
            </w:pPr>
            <w:r w:rsidRPr="00E514A9">
              <w:rPr>
                <w:rFonts w:eastAsia="Times New Roman"/>
                <w:lang w:val="en-IE"/>
              </w:rPr>
              <w:t>33%</w:t>
            </w:r>
          </w:p>
        </w:tc>
      </w:tr>
      <w:tr w:rsidR="00E514A9" w:rsidRPr="00E514A9" w:rsidTr="00E514A9">
        <w:trPr>
          <w:trHeight w:val="91"/>
        </w:trPr>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No answer</w:t>
            </w:r>
          </w:p>
        </w:tc>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0</w:t>
            </w:r>
          </w:p>
        </w:tc>
        <w:tc>
          <w:tcPr>
            <w:tcW w:w="1667" w:type="pct"/>
            <w:hideMark/>
          </w:tcPr>
          <w:p w:rsidR="00E514A9" w:rsidRPr="00E514A9" w:rsidRDefault="00E514A9" w:rsidP="00E514A9">
            <w:pPr>
              <w:jc w:val="center"/>
              <w:rPr>
                <w:rFonts w:eastAsia="Times New Roman"/>
                <w:lang w:val="en-IE"/>
              </w:rPr>
            </w:pPr>
            <w:r w:rsidRPr="00E514A9">
              <w:rPr>
                <w:rFonts w:eastAsia="Times New Roman"/>
                <w:lang w:val="en-IE"/>
              </w:rPr>
              <w:t>0%</w:t>
            </w:r>
          </w:p>
        </w:tc>
      </w:tr>
    </w:tbl>
    <w:p w:rsidR="00BD016C" w:rsidRPr="009305EF" w:rsidRDefault="00BD016C" w:rsidP="009305EF">
      <w:pPr>
        <w:spacing w:after="0" w:line="240" w:lineRule="auto"/>
        <w:jc w:val="both"/>
        <w:rPr>
          <w:color w:val="000000" w:themeColor="text1"/>
        </w:rPr>
      </w:pPr>
    </w:p>
    <w:p w:rsidR="009305EF" w:rsidRPr="004A61B9" w:rsidRDefault="009305EF" w:rsidP="007B3612">
      <w:pPr>
        <w:spacing w:after="0" w:line="240" w:lineRule="auto"/>
        <w:ind w:firstLine="142"/>
        <w:jc w:val="both"/>
        <w:rPr>
          <w:color w:val="FF0000"/>
        </w:rPr>
      </w:pPr>
      <w:r w:rsidRPr="00A9373D">
        <w:t xml:space="preserve">Table 1 </w:t>
      </w:r>
      <w:r w:rsidR="00A9373D" w:rsidRPr="00A9373D">
        <w:t>indicates that the majority of the BAF have already got experience at level 2 which is the Government required level. This equated to s</w:t>
      </w:r>
      <w:r w:rsidRPr="00A9373D">
        <w:t xml:space="preserve">ixty percent (60%) </w:t>
      </w:r>
      <w:r w:rsidR="00A9373D" w:rsidRPr="00A9373D">
        <w:t xml:space="preserve">of the responses, with another third (33%) </w:t>
      </w:r>
      <w:r w:rsidR="00FF32FA">
        <w:t>having</w:t>
      </w:r>
      <w:r w:rsidR="00A9373D" w:rsidRPr="00A9373D">
        <w:t xml:space="preserve"> experience</w:t>
      </w:r>
      <w:r w:rsidR="007B3612">
        <w:t xml:space="preserve"> and </w:t>
      </w:r>
      <w:r w:rsidR="007B3612" w:rsidRPr="00A9373D">
        <w:t xml:space="preserve">functioning effectively </w:t>
      </w:r>
      <w:r w:rsidRPr="00A9373D">
        <w:t xml:space="preserve">above this level. Only </w:t>
      </w:r>
      <w:r w:rsidR="00A9373D" w:rsidRPr="00A9373D">
        <w:t>one</w:t>
      </w:r>
      <w:r w:rsidRPr="00A9373D">
        <w:t xml:space="preserve"> </w:t>
      </w:r>
      <w:r w:rsidR="00A9373D" w:rsidRPr="00A9373D">
        <w:t>respondent</w:t>
      </w:r>
      <w:r w:rsidRPr="00A9373D">
        <w:t xml:space="preserve"> did not </w:t>
      </w:r>
      <w:r w:rsidR="00A9373D" w:rsidRPr="00A9373D">
        <w:t xml:space="preserve">have experience to </w:t>
      </w:r>
      <w:r w:rsidRPr="00A9373D">
        <w:t xml:space="preserve">meet </w:t>
      </w:r>
      <w:r w:rsidR="00A9373D" w:rsidRPr="00A9373D">
        <w:t>Level 2</w:t>
      </w:r>
      <w:r w:rsidRPr="00A9373D">
        <w:t xml:space="preserve"> </w:t>
      </w:r>
      <w:r w:rsidR="007B3612">
        <w:t>(</w:t>
      </w:r>
      <w:r w:rsidRPr="00A9373D">
        <w:t>7%</w:t>
      </w:r>
      <w:r w:rsidR="007B3612">
        <w:t>)</w:t>
      </w:r>
      <w:r w:rsidRPr="00A9373D">
        <w:t>.</w:t>
      </w:r>
      <w:r w:rsidR="00A9373D">
        <w:t xml:space="preserve"> The capacity of teaching experience to operate, at or above the required level, means that those responding were capable of contributing knowledge and provide a good student experience. Table 1 </w:t>
      </w:r>
      <w:r w:rsidR="00FF32FA">
        <w:t xml:space="preserve">demonstrates </w:t>
      </w:r>
      <w:r w:rsidR="00A9373D">
        <w:t>that Level 2 and above is being taught by most HEI’s. It further indicates that those responding to the questionnaire have the requisite capacity to decide the content and importance of each of the BIM topics to both the structures and highways strands.</w:t>
      </w:r>
    </w:p>
    <w:p w:rsidR="00E42451" w:rsidRPr="00BF4415" w:rsidRDefault="00E42451" w:rsidP="009B5D44">
      <w:pPr>
        <w:spacing w:after="0" w:line="240" w:lineRule="auto"/>
        <w:jc w:val="both"/>
      </w:pPr>
    </w:p>
    <w:p w:rsidR="00BF4415" w:rsidRPr="00462B83" w:rsidRDefault="00BF4415" w:rsidP="000A44BB">
      <w:pPr>
        <w:spacing w:after="0" w:line="240" w:lineRule="auto"/>
        <w:rPr>
          <w:b/>
        </w:rPr>
      </w:pPr>
      <w:r>
        <w:rPr>
          <w:b/>
          <w:sz w:val="22"/>
        </w:rPr>
        <w:t>3</w:t>
      </w:r>
      <w:r w:rsidRPr="00462B83">
        <w:rPr>
          <w:b/>
          <w:sz w:val="22"/>
        </w:rPr>
        <w:t>.</w:t>
      </w:r>
      <w:r>
        <w:rPr>
          <w:b/>
          <w:sz w:val="22"/>
        </w:rPr>
        <w:t xml:space="preserve"> Findings on BIM </w:t>
      </w:r>
    </w:p>
    <w:p w:rsidR="00BF4415" w:rsidRPr="00462B83" w:rsidRDefault="00BF4415" w:rsidP="000A44BB">
      <w:pPr>
        <w:spacing w:after="0" w:line="240" w:lineRule="auto"/>
        <w:rPr>
          <w:b/>
        </w:rPr>
      </w:pPr>
      <w:r>
        <w:rPr>
          <w:b/>
          <w:sz w:val="22"/>
        </w:rPr>
        <w:t>3</w:t>
      </w:r>
      <w:r w:rsidRPr="00462B83">
        <w:rPr>
          <w:b/>
          <w:sz w:val="22"/>
        </w:rPr>
        <w:t>.</w:t>
      </w:r>
      <w:r>
        <w:rPr>
          <w:b/>
          <w:sz w:val="22"/>
        </w:rPr>
        <w:t xml:space="preserve">1 </w:t>
      </w:r>
      <w:r w:rsidR="00B965B4" w:rsidRPr="00B965B4">
        <w:rPr>
          <w:b/>
          <w:sz w:val="22"/>
        </w:rPr>
        <w:t>Final Year Students Specialising in Highways</w:t>
      </w:r>
    </w:p>
    <w:p w:rsidR="000D075C" w:rsidRDefault="00A9373D" w:rsidP="007B3612">
      <w:pPr>
        <w:spacing w:after="200" w:line="276" w:lineRule="auto"/>
        <w:ind w:firstLine="142"/>
        <w:jc w:val="both"/>
      </w:pPr>
      <w:r w:rsidRPr="005B22BF">
        <w:t xml:space="preserve">The </w:t>
      </w:r>
      <w:r w:rsidR="00FF32FA">
        <w:t>a</w:t>
      </w:r>
      <w:r w:rsidR="002B293F" w:rsidRPr="005A4271">
        <w:t xml:space="preserve">nalysis of the </w:t>
      </w:r>
      <w:r w:rsidR="00FF32FA">
        <w:t>topics</w:t>
      </w:r>
      <w:r w:rsidR="004A61B9" w:rsidRPr="005A4271">
        <w:t xml:space="preserve"> </w:t>
      </w:r>
      <w:r w:rsidR="007B3612">
        <w:t xml:space="preserve">shown </w:t>
      </w:r>
      <w:r w:rsidR="00482847">
        <w:t>in Table 2 (</w:t>
      </w:r>
      <w:r w:rsidR="00FF32FA">
        <w:t xml:space="preserve">for </w:t>
      </w:r>
      <w:r w:rsidR="00482847">
        <w:t xml:space="preserve">Highways </w:t>
      </w:r>
      <w:r w:rsidR="00FF32FA">
        <w:t xml:space="preserve">students </w:t>
      </w:r>
      <w:r w:rsidR="00482847">
        <w:t xml:space="preserve">denoted H) </w:t>
      </w:r>
      <w:r w:rsidR="004A61B9" w:rsidRPr="005A4271">
        <w:t xml:space="preserve">identified </w:t>
      </w:r>
      <w:r w:rsidR="002B293F" w:rsidRPr="005A4271">
        <w:t xml:space="preserve">the following </w:t>
      </w:r>
      <w:r w:rsidR="00FF32FA">
        <w:t>as ‘Extremely relevant’</w:t>
      </w:r>
      <w:r w:rsidR="002B293F" w:rsidRPr="005A4271">
        <w:t xml:space="preserve">: </w:t>
      </w:r>
      <w:r w:rsidR="00C965AC">
        <w:t xml:space="preserve">4 </w:t>
      </w:r>
      <w:r w:rsidR="004A61B9" w:rsidRPr="005A4271">
        <w:t xml:space="preserve">BIM roles (40%), </w:t>
      </w:r>
      <w:r w:rsidR="00C965AC">
        <w:t xml:space="preserve">10 </w:t>
      </w:r>
      <w:r w:rsidR="004A61B9" w:rsidRPr="005A4271">
        <w:t xml:space="preserve">BIM data maturity principles (40%) and </w:t>
      </w:r>
      <w:r w:rsidR="00C965AC">
        <w:t xml:space="preserve">12 </w:t>
      </w:r>
      <w:r w:rsidR="004A61B9" w:rsidRPr="005A4271">
        <w:t xml:space="preserve">Collaboration tools (40%). </w:t>
      </w:r>
      <w:r w:rsidR="00741653">
        <w:t xml:space="preserve">The most important of these on a combination of ‘extremely and very relevant’ percentages </w:t>
      </w:r>
      <w:r w:rsidR="007B3612">
        <w:t>are:</w:t>
      </w:r>
      <w:r w:rsidR="00214B42">
        <w:t xml:space="preserve"> </w:t>
      </w:r>
      <w:r w:rsidR="00C965AC">
        <w:t xml:space="preserve">12 </w:t>
      </w:r>
      <w:r w:rsidR="00214B42">
        <w:t xml:space="preserve">Collaboration aspects followed by </w:t>
      </w:r>
      <w:r w:rsidR="00C965AC">
        <w:t xml:space="preserve">8 </w:t>
      </w:r>
      <w:r w:rsidR="00214B42">
        <w:t>BIM protocols required for collaboration</w:t>
      </w:r>
      <w:r w:rsidR="00741653">
        <w:t>.</w:t>
      </w:r>
      <w:r w:rsidR="00214B42">
        <w:t xml:space="preserve"> Therefore this supports previous research on the drivers for BIM which concluded that Collaboration is the most important benefit of BIM [9].</w:t>
      </w:r>
    </w:p>
    <w:p w:rsidR="00B965B4" w:rsidRDefault="00B965B4" w:rsidP="00B965B4">
      <w:pPr>
        <w:spacing w:after="0" w:line="240" w:lineRule="auto"/>
        <w:jc w:val="both"/>
      </w:pPr>
    </w:p>
    <w:p w:rsidR="002253DB" w:rsidRDefault="00E514A9" w:rsidP="00A9373D">
      <w:pPr>
        <w:spacing w:after="0" w:line="240" w:lineRule="auto"/>
        <w:rPr>
          <w:b/>
          <w:i/>
        </w:rPr>
      </w:pPr>
      <w:r w:rsidRPr="00260BA0">
        <w:rPr>
          <w:b/>
          <w:i/>
        </w:rPr>
        <w:lastRenderedPageBreak/>
        <w:t xml:space="preserve">Table </w:t>
      </w:r>
      <w:r w:rsidR="00A9373D">
        <w:rPr>
          <w:b/>
          <w:i/>
        </w:rPr>
        <w:t>2</w:t>
      </w:r>
      <w:r w:rsidRPr="00260BA0">
        <w:rPr>
          <w:b/>
          <w:i/>
        </w:rPr>
        <w:t xml:space="preserve"> </w:t>
      </w:r>
      <w:r w:rsidR="00A9373D">
        <w:rPr>
          <w:b/>
          <w:i/>
        </w:rPr>
        <w:t xml:space="preserve">Importance </w:t>
      </w:r>
      <w:r w:rsidR="0077770A">
        <w:rPr>
          <w:b/>
          <w:i/>
        </w:rPr>
        <w:t>of BIM topics</w:t>
      </w:r>
    </w:p>
    <w:p w:rsidR="00B965B4" w:rsidRDefault="002253DB" w:rsidP="00A9373D">
      <w:pPr>
        <w:spacing w:after="0" w:line="240" w:lineRule="auto"/>
        <w:rPr>
          <w:noProof/>
          <w:lang w:eastAsia="en-GB"/>
        </w:rPr>
      </w:pPr>
      <w:r>
        <w:rPr>
          <w:b/>
          <w:i/>
        </w:rPr>
        <w:t xml:space="preserve">S= Structures </w:t>
      </w:r>
      <w:proofErr w:type="gramStart"/>
      <w:r>
        <w:rPr>
          <w:b/>
          <w:i/>
        </w:rPr>
        <w:t xml:space="preserve">&amp; </w:t>
      </w:r>
      <w:r w:rsidR="0077770A">
        <w:rPr>
          <w:b/>
          <w:i/>
        </w:rPr>
        <w:t xml:space="preserve"> </w:t>
      </w:r>
      <w:r>
        <w:rPr>
          <w:b/>
          <w:i/>
        </w:rPr>
        <w:t>H</w:t>
      </w:r>
      <w:proofErr w:type="gramEnd"/>
      <w:r>
        <w:rPr>
          <w:b/>
          <w:i/>
        </w:rPr>
        <w:t>=</w:t>
      </w:r>
      <w:r w:rsidR="00A9373D">
        <w:rPr>
          <w:b/>
          <w:i/>
        </w:rPr>
        <w:t xml:space="preserve"> Highways</w:t>
      </w:r>
      <w:r>
        <w:rPr>
          <w:b/>
          <w:i/>
        </w:rPr>
        <w:t xml:space="preserve"> </w:t>
      </w:r>
      <w:r w:rsidR="00C965AC">
        <w:rPr>
          <w:b/>
          <w:i/>
        </w:rPr>
        <w:t xml:space="preserve">The numbers match those in Section 1.3 </w:t>
      </w:r>
    </w:p>
    <w:p w:rsidR="002253DB" w:rsidRPr="00A9373D" w:rsidRDefault="002253DB" w:rsidP="00A9373D">
      <w:pPr>
        <w:spacing w:after="0" w:line="240" w:lineRule="auto"/>
        <w:rPr>
          <w:b/>
          <w:i/>
        </w:rPr>
      </w:pPr>
      <w:r>
        <w:rPr>
          <w:noProof/>
          <w:lang w:eastAsia="en-GB"/>
        </w:rPr>
        <w:drawing>
          <wp:inline distT="0" distB="0" distL="0" distR="0" wp14:anchorId="5F012CBA" wp14:editId="4B1DCE5C">
            <wp:extent cx="2432649" cy="6366294"/>
            <wp:effectExtent l="0" t="0" r="2540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65B4" w:rsidRDefault="00B965B4" w:rsidP="000A44BB">
      <w:pPr>
        <w:spacing w:after="0" w:line="240" w:lineRule="auto"/>
      </w:pPr>
    </w:p>
    <w:p w:rsidR="0014185C" w:rsidRDefault="0014185C" w:rsidP="00587DFD">
      <w:pPr>
        <w:spacing w:after="0" w:line="240" w:lineRule="auto"/>
        <w:jc w:val="both"/>
        <w:rPr>
          <w:b/>
          <w:i/>
        </w:rPr>
      </w:pPr>
    </w:p>
    <w:p w:rsidR="005B22BF" w:rsidRDefault="005B22BF" w:rsidP="00587DFD">
      <w:pPr>
        <w:spacing w:after="0" w:line="240" w:lineRule="auto"/>
        <w:jc w:val="both"/>
        <w:rPr>
          <w:b/>
          <w:i/>
        </w:rPr>
      </w:pPr>
    </w:p>
    <w:p w:rsidR="007B3612" w:rsidRDefault="007B3612" w:rsidP="007B3612">
      <w:pPr>
        <w:spacing w:after="200" w:line="276" w:lineRule="auto"/>
        <w:ind w:firstLine="142"/>
        <w:jc w:val="both"/>
      </w:pPr>
      <w:r w:rsidRPr="005A4271">
        <w:t xml:space="preserve">The top two items of content considered ‘Very relevant’ are </w:t>
      </w:r>
      <w:r w:rsidRPr="007B3612">
        <w:rPr>
          <w:i/>
        </w:rPr>
        <w:t xml:space="preserve">1 Productivity improvements for BIM </w:t>
      </w:r>
      <w:r w:rsidRPr="005A4271">
        <w:t xml:space="preserve">(67%), and </w:t>
      </w:r>
      <w:r w:rsidRPr="007B3612">
        <w:rPr>
          <w:i/>
        </w:rPr>
        <w:t>11 PAS 1192:3</w:t>
      </w:r>
      <w:r w:rsidRPr="005A4271">
        <w:t xml:space="preserve"> (60%). </w:t>
      </w:r>
      <w:r w:rsidRPr="007B3612">
        <w:rPr>
          <w:i/>
        </w:rPr>
        <w:t xml:space="preserve">2 Service diversification, 7 Change Management theory, 8 BIM protocol, 9 </w:t>
      </w:r>
      <w:proofErr w:type="spellStart"/>
      <w:r w:rsidRPr="007B3612">
        <w:rPr>
          <w:i/>
        </w:rPr>
        <w:t>COBie</w:t>
      </w:r>
      <w:proofErr w:type="spellEnd"/>
      <w:r w:rsidRPr="007B3612">
        <w:rPr>
          <w:i/>
        </w:rPr>
        <w:t xml:space="preserve"> structures</w:t>
      </w:r>
      <w:r w:rsidRPr="005A4271">
        <w:t xml:space="preserve"> and </w:t>
      </w:r>
      <w:r w:rsidRPr="007B3612">
        <w:rPr>
          <w:i/>
        </w:rPr>
        <w:t>14 accessing data for de-construction</w:t>
      </w:r>
      <w:r w:rsidRPr="005A4271">
        <w:t xml:space="preserve"> were also deemed ‘Very relevant’ with 53%.</w:t>
      </w:r>
      <w:r>
        <w:t xml:space="preserve"> </w:t>
      </w:r>
    </w:p>
    <w:p w:rsidR="007B3612" w:rsidRDefault="007B3612" w:rsidP="007B3612">
      <w:pPr>
        <w:spacing w:after="200" w:line="276" w:lineRule="auto"/>
        <w:ind w:firstLine="142"/>
        <w:jc w:val="both"/>
        <w:rPr>
          <w:color w:val="FF0000"/>
        </w:rPr>
      </w:pPr>
      <w:r>
        <w:t>Strangely the issue of ‘</w:t>
      </w:r>
      <w:r w:rsidRPr="007B3612">
        <w:rPr>
          <w:i/>
        </w:rPr>
        <w:t>5 Big Data’</w:t>
      </w:r>
      <w:r>
        <w:t xml:space="preserve"> relating to Highways was ranked as one of the lowest items with 54% considering it moderate or lower. This was originally considered as one of the big issues for BIM teaching. Companies such as ARUP are very active in trying to interpret big data reporting on Road Surfacing and items such as Road Bridges. This merits further research.</w:t>
      </w:r>
    </w:p>
    <w:p w:rsidR="005A4271" w:rsidRPr="00462B83" w:rsidRDefault="005A4271" w:rsidP="005A4271">
      <w:pPr>
        <w:spacing w:after="0" w:line="240" w:lineRule="auto"/>
        <w:rPr>
          <w:b/>
        </w:rPr>
      </w:pPr>
      <w:r>
        <w:rPr>
          <w:b/>
          <w:sz w:val="22"/>
        </w:rPr>
        <w:t>3</w:t>
      </w:r>
      <w:r w:rsidRPr="00462B83">
        <w:rPr>
          <w:b/>
          <w:sz w:val="22"/>
        </w:rPr>
        <w:t>.</w:t>
      </w:r>
      <w:r>
        <w:rPr>
          <w:b/>
          <w:sz w:val="22"/>
        </w:rPr>
        <w:t>2 Final Year Students Specialising in Structures</w:t>
      </w:r>
    </w:p>
    <w:p w:rsidR="008C5F84" w:rsidRDefault="008C5F84" w:rsidP="007B3612">
      <w:pPr>
        <w:spacing w:after="200" w:line="276" w:lineRule="auto"/>
        <w:ind w:firstLine="142"/>
        <w:jc w:val="both"/>
        <w:rPr>
          <w:color w:val="FF0000"/>
        </w:rPr>
      </w:pPr>
      <w:r w:rsidRPr="005A4271">
        <w:t xml:space="preserve">The analysis of the </w:t>
      </w:r>
      <w:r w:rsidR="007B3612">
        <w:t>topics shown</w:t>
      </w:r>
      <w:r w:rsidRPr="005A4271">
        <w:t xml:space="preserve"> </w:t>
      </w:r>
      <w:r w:rsidR="00482847">
        <w:t>in Table 2 (</w:t>
      </w:r>
      <w:r w:rsidR="007B3612">
        <w:t xml:space="preserve">for </w:t>
      </w:r>
      <w:r w:rsidR="00482847">
        <w:t xml:space="preserve">Structures </w:t>
      </w:r>
      <w:r w:rsidR="007B3612">
        <w:t xml:space="preserve">students </w:t>
      </w:r>
      <w:r w:rsidR="00482847">
        <w:t xml:space="preserve">denoted S) </w:t>
      </w:r>
      <w:r w:rsidRPr="005A4271">
        <w:t>identified the following as ‘Extremely relevant’</w:t>
      </w:r>
      <w:r w:rsidR="00E10C38">
        <w:t xml:space="preserve"> with 40%</w:t>
      </w:r>
      <w:r w:rsidRPr="005A4271">
        <w:t xml:space="preserve">: </w:t>
      </w:r>
      <w:r w:rsidR="00A461DA" w:rsidRPr="007B3612">
        <w:rPr>
          <w:i/>
        </w:rPr>
        <w:t xml:space="preserve">4 </w:t>
      </w:r>
      <w:r w:rsidR="005A4271" w:rsidRPr="007B3612">
        <w:rPr>
          <w:i/>
        </w:rPr>
        <w:t xml:space="preserve">BIM roles, </w:t>
      </w:r>
      <w:r w:rsidR="00A461DA" w:rsidRPr="007B3612">
        <w:rPr>
          <w:i/>
        </w:rPr>
        <w:t xml:space="preserve">6 </w:t>
      </w:r>
      <w:r w:rsidR="005A4271" w:rsidRPr="007B3612">
        <w:rPr>
          <w:i/>
        </w:rPr>
        <w:t xml:space="preserve">Sustainable construction, </w:t>
      </w:r>
      <w:r w:rsidR="00A461DA" w:rsidRPr="007B3612">
        <w:rPr>
          <w:i/>
        </w:rPr>
        <w:t xml:space="preserve">10 </w:t>
      </w:r>
      <w:r w:rsidR="005A4271" w:rsidRPr="007B3612">
        <w:rPr>
          <w:i/>
        </w:rPr>
        <w:t xml:space="preserve">BIM data maturity principles, </w:t>
      </w:r>
      <w:r w:rsidR="00A461DA" w:rsidRPr="007B3612">
        <w:rPr>
          <w:i/>
        </w:rPr>
        <w:t xml:space="preserve">12 </w:t>
      </w:r>
      <w:r w:rsidR="005A4271" w:rsidRPr="007B3612">
        <w:rPr>
          <w:i/>
        </w:rPr>
        <w:t>Collaboration tools</w:t>
      </w:r>
      <w:r w:rsidR="005A4271" w:rsidRPr="00E10C38">
        <w:t xml:space="preserve"> and </w:t>
      </w:r>
      <w:r w:rsidR="00A461DA" w:rsidRPr="007B3612">
        <w:rPr>
          <w:i/>
        </w:rPr>
        <w:t xml:space="preserve">13 </w:t>
      </w:r>
      <w:r w:rsidR="005A4271" w:rsidRPr="007B3612">
        <w:rPr>
          <w:i/>
        </w:rPr>
        <w:t>Common data environment</w:t>
      </w:r>
      <w:r w:rsidR="005A4271" w:rsidRPr="00E10C38">
        <w:t xml:space="preserve">. </w:t>
      </w:r>
    </w:p>
    <w:p w:rsidR="005A4271" w:rsidRDefault="005A4271" w:rsidP="005A4271">
      <w:pPr>
        <w:spacing w:after="200" w:line="276" w:lineRule="auto"/>
        <w:jc w:val="both"/>
      </w:pPr>
      <w:r w:rsidRPr="00A461DA">
        <w:t xml:space="preserve">Other content acknowledged as ‘Very relevant’ includes </w:t>
      </w:r>
      <w:r w:rsidR="00A461DA" w:rsidRPr="007B3612">
        <w:rPr>
          <w:i/>
        </w:rPr>
        <w:t xml:space="preserve">7 </w:t>
      </w:r>
      <w:r w:rsidRPr="007B3612">
        <w:rPr>
          <w:i/>
        </w:rPr>
        <w:t>Change Management theory</w:t>
      </w:r>
      <w:r w:rsidRPr="00A461DA">
        <w:t xml:space="preserve"> and </w:t>
      </w:r>
      <w:r w:rsidR="00A461DA" w:rsidRPr="007B3612">
        <w:rPr>
          <w:i/>
        </w:rPr>
        <w:t xml:space="preserve">8 </w:t>
      </w:r>
      <w:r w:rsidRPr="007B3612">
        <w:rPr>
          <w:i/>
        </w:rPr>
        <w:t>BIM protocol</w:t>
      </w:r>
      <w:r w:rsidR="00A461DA" w:rsidRPr="007B3612">
        <w:rPr>
          <w:i/>
        </w:rPr>
        <w:t>s</w:t>
      </w:r>
      <w:r w:rsidRPr="00A461DA">
        <w:t xml:space="preserve"> (73%), </w:t>
      </w:r>
      <w:r w:rsidR="00A461DA" w:rsidRPr="007B3612">
        <w:rPr>
          <w:i/>
        </w:rPr>
        <w:t xml:space="preserve">1 </w:t>
      </w:r>
      <w:r w:rsidRPr="007B3612">
        <w:rPr>
          <w:i/>
        </w:rPr>
        <w:t>Productivity improvements for BIM</w:t>
      </w:r>
      <w:r w:rsidRPr="00A461DA">
        <w:t xml:space="preserve"> (67%), </w:t>
      </w:r>
      <w:r w:rsidR="00A461DA" w:rsidRPr="007B3612">
        <w:rPr>
          <w:i/>
        </w:rPr>
        <w:t xml:space="preserve">2 </w:t>
      </w:r>
      <w:r w:rsidRPr="007B3612">
        <w:rPr>
          <w:i/>
        </w:rPr>
        <w:t>Service diversification</w:t>
      </w:r>
      <w:r w:rsidR="00A461DA" w:rsidRPr="00A461DA">
        <w:t xml:space="preserve"> (60%)</w:t>
      </w:r>
      <w:r w:rsidRPr="00A461DA">
        <w:t xml:space="preserve">, </w:t>
      </w:r>
      <w:r w:rsidR="00A461DA" w:rsidRPr="007B3612">
        <w:rPr>
          <w:i/>
        </w:rPr>
        <w:t xml:space="preserve">3 </w:t>
      </w:r>
      <w:r w:rsidRPr="007B3612">
        <w:rPr>
          <w:i/>
        </w:rPr>
        <w:t>BIM case study</w:t>
      </w:r>
      <w:r w:rsidRPr="00A461DA">
        <w:t xml:space="preserve"> </w:t>
      </w:r>
      <w:r w:rsidR="00A461DA" w:rsidRPr="00A461DA">
        <w:t>(60%)</w:t>
      </w:r>
      <w:r w:rsidR="000654DD">
        <w:t>,</w:t>
      </w:r>
      <w:r w:rsidR="00A461DA" w:rsidRPr="00A461DA">
        <w:t xml:space="preserve"> </w:t>
      </w:r>
      <w:r w:rsidR="000654DD" w:rsidRPr="007B3612">
        <w:rPr>
          <w:i/>
        </w:rPr>
        <w:t>11 PAS 1192:3</w:t>
      </w:r>
      <w:r w:rsidR="000654DD" w:rsidRPr="00A461DA">
        <w:t xml:space="preserve"> (60%), </w:t>
      </w:r>
      <w:r w:rsidRPr="00A461DA">
        <w:t xml:space="preserve">and </w:t>
      </w:r>
      <w:r w:rsidR="00A461DA" w:rsidRPr="007B3612">
        <w:rPr>
          <w:i/>
        </w:rPr>
        <w:t xml:space="preserve">14 </w:t>
      </w:r>
      <w:r w:rsidRPr="007B3612">
        <w:rPr>
          <w:i/>
        </w:rPr>
        <w:t>accessing data for de-construction</w:t>
      </w:r>
      <w:r w:rsidRPr="00A461DA">
        <w:t xml:space="preserve"> (60%).</w:t>
      </w:r>
    </w:p>
    <w:p w:rsidR="000654DD" w:rsidRDefault="0014185C" w:rsidP="000654DD">
      <w:pPr>
        <w:spacing w:after="0" w:line="240" w:lineRule="auto"/>
        <w:rPr>
          <w:b/>
        </w:rPr>
      </w:pPr>
      <w:r>
        <w:rPr>
          <w:b/>
          <w:sz w:val="22"/>
        </w:rPr>
        <w:t>3</w:t>
      </w:r>
      <w:r w:rsidRPr="00462B83">
        <w:rPr>
          <w:b/>
          <w:sz w:val="22"/>
        </w:rPr>
        <w:t>.</w:t>
      </w:r>
      <w:r>
        <w:rPr>
          <w:b/>
          <w:sz w:val="22"/>
        </w:rPr>
        <w:t>3 Comparative Analysis between needs for Specialists in Highways and Structures</w:t>
      </w:r>
    </w:p>
    <w:p w:rsidR="000654DD" w:rsidRDefault="000654DD" w:rsidP="000654DD">
      <w:pPr>
        <w:spacing w:after="0" w:line="240" w:lineRule="auto"/>
        <w:rPr>
          <w:b/>
        </w:rPr>
      </w:pPr>
    </w:p>
    <w:p w:rsidR="000654DD" w:rsidRDefault="00FA53E8" w:rsidP="000654DD">
      <w:pPr>
        <w:spacing w:after="200" w:line="276" w:lineRule="auto"/>
        <w:jc w:val="both"/>
      </w:pPr>
      <w:r w:rsidRPr="00FA53E8">
        <w:rPr>
          <w:rFonts w:cs="Times New Roman"/>
          <w:szCs w:val="20"/>
        </w:rPr>
        <w:t>Th</w:t>
      </w:r>
      <w:r w:rsidR="000654DD">
        <w:rPr>
          <w:rFonts w:cs="Times New Roman"/>
          <w:szCs w:val="20"/>
        </w:rPr>
        <w:t>is section used t</w:t>
      </w:r>
      <w:r w:rsidRPr="00FA53E8">
        <w:rPr>
          <w:rFonts w:cs="Times New Roman"/>
          <w:szCs w:val="20"/>
        </w:rPr>
        <w:t xml:space="preserve">he RII </w:t>
      </w:r>
      <w:r w:rsidR="000654DD">
        <w:rPr>
          <w:rFonts w:cs="Times New Roman"/>
          <w:szCs w:val="20"/>
        </w:rPr>
        <w:t xml:space="preserve">formula to determine the importance of each topic. </w:t>
      </w:r>
      <w:r w:rsidR="000654DD">
        <w:t xml:space="preserve">It can be seen from the RII values of all 14 factors in Table 3 </w:t>
      </w:r>
      <w:r w:rsidR="000654DD">
        <w:lastRenderedPageBreak/>
        <w:t xml:space="preserve">that in all cases BIM is more important to the structures students than the highways students. </w:t>
      </w:r>
    </w:p>
    <w:p w:rsidR="000654DD" w:rsidRDefault="000654DD" w:rsidP="000654DD">
      <w:pPr>
        <w:spacing w:after="200" w:line="276" w:lineRule="auto"/>
        <w:ind w:firstLine="142"/>
        <w:jc w:val="both"/>
      </w:pPr>
      <w:r>
        <w:rPr>
          <w:rFonts w:cs="Times New Roman"/>
          <w:szCs w:val="20"/>
        </w:rPr>
        <w:t xml:space="preserve">The closer RII </w:t>
      </w:r>
      <w:r w:rsidR="00FA53E8" w:rsidRPr="00FA53E8">
        <w:rPr>
          <w:rFonts w:cs="Times New Roman"/>
          <w:szCs w:val="20"/>
        </w:rPr>
        <w:t>is to 1</w:t>
      </w:r>
      <w:r>
        <w:rPr>
          <w:rFonts w:cs="Times New Roman"/>
          <w:szCs w:val="20"/>
        </w:rPr>
        <w:t>,</w:t>
      </w:r>
      <w:r w:rsidR="00FA53E8" w:rsidRPr="00FA53E8">
        <w:rPr>
          <w:rFonts w:cs="Times New Roman"/>
          <w:szCs w:val="20"/>
        </w:rPr>
        <w:t xml:space="preserve"> the more important the result.</w:t>
      </w:r>
      <w:r>
        <w:rPr>
          <w:rFonts w:cs="Times New Roman"/>
          <w:szCs w:val="20"/>
        </w:rPr>
        <w:t xml:space="preserve"> </w:t>
      </w:r>
      <w:r w:rsidR="00482847">
        <w:t xml:space="preserve">Table 3 </w:t>
      </w:r>
      <w:r w:rsidR="00C9796A">
        <w:t xml:space="preserve">shows that the biggest discrepancy between the Highways and Structures topics relate to the following: </w:t>
      </w:r>
      <w:r w:rsidR="00C9796A" w:rsidRPr="00A479AD">
        <w:rPr>
          <w:i/>
        </w:rPr>
        <w:t>Accessing data for de-construction using a variety of tools depending on vocational route</w:t>
      </w:r>
      <w:r w:rsidR="00C9796A">
        <w:t xml:space="preserve"> (Difference 0.094), and </w:t>
      </w:r>
      <w:r w:rsidR="00C9796A" w:rsidRPr="00A479AD">
        <w:rPr>
          <w:i/>
        </w:rPr>
        <w:t xml:space="preserve">Sustainable Construction Principles </w:t>
      </w:r>
      <w:r w:rsidR="00A479AD" w:rsidRPr="00A479AD">
        <w:rPr>
          <w:i/>
        </w:rPr>
        <w:t>and</w:t>
      </w:r>
      <w:r w:rsidR="00C9796A" w:rsidRPr="00A479AD">
        <w:rPr>
          <w:i/>
        </w:rPr>
        <w:t xml:space="preserve"> Carbon Targets </w:t>
      </w:r>
      <w:r w:rsidR="00A479AD" w:rsidRPr="00A479AD">
        <w:rPr>
          <w:i/>
        </w:rPr>
        <w:t>and</w:t>
      </w:r>
      <w:r w:rsidR="00C9796A" w:rsidRPr="00A479AD">
        <w:rPr>
          <w:i/>
        </w:rPr>
        <w:t xml:space="preserve"> demands for natural resources / LEAN Principles (war on waste)</w:t>
      </w:r>
      <w:r w:rsidR="00C9796A">
        <w:t xml:space="preserve"> and </w:t>
      </w:r>
      <w:r w:rsidR="00C9796A" w:rsidRPr="00A479AD">
        <w:rPr>
          <w:i/>
        </w:rPr>
        <w:t>BIM Case study evidence from early adopters</w:t>
      </w:r>
      <w:r w:rsidR="00C9796A">
        <w:t xml:space="preserve"> (Difference 0.068 jointly). </w:t>
      </w:r>
    </w:p>
    <w:p w:rsidR="000654DD" w:rsidRDefault="00C9796A" w:rsidP="000654DD">
      <w:pPr>
        <w:spacing w:after="200" w:line="276" w:lineRule="auto"/>
        <w:ind w:firstLine="142"/>
        <w:jc w:val="both"/>
      </w:pPr>
      <w:r>
        <w:t xml:space="preserve">Deconstruction of </w:t>
      </w:r>
      <w:r w:rsidR="00342714">
        <w:t xml:space="preserve">projects in the Highways sector through reuse of materials </w:t>
      </w:r>
      <w:r w:rsidR="00D22A23">
        <w:t xml:space="preserve">has the potential to </w:t>
      </w:r>
      <w:r w:rsidR="00342714">
        <w:t xml:space="preserve">save up to 0.5% of the overall cost of the scheme [9]. </w:t>
      </w:r>
      <w:r w:rsidR="00D22A23">
        <w:t>However, the UK Government Construction Strategy [1] requests overall savings of up to 20%. Therefore respondents have recognised the greater potential for savings through recycling in structural projects in rating the differences</w:t>
      </w:r>
      <w:r w:rsidR="00E42894">
        <w:t xml:space="preserve"> in the top two topics. </w:t>
      </w:r>
    </w:p>
    <w:p w:rsidR="000654DD" w:rsidRDefault="00E42894" w:rsidP="000654DD">
      <w:pPr>
        <w:spacing w:after="200" w:line="276" w:lineRule="auto"/>
        <w:ind w:firstLine="142"/>
        <w:jc w:val="both"/>
      </w:pPr>
      <w:r>
        <w:t xml:space="preserve">The BIM case study result is more difficult to explain. One possibility is that </w:t>
      </w:r>
      <w:r w:rsidR="007E075F">
        <w:t xml:space="preserve">there were many more early adopters in the structures field than highways and therefore fewer case studies exist. </w:t>
      </w:r>
    </w:p>
    <w:p w:rsidR="000654DD" w:rsidRDefault="007E075F" w:rsidP="000654DD">
      <w:pPr>
        <w:spacing w:after="200" w:line="276" w:lineRule="auto"/>
        <w:ind w:firstLine="142"/>
        <w:jc w:val="both"/>
      </w:pPr>
      <w:r>
        <w:t xml:space="preserve">However, on the other side of this argument to ensure that the deadline for BIM adoption is met, which covers all fields of construction, these case studies should be used to ensure that the Highways sector is well prepared for the deadline. </w:t>
      </w:r>
      <w:r w:rsidR="00E42894">
        <w:t xml:space="preserve"> </w:t>
      </w:r>
      <w:r w:rsidR="00D22A23">
        <w:t xml:space="preserve">   </w:t>
      </w:r>
      <w:r w:rsidR="00342714">
        <w:t xml:space="preserve"> </w:t>
      </w:r>
    </w:p>
    <w:p w:rsidR="00C9796A" w:rsidRPr="000654DD" w:rsidRDefault="00462729" w:rsidP="000654DD">
      <w:pPr>
        <w:spacing w:after="200" w:line="276" w:lineRule="auto"/>
        <w:ind w:firstLine="142"/>
        <w:jc w:val="both"/>
      </w:pPr>
      <w:r w:rsidRPr="007E067B">
        <w:rPr>
          <w:rFonts w:cs="Times New Roman"/>
          <w:i/>
          <w:szCs w:val="20"/>
        </w:rPr>
        <w:t>Service Diversification</w:t>
      </w:r>
      <w:r>
        <w:rPr>
          <w:rFonts w:cs="Times New Roman"/>
          <w:szCs w:val="20"/>
        </w:rPr>
        <w:t xml:space="preserve"> (Difference 0.014) and </w:t>
      </w:r>
      <w:r w:rsidRPr="007E067B">
        <w:rPr>
          <w:rFonts w:cs="Times New Roman"/>
          <w:i/>
          <w:szCs w:val="20"/>
        </w:rPr>
        <w:t>Collaboration</w:t>
      </w:r>
      <w:r>
        <w:rPr>
          <w:rFonts w:cs="Times New Roman"/>
          <w:szCs w:val="20"/>
        </w:rPr>
        <w:t xml:space="preserve"> (Difference 0.028) are the results that are closest together. This is expected as both are issues that affect highways and structures almost equally.</w:t>
      </w:r>
    </w:p>
    <w:p w:rsidR="00E53A42" w:rsidRDefault="00E53A42" w:rsidP="00587DFD">
      <w:pPr>
        <w:spacing w:after="0" w:line="240" w:lineRule="auto"/>
        <w:jc w:val="both"/>
        <w:rPr>
          <w:b/>
          <w:sz w:val="22"/>
        </w:rPr>
      </w:pPr>
      <w:r>
        <w:rPr>
          <w:b/>
          <w:sz w:val="22"/>
        </w:rPr>
        <w:lastRenderedPageBreak/>
        <w:t>4. Conclusions</w:t>
      </w:r>
    </w:p>
    <w:p w:rsidR="007E067B" w:rsidRDefault="002937B6" w:rsidP="007E067B">
      <w:pPr>
        <w:spacing w:after="200" w:line="276" w:lineRule="auto"/>
        <w:ind w:firstLine="142"/>
        <w:jc w:val="both"/>
      </w:pPr>
      <w:r>
        <w:t xml:space="preserve">Building Information Modelling (BIM) teaching is a relatively new subject. It has been </w:t>
      </w:r>
      <w:r w:rsidR="00E53A42" w:rsidRPr="00E53A42">
        <w:t>implemented</w:t>
      </w:r>
      <w:r>
        <w:t xml:space="preserve"> in a piecemeal way to meet the needs of graduates entering industry. The BAF </w:t>
      </w:r>
      <w:r w:rsidR="007A30FB">
        <w:t xml:space="preserve">has stipulated the </w:t>
      </w:r>
      <w:r w:rsidR="00D85A28">
        <w:t xml:space="preserve">various impacts embedding the teaching of BIM into the curriculum will have. Built on this the work of </w:t>
      </w:r>
      <w:proofErr w:type="spellStart"/>
      <w:r w:rsidR="00D85A28">
        <w:t>McLernon</w:t>
      </w:r>
      <w:proofErr w:type="spellEnd"/>
      <w:r w:rsidR="00D85A28">
        <w:t xml:space="preserve"> et al (2014) </w:t>
      </w:r>
      <w:r w:rsidR="003557C4">
        <w:t xml:space="preserve">[5] </w:t>
      </w:r>
      <w:r w:rsidR="00D85A28">
        <w:t xml:space="preserve">produced a list of final year topics that should be taught as part of the BIM syllabus. This work did not stipulate the relevance to the various strands in Civil Engineering but was of a general nature. </w:t>
      </w:r>
    </w:p>
    <w:p w:rsidR="007E067B" w:rsidRDefault="00D85A28" w:rsidP="007E067B">
      <w:pPr>
        <w:spacing w:after="200" w:line="276" w:lineRule="auto"/>
        <w:ind w:firstLine="142"/>
        <w:jc w:val="both"/>
      </w:pPr>
      <w:r>
        <w:t xml:space="preserve">This current work looks at the differences between Civil Engineering courses </w:t>
      </w:r>
      <w:r w:rsidR="00BB500B">
        <w:t xml:space="preserve">specialising </w:t>
      </w:r>
      <w:r>
        <w:t xml:space="preserve">in </w:t>
      </w:r>
      <w:r w:rsidR="00BB500B">
        <w:t>structures</w:t>
      </w:r>
      <w:r>
        <w:t xml:space="preserve"> and highways. </w:t>
      </w:r>
      <w:r w:rsidR="007A30FB">
        <w:t xml:space="preserve"> </w:t>
      </w:r>
      <w:r w:rsidR="003557C4">
        <w:t xml:space="preserve">The findings show that the content contained in </w:t>
      </w:r>
      <w:proofErr w:type="spellStart"/>
      <w:r w:rsidR="003557C4">
        <w:t>McLernon</w:t>
      </w:r>
      <w:proofErr w:type="spellEnd"/>
      <w:r w:rsidR="003557C4">
        <w:t xml:space="preserve"> et al (2014) [5] was relevant to both disciplines.</w:t>
      </w:r>
    </w:p>
    <w:p w:rsidR="008D10EE" w:rsidRDefault="003557C4" w:rsidP="007E067B">
      <w:pPr>
        <w:spacing w:after="200" w:line="276" w:lineRule="auto"/>
        <w:ind w:firstLine="142"/>
        <w:jc w:val="both"/>
      </w:pPr>
      <w:r>
        <w:t xml:space="preserve"> However, the comparison between the two through the RII of each factor showed it was less important to those of a highways speciality. The findings also showed the elements that were extremely applicable to both streams were </w:t>
      </w:r>
      <w:r w:rsidRPr="007E067B">
        <w:rPr>
          <w:i/>
        </w:rPr>
        <w:t>4 BIM roles</w:t>
      </w:r>
      <w:r w:rsidRPr="00E10C38">
        <w:t xml:space="preserve">, </w:t>
      </w:r>
      <w:r w:rsidRPr="007E067B">
        <w:rPr>
          <w:i/>
        </w:rPr>
        <w:t>10 BIM data maturity principles</w:t>
      </w:r>
      <w:r w:rsidRPr="00E10C38">
        <w:t>,</w:t>
      </w:r>
      <w:r>
        <w:t xml:space="preserve"> and </w:t>
      </w:r>
      <w:r w:rsidRPr="007E067B">
        <w:rPr>
          <w:i/>
        </w:rPr>
        <w:t>12 Collaboration tools</w:t>
      </w:r>
      <w:r>
        <w:t>.</w:t>
      </w:r>
      <w:r w:rsidR="002E5C5B">
        <w:t xml:space="preserve"> The results show that these should be the core elements concentrated on during the teaching of BIM in Civil Engineering Courses. </w:t>
      </w:r>
      <w:r w:rsidR="008D10EE">
        <w:t xml:space="preserve">The ranking of these aspects in Table 3 can be used to </w:t>
      </w:r>
      <w:r w:rsidR="00812227">
        <w:t>determine the importance of each factor in the delivery of the two specialisms.</w:t>
      </w:r>
    </w:p>
    <w:p w:rsidR="008D10EE" w:rsidRDefault="008D10EE" w:rsidP="000654DD">
      <w:pPr>
        <w:spacing w:after="200" w:line="276" w:lineRule="auto"/>
        <w:jc w:val="both"/>
      </w:pPr>
      <w:r>
        <w:t xml:space="preserve">Subjects such as </w:t>
      </w:r>
      <w:r w:rsidRPr="007E067B">
        <w:rPr>
          <w:i/>
        </w:rPr>
        <w:t>Big Data</w:t>
      </w:r>
      <w:r>
        <w:t xml:space="preserve"> and </w:t>
      </w:r>
      <w:r w:rsidRPr="007E067B">
        <w:rPr>
          <w:i/>
        </w:rPr>
        <w:t>Change Management theory</w:t>
      </w:r>
      <w:r>
        <w:t xml:space="preserve"> were considered to be lowest in priority for teaching in both areas. Therefore, these should be covered but not in as much depth as the other topics. </w:t>
      </w:r>
    </w:p>
    <w:p w:rsidR="000654DD" w:rsidRDefault="000654DD" w:rsidP="000654DD">
      <w:pPr>
        <w:spacing w:after="200" w:line="276" w:lineRule="auto"/>
        <w:jc w:val="both"/>
      </w:pPr>
    </w:p>
    <w:p w:rsidR="00BF4415" w:rsidRPr="00E53A42" w:rsidRDefault="003557C4" w:rsidP="000A44BB">
      <w:pPr>
        <w:spacing w:after="0" w:line="240" w:lineRule="auto"/>
        <w:jc w:val="both"/>
        <w:rPr>
          <w:b/>
          <w:sz w:val="18"/>
        </w:rPr>
      </w:pPr>
      <w:r>
        <w:t xml:space="preserve"> </w:t>
      </w:r>
      <w:r w:rsidR="00E53A42" w:rsidRPr="00E53A42">
        <w:t xml:space="preserve">  </w:t>
      </w:r>
    </w:p>
    <w:p w:rsidR="00EA5B56" w:rsidRDefault="00EA5B56" w:rsidP="00587DFD">
      <w:pPr>
        <w:spacing w:after="0" w:line="240" w:lineRule="auto"/>
        <w:ind w:left="284" w:hanging="284"/>
        <w:sectPr w:rsidR="00EA5B56" w:rsidSect="00462B83">
          <w:type w:val="continuous"/>
          <w:pgSz w:w="9923" w:h="13608"/>
          <w:pgMar w:top="1134" w:right="851" w:bottom="1134" w:left="1134" w:header="709" w:footer="709" w:gutter="0"/>
          <w:cols w:num="2" w:space="284"/>
          <w:docGrid w:linePitch="360" w:charSpace="79"/>
        </w:sectPr>
      </w:pPr>
    </w:p>
    <w:p w:rsidR="00EA5B56" w:rsidRDefault="00EA5B56" w:rsidP="00EA5B56">
      <w:pPr>
        <w:spacing w:after="0" w:line="240" w:lineRule="auto"/>
        <w:jc w:val="both"/>
      </w:pPr>
      <w:r w:rsidRPr="00260BA0">
        <w:rPr>
          <w:b/>
          <w:i/>
        </w:rPr>
        <w:lastRenderedPageBreak/>
        <w:t>Table</w:t>
      </w:r>
      <w:r>
        <w:rPr>
          <w:b/>
          <w:i/>
        </w:rPr>
        <w:t xml:space="preserve"> 3</w:t>
      </w:r>
      <w:r w:rsidRPr="00260BA0">
        <w:rPr>
          <w:b/>
          <w:i/>
        </w:rPr>
        <w:t xml:space="preserve"> </w:t>
      </w:r>
      <w:r>
        <w:rPr>
          <w:b/>
          <w:i/>
        </w:rPr>
        <w:t>Comparison of the Importance of BIM topics to Highways and Structures specialists</w:t>
      </w:r>
    </w:p>
    <w:p w:rsidR="00EA5B56" w:rsidRDefault="00EA5B56" w:rsidP="00EA5B56">
      <w:pPr>
        <w:spacing w:after="0" w:line="240" w:lineRule="auto"/>
        <w:rPr>
          <w:rFonts w:eastAsia="Times New Roman" w:cs="Times New Roman"/>
          <w:color w:val="000000"/>
          <w:sz w:val="16"/>
          <w:szCs w:val="16"/>
          <w:lang w:val="en-US" w:eastAsia="en-GB"/>
        </w:rPr>
        <w:sectPr w:rsidR="00EA5B56" w:rsidSect="00EA5B56">
          <w:type w:val="continuous"/>
          <w:pgSz w:w="9923" w:h="13608"/>
          <w:pgMar w:top="1134" w:right="851" w:bottom="1134" w:left="1134" w:header="709" w:footer="709" w:gutter="0"/>
          <w:cols w:space="284"/>
          <w:docGrid w:linePitch="360" w:charSpace="79"/>
        </w:sectPr>
      </w:pPr>
    </w:p>
    <w:tbl>
      <w:tblPr>
        <w:tblW w:w="8061" w:type="dxa"/>
        <w:tblInd w:w="93" w:type="dxa"/>
        <w:tblLook w:val="04A0" w:firstRow="1" w:lastRow="0" w:firstColumn="1" w:lastColumn="0" w:noHBand="0" w:noVBand="1"/>
      </w:tblPr>
      <w:tblGrid>
        <w:gridCol w:w="3046"/>
        <w:gridCol w:w="614"/>
        <w:gridCol w:w="651"/>
        <w:gridCol w:w="613"/>
        <w:gridCol w:w="593"/>
        <w:gridCol w:w="711"/>
        <w:gridCol w:w="554"/>
        <w:gridCol w:w="576"/>
        <w:gridCol w:w="703"/>
      </w:tblGrid>
      <w:tr w:rsidR="00EA5B56" w:rsidRPr="00EA5B56" w:rsidTr="008D10EE">
        <w:trPr>
          <w:trHeight w:val="49"/>
        </w:trPr>
        <w:tc>
          <w:tcPr>
            <w:tcW w:w="3048" w:type="dxa"/>
            <w:tcBorders>
              <w:top w:val="nil"/>
              <w:left w:val="nil"/>
              <w:bottom w:val="nil"/>
              <w:right w:val="nil"/>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p>
        </w:tc>
        <w:tc>
          <w:tcPr>
            <w:tcW w:w="18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 xml:space="preserve">Highways </w:t>
            </w:r>
          </w:p>
        </w:tc>
        <w:tc>
          <w:tcPr>
            <w:tcW w:w="18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Structures</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Overall</w:t>
            </w:r>
          </w:p>
        </w:tc>
      </w:tr>
      <w:tr w:rsidR="008D10EE" w:rsidRPr="00EA5B56" w:rsidTr="008D10EE">
        <w:trPr>
          <w:trHeight w:val="278"/>
        </w:trPr>
        <w:tc>
          <w:tcPr>
            <w:tcW w:w="3048" w:type="dxa"/>
            <w:tcBorders>
              <w:top w:val="nil"/>
              <w:left w:val="nil"/>
              <w:bottom w:val="nil"/>
              <w:right w:val="nil"/>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p>
        </w:tc>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∑W</w:t>
            </w:r>
          </w:p>
        </w:tc>
        <w:tc>
          <w:tcPr>
            <w:tcW w:w="651" w:type="dxa"/>
            <w:tcBorders>
              <w:top w:val="nil"/>
              <w:left w:val="nil"/>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RII</w:t>
            </w:r>
          </w:p>
        </w:tc>
        <w:tc>
          <w:tcPr>
            <w:tcW w:w="613" w:type="dxa"/>
            <w:tcBorders>
              <w:top w:val="nil"/>
              <w:left w:val="nil"/>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Rank</w:t>
            </w:r>
          </w:p>
        </w:tc>
        <w:tc>
          <w:tcPr>
            <w:tcW w:w="593" w:type="dxa"/>
            <w:tcBorders>
              <w:top w:val="nil"/>
              <w:left w:val="nil"/>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∑W</w:t>
            </w:r>
          </w:p>
        </w:tc>
        <w:tc>
          <w:tcPr>
            <w:tcW w:w="711" w:type="dxa"/>
            <w:tcBorders>
              <w:top w:val="nil"/>
              <w:left w:val="nil"/>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RII</w:t>
            </w:r>
          </w:p>
        </w:tc>
        <w:tc>
          <w:tcPr>
            <w:tcW w:w="553" w:type="dxa"/>
            <w:tcBorders>
              <w:top w:val="nil"/>
              <w:left w:val="nil"/>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Rank</w:t>
            </w:r>
          </w:p>
        </w:tc>
        <w:tc>
          <w:tcPr>
            <w:tcW w:w="574" w:type="dxa"/>
            <w:tcBorders>
              <w:top w:val="nil"/>
              <w:left w:val="nil"/>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Ave. RII</w:t>
            </w:r>
          </w:p>
        </w:tc>
        <w:tc>
          <w:tcPr>
            <w:tcW w:w="703" w:type="dxa"/>
            <w:tcBorders>
              <w:top w:val="nil"/>
              <w:left w:val="nil"/>
              <w:bottom w:val="single" w:sz="4" w:space="0" w:color="auto"/>
              <w:right w:val="single" w:sz="4" w:space="0" w:color="auto"/>
            </w:tcBorders>
            <w:shd w:val="clear" w:color="auto" w:fill="auto"/>
            <w:noWrap/>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eastAsia="en-GB"/>
              </w:rPr>
              <w:t>OA Rank</w:t>
            </w:r>
          </w:p>
        </w:tc>
      </w:tr>
      <w:tr w:rsidR="008D10EE" w:rsidRPr="00EA5B56" w:rsidTr="008D10EE">
        <w:trPr>
          <w:trHeight w:val="468"/>
        </w:trPr>
        <w:tc>
          <w:tcPr>
            <w:tcW w:w="3048" w:type="dxa"/>
            <w:tcBorders>
              <w:top w:val="single" w:sz="4" w:space="0" w:color="auto"/>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Collaboration Tools - Adding specifications, technical booklets, O&amp;M information into data fields for Assemblies, Elements and Materials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61.95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0.826</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64.05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0.854</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3</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0.84</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w:t>
            </w:r>
          </w:p>
        </w:tc>
      </w:tr>
      <w:tr w:rsidR="008D10EE" w:rsidRPr="00EA5B56" w:rsidTr="008D10EE">
        <w:trPr>
          <w:trHeight w:val="421"/>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BIM Roles (BIM Execution Plans, Roles, Responsibilities, Zoning Strategy, Federation, Deliverables, Data Drops)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60.9</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0.812</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2</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64.95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0.866</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0.839</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2</w:t>
            </w:r>
          </w:p>
        </w:tc>
      </w:tr>
      <w:tr w:rsidR="008D10EE" w:rsidRPr="00EA5B56" w:rsidTr="008D10EE">
        <w:trPr>
          <w:trHeight w:val="429"/>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Sustainable Construction Principles + Carbon Targets + demands for natural resources / LEAN Principles (war on waste)</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59.85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0.798</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4</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64.95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0.866</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0.832</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3</w:t>
            </w:r>
          </w:p>
        </w:tc>
      </w:tr>
      <w:tr w:rsidR="008D10EE" w:rsidRPr="00EA5B56" w:rsidTr="008D10EE">
        <w:trPr>
          <w:trHeight w:val="690"/>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BIM Protocol / implementation within existing forms of contract / Model Delivery Plan / Employers Information Requirements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60.75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0.81</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3</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64.05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0.854</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3</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0.832</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3</w:t>
            </w:r>
          </w:p>
        </w:tc>
      </w:tr>
      <w:tr w:rsidR="008D10EE" w:rsidRPr="00EA5B56" w:rsidTr="008D10EE">
        <w:trPr>
          <w:trHeight w:val="300"/>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BIM Case study evidence from early adopters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58.8</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0.784</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9</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63.9</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0.852</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0.818</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w:t>
            </w:r>
          </w:p>
        </w:tc>
      </w:tr>
      <w:tr w:rsidR="008D10EE" w:rsidRPr="00EA5B56" w:rsidTr="008D10EE">
        <w:trPr>
          <w:trHeight w:val="465"/>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Common Data Environment - Adding U-Values / Carbon Footprint data into model components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58.8</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0.784</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9</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63</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0.84</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0.812</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w:t>
            </w:r>
          </w:p>
        </w:tc>
      </w:tr>
      <w:tr w:rsidR="008D10EE" w:rsidRPr="00EA5B56" w:rsidTr="008D10EE">
        <w:trPr>
          <w:trHeight w:val="164"/>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 xml:space="preserve">Productivity improvements from BIM </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58.95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0.786</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62.85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0.838</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7</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0.812</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w:t>
            </w:r>
          </w:p>
        </w:tc>
      </w:tr>
      <w:tr w:rsidR="008D10EE" w:rsidRPr="00EA5B56" w:rsidTr="008D10EE">
        <w:trPr>
          <w:trHeight w:val="110"/>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proofErr w:type="spellStart"/>
            <w:r w:rsidRPr="00EA5B56">
              <w:rPr>
                <w:rFonts w:eastAsia="Times New Roman" w:cs="Times New Roman"/>
                <w:color w:val="000000"/>
                <w:sz w:val="16"/>
                <w:szCs w:val="16"/>
                <w:lang w:val="en-US" w:eastAsia="en-GB"/>
              </w:rPr>
              <w:t>COBie</w:t>
            </w:r>
            <w:proofErr w:type="spellEnd"/>
            <w:r w:rsidRPr="00EA5B56">
              <w:rPr>
                <w:rFonts w:eastAsia="Times New Roman" w:cs="Times New Roman"/>
                <w:color w:val="000000"/>
                <w:sz w:val="16"/>
                <w:szCs w:val="16"/>
                <w:lang w:val="en-US" w:eastAsia="en-GB"/>
              </w:rPr>
              <w:t xml:space="preserve"> structures and families / templates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58.95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0.786</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61.95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0.826</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8</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0.806</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8</w:t>
            </w:r>
          </w:p>
        </w:tc>
      </w:tr>
      <w:tr w:rsidR="008D10EE" w:rsidRPr="00EA5B56" w:rsidTr="008D10EE">
        <w:trPr>
          <w:trHeight w:val="70"/>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BIM Data maturity principles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58.95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0.786</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61.95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0.826</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8</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0.806</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8</w:t>
            </w:r>
          </w:p>
        </w:tc>
      </w:tr>
      <w:tr w:rsidR="008D10EE" w:rsidRPr="00EA5B56" w:rsidTr="008D10EE">
        <w:trPr>
          <w:trHeight w:val="40"/>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Service diversification as a result of BIM</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58.95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0.786</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60</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11</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0.793</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10</w:t>
            </w:r>
          </w:p>
        </w:tc>
      </w:tr>
      <w:tr w:rsidR="008D10EE" w:rsidRPr="00EA5B56" w:rsidTr="008D10EE">
        <w:trPr>
          <w:trHeight w:val="530"/>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PAS1192:3 Asset Information Modelling – keeping the model up to date during FM / Occupation.</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57.9</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0.772</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11</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60.75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0.81</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10</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0.791</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11</w:t>
            </w:r>
          </w:p>
        </w:tc>
      </w:tr>
      <w:tr w:rsidR="008D10EE" w:rsidRPr="00EA5B56" w:rsidTr="008D10EE">
        <w:trPr>
          <w:trHeight w:val="382"/>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Accessing data for de-construction using a variety of tools depending on vocational route</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52.95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0.706</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13</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60</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0.8</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11</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0.753</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12</w:t>
            </w:r>
          </w:p>
        </w:tc>
      </w:tr>
      <w:tr w:rsidR="008D10EE" w:rsidRPr="00EA5B56" w:rsidTr="008D10EE">
        <w:trPr>
          <w:trHeight w:val="106"/>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Change Management theory / principles</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54.75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0.73</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12</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58.05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0.774</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13</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0.752</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13</w:t>
            </w:r>
          </w:p>
        </w:tc>
      </w:tr>
      <w:tr w:rsidR="008D10EE" w:rsidRPr="00EA5B56" w:rsidTr="008D10EE">
        <w:trPr>
          <w:trHeight w:val="208"/>
        </w:trPr>
        <w:tc>
          <w:tcPr>
            <w:tcW w:w="3048" w:type="dxa"/>
            <w:tcBorders>
              <w:top w:val="nil"/>
              <w:left w:val="single" w:sz="4" w:space="0" w:color="auto"/>
              <w:bottom w:val="single" w:sz="4" w:space="0" w:color="auto"/>
              <w:right w:val="nil"/>
            </w:tcBorders>
            <w:shd w:val="clear" w:color="auto" w:fill="auto"/>
            <w:vAlign w:val="bottom"/>
            <w:hideMark/>
          </w:tcPr>
          <w:p w:rsidR="00EA5B56" w:rsidRPr="00EA5B56" w:rsidRDefault="00EA5B56" w:rsidP="008D10EE">
            <w:pPr>
              <w:spacing w:after="0" w:line="240" w:lineRule="auto"/>
              <w:contextualSpacing/>
              <w:rPr>
                <w:rFonts w:eastAsia="Times New Roman" w:cs="Times New Roman"/>
                <w:color w:val="000000"/>
                <w:sz w:val="16"/>
                <w:szCs w:val="16"/>
                <w:lang w:eastAsia="en-GB"/>
              </w:rPr>
            </w:pPr>
            <w:r w:rsidRPr="00EA5B56">
              <w:rPr>
                <w:rFonts w:eastAsia="Times New Roman" w:cs="Times New Roman"/>
                <w:color w:val="000000"/>
                <w:sz w:val="16"/>
                <w:szCs w:val="16"/>
                <w:lang w:val="en-US" w:eastAsia="en-GB"/>
              </w:rPr>
              <w:t>Big Data – informing design – evidence based design</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51.75</w:t>
            </w:r>
          </w:p>
        </w:tc>
        <w:tc>
          <w:tcPr>
            <w:tcW w:w="65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0.69</w:t>
            </w:r>
          </w:p>
        </w:tc>
        <w:tc>
          <w:tcPr>
            <w:tcW w:w="61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14</w:t>
            </w:r>
          </w:p>
        </w:tc>
        <w:tc>
          <w:tcPr>
            <w:tcW w:w="59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55.95</w:t>
            </w:r>
          </w:p>
        </w:tc>
        <w:tc>
          <w:tcPr>
            <w:tcW w:w="711"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0.746</w:t>
            </w:r>
          </w:p>
        </w:tc>
        <w:tc>
          <w:tcPr>
            <w:tcW w:w="55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14</w:t>
            </w:r>
          </w:p>
        </w:tc>
        <w:tc>
          <w:tcPr>
            <w:tcW w:w="574"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0.718</w:t>
            </w:r>
          </w:p>
        </w:tc>
        <w:tc>
          <w:tcPr>
            <w:tcW w:w="703" w:type="dxa"/>
            <w:tcBorders>
              <w:top w:val="nil"/>
              <w:left w:val="nil"/>
              <w:bottom w:val="single" w:sz="4" w:space="0" w:color="auto"/>
              <w:right w:val="single" w:sz="4" w:space="0" w:color="auto"/>
            </w:tcBorders>
            <w:shd w:val="clear" w:color="auto" w:fill="auto"/>
            <w:noWrap/>
            <w:vAlign w:val="center"/>
            <w:hideMark/>
          </w:tcPr>
          <w:p w:rsidR="00EA5B56" w:rsidRPr="00EA5B56" w:rsidRDefault="00EA5B56" w:rsidP="008D10EE">
            <w:pPr>
              <w:spacing w:after="0" w:line="240" w:lineRule="auto"/>
              <w:contextualSpacing/>
              <w:jc w:val="center"/>
              <w:rPr>
                <w:rFonts w:eastAsia="Times New Roman" w:cs="Times New Roman"/>
                <w:color w:val="000000"/>
                <w:sz w:val="16"/>
                <w:szCs w:val="16"/>
                <w:lang w:eastAsia="en-GB"/>
              </w:rPr>
            </w:pPr>
            <w:r w:rsidRPr="00EA5B56">
              <w:rPr>
                <w:rFonts w:eastAsia="Times New Roman" w:cs="Times New Roman"/>
                <w:color w:val="000000"/>
                <w:sz w:val="16"/>
                <w:szCs w:val="16"/>
                <w:lang w:eastAsia="en-GB"/>
              </w:rPr>
              <w:t>14</w:t>
            </w:r>
          </w:p>
        </w:tc>
      </w:tr>
    </w:tbl>
    <w:p w:rsidR="00EA5B56" w:rsidRDefault="00EA5B56" w:rsidP="00587DFD">
      <w:pPr>
        <w:spacing w:after="0" w:line="240" w:lineRule="auto"/>
        <w:ind w:left="284" w:hanging="284"/>
        <w:sectPr w:rsidR="00EA5B56" w:rsidSect="00EA5B56">
          <w:type w:val="continuous"/>
          <w:pgSz w:w="9923" w:h="13608"/>
          <w:pgMar w:top="1134" w:right="851" w:bottom="1134" w:left="1134" w:header="709" w:footer="709" w:gutter="0"/>
          <w:cols w:space="284"/>
          <w:docGrid w:linePitch="360" w:charSpace="79"/>
        </w:sectPr>
      </w:pPr>
    </w:p>
    <w:p w:rsidR="008D10EE" w:rsidRDefault="008D10EE" w:rsidP="008D10EE">
      <w:pPr>
        <w:spacing w:after="0" w:line="240" w:lineRule="auto"/>
        <w:rPr>
          <w:b/>
          <w:sz w:val="22"/>
        </w:rPr>
      </w:pPr>
      <w:r>
        <w:rPr>
          <w:b/>
          <w:sz w:val="22"/>
        </w:rPr>
        <w:lastRenderedPageBreak/>
        <w:t>5. References</w:t>
      </w:r>
    </w:p>
    <w:p w:rsidR="008D10EE" w:rsidRDefault="008D10EE" w:rsidP="008D10EE">
      <w:pPr>
        <w:spacing w:after="0" w:line="240" w:lineRule="auto"/>
        <w:ind w:left="284" w:hanging="284"/>
        <w:rPr>
          <w:sz w:val="16"/>
          <w:szCs w:val="16"/>
        </w:rPr>
      </w:pPr>
      <w:r w:rsidRPr="007D614A">
        <w:rPr>
          <w:sz w:val="16"/>
          <w:szCs w:val="16"/>
        </w:rPr>
        <w:t>[1] Efficiency and Reform Group</w:t>
      </w:r>
      <w:proofErr w:type="gramStart"/>
      <w:r w:rsidRPr="007D614A">
        <w:rPr>
          <w:sz w:val="16"/>
          <w:szCs w:val="16"/>
        </w:rPr>
        <w:t>,(</w:t>
      </w:r>
      <w:proofErr w:type="gramEnd"/>
      <w:r w:rsidRPr="007D614A">
        <w:rPr>
          <w:sz w:val="16"/>
          <w:szCs w:val="16"/>
        </w:rPr>
        <w:t xml:space="preserve"> 2011). </w:t>
      </w:r>
      <w:proofErr w:type="gramStart"/>
      <w:r w:rsidRPr="007D614A">
        <w:rPr>
          <w:sz w:val="16"/>
          <w:szCs w:val="16"/>
        </w:rPr>
        <w:t>Government Construction Strategy, Cabinet Office, London, UK.</w:t>
      </w:r>
      <w:proofErr w:type="gramEnd"/>
    </w:p>
    <w:p w:rsidR="008D10EE" w:rsidRDefault="008D10EE" w:rsidP="008D10EE">
      <w:pPr>
        <w:spacing w:after="0" w:line="240" w:lineRule="auto"/>
        <w:ind w:left="284" w:hanging="284"/>
        <w:rPr>
          <w:sz w:val="16"/>
          <w:szCs w:val="16"/>
        </w:rPr>
      </w:pPr>
      <w:r>
        <w:rPr>
          <w:sz w:val="16"/>
          <w:szCs w:val="16"/>
        </w:rPr>
        <w:t xml:space="preserve">[2] </w:t>
      </w:r>
      <w:r w:rsidRPr="00F33912">
        <w:rPr>
          <w:sz w:val="16"/>
          <w:szCs w:val="16"/>
        </w:rPr>
        <w:t xml:space="preserve">BAF (2013), BIM Academic Forum, Available on-line at </w:t>
      </w:r>
      <w:hyperlink r:id="rId12" w:history="1">
        <w:r w:rsidRPr="00F15E98">
          <w:rPr>
            <w:rStyle w:val="Hyperlink"/>
            <w:sz w:val="16"/>
            <w:szCs w:val="16"/>
          </w:rPr>
          <w:t>http://www.bimtaskgroup.org/bim-academic-forum-uk/</w:t>
        </w:r>
      </w:hyperlink>
      <w:r>
        <w:rPr>
          <w:sz w:val="16"/>
          <w:szCs w:val="16"/>
        </w:rPr>
        <w:t xml:space="preserve"> </w:t>
      </w:r>
      <w:r w:rsidRPr="00F33912">
        <w:rPr>
          <w:sz w:val="16"/>
          <w:szCs w:val="16"/>
        </w:rPr>
        <w:t xml:space="preserve"> [Accessed February 2016].  </w:t>
      </w:r>
    </w:p>
    <w:p w:rsidR="008D10EE" w:rsidRDefault="008D10EE" w:rsidP="008D10EE">
      <w:pPr>
        <w:spacing w:after="0" w:line="240" w:lineRule="auto"/>
        <w:ind w:left="284" w:hanging="284"/>
        <w:rPr>
          <w:sz w:val="16"/>
          <w:szCs w:val="16"/>
        </w:rPr>
      </w:pPr>
      <w:r>
        <w:rPr>
          <w:sz w:val="16"/>
          <w:szCs w:val="16"/>
        </w:rPr>
        <w:t xml:space="preserve">[3] BAF (2013a), </w:t>
      </w:r>
      <w:r w:rsidRPr="00474104">
        <w:rPr>
          <w:sz w:val="16"/>
          <w:szCs w:val="16"/>
        </w:rPr>
        <w:t>Embedding Building Information Modelling (BIM) within the taught curriculum</w:t>
      </w:r>
      <w:r>
        <w:rPr>
          <w:sz w:val="16"/>
          <w:szCs w:val="16"/>
        </w:rPr>
        <w:t xml:space="preserve">. </w:t>
      </w:r>
      <w:proofErr w:type="gramStart"/>
      <w:r>
        <w:rPr>
          <w:sz w:val="16"/>
          <w:szCs w:val="16"/>
        </w:rPr>
        <w:t xml:space="preserve">Available on-line at </w:t>
      </w:r>
      <w:hyperlink r:id="rId13" w:history="1">
        <w:r w:rsidRPr="00F15E98">
          <w:rPr>
            <w:rStyle w:val="Hyperlink"/>
            <w:sz w:val="16"/>
            <w:szCs w:val="16"/>
          </w:rPr>
          <w:t>https://www.heacademy.ac.uk/sites/default/files/bim_june2013.pdf</w:t>
        </w:r>
      </w:hyperlink>
      <w:r>
        <w:rPr>
          <w:sz w:val="16"/>
          <w:szCs w:val="16"/>
        </w:rPr>
        <w:t xml:space="preserve"> [Accessed February 2016].</w:t>
      </w:r>
      <w:proofErr w:type="gramEnd"/>
    </w:p>
    <w:p w:rsidR="008D10EE" w:rsidRDefault="008D10EE" w:rsidP="008D10EE">
      <w:pPr>
        <w:spacing w:after="0" w:line="240" w:lineRule="auto"/>
        <w:ind w:left="284" w:hanging="284"/>
        <w:rPr>
          <w:sz w:val="16"/>
          <w:szCs w:val="16"/>
        </w:rPr>
      </w:pPr>
      <w:r>
        <w:rPr>
          <w:sz w:val="16"/>
          <w:szCs w:val="16"/>
        </w:rPr>
        <w:t xml:space="preserve">[4] </w:t>
      </w:r>
      <w:proofErr w:type="spellStart"/>
      <w:r w:rsidRPr="00623446">
        <w:rPr>
          <w:sz w:val="16"/>
          <w:szCs w:val="16"/>
        </w:rPr>
        <w:t>Nadjai</w:t>
      </w:r>
      <w:proofErr w:type="spellEnd"/>
      <w:r w:rsidRPr="00623446">
        <w:rPr>
          <w:sz w:val="16"/>
          <w:szCs w:val="16"/>
        </w:rPr>
        <w:t xml:space="preserve">, </w:t>
      </w:r>
      <w:r>
        <w:rPr>
          <w:sz w:val="16"/>
          <w:szCs w:val="16"/>
        </w:rPr>
        <w:t xml:space="preserve">A., </w:t>
      </w:r>
      <w:proofErr w:type="spellStart"/>
      <w:r w:rsidRPr="00623446">
        <w:rPr>
          <w:sz w:val="16"/>
          <w:szCs w:val="16"/>
        </w:rPr>
        <w:t>Vassart</w:t>
      </w:r>
      <w:proofErr w:type="spellEnd"/>
      <w:r w:rsidRPr="00623446">
        <w:rPr>
          <w:sz w:val="16"/>
          <w:szCs w:val="16"/>
        </w:rPr>
        <w:t xml:space="preserve">, </w:t>
      </w:r>
      <w:r>
        <w:rPr>
          <w:sz w:val="16"/>
          <w:szCs w:val="16"/>
        </w:rPr>
        <w:t xml:space="preserve">O. </w:t>
      </w:r>
      <w:r w:rsidRPr="00623446">
        <w:rPr>
          <w:sz w:val="16"/>
          <w:szCs w:val="16"/>
        </w:rPr>
        <w:t xml:space="preserve">Zhao, </w:t>
      </w:r>
      <w:r>
        <w:rPr>
          <w:sz w:val="16"/>
          <w:szCs w:val="16"/>
        </w:rPr>
        <w:t xml:space="preserve">B. (2012) </w:t>
      </w:r>
      <w:r w:rsidRPr="00484B92">
        <w:rPr>
          <w:sz w:val="16"/>
          <w:szCs w:val="16"/>
        </w:rPr>
        <w:t>Engineering Background: Membrane Action of Composite Structures in Case of Fire</w:t>
      </w:r>
      <w:r>
        <w:rPr>
          <w:sz w:val="16"/>
          <w:szCs w:val="16"/>
        </w:rPr>
        <w:t>,</w:t>
      </w:r>
      <w:r w:rsidRPr="00623446">
        <w:rPr>
          <w:sz w:val="16"/>
          <w:szCs w:val="16"/>
        </w:rPr>
        <w:t xml:space="preserve"> ISBN 13 978-1-85923-255-2</w:t>
      </w:r>
    </w:p>
    <w:p w:rsidR="008D10EE" w:rsidRDefault="008D10EE" w:rsidP="008D10EE">
      <w:pPr>
        <w:spacing w:after="0" w:line="240" w:lineRule="auto"/>
        <w:ind w:left="284" w:hanging="284"/>
        <w:rPr>
          <w:sz w:val="16"/>
          <w:szCs w:val="16"/>
        </w:rPr>
      </w:pPr>
      <w:r>
        <w:rPr>
          <w:sz w:val="16"/>
          <w:szCs w:val="16"/>
        </w:rPr>
        <w:t>[5]</w:t>
      </w:r>
      <w:r w:rsidRPr="00F33EBA">
        <w:t xml:space="preserve"> </w:t>
      </w:r>
      <w:proofErr w:type="spellStart"/>
      <w:r w:rsidRPr="00F33EBA">
        <w:rPr>
          <w:sz w:val="16"/>
          <w:szCs w:val="16"/>
        </w:rPr>
        <w:t>McLernon</w:t>
      </w:r>
      <w:proofErr w:type="spellEnd"/>
      <w:r w:rsidRPr="00F33EBA">
        <w:rPr>
          <w:sz w:val="16"/>
          <w:szCs w:val="16"/>
        </w:rPr>
        <w:t>, T.,</w:t>
      </w:r>
      <w:r>
        <w:rPr>
          <w:sz w:val="16"/>
          <w:szCs w:val="16"/>
        </w:rPr>
        <w:t xml:space="preserve"> </w:t>
      </w:r>
      <w:proofErr w:type="spellStart"/>
      <w:r w:rsidRPr="00F33EBA">
        <w:rPr>
          <w:sz w:val="16"/>
          <w:szCs w:val="16"/>
        </w:rPr>
        <w:t>McKane</w:t>
      </w:r>
      <w:proofErr w:type="spellEnd"/>
      <w:r w:rsidRPr="00F33EBA">
        <w:rPr>
          <w:sz w:val="16"/>
          <w:szCs w:val="16"/>
        </w:rPr>
        <w:t xml:space="preserve">, M., Eadie. R, and </w:t>
      </w:r>
      <w:proofErr w:type="spellStart"/>
      <w:r w:rsidRPr="00F33EBA">
        <w:rPr>
          <w:sz w:val="16"/>
          <w:szCs w:val="16"/>
        </w:rPr>
        <w:t>Comiskey</w:t>
      </w:r>
      <w:proofErr w:type="spellEnd"/>
      <w:r w:rsidRPr="00F33EBA">
        <w:rPr>
          <w:sz w:val="16"/>
          <w:szCs w:val="16"/>
        </w:rPr>
        <w:t>, D. (2015) A Review of Curriculum  Design for Building Information Modelling,  in Proceedings of RICS AUBEA 2015, Sydney Australia, 8-10 July 2015, 8pp.</w:t>
      </w:r>
    </w:p>
    <w:p w:rsidR="008D10EE" w:rsidRPr="009C7F87" w:rsidRDefault="008D10EE" w:rsidP="008D10EE">
      <w:pPr>
        <w:pStyle w:val="References"/>
        <w:tabs>
          <w:tab w:val="clear" w:pos="360"/>
        </w:tabs>
        <w:ind w:left="284" w:hanging="284"/>
      </w:pPr>
      <w:r>
        <w:t xml:space="preserve">[6] </w:t>
      </w:r>
      <w:proofErr w:type="spellStart"/>
      <w:r w:rsidRPr="00AA74BC">
        <w:t>Krejcie</w:t>
      </w:r>
      <w:proofErr w:type="spellEnd"/>
      <w:r w:rsidRPr="00AA74BC">
        <w:t>,</w:t>
      </w:r>
      <w:r>
        <w:t xml:space="preserve"> R.</w:t>
      </w:r>
      <w:r w:rsidRPr="00AA74BC">
        <w:t xml:space="preserve"> </w:t>
      </w:r>
      <w:r>
        <w:t>and Mor</w:t>
      </w:r>
      <w:r w:rsidRPr="00AA74BC">
        <w:t xml:space="preserve">gan </w:t>
      </w:r>
      <w:r>
        <w:t>D. (</w:t>
      </w:r>
      <w:r w:rsidRPr="00AA74BC">
        <w:t>1970</w:t>
      </w:r>
      <w:r>
        <w:t xml:space="preserve">), </w:t>
      </w:r>
      <w:r w:rsidRPr="00AA74BC">
        <w:rPr>
          <w:i/>
        </w:rPr>
        <w:t>Determining Sample Size for Research Activities</w:t>
      </w:r>
      <w:r w:rsidRPr="00AA74BC">
        <w:t>, Educationa</w:t>
      </w:r>
      <w:r>
        <w:t xml:space="preserve">l and Psychological Measurement, Vol 30 (3), </w:t>
      </w:r>
      <w:r>
        <w:rPr>
          <w:color w:val="222222"/>
        </w:rPr>
        <w:t>pg. 607-10.</w:t>
      </w:r>
    </w:p>
    <w:p w:rsidR="008D10EE" w:rsidRDefault="008D10EE" w:rsidP="008D10EE">
      <w:pPr>
        <w:pStyle w:val="References"/>
        <w:tabs>
          <w:tab w:val="clear" w:pos="360"/>
        </w:tabs>
      </w:pPr>
      <w:r>
        <w:lastRenderedPageBreak/>
        <w:t xml:space="preserve">[7] Rubin, A. and </w:t>
      </w:r>
      <w:proofErr w:type="spellStart"/>
      <w:r>
        <w:t>Babbie</w:t>
      </w:r>
      <w:proofErr w:type="spellEnd"/>
      <w:r>
        <w:t xml:space="preserve">, E. (2009) </w:t>
      </w:r>
      <w:r w:rsidRPr="009C7F87">
        <w:rPr>
          <w:i/>
        </w:rPr>
        <w:t>Essential Research Methods for Social Work</w:t>
      </w:r>
      <w:r>
        <w:t xml:space="preserve">, </w:t>
      </w:r>
      <w:proofErr w:type="spellStart"/>
      <w:r>
        <w:t>USA</w:t>
      </w:r>
      <w:proofErr w:type="gramStart"/>
      <w:r>
        <w:t>:Cengage</w:t>
      </w:r>
      <w:proofErr w:type="spellEnd"/>
      <w:proofErr w:type="gramEnd"/>
      <w:r>
        <w:t xml:space="preserve"> Learning.</w:t>
      </w:r>
    </w:p>
    <w:p w:rsidR="008D10EE" w:rsidRDefault="008D10EE" w:rsidP="008D10EE">
      <w:pPr>
        <w:pStyle w:val="References"/>
        <w:tabs>
          <w:tab w:val="clear" w:pos="360"/>
        </w:tabs>
      </w:pPr>
      <w:r>
        <w:t xml:space="preserve">[8] </w:t>
      </w:r>
      <w:r w:rsidRPr="00BC73D2">
        <w:t xml:space="preserve">BIM Industry working Group (2011). </w:t>
      </w:r>
      <w:proofErr w:type="gramStart"/>
      <w:r w:rsidRPr="00BC73D2">
        <w:t xml:space="preserve">A report for the Government Construction Client Group Building Information Modelling (BIM) Working Party Strategy Paper, available on- line at </w:t>
      </w:r>
      <w:hyperlink r:id="rId14" w:history="1">
        <w:r w:rsidRPr="00F15E98">
          <w:rPr>
            <w:rStyle w:val="Hyperlink"/>
          </w:rPr>
          <w:t>http://www.bimtaskgroup.org/wp-content/uploads/2012/03/BIS-BIM-strategy-Report.pdf</w:t>
        </w:r>
      </w:hyperlink>
      <w:r>
        <w:t xml:space="preserve"> </w:t>
      </w:r>
      <w:r w:rsidRPr="00BC73D2">
        <w:t xml:space="preserve"> </w:t>
      </w:r>
      <w:r>
        <w:t>[Accessed February</w:t>
      </w:r>
      <w:r w:rsidRPr="00BC73D2">
        <w:t xml:space="preserve"> 201</w:t>
      </w:r>
      <w:r>
        <w:t>6]</w:t>
      </w:r>
      <w:r w:rsidRPr="00BC73D2">
        <w:t>.</w:t>
      </w:r>
      <w:proofErr w:type="gramEnd"/>
    </w:p>
    <w:p w:rsidR="008D10EE" w:rsidRDefault="008D10EE" w:rsidP="008D10EE">
      <w:pPr>
        <w:pStyle w:val="References"/>
        <w:tabs>
          <w:tab w:val="clear" w:pos="360"/>
        </w:tabs>
      </w:pPr>
      <w:r>
        <w:t xml:space="preserve">[9] WRAP (2011), </w:t>
      </w:r>
      <w:r w:rsidRPr="00342714">
        <w:t>Highways: Waste less and save money</w:t>
      </w:r>
      <w:r>
        <w:t xml:space="preserve">, Available on-line at </w:t>
      </w:r>
      <w:hyperlink r:id="rId15" w:history="1">
        <w:r w:rsidRPr="00F15E98">
          <w:rPr>
            <w:rStyle w:val="Hyperlink"/>
          </w:rPr>
          <w:t>http://www.wrap.org.uk/sites/files/wrap/Highways%20_%20FINAL.pdf</w:t>
        </w:r>
      </w:hyperlink>
      <w:r>
        <w:t xml:space="preserve"> [Accessed February 2016].</w:t>
      </w:r>
    </w:p>
    <w:p w:rsidR="002E5C5B" w:rsidRDefault="002E5C5B" w:rsidP="00587DFD">
      <w:pPr>
        <w:spacing w:after="0" w:line="240" w:lineRule="auto"/>
        <w:ind w:left="284" w:hanging="284"/>
      </w:pPr>
    </w:p>
    <w:sectPr w:rsidR="002E5C5B" w:rsidSect="002E5C5B">
      <w:type w:val="continuous"/>
      <w:pgSz w:w="9923" w:h="13608"/>
      <w:pgMar w:top="1134" w:right="851" w:bottom="1134" w:left="1134" w:header="709" w:footer="709" w:gutter="0"/>
      <w:cols w:num="2" w:space="284"/>
      <w:docGrid w:linePitch="360" w:charSpace="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32" w:rsidRDefault="00497832">
      <w:pPr>
        <w:spacing w:after="0" w:line="240" w:lineRule="auto"/>
      </w:pPr>
      <w:r>
        <w:separator/>
      </w:r>
    </w:p>
  </w:endnote>
  <w:endnote w:type="continuationSeparator" w:id="0">
    <w:p w:rsidR="00497832" w:rsidRDefault="0049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32" w:rsidRDefault="00497832">
      <w:pPr>
        <w:spacing w:after="0" w:line="240" w:lineRule="auto"/>
      </w:pPr>
      <w:r>
        <w:separator/>
      </w:r>
    </w:p>
  </w:footnote>
  <w:footnote w:type="continuationSeparator" w:id="0">
    <w:p w:rsidR="00497832" w:rsidRDefault="0049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1B"/>
    <w:multiLevelType w:val="hybridMultilevel"/>
    <w:tmpl w:val="24C4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90885"/>
    <w:multiLevelType w:val="hybridMultilevel"/>
    <w:tmpl w:val="35FC92FA"/>
    <w:lvl w:ilvl="0" w:tplc="0066BEEE">
      <w:numFmt w:val="bullet"/>
      <w:lvlText w:val="•"/>
      <w:lvlJc w:val="left"/>
      <w:pPr>
        <w:ind w:left="1080" w:hanging="720"/>
      </w:pPr>
      <w:rPr>
        <w:rFonts w:ascii="Times New Roman" w:eastAsiaTheme="minorEastAsia" w:hAnsi="Times New Roman"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B29FC"/>
    <w:multiLevelType w:val="hybridMultilevel"/>
    <w:tmpl w:val="D0388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60768"/>
    <w:multiLevelType w:val="hybridMultilevel"/>
    <w:tmpl w:val="AC8849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D03DFC"/>
    <w:multiLevelType w:val="hybridMultilevel"/>
    <w:tmpl w:val="3558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B653B"/>
    <w:multiLevelType w:val="hybridMultilevel"/>
    <w:tmpl w:val="B920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A46B0"/>
    <w:multiLevelType w:val="hybridMultilevel"/>
    <w:tmpl w:val="004A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53A5A"/>
    <w:multiLevelType w:val="hybridMultilevel"/>
    <w:tmpl w:val="A22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92EF8"/>
    <w:multiLevelType w:val="hybridMultilevel"/>
    <w:tmpl w:val="56F20A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155" w:hanging="75"/>
      </w:pPr>
      <w:rPr>
        <w:rFonts w:ascii="Symbol" w:hAnsi="Symbol"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6F3609"/>
    <w:multiLevelType w:val="hybridMultilevel"/>
    <w:tmpl w:val="DD9C6E0E"/>
    <w:lvl w:ilvl="0" w:tplc="25B885E4">
      <w:numFmt w:val="bullet"/>
      <w:lvlText w:val="•"/>
      <w:lvlJc w:val="left"/>
      <w:pPr>
        <w:ind w:left="1080" w:hanging="720"/>
      </w:pPr>
      <w:rPr>
        <w:rFonts w:ascii="Times New Roman" w:eastAsiaTheme="minorEastAsia" w:hAnsi="Times New Roman"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87B08"/>
    <w:multiLevelType w:val="hybridMultilevel"/>
    <w:tmpl w:val="66AC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5335D"/>
    <w:multiLevelType w:val="multilevel"/>
    <w:tmpl w:val="4E904D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263682B"/>
    <w:multiLevelType w:val="hybridMultilevel"/>
    <w:tmpl w:val="22022198"/>
    <w:lvl w:ilvl="0" w:tplc="C9E603E0">
      <w:start w:val="1"/>
      <w:numFmt w:val="decimal"/>
      <w:pStyle w:val="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40D3554"/>
    <w:multiLevelType w:val="hybridMultilevel"/>
    <w:tmpl w:val="BAFE2A9C"/>
    <w:lvl w:ilvl="0" w:tplc="08090001">
      <w:start w:val="1"/>
      <w:numFmt w:val="bullet"/>
      <w:lvlText w:val=""/>
      <w:lvlJc w:val="left"/>
      <w:pPr>
        <w:ind w:left="720" w:hanging="360"/>
      </w:pPr>
      <w:rPr>
        <w:rFonts w:ascii="Symbol" w:hAnsi="Symbol" w:hint="default"/>
      </w:rPr>
    </w:lvl>
    <w:lvl w:ilvl="1" w:tplc="F20EC686">
      <w:start w:val="1"/>
      <w:numFmt w:val="bullet"/>
      <w:lvlText w:val=""/>
      <w:lvlJc w:val="left"/>
      <w:pPr>
        <w:ind w:left="1155" w:hanging="75"/>
      </w:pPr>
      <w:rPr>
        <w:rFonts w:ascii="Symbol" w:hAnsi="Symbol"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482092"/>
    <w:multiLevelType w:val="hybridMultilevel"/>
    <w:tmpl w:val="1F5432F2"/>
    <w:lvl w:ilvl="0" w:tplc="923209A4">
      <w:numFmt w:val="bullet"/>
      <w:lvlText w:val="•"/>
      <w:lvlJc w:val="left"/>
      <w:pPr>
        <w:ind w:left="435" w:hanging="75"/>
      </w:pPr>
      <w:rPr>
        <w:rFonts w:ascii="Times New Roman" w:eastAsiaTheme="minorEastAsia" w:hAnsi="Times New Roman"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77926"/>
    <w:multiLevelType w:val="hybridMultilevel"/>
    <w:tmpl w:val="1B9C9EFE"/>
    <w:lvl w:ilvl="0" w:tplc="0AD4E3F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534785"/>
    <w:multiLevelType w:val="hybridMultilevel"/>
    <w:tmpl w:val="D644A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E0D27"/>
    <w:multiLevelType w:val="hybridMultilevel"/>
    <w:tmpl w:val="58B44794"/>
    <w:lvl w:ilvl="0" w:tplc="08090001">
      <w:start w:val="1"/>
      <w:numFmt w:val="bullet"/>
      <w:lvlText w:val=""/>
      <w:lvlJc w:val="left"/>
      <w:pPr>
        <w:ind w:left="720" w:hanging="360"/>
      </w:pPr>
      <w:rPr>
        <w:rFonts w:ascii="Symbol" w:hAnsi="Symbol" w:hint="default"/>
      </w:rPr>
    </w:lvl>
    <w:lvl w:ilvl="1" w:tplc="57F6CD32">
      <w:numFmt w:val="bullet"/>
      <w:lvlText w:val="•"/>
      <w:lvlJc w:val="left"/>
      <w:pPr>
        <w:ind w:left="1155" w:hanging="75"/>
      </w:pPr>
      <w:rPr>
        <w:rFonts w:ascii="Times New Roman" w:eastAsiaTheme="minorEastAsia" w:hAnsi="Times New Roman" w:cstheme="minorBidi"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5"/>
  </w:num>
  <w:num w:numId="5">
    <w:abstractNumId w:val="5"/>
  </w:num>
  <w:num w:numId="6">
    <w:abstractNumId w:val="9"/>
  </w:num>
  <w:num w:numId="7">
    <w:abstractNumId w:val="10"/>
  </w:num>
  <w:num w:numId="8">
    <w:abstractNumId w:val="7"/>
  </w:num>
  <w:num w:numId="9">
    <w:abstractNumId w:val="14"/>
  </w:num>
  <w:num w:numId="10">
    <w:abstractNumId w:val="6"/>
  </w:num>
  <w:num w:numId="11">
    <w:abstractNumId w:val="1"/>
  </w:num>
  <w:num w:numId="12">
    <w:abstractNumId w:val="17"/>
  </w:num>
  <w:num w:numId="13">
    <w:abstractNumId w:val="13"/>
  </w:num>
  <w:num w:numId="14">
    <w:abstractNumId w:val="8"/>
  </w:num>
  <w:num w:numId="15">
    <w:abstractNumId w:val="11"/>
  </w:num>
  <w:num w:numId="16">
    <w:abstractNumId w:val="1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284"/>
  <w:drawingGridHorizont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D"/>
    <w:rsid w:val="00001FBC"/>
    <w:rsid w:val="00013C80"/>
    <w:rsid w:val="00017FDD"/>
    <w:rsid w:val="000271BA"/>
    <w:rsid w:val="00031F0C"/>
    <w:rsid w:val="000418A7"/>
    <w:rsid w:val="00050763"/>
    <w:rsid w:val="000648DC"/>
    <w:rsid w:val="000654DD"/>
    <w:rsid w:val="00071B15"/>
    <w:rsid w:val="00083DB4"/>
    <w:rsid w:val="00086875"/>
    <w:rsid w:val="00091EEC"/>
    <w:rsid w:val="000A2BCB"/>
    <w:rsid w:val="000A44BB"/>
    <w:rsid w:val="000A6FBC"/>
    <w:rsid w:val="000B1E63"/>
    <w:rsid w:val="000C3831"/>
    <w:rsid w:val="000C52AD"/>
    <w:rsid w:val="000D075C"/>
    <w:rsid w:val="000D49F3"/>
    <w:rsid w:val="000E002B"/>
    <w:rsid w:val="000E55D9"/>
    <w:rsid w:val="000E7F80"/>
    <w:rsid w:val="00134B55"/>
    <w:rsid w:val="001358E3"/>
    <w:rsid w:val="00136161"/>
    <w:rsid w:val="0014185C"/>
    <w:rsid w:val="00142A77"/>
    <w:rsid w:val="001540E8"/>
    <w:rsid w:val="00154405"/>
    <w:rsid w:val="00165AC2"/>
    <w:rsid w:val="00172FA4"/>
    <w:rsid w:val="00173CED"/>
    <w:rsid w:val="001827BB"/>
    <w:rsid w:val="001B7503"/>
    <w:rsid w:val="001C5E62"/>
    <w:rsid w:val="001D3730"/>
    <w:rsid w:val="001D616F"/>
    <w:rsid w:val="001E09F9"/>
    <w:rsid w:val="001F133F"/>
    <w:rsid w:val="001F24E2"/>
    <w:rsid w:val="00214B42"/>
    <w:rsid w:val="002237A0"/>
    <w:rsid w:val="002253DB"/>
    <w:rsid w:val="002374BE"/>
    <w:rsid w:val="00237764"/>
    <w:rsid w:val="00260BA0"/>
    <w:rsid w:val="002624DF"/>
    <w:rsid w:val="002937B6"/>
    <w:rsid w:val="00295C86"/>
    <w:rsid w:val="002A7BE2"/>
    <w:rsid w:val="002B0891"/>
    <w:rsid w:val="002B293F"/>
    <w:rsid w:val="002B47FF"/>
    <w:rsid w:val="002B5B1A"/>
    <w:rsid w:val="002C0C5F"/>
    <w:rsid w:val="002D15EB"/>
    <w:rsid w:val="002D5272"/>
    <w:rsid w:val="002E5C5B"/>
    <w:rsid w:val="002F0224"/>
    <w:rsid w:val="002F0E4B"/>
    <w:rsid w:val="002F1365"/>
    <w:rsid w:val="00312F38"/>
    <w:rsid w:val="00320C99"/>
    <w:rsid w:val="00322CA9"/>
    <w:rsid w:val="00335169"/>
    <w:rsid w:val="00342714"/>
    <w:rsid w:val="0034432A"/>
    <w:rsid w:val="0035029F"/>
    <w:rsid w:val="003557C4"/>
    <w:rsid w:val="003658B0"/>
    <w:rsid w:val="003661B5"/>
    <w:rsid w:val="00380551"/>
    <w:rsid w:val="003813BA"/>
    <w:rsid w:val="003950C2"/>
    <w:rsid w:val="00395CE1"/>
    <w:rsid w:val="003A288F"/>
    <w:rsid w:val="003A3E2B"/>
    <w:rsid w:val="003A72EF"/>
    <w:rsid w:val="003E3348"/>
    <w:rsid w:val="003E6A1A"/>
    <w:rsid w:val="003F0246"/>
    <w:rsid w:val="0041571C"/>
    <w:rsid w:val="004322DE"/>
    <w:rsid w:val="004364DA"/>
    <w:rsid w:val="00441061"/>
    <w:rsid w:val="004413DC"/>
    <w:rsid w:val="00462729"/>
    <w:rsid w:val="00462B83"/>
    <w:rsid w:val="00474104"/>
    <w:rsid w:val="00476002"/>
    <w:rsid w:val="00482847"/>
    <w:rsid w:val="00484B92"/>
    <w:rsid w:val="004878E0"/>
    <w:rsid w:val="00497832"/>
    <w:rsid w:val="004A61B9"/>
    <w:rsid w:val="004C0898"/>
    <w:rsid w:val="004D1FB6"/>
    <w:rsid w:val="004D6D64"/>
    <w:rsid w:val="004E0D8A"/>
    <w:rsid w:val="004E6241"/>
    <w:rsid w:val="004E669F"/>
    <w:rsid w:val="004F6D72"/>
    <w:rsid w:val="005163DE"/>
    <w:rsid w:val="005227EC"/>
    <w:rsid w:val="005329D2"/>
    <w:rsid w:val="00544793"/>
    <w:rsid w:val="0054709C"/>
    <w:rsid w:val="00551D3A"/>
    <w:rsid w:val="00554B41"/>
    <w:rsid w:val="00562CDD"/>
    <w:rsid w:val="00564F5A"/>
    <w:rsid w:val="00582027"/>
    <w:rsid w:val="00587DFD"/>
    <w:rsid w:val="00594480"/>
    <w:rsid w:val="005973B8"/>
    <w:rsid w:val="005A4271"/>
    <w:rsid w:val="005B22BF"/>
    <w:rsid w:val="005D2168"/>
    <w:rsid w:val="005D4821"/>
    <w:rsid w:val="005D4922"/>
    <w:rsid w:val="005E61E0"/>
    <w:rsid w:val="005F479A"/>
    <w:rsid w:val="00601B55"/>
    <w:rsid w:val="00606462"/>
    <w:rsid w:val="00610062"/>
    <w:rsid w:val="00623446"/>
    <w:rsid w:val="00641747"/>
    <w:rsid w:val="0064377E"/>
    <w:rsid w:val="006437F5"/>
    <w:rsid w:val="00647DA5"/>
    <w:rsid w:val="00666DF8"/>
    <w:rsid w:val="00684F54"/>
    <w:rsid w:val="00690A4F"/>
    <w:rsid w:val="0069542C"/>
    <w:rsid w:val="006A38B5"/>
    <w:rsid w:val="006C43BA"/>
    <w:rsid w:val="006D0052"/>
    <w:rsid w:val="006E0DE3"/>
    <w:rsid w:val="006E200A"/>
    <w:rsid w:val="006E5A93"/>
    <w:rsid w:val="006F0316"/>
    <w:rsid w:val="006F426E"/>
    <w:rsid w:val="006F5522"/>
    <w:rsid w:val="006F5EFC"/>
    <w:rsid w:val="0071433B"/>
    <w:rsid w:val="00716A2F"/>
    <w:rsid w:val="0072588C"/>
    <w:rsid w:val="007354AB"/>
    <w:rsid w:val="00740568"/>
    <w:rsid w:val="00741653"/>
    <w:rsid w:val="007448F1"/>
    <w:rsid w:val="0074637A"/>
    <w:rsid w:val="0074687C"/>
    <w:rsid w:val="00747991"/>
    <w:rsid w:val="00777474"/>
    <w:rsid w:val="0077770A"/>
    <w:rsid w:val="00782010"/>
    <w:rsid w:val="007820D7"/>
    <w:rsid w:val="007844F8"/>
    <w:rsid w:val="007A30FB"/>
    <w:rsid w:val="007A4F84"/>
    <w:rsid w:val="007B3612"/>
    <w:rsid w:val="007D3143"/>
    <w:rsid w:val="007D5EE5"/>
    <w:rsid w:val="007D614A"/>
    <w:rsid w:val="007E067B"/>
    <w:rsid w:val="007E075F"/>
    <w:rsid w:val="007E5836"/>
    <w:rsid w:val="007E67D9"/>
    <w:rsid w:val="007F47B1"/>
    <w:rsid w:val="00803D10"/>
    <w:rsid w:val="00805C86"/>
    <w:rsid w:val="00812227"/>
    <w:rsid w:val="00825925"/>
    <w:rsid w:val="00832423"/>
    <w:rsid w:val="00836EE8"/>
    <w:rsid w:val="00842B60"/>
    <w:rsid w:val="00850A48"/>
    <w:rsid w:val="00857ADE"/>
    <w:rsid w:val="00857CCB"/>
    <w:rsid w:val="0086508B"/>
    <w:rsid w:val="00874196"/>
    <w:rsid w:val="00895735"/>
    <w:rsid w:val="008A5EC3"/>
    <w:rsid w:val="008B0547"/>
    <w:rsid w:val="008C5F84"/>
    <w:rsid w:val="008D10EE"/>
    <w:rsid w:val="008D1984"/>
    <w:rsid w:val="008D2FAE"/>
    <w:rsid w:val="008D7926"/>
    <w:rsid w:val="008E1B3A"/>
    <w:rsid w:val="008F6356"/>
    <w:rsid w:val="0092061A"/>
    <w:rsid w:val="0092668B"/>
    <w:rsid w:val="009305EF"/>
    <w:rsid w:val="0094029F"/>
    <w:rsid w:val="00946327"/>
    <w:rsid w:val="009723FE"/>
    <w:rsid w:val="00975814"/>
    <w:rsid w:val="00981441"/>
    <w:rsid w:val="00984BD9"/>
    <w:rsid w:val="009A154C"/>
    <w:rsid w:val="009B5D44"/>
    <w:rsid w:val="009C1164"/>
    <w:rsid w:val="009C393B"/>
    <w:rsid w:val="009D3CA2"/>
    <w:rsid w:val="009E0D5E"/>
    <w:rsid w:val="009F7B70"/>
    <w:rsid w:val="00A00F28"/>
    <w:rsid w:val="00A205F7"/>
    <w:rsid w:val="00A20C50"/>
    <w:rsid w:val="00A25AD3"/>
    <w:rsid w:val="00A27B4A"/>
    <w:rsid w:val="00A37789"/>
    <w:rsid w:val="00A461DA"/>
    <w:rsid w:val="00A479AD"/>
    <w:rsid w:val="00A5217C"/>
    <w:rsid w:val="00A64570"/>
    <w:rsid w:val="00A80531"/>
    <w:rsid w:val="00A818C9"/>
    <w:rsid w:val="00A8203A"/>
    <w:rsid w:val="00A9211E"/>
    <w:rsid w:val="00A9373D"/>
    <w:rsid w:val="00A948FF"/>
    <w:rsid w:val="00AB4032"/>
    <w:rsid w:val="00AB41C1"/>
    <w:rsid w:val="00AC53FB"/>
    <w:rsid w:val="00AC55C8"/>
    <w:rsid w:val="00AD34ED"/>
    <w:rsid w:val="00AE1B76"/>
    <w:rsid w:val="00AE3268"/>
    <w:rsid w:val="00AE503F"/>
    <w:rsid w:val="00AF3478"/>
    <w:rsid w:val="00B23711"/>
    <w:rsid w:val="00B26E16"/>
    <w:rsid w:val="00B35DFD"/>
    <w:rsid w:val="00B36FB1"/>
    <w:rsid w:val="00B40D77"/>
    <w:rsid w:val="00B61E6E"/>
    <w:rsid w:val="00B6257C"/>
    <w:rsid w:val="00B67887"/>
    <w:rsid w:val="00B7138D"/>
    <w:rsid w:val="00B763DF"/>
    <w:rsid w:val="00B9612A"/>
    <w:rsid w:val="00B965B4"/>
    <w:rsid w:val="00BB500B"/>
    <w:rsid w:val="00BB69EA"/>
    <w:rsid w:val="00BC24FE"/>
    <w:rsid w:val="00BC66C4"/>
    <w:rsid w:val="00BC73D2"/>
    <w:rsid w:val="00BD016C"/>
    <w:rsid w:val="00BD7718"/>
    <w:rsid w:val="00BF4415"/>
    <w:rsid w:val="00BF675C"/>
    <w:rsid w:val="00C106FA"/>
    <w:rsid w:val="00C21626"/>
    <w:rsid w:val="00C23C5A"/>
    <w:rsid w:val="00C26F5C"/>
    <w:rsid w:val="00C34787"/>
    <w:rsid w:val="00C422CE"/>
    <w:rsid w:val="00C52B0A"/>
    <w:rsid w:val="00C62657"/>
    <w:rsid w:val="00C95D62"/>
    <w:rsid w:val="00C965AC"/>
    <w:rsid w:val="00C969AA"/>
    <w:rsid w:val="00C9796A"/>
    <w:rsid w:val="00CA0688"/>
    <w:rsid w:val="00CB24A7"/>
    <w:rsid w:val="00CB2562"/>
    <w:rsid w:val="00CC03AF"/>
    <w:rsid w:val="00CC552E"/>
    <w:rsid w:val="00CC5E87"/>
    <w:rsid w:val="00CE3EF3"/>
    <w:rsid w:val="00CE3FBF"/>
    <w:rsid w:val="00D116BE"/>
    <w:rsid w:val="00D16B6D"/>
    <w:rsid w:val="00D16C76"/>
    <w:rsid w:val="00D22A23"/>
    <w:rsid w:val="00D2332F"/>
    <w:rsid w:val="00D2662D"/>
    <w:rsid w:val="00D33C12"/>
    <w:rsid w:val="00D445CC"/>
    <w:rsid w:val="00D44991"/>
    <w:rsid w:val="00D501E6"/>
    <w:rsid w:val="00D84A51"/>
    <w:rsid w:val="00D85A28"/>
    <w:rsid w:val="00DB5BA6"/>
    <w:rsid w:val="00DB6E42"/>
    <w:rsid w:val="00DD112E"/>
    <w:rsid w:val="00DD149E"/>
    <w:rsid w:val="00DD6B5D"/>
    <w:rsid w:val="00DF485B"/>
    <w:rsid w:val="00DF5616"/>
    <w:rsid w:val="00E007E9"/>
    <w:rsid w:val="00E069E6"/>
    <w:rsid w:val="00E10C38"/>
    <w:rsid w:val="00E122A1"/>
    <w:rsid w:val="00E15F24"/>
    <w:rsid w:val="00E2478D"/>
    <w:rsid w:val="00E25B52"/>
    <w:rsid w:val="00E30FA3"/>
    <w:rsid w:val="00E35AA2"/>
    <w:rsid w:val="00E37C12"/>
    <w:rsid w:val="00E42451"/>
    <w:rsid w:val="00E42894"/>
    <w:rsid w:val="00E514A9"/>
    <w:rsid w:val="00E53A42"/>
    <w:rsid w:val="00E5587E"/>
    <w:rsid w:val="00E66334"/>
    <w:rsid w:val="00E66C55"/>
    <w:rsid w:val="00E7406D"/>
    <w:rsid w:val="00E74F31"/>
    <w:rsid w:val="00E770AB"/>
    <w:rsid w:val="00E9061F"/>
    <w:rsid w:val="00EA2022"/>
    <w:rsid w:val="00EA3267"/>
    <w:rsid w:val="00EA5B56"/>
    <w:rsid w:val="00EB67F8"/>
    <w:rsid w:val="00EC1F04"/>
    <w:rsid w:val="00ED3ABB"/>
    <w:rsid w:val="00EE0FD0"/>
    <w:rsid w:val="00EE6CBF"/>
    <w:rsid w:val="00F04386"/>
    <w:rsid w:val="00F04E79"/>
    <w:rsid w:val="00F05411"/>
    <w:rsid w:val="00F1548D"/>
    <w:rsid w:val="00F22F31"/>
    <w:rsid w:val="00F33912"/>
    <w:rsid w:val="00F33EBA"/>
    <w:rsid w:val="00F47E69"/>
    <w:rsid w:val="00F67BED"/>
    <w:rsid w:val="00F731E4"/>
    <w:rsid w:val="00F76DAC"/>
    <w:rsid w:val="00F80D32"/>
    <w:rsid w:val="00FA2E56"/>
    <w:rsid w:val="00FA53E8"/>
    <w:rsid w:val="00FB083F"/>
    <w:rsid w:val="00FF32FA"/>
    <w:rsid w:val="00FF36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42"/>
    <w:rPr>
      <w:rFonts w:ascii="Times New Roman" w:hAnsi="Times New Roman"/>
      <w:sz w:val="20"/>
    </w:rPr>
  </w:style>
  <w:style w:type="paragraph" w:styleId="Heading1">
    <w:name w:val="heading 1"/>
    <w:basedOn w:val="Normal"/>
    <w:next w:val="Normal"/>
    <w:link w:val="Heading1Char"/>
    <w:uiPriority w:val="9"/>
    <w:qFormat/>
    <w:rsid w:val="00DF5616"/>
    <w:pPr>
      <w:keepNext/>
      <w:keepLines/>
      <w:numPr>
        <w:numId w:val="15"/>
      </w:numPr>
      <w:spacing w:after="0" w:line="360" w:lineRule="auto"/>
      <w:contextualSpacing/>
      <w:outlineLvl w:val="0"/>
    </w:pPr>
    <w:rPr>
      <w:rFonts w:ascii="Arial" w:eastAsiaTheme="majorEastAsia" w:hAnsi="Arial" w:cstheme="majorBidi"/>
      <w:b/>
      <w:bCs/>
      <w:sz w:val="24"/>
      <w:szCs w:val="28"/>
      <w:lang w:eastAsia="en-US"/>
    </w:rPr>
  </w:style>
  <w:style w:type="paragraph" w:styleId="Heading2">
    <w:name w:val="heading 2"/>
    <w:basedOn w:val="Normal"/>
    <w:next w:val="Normal"/>
    <w:link w:val="Heading2Char"/>
    <w:uiPriority w:val="9"/>
    <w:unhideWhenUsed/>
    <w:qFormat/>
    <w:rsid w:val="00DF5616"/>
    <w:pPr>
      <w:keepNext/>
      <w:keepLines/>
      <w:numPr>
        <w:ilvl w:val="1"/>
        <w:numId w:val="15"/>
      </w:numPr>
      <w:spacing w:after="0" w:line="360" w:lineRule="auto"/>
      <w:contextualSpacing/>
      <w:outlineLvl w:val="1"/>
    </w:pPr>
    <w:rPr>
      <w:rFonts w:ascii="Arial" w:eastAsiaTheme="majorEastAsia" w:hAnsi="Arial" w:cstheme="majorBidi"/>
      <w:bCs/>
      <w:sz w:val="24"/>
      <w:szCs w:val="26"/>
      <w:lang w:eastAsia="en-US"/>
    </w:rPr>
  </w:style>
  <w:style w:type="paragraph" w:styleId="Heading3">
    <w:name w:val="heading 3"/>
    <w:basedOn w:val="Normal"/>
    <w:next w:val="Normal"/>
    <w:link w:val="Heading3Char"/>
    <w:uiPriority w:val="9"/>
    <w:unhideWhenUsed/>
    <w:qFormat/>
    <w:rsid w:val="00DF5616"/>
    <w:pPr>
      <w:keepNext/>
      <w:keepLines/>
      <w:numPr>
        <w:ilvl w:val="2"/>
        <w:numId w:val="15"/>
      </w:numPr>
      <w:spacing w:before="200" w:after="0" w:line="360" w:lineRule="auto"/>
      <w:contextualSpacing/>
      <w:outlineLvl w:val="2"/>
    </w:pPr>
    <w:rPr>
      <w:rFonts w:ascii="Arial" w:eastAsiaTheme="majorEastAsia" w:hAnsi="Arial" w:cstheme="majorBidi"/>
      <w:bCs/>
      <w:sz w:val="24"/>
      <w:lang w:eastAsia="en-US"/>
    </w:rPr>
  </w:style>
  <w:style w:type="paragraph" w:styleId="Heading4">
    <w:name w:val="heading 4"/>
    <w:basedOn w:val="Normal"/>
    <w:next w:val="Normal"/>
    <w:link w:val="Heading4Char"/>
    <w:uiPriority w:val="9"/>
    <w:unhideWhenUsed/>
    <w:qFormat/>
    <w:rsid w:val="00DF5616"/>
    <w:pPr>
      <w:keepNext/>
      <w:keepLines/>
      <w:numPr>
        <w:ilvl w:val="3"/>
        <w:numId w:val="15"/>
      </w:numPr>
      <w:spacing w:before="200" w:after="0" w:line="360" w:lineRule="auto"/>
      <w:contextualSpacing/>
      <w:outlineLvl w:val="3"/>
    </w:pPr>
    <w:rPr>
      <w:rFonts w:asciiTheme="majorHAnsi" w:eastAsiaTheme="majorEastAsia" w:hAnsiTheme="majorHAnsi" w:cstheme="majorBidi"/>
      <w:b/>
      <w:bCs/>
      <w:i/>
      <w:iCs/>
      <w:color w:val="5B9BD5" w:themeColor="accent1"/>
      <w:sz w:val="24"/>
      <w:lang w:eastAsia="en-US"/>
    </w:rPr>
  </w:style>
  <w:style w:type="paragraph" w:styleId="Heading5">
    <w:name w:val="heading 5"/>
    <w:basedOn w:val="Normal"/>
    <w:next w:val="Normal"/>
    <w:link w:val="Heading5Char"/>
    <w:uiPriority w:val="9"/>
    <w:unhideWhenUsed/>
    <w:qFormat/>
    <w:rsid w:val="00DF5616"/>
    <w:pPr>
      <w:keepNext/>
      <w:keepLines/>
      <w:numPr>
        <w:ilvl w:val="4"/>
        <w:numId w:val="15"/>
      </w:numPr>
      <w:spacing w:before="200" w:after="0" w:line="360" w:lineRule="auto"/>
      <w:contextualSpacing/>
      <w:outlineLvl w:val="4"/>
    </w:pPr>
    <w:rPr>
      <w:rFonts w:asciiTheme="majorHAnsi" w:eastAsiaTheme="majorEastAsia" w:hAnsiTheme="majorHAnsi" w:cstheme="majorBidi"/>
      <w:color w:val="1F4D78" w:themeColor="accent1" w:themeShade="7F"/>
      <w:sz w:val="24"/>
      <w:lang w:eastAsia="en-US"/>
    </w:rPr>
  </w:style>
  <w:style w:type="paragraph" w:styleId="Heading6">
    <w:name w:val="heading 6"/>
    <w:basedOn w:val="Normal"/>
    <w:next w:val="Normal"/>
    <w:link w:val="Heading6Char"/>
    <w:uiPriority w:val="9"/>
    <w:semiHidden/>
    <w:unhideWhenUsed/>
    <w:qFormat/>
    <w:rsid w:val="00DF5616"/>
    <w:pPr>
      <w:keepNext/>
      <w:keepLines/>
      <w:numPr>
        <w:ilvl w:val="5"/>
        <w:numId w:val="15"/>
      </w:numPr>
      <w:spacing w:before="200" w:after="0" w:line="360" w:lineRule="auto"/>
      <w:contextualSpacing/>
      <w:outlineLvl w:val="5"/>
    </w:pPr>
    <w:rPr>
      <w:rFonts w:asciiTheme="majorHAnsi" w:eastAsiaTheme="majorEastAsia" w:hAnsiTheme="majorHAnsi" w:cstheme="majorBidi"/>
      <w:i/>
      <w:iCs/>
      <w:color w:val="1F4D78" w:themeColor="accent1" w:themeShade="7F"/>
      <w:sz w:val="24"/>
      <w:lang w:eastAsia="en-US"/>
    </w:rPr>
  </w:style>
  <w:style w:type="paragraph" w:styleId="Heading7">
    <w:name w:val="heading 7"/>
    <w:basedOn w:val="Normal"/>
    <w:next w:val="Normal"/>
    <w:link w:val="Heading7Char"/>
    <w:uiPriority w:val="9"/>
    <w:semiHidden/>
    <w:unhideWhenUsed/>
    <w:qFormat/>
    <w:rsid w:val="00DF5616"/>
    <w:pPr>
      <w:keepNext/>
      <w:keepLines/>
      <w:numPr>
        <w:ilvl w:val="6"/>
        <w:numId w:val="15"/>
      </w:numPr>
      <w:spacing w:before="200" w:after="0" w:line="360" w:lineRule="auto"/>
      <w:contextualSpacing/>
      <w:outlineLvl w:val="6"/>
    </w:pPr>
    <w:rPr>
      <w:rFonts w:asciiTheme="majorHAnsi" w:eastAsiaTheme="majorEastAsia" w:hAnsiTheme="majorHAnsi" w:cstheme="majorBidi"/>
      <w:i/>
      <w:iCs/>
      <w:color w:val="404040" w:themeColor="text1" w:themeTint="BF"/>
      <w:sz w:val="24"/>
      <w:lang w:eastAsia="en-US"/>
    </w:rPr>
  </w:style>
  <w:style w:type="paragraph" w:styleId="Heading8">
    <w:name w:val="heading 8"/>
    <w:basedOn w:val="Normal"/>
    <w:next w:val="Normal"/>
    <w:link w:val="Heading8Char"/>
    <w:uiPriority w:val="9"/>
    <w:semiHidden/>
    <w:unhideWhenUsed/>
    <w:qFormat/>
    <w:rsid w:val="00DF5616"/>
    <w:pPr>
      <w:keepNext/>
      <w:keepLines/>
      <w:numPr>
        <w:ilvl w:val="7"/>
        <w:numId w:val="15"/>
      </w:numPr>
      <w:spacing w:before="200" w:after="0" w:line="360" w:lineRule="auto"/>
      <w:contextualSpacing/>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9"/>
    <w:semiHidden/>
    <w:unhideWhenUsed/>
    <w:qFormat/>
    <w:rsid w:val="00DF5616"/>
    <w:pPr>
      <w:keepNext/>
      <w:keepLines/>
      <w:numPr>
        <w:ilvl w:val="8"/>
        <w:numId w:val="15"/>
      </w:numPr>
      <w:spacing w:before="200" w:after="0" w:line="360" w:lineRule="auto"/>
      <w:contextualSpacing/>
      <w:outlineLvl w:val="8"/>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next w:val="Normal"/>
    <w:rsid w:val="006C43BA"/>
    <w:pPr>
      <w:suppressAutoHyphens/>
      <w:overflowPunct w:val="0"/>
      <w:autoSpaceDE w:val="0"/>
      <w:autoSpaceDN w:val="0"/>
      <w:adjustRightInd w:val="0"/>
      <w:spacing w:before="120" w:after="0" w:line="200" w:lineRule="atLeast"/>
      <w:ind w:left="238"/>
      <w:textAlignment w:val="baseline"/>
    </w:pPr>
    <w:rPr>
      <w:rFonts w:ascii="Times" w:eastAsia="MS Mincho" w:hAnsi="Times" w:cs="Times New Roman"/>
      <w:sz w:val="17"/>
      <w:szCs w:val="20"/>
      <w:lang w:eastAsia="de-DE"/>
    </w:rPr>
  </w:style>
  <w:style w:type="character" w:styleId="Hyperlink">
    <w:name w:val="Hyperlink"/>
    <w:basedOn w:val="DefaultParagraphFont"/>
    <w:uiPriority w:val="99"/>
    <w:unhideWhenUsed/>
    <w:rsid w:val="00782010"/>
    <w:rPr>
      <w:color w:val="0563C1" w:themeColor="hyperlink"/>
      <w:u w:val="single"/>
    </w:rPr>
  </w:style>
  <w:style w:type="paragraph" w:customStyle="1" w:styleId="esireferences">
    <w:name w:val="esireferences"/>
    <w:basedOn w:val="Normal"/>
    <w:rsid w:val="0013616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36161"/>
  </w:style>
  <w:style w:type="paragraph" w:customStyle="1" w:styleId="figlegend">
    <w:name w:val="figlegend"/>
    <w:basedOn w:val="Normal"/>
    <w:next w:val="Normal"/>
    <w:qFormat/>
    <w:rsid w:val="000418A7"/>
    <w:pPr>
      <w:keepLines/>
      <w:overflowPunct w:val="0"/>
      <w:autoSpaceDE w:val="0"/>
      <w:autoSpaceDN w:val="0"/>
      <w:adjustRightInd w:val="0"/>
      <w:spacing w:before="60" w:after="0" w:line="200" w:lineRule="atLeast"/>
      <w:jc w:val="both"/>
      <w:textAlignment w:val="baseline"/>
    </w:pPr>
    <w:rPr>
      <w:rFonts w:ascii="Times" w:eastAsia="MS Mincho" w:hAnsi="Times" w:cs="Times New Roman"/>
      <w:sz w:val="17"/>
      <w:szCs w:val="20"/>
      <w:lang w:eastAsia="de-DE"/>
    </w:rPr>
  </w:style>
  <w:style w:type="table" w:styleId="TableGrid">
    <w:name w:val="Table Grid"/>
    <w:basedOn w:val="TableNormal"/>
    <w:uiPriority w:val="59"/>
    <w:rsid w:val="0004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C12"/>
    <w:pPr>
      <w:ind w:left="720"/>
      <w:contextualSpacing/>
    </w:pPr>
  </w:style>
  <w:style w:type="paragraph" w:customStyle="1" w:styleId="Default">
    <w:name w:val="Default"/>
    <w:rsid w:val="0041571C"/>
    <w:pPr>
      <w:widowControl w:val="0"/>
      <w:autoSpaceDE w:val="0"/>
      <w:autoSpaceDN w:val="0"/>
      <w:adjustRightInd w:val="0"/>
      <w:spacing w:after="0" w:line="240" w:lineRule="auto"/>
    </w:pPr>
    <w:rPr>
      <w:rFonts w:ascii="Times New Roman" w:eastAsia="Malgun Gothic" w:hAnsi="Times New Roman" w:cs="Times New Roman"/>
      <w:color w:val="000000"/>
      <w:sz w:val="24"/>
      <w:szCs w:val="24"/>
      <w:lang w:val="en-US" w:eastAsia="en-US"/>
    </w:rPr>
  </w:style>
  <w:style w:type="paragraph" w:customStyle="1" w:styleId="Address">
    <w:name w:val="Address"/>
    <w:basedOn w:val="Normal"/>
    <w:rsid w:val="00462B83"/>
    <w:pPr>
      <w:overflowPunct w:val="0"/>
      <w:autoSpaceDE w:val="0"/>
      <w:autoSpaceDN w:val="0"/>
      <w:adjustRightInd w:val="0"/>
      <w:spacing w:before="120" w:after="0" w:line="240" w:lineRule="exact"/>
      <w:textAlignment w:val="baseline"/>
    </w:pPr>
    <w:rPr>
      <w:rFonts w:eastAsia="Times New Roman" w:cs="Times New Roman"/>
      <w:b/>
      <w:i/>
      <w:szCs w:val="20"/>
      <w:lang w:eastAsia="en-GB"/>
    </w:rPr>
  </w:style>
  <w:style w:type="paragraph" w:styleId="Caption">
    <w:name w:val="caption"/>
    <w:basedOn w:val="Normal"/>
    <w:next w:val="Normal"/>
    <w:link w:val="CaptionChar"/>
    <w:uiPriority w:val="35"/>
    <w:qFormat/>
    <w:rsid w:val="00260BA0"/>
    <w:pPr>
      <w:overflowPunct w:val="0"/>
      <w:autoSpaceDE w:val="0"/>
      <w:autoSpaceDN w:val="0"/>
      <w:adjustRightInd w:val="0"/>
      <w:spacing w:before="120" w:after="0" w:line="240" w:lineRule="auto"/>
      <w:textAlignment w:val="baseline"/>
    </w:pPr>
    <w:rPr>
      <w:rFonts w:eastAsia="Times New Roman" w:cs="Times New Roman"/>
      <w:i/>
      <w:szCs w:val="20"/>
      <w:lang w:eastAsia="en-GB"/>
    </w:rPr>
  </w:style>
  <w:style w:type="character" w:customStyle="1" w:styleId="CaptionChar">
    <w:name w:val="Caption Char"/>
    <w:basedOn w:val="DefaultParagraphFont"/>
    <w:link w:val="Caption"/>
    <w:rsid w:val="00260BA0"/>
    <w:rPr>
      <w:rFonts w:ascii="Times New Roman" w:eastAsia="Times New Roman" w:hAnsi="Times New Roman" w:cs="Times New Roman"/>
      <w:i/>
      <w:sz w:val="20"/>
      <w:szCs w:val="20"/>
      <w:lang w:eastAsia="en-GB"/>
    </w:rPr>
  </w:style>
  <w:style w:type="character" w:customStyle="1" w:styleId="Heading1Char">
    <w:name w:val="Heading 1 Char"/>
    <w:basedOn w:val="DefaultParagraphFont"/>
    <w:link w:val="Heading1"/>
    <w:uiPriority w:val="9"/>
    <w:rsid w:val="00DF5616"/>
    <w:rPr>
      <w:rFonts w:ascii="Arial" w:eastAsiaTheme="majorEastAsia" w:hAnsi="Arial" w:cstheme="majorBidi"/>
      <w:b/>
      <w:bCs/>
      <w:sz w:val="24"/>
      <w:szCs w:val="28"/>
      <w:lang w:eastAsia="en-US"/>
    </w:rPr>
  </w:style>
  <w:style w:type="character" w:customStyle="1" w:styleId="Heading2Char">
    <w:name w:val="Heading 2 Char"/>
    <w:basedOn w:val="DefaultParagraphFont"/>
    <w:link w:val="Heading2"/>
    <w:uiPriority w:val="9"/>
    <w:rsid w:val="00DF5616"/>
    <w:rPr>
      <w:rFonts w:ascii="Arial" w:eastAsiaTheme="majorEastAsia" w:hAnsi="Arial" w:cstheme="majorBidi"/>
      <w:bCs/>
      <w:sz w:val="24"/>
      <w:szCs w:val="26"/>
      <w:lang w:eastAsia="en-US"/>
    </w:rPr>
  </w:style>
  <w:style w:type="character" w:customStyle="1" w:styleId="Heading3Char">
    <w:name w:val="Heading 3 Char"/>
    <w:basedOn w:val="DefaultParagraphFont"/>
    <w:link w:val="Heading3"/>
    <w:uiPriority w:val="9"/>
    <w:rsid w:val="00DF5616"/>
    <w:rPr>
      <w:rFonts w:ascii="Arial" w:eastAsiaTheme="majorEastAsia" w:hAnsi="Arial" w:cstheme="majorBidi"/>
      <w:bCs/>
      <w:sz w:val="24"/>
      <w:lang w:eastAsia="en-US"/>
    </w:rPr>
  </w:style>
  <w:style w:type="character" w:customStyle="1" w:styleId="Heading4Char">
    <w:name w:val="Heading 4 Char"/>
    <w:basedOn w:val="DefaultParagraphFont"/>
    <w:link w:val="Heading4"/>
    <w:uiPriority w:val="9"/>
    <w:rsid w:val="00DF5616"/>
    <w:rPr>
      <w:rFonts w:asciiTheme="majorHAnsi" w:eastAsiaTheme="majorEastAsia" w:hAnsiTheme="majorHAnsi" w:cstheme="majorBidi"/>
      <w:b/>
      <w:bCs/>
      <w:i/>
      <w:iCs/>
      <w:color w:val="5B9BD5" w:themeColor="accent1"/>
      <w:sz w:val="24"/>
      <w:lang w:eastAsia="en-US"/>
    </w:rPr>
  </w:style>
  <w:style w:type="character" w:customStyle="1" w:styleId="Heading5Char">
    <w:name w:val="Heading 5 Char"/>
    <w:basedOn w:val="DefaultParagraphFont"/>
    <w:link w:val="Heading5"/>
    <w:uiPriority w:val="9"/>
    <w:rsid w:val="00DF5616"/>
    <w:rPr>
      <w:rFonts w:asciiTheme="majorHAnsi" w:eastAsiaTheme="majorEastAsia" w:hAnsiTheme="majorHAnsi" w:cstheme="majorBidi"/>
      <w:color w:val="1F4D78" w:themeColor="accent1" w:themeShade="7F"/>
      <w:sz w:val="24"/>
      <w:lang w:eastAsia="en-US"/>
    </w:rPr>
  </w:style>
  <w:style w:type="character" w:customStyle="1" w:styleId="Heading6Char">
    <w:name w:val="Heading 6 Char"/>
    <w:basedOn w:val="DefaultParagraphFont"/>
    <w:link w:val="Heading6"/>
    <w:uiPriority w:val="9"/>
    <w:semiHidden/>
    <w:rsid w:val="00DF5616"/>
    <w:rPr>
      <w:rFonts w:asciiTheme="majorHAnsi" w:eastAsiaTheme="majorEastAsia" w:hAnsiTheme="majorHAnsi" w:cstheme="majorBidi"/>
      <w:i/>
      <w:iCs/>
      <w:color w:val="1F4D78" w:themeColor="accent1" w:themeShade="7F"/>
      <w:sz w:val="24"/>
      <w:lang w:eastAsia="en-US"/>
    </w:rPr>
  </w:style>
  <w:style w:type="character" w:customStyle="1" w:styleId="Heading7Char">
    <w:name w:val="Heading 7 Char"/>
    <w:basedOn w:val="DefaultParagraphFont"/>
    <w:link w:val="Heading7"/>
    <w:uiPriority w:val="9"/>
    <w:semiHidden/>
    <w:rsid w:val="00DF5616"/>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DF5616"/>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F5616"/>
    <w:rPr>
      <w:rFonts w:asciiTheme="majorHAnsi" w:eastAsiaTheme="majorEastAsia" w:hAnsiTheme="majorHAnsi" w:cstheme="majorBidi"/>
      <w:i/>
      <w:iCs/>
      <w:color w:val="404040" w:themeColor="text1" w:themeTint="BF"/>
      <w:sz w:val="20"/>
      <w:szCs w:val="20"/>
      <w:lang w:eastAsia="en-US"/>
    </w:rPr>
  </w:style>
  <w:style w:type="paragraph" w:styleId="BalloonText">
    <w:name w:val="Balloon Text"/>
    <w:basedOn w:val="Normal"/>
    <w:link w:val="BalloonTextChar"/>
    <w:uiPriority w:val="99"/>
    <w:semiHidden/>
    <w:unhideWhenUsed/>
    <w:rsid w:val="00DF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16"/>
    <w:rPr>
      <w:rFonts w:ascii="Tahoma" w:hAnsi="Tahoma" w:cs="Tahoma"/>
      <w:sz w:val="16"/>
      <w:szCs w:val="16"/>
    </w:rPr>
  </w:style>
  <w:style w:type="character" w:styleId="FollowedHyperlink">
    <w:name w:val="FollowedHyperlink"/>
    <w:basedOn w:val="DefaultParagraphFont"/>
    <w:uiPriority w:val="99"/>
    <w:semiHidden/>
    <w:unhideWhenUsed/>
    <w:rsid w:val="0054709C"/>
    <w:rPr>
      <w:color w:val="954F72" w:themeColor="followedHyperlink"/>
      <w:u w:val="single"/>
    </w:rPr>
  </w:style>
  <w:style w:type="paragraph" w:customStyle="1" w:styleId="References">
    <w:name w:val="References"/>
    <w:basedOn w:val="ListNumber"/>
    <w:uiPriority w:val="99"/>
    <w:rsid w:val="001358E3"/>
    <w:pPr>
      <w:suppressAutoHyphens/>
      <w:autoSpaceDE w:val="0"/>
      <w:spacing w:after="0" w:line="240" w:lineRule="auto"/>
      <w:contextualSpacing w:val="0"/>
      <w:jc w:val="both"/>
    </w:pPr>
    <w:rPr>
      <w:rFonts w:eastAsia="Times New Roman" w:cs="Times New Roman"/>
      <w:sz w:val="16"/>
      <w:szCs w:val="20"/>
      <w:lang w:val="en-IE" w:eastAsia="ar-SA"/>
    </w:rPr>
  </w:style>
  <w:style w:type="paragraph" w:styleId="ListNumber">
    <w:name w:val="List Number"/>
    <w:basedOn w:val="Normal"/>
    <w:uiPriority w:val="99"/>
    <w:semiHidden/>
    <w:unhideWhenUsed/>
    <w:rsid w:val="001358E3"/>
    <w:pPr>
      <w:tabs>
        <w:tab w:val="num" w:pos="360"/>
      </w:tabs>
      <w:ind w:left="360" w:hanging="360"/>
      <w:contextualSpacing/>
    </w:pPr>
  </w:style>
  <w:style w:type="table" w:customStyle="1" w:styleId="TableGrid1">
    <w:name w:val="Table Grid1"/>
    <w:basedOn w:val="TableNormal"/>
    <w:next w:val="TableGrid"/>
    <w:rsid w:val="00E514A9"/>
    <w:pPr>
      <w:suppressAutoHyphens/>
      <w:autoSpaceDE w:val="0"/>
      <w:spacing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42"/>
    <w:rPr>
      <w:rFonts w:ascii="Times New Roman" w:hAnsi="Times New Roman"/>
      <w:sz w:val="20"/>
    </w:rPr>
  </w:style>
  <w:style w:type="paragraph" w:styleId="Heading1">
    <w:name w:val="heading 1"/>
    <w:basedOn w:val="Normal"/>
    <w:next w:val="Normal"/>
    <w:link w:val="Heading1Char"/>
    <w:uiPriority w:val="9"/>
    <w:qFormat/>
    <w:rsid w:val="00DF5616"/>
    <w:pPr>
      <w:keepNext/>
      <w:keepLines/>
      <w:numPr>
        <w:numId w:val="15"/>
      </w:numPr>
      <w:spacing w:after="0" w:line="360" w:lineRule="auto"/>
      <w:contextualSpacing/>
      <w:outlineLvl w:val="0"/>
    </w:pPr>
    <w:rPr>
      <w:rFonts w:ascii="Arial" w:eastAsiaTheme="majorEastAsia" w:hAnsi="Arial" w:cstheme="majorBidi"/>
      <w:b/>
      <w:bCs/>
      <w:sz w:val="24"/>
      <w:szCs w:val="28"/>
      <w:lang w:eastAsia="en-US"/>
    </w:rPr>
  </w:style>
  <w:style w:type="paragraph" w:styleId="Heading2">
    <w:name w:val="heading 2"/>
    <w:basedOn w:val="Normal"/>
    <w:next w:val="Normal"/>
    <w:link w:val="Heading2Char"/>
    <w:uiPriority w:val="9"/>
    <w:unhideWhenUsed/>
    <w:qFormat/>
    <w:rsid w:val="00DF5616"/>
    <w:pPr>
      <w:keepNext/>
      <w:keepLines/>
      <w:numPr>
        <w:ilvl w:val="1"/>
        <w:numId w:val="15"/>
      </w:numPr>
      <w:spacing w:after="0" w:line="360" w:lineRule="auto"/>
      <w:contextualSpacing/>
      <w:outlineLvl w:val="1"/>
    </w:pPr>
    <w:rPr>
      <w:rFonts w:ascii="Arial" w:eastAsiaTheme="majorEastAsia" w:hAnsi="Arial" w:cstheme="majorBidi"/>
      <w:bCs/>
      <w:sz w:val="24"/>
      <w:szCs w:val="26"/>
      <w:lang w:eastAsia="en-US"/>
    </w:rPr>
  </w:style>
  <w:style w:type="paragraph" w:styleId="Heading3">
    <w:name w:val="heading 3"/>
    <w:basedOn w:val="Normal"/>
    <w:next w:val="Normal"/>
    <w:link w:val="Heading3Char"/>
    <w:uiPriority w:val="9"/>
    <w:unhideWhenUsed/>
    <w:qFormat/>
    <w:rsid w:val="00DF5616"/>
    <w:pPr>
      <w:keepNext/>
      <w:keepLines/>
      <w:numPr>
        <w:ilvl w:val="2"/>
        <w:numId w:val="15"/>
      </w:numPr>
      <w:spacing w:before="200" w:after="0" w:line="360" w:lineRule="auto"/>
      <w:contextualSpacing/>
      <w:outlineLvl w:val="2"/>
    </w:pPr>
    <w:rPr>
      <w:rFonts w:ascii="Arial" w:eastAsiaTheme="majorEastAsia" w:hAnsi="Arial" w:cstheme="majorBidi"/>
      <w:bCs/>
      <w:sz w:val="24"/>
      <w:lang w:eastAsia="en-US"/>
    </w:rPr>
  </w:style>
  <w:style w:type="paragraph" w:styleId="Heading4">
    <w:name w:val="heading 4"/>
    <w:basedOn w:val="Normal"/>
    <w:next w:val="Normal"/>
    <w:link w:val="Heading4Char"/>
    <w:uiPriority w:val="9"/>
    <w:unhideWhenUsed/>
    <w:qFormat/>
    <w:rsid w:val="00DF5616"/>
    <w:pPr>
      <w:keepNext/>
      <w:keepLines/>
      <w:numPr>
        <w:ilvl w:val="3"/>
        <w:numId w:val="15"/>
      </w:numPr>
      <w:spacing w:before="200" w:after="0" w:line="360" w:lineRule="auto"/>
      <w:contextualSpacing/>
      <w:outlineLvl w:val="3"/>
    </w:pPr>
    <w:rPr>
      <w:rFonts w:asciiTheme="majorHAnsi" w:eastAsiaTheme="majorEastAsia" w:hAnsiTheme="majorHAnsi" w:cstheme="majorBidi"/>
      <w:b/>
      <w:bCs/>
      <w:i/>
      <w:iCs/>
      <w:color w:val="5B9BD5" w:themeColor="accent1"/>
      <w:sz w:val="24"/>
      <w:lang w:eastAsia="en-US"/>
    </w:rPr>
  </w:style>
  <w:style w:type="paragraph" w:styleId="Heading5">
    <w:name w:val="heading 5"/>
    <w:basedOn w:val="Normal"/>
    <w:next w:val="Normal"/>
    <w:link w:val="Heading5Char"/>
    <w:uiPriority w:val="9"/>
    <w:unhideWhenUsed/>
    <w:qFormat/>
    <w:rsid w:val="00DF5616"/>
    <w:pPr>
      <w:keepNext/>
      <w:keepLines/>
      <w:numPr>
        <w:ilvl w:val="4"/>
        <w:numId w:val="15"/>
      </w:numPr>
      <w:spacing w:before="200" w:after="0" w:line="360" w:lineRule="auto"/>
      <w:contextualSpacing/>
      <w:outlineLvl w:val="4"/>
    </w:pPr>
    <w:rPr>
      <w:rFonts w:asciiTheme="majorHAnsi" w:eastAsiaTheme="majorEastAsia" w:hAnsiTheme="majorHAnsi" w:cstheme="majorBidi"/>
      <w:color w:val="1F4D78" w:themeColor="accent1" w:themeShade="7F"/>
      <w:sz w:val="24"/>
      <w:lang w:eastAsia="en-US"/>
    </w:rPr>
  </w:style>
  <w:style w:type="paragraph" w:styleId="Heading6">
    <w:name w:val="heading 6"/>
    <w:basedOn w:val="Normal"/>
    <w:next w:val="Normal"/>
    <w:link w:val="Heading6Char"/>
    <w:uiPriority w:val="9"/>
    <w:semiHidden/>
    <w:unhideWhenUsed/>
    <w:qFormat/>
    <w:rsid w:val="00DF5616"/>
    <w:pPr>
      <w:keepNext/>
      <w:keepLines/>
      <w:numPr>
        <w:ilvl w:val="5"/>
        <w:numId w:val="15"/>
      </w:numPr>
      <w:spacing w:before="200" w:after="0" w:line="360" w:lineRule="auto"/>
      <w:contextualSpacing/>
      <w:outlineLvl w:val="5"/>
    </w:pPr>
    <w:rPr>
      <w:rFonts w:asciiTheme="majorHAnsi" w:eastAsiaTheme="majorEastAsia" w:hAnsiTheme="majorHAnsi" w:cstheme="majorBidi"/>
      <w:i/>
      <w:iCs/>
      <w:color w:val="1F4D78" w:themeColor="accent1" w:themeShade="7F"/>
      <w:sz w:val="24"/>
      <w:lang w:eastAsia="en-US"/>
    </w:rPr>
  </w:style>
  <w:style w:type="paragraph" w:styleId="Heading7">
    <w:name w:val="heading 7"/>
    <w:basedOn w:val="Normal"/>
    <w:next w:val="Normal"/>
    <w:link w:val="Heading7Char"/>
    <w:uiPriority w:val="9"/>
    <w:semiHidden/>
    <w:unhideWhenUsed/>
    <w:qFormat/>
    <w:rsid w:val="00DF5616"/>
    <w:pPr>
      <w:keepNext/>
      <w:keepLines/>
      <w:numPr>
        <w:ilvl w:val="6"/>
        <w:numId w:val="15"/>
      </w:numPr>
      <w:spacing w:before="200" w:after="0" w:line="360" w:lineRule="auto"/>
      <w:contextualSpacing/>
      <w:outlineLvl w:val="6"/>
    </w:pPr>
    <w:rPr>
      <w:rFonts w:asciiTheme="majorHAnsi" w:eastAsiaTheme="majorEastAsia" w:hAnsiTheme="majorHAnsi" w:cstheme="majorBidi"/>
      <w:i/>
      <w:iCs/>
      <w:color w:val="404040" w:themeColor="text1" w:themeTint="BF"/>
      <w:sz w:val="24"/>
      <w:lang w:eastAsia="en-US"/>
    </w:rPr>
  </w:style>
  <w:style w:type="paragraph" w:styleId="Heading8">
    <w:name w:val="heading 8"/>
    <w:basedOn w:val="Normal"/>
    <w:next w:val="Normal"/>
    <w:link w:val="Heading8Char"/>
    <w:uiPriority w:val="9"/>
    <w:semiHidden/>
    <w:unhideWhenUsed/>
    <w:qFormat/>
    <w:rsid w:val="00DF5616"/>
    <w:pPr>
      <w:keepNext/>
      <w:keepLines/>
      <w:numPr>
        <w:ilvl w:val="7"/>
        <w:numId w:val="15"/>
      </w:numPr>
      <w:spacing w:before="200" w:after="0" w:line="360" w:lineRule="auto"/>
      <w:contextualSpacing/>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9"/>
    <w:semiHidden/>
    <w:unhideWhenUsed/>
    <w:qFormat/>
    <w:rsid w:val="00DF5616"/>
    <w:pPr>
      <w:keepNext/>
      <w:keepLines/>
      <w:numPr>
        <w:ilvl w:val="8"/>
        <w:numId w:val="15"/>
      </w:numPr>
      <w:spacing w:before="200" w:after="0" w:line="360" w:lineRule="auto"/>
      <w:contextualSpacing/>
      <w:outlineLvl w:val="8"/>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next w:val="Normal"/>
    <w:rsid w:val="006C43BA"/>
    <w:pPr>
      <w:suppressAutoHyphens/>
      <w:overflowPunct w:val="0"/>
      <w:autoSpaceDE w:val="0"/>
      <w:autoSpaceDN w:val="0"/>
      <w:adjustRightInd w:val="0"/>
      <w:spacing w:before="120" w:after="0" w:line="200" w:lineRule="atLeast"/>
      <w:ind w:left="238"/>
      <w:textAlignment w:val="baseline"/>
    </w:pPr>
    <w:rPr>
      <w:rFonts w:ascii="Times" w:eastAsia="MS Mincho" w:hAnsi="Times" w:cs="Times New Roman"/>
      <w:sz w:val="17"/>
      <w:szCs w:val="20"/>
      <w:lang w:eastAsia="de-DE"/>
    </w:rPr>
  </w:style>
  <w:style w:type="character" w:styleId="Hyperlink">
    <w:name w:val="Hyperlink"/>
    <w:basedOn w:val="DefaultParagraphFont"/>
    <w:uiPriority w:val="99"/>
    <w:unhideWhenUsed/>
    <w:rsid w:val="00782010"/>
    <w:rPr>
      <w:color w:val="0563C1" w:themeColor="hyperlink"/>
      <w:u w:val="single"/>
    </w:rPr>
  </w:style>
  <w:style w:type="paragraph" w:customStyle="1" w:styleId="esireferences">
    <w:name w:val="esireferences"/>
    <w:basedOn w:val="Normal"/>
    <w:rsid w:val="0013616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36161"/>
  </w:style>
  <w:style w:type="paragraph" w:customStyle="1" w:styleId="figlegend">
    <w:name w:val="figlegend"/>
    <w:basedOn w:val="Normal"/>
    <w:next w:val="Normal"/>
    <w:qFormat/>
    <w:rsid w:val="000418A7"/>
    <w:pPr>
      <w:keepLines/>
      <w:overflowPunct w:val="0"/>
      <w:autoSpaceDE w:val="0"/>
      <w:autoSpaceDN w:val="0"/>
      <w:adjustRightInd w:val="0"/>
      <w:spacing w:before="60" w:after="0" w:line="200" w:lineRule="atLeast"/>
      <w:jc w:val="both"/>
      <w:textAlignment w:val="baseline"/>
    </w:pPr>
    <w:rPr>
      <w:rFonts w:ascii="Times" w:eastAsia="MS Mincho" w:hAnsi="Times" w:cs="Times New Roman"/>
      <w:sz w:val="17"/>
      <w:szCs w:val="20"/>
      <w:lang w:eastAsia="de-DE"/>
    </w:rPr>
  </w:style>
  <w:style w:type="table" w:styleId="TableGrid">
    <w:name w:val="Table Grid"/>
    <w:basedOn w:val="TableNormal"/>
    <w:uiPriority w:val="59"/>
    <w:rsid w:val="0004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C12"/>
    <w:pPr>
      <w:ind w:left="720"/>
      <w:contextualSpacing/>
    </w:pPr>
  </w:style>
  <w:style w:type="paragraph" w:customStyle="1" w:styleId="Default">
    <w:name w:val="Default"/>
    <w:rsid w:val="0041571C"/>
    <w:pPr>
      <w:widowControl w:val="0"/>
      <w:autoSpaceDE w:val="0"/>
      <w:autoSpaceDN w:val="0"/>
      <w:adjustRightInd w:val="0"/>
      <w:spacing w:after="0" w:line="240" w:lineRule="auto"/>
    </w:pPr>
    <w:rPr>
      <w:rFonts w:ascii="Times New Roman" w:eastAsia="Malgun Gothic" w:hAnsi="Times New Roman" w:cs="Times New Roman"/>
      <w:color w:val="000000"/>
      <w:sz w:val="24"/>
      <w:szCs w:val="24"/>
      <w:lang w:val="en-US" w:eastAsia="en-US"/>
    </w:rPr>
  </w:style>
  <w:style w:type="paragraph" w:customStyle="1" w:styleId="Address">
    <w:name w:val="Address"/>
    <w:basedOn w:val="Normal"/>
    <w:rsid w:val="00462B83"/>
    <w:pPr>
      <w:overflowPunct w:val="0"/>
      <w:autoSpaceDE w:val="0"/>
      <w:autoSpaceDN w:val="0"/>
      <w:adjustRightInd w:val="0"/>
      <w:spacing w:before="120" w:after="0" w:line="240" w:lineRule="exact"/>
      <w:textAlignment w:val="baseline"/>
    </w:pPr>
    <w:rPr>
      <w:rFonts w:eastAsia="Times New Roman" w:cs="Times New Roman"/>
      <w:b/>
      <w:i/>
      <w:szCs w:val="20"/>
      <w:lang w:eastAsia="en-GB"/>
    </w:rPr>
  </w:style>
  <w:style w:type="paragraph" w:styleId="Caption">
    <w:name w:val="caption"/>
    <w:basedOn w:val="Normal"/>
    <w:next w:val="Normal"/>
    <w:link w:val="CaptionChar"/>
    <w:uiPriority w:val="35"/>
    <w:qFormat/>
    <w:rsid w:val="00260BA0"/>
    <w:pPr>
      <w:overflowPunct w:val="0"/>
      <w:autoSpaceDE w:val="0"/>
      <w:autoSpaceDN w:val="0"/>
      <w:adjustRightInd w:val="0"/>
      <w:spacing w:before="120" w:after="0" w:line="240" w:lineRule="auto"/>
      <w:textAlignment w:val="baseline"/>
    </w:pPr>
    <w:rPr>
      <w:rFonts w:eastAsia="Times New Roman" w:cs="Times New Roman"/>
      <w:i/>
      <w:szCs w:val="20"/>
      <w:lang w:eastAsia="en-GB"/>
    </w:rPr>
  </w:style>
  <w:style w:type="character" w:customStyle="1" w:styleId="CaptionChar">
    <w:name w:val="Caption Char"/>
    <w:basedOn w:val="DefaultParagraphFont"/>
    <w:link w:val="Caption"/>
    <w:rsid w:val="00260BA0"/>
    <w:rPr>
      <w:rFonts w:ascii="Times New Roman" w:eastAsia="Times New Roman" w:hAnsi="Times New Roman" w:cs="Times New Roman"/>
      <w:i/>
      <w:sz w:val="20"/>
      <w:szCs w:val="20"/>
      <w:lang w:eastAsia="en-GB"/>
    </w:rPr>
  </w:style>
  <w:style w:type="character" w:customStyle="1" w:styleId="Heading1Char">
    <w:name w:val="Heading 1 Char"/>
    <w:basedOn w:val="DefaultParagraphFont"/>
    <w:link w:val="Heading1"/>
    <w:uiPriority w:val="9"/>
    <w:rsid w:val="00DF5616"/>
    <w:rPr>
      <w:rFonts w:ascii="Arial" w:eastAsiaTheme="majorEastAsia" w:hAnsi="Arial" w:cstheme="majorBidi"/>
      <w:b/>
      <w:bCs/>
      <w:sz w:val="24"/>
      <w:szCs w:val="28"/>
      <w:lang w:eastAsia="en-US"/>
    </w:rPr>
  </w:style>
  <w:style w:type="character" w:customStyle="1" w:styleId="Heading2Char">
    <w:name w:val="Heading 2 Char"/>
    <w:basedOn w:val="DefaultParagraphFont"/>
    <w:link w:val="Heading2"/>
    <w:uiPriority w:val="9"/>
    <w:rsid w:val="00DF5616"/>
    <w:rPr>
      <w:rFonts w:ascii="Arial" w:eastAsiaTheme="majorEastAsia" w:hAnsi="Arial" w:cstheme="majorBidi"/>
      <w:bCs/>
      <w:sz w:val="24"/>
      <w:szCs w:val="26"/>
      <w:lang w:eastAsia="en-US"/>
    </w:rPr>
  </w:style>
  <w:style w:type="character" w:customStyle="1" w:styleId="Heading3Char">
    <w:name w:val="Heading 3 Char"/>
    <w:basedOn w:val="DefaultParagraphFont"/>
    <w:link w:val="Heading3"/>
    <w:uiPriority w:val="9"/>
    <w:rsid w:val="00DF5616"/>
    <w:rPr>
      <w:rFonts w:ascii="Arial" w:eastAsiaTheme="majorEastAsia" w:hAnsi="Arial" w:cstheme="majorBidi"/>
      <w:bCs/>
      <w:sz w:val="24"/>
      <w:lang w:eastAsia="en-US"/>
    </w:rPr>
  </w:style>
  <w:style w:type="character" w:customStyle="1" w:styleId="Heading4Char">
    <w:name w:val="Heading 4 Char"/>
    <w:basedOn w:val="DefaultParagraphFont"/>
    <w:link w:val="Heading4"/>
    <w:uiPriority w:val="9"/>
    <w:rsid w:val="00DF5616"/>
    <w:rPr>
      <w:rFonts w:asciiTheme="majorHAnsi" w:eastAsiaTheme="majorEastAsia" w:hAnsiTheme="majorHAnsi" w:cstheme="majorBidi"/>
      <w:b/>
      <w:bCs/>
      <w:i/>
      <w:iCs/>
      <w:color w:val="5B9BD5" w:themeColor="accent1"/>
      <w:sz w:val="24"/>
      <w:lang w:eastAsia="en-US"/>
    </w:rPr>
  </w:style>
  <w:style w:type="character" w:customStyle="1" w:styleId="Heading5Char">
    <w:name w:val="Heading 5 Char"/>
    <w:basedOn w:val="DefaultParagraphFont"/>
    <w:link w:val="Heading5"/>
    <w:uiPriority w:val="9"/>
    <w:rsid w:val="00DF5616"/>
    <w:rPr>
      <w:rFonts w:asciiTheme="majorHAnsi" w:eastAsiaTheme="majorEastAsia" w:hAnsiTheme="majorHAnsi" w:cstheme="majorBidi"/>
      <w:color w:val="1F4D78" w:themeColor="accent1" w:themeShade="7F"/>
      <w:sz w:val="24"/>
      <w:lang w:eastAsia="en-US"/>
    </w:rPr>
  </w:style>
  <w:style w:type="character" w:customStyle="1" w:styleId="Heading6Char">
    <w:name w:val="Heading 6 Char"/>
    <w:basedOn w:val="DefaultParagraphFont"/>
    <w:link w:val="Heading6"/>
    <w:uiPriority w:val="9"/>
    <w:semiHidden/>
    <w:rsid w:val="00DF5616"/>
    <w:rPr>
      <w:rFonts w:asciiTheme="majorHAnsi" w:eastAsiaTheme="majorEastAsia" w:hAnsiTheme="majorHAnsi" w:cstheme="majorBidi"/>
      <w:i/>
      <w:iCs/>
      <w:color w:val="1F4D78" w:themeColor="accent1" w:themeShade="7F"/>
      <w:sz w:val="24"/>
      <w:lang w:eastAsia="en-US"/>
    </w:rPr>
  </w:style>
  <w:style w:type="character" w:customStyle="1" w:styleId="Heading7Char">
    <w:name w:val="Heading 7 Char"/>
    <w:basedOn w:val="DefaultParagraphFont"/>
    <w:link w:val="Heading7"/>
    <w:uiPriority w:val="9"/>
    <w:semiHidden/>
    <w:rsid w:val="00DF5616"/>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DF5616"/>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F5616"/>
    <w:rPr>
      <w:rFonts w:asciiTheme="majorHAnsi" w:eastAsiaTheme="majorEastAsia" w:hAnsiTheme="majorHAnsi" w:cstheme="majorBidi"/>
      <w:i/>
      <w:iCs/>
      <w:color w:val="404040" w:themeColor="text1" w:themeTint="BF"/>
      <w:sz w:val="20"/>
      <w:szCs w:val="20"/>
      <w:lang w:eastAsia="en-US"/>
    </w:rPr>
  </w:style>
  <w:style w:type="paragraph" w:styleId="BalloonText">
    <w:name w:val="Balloon Text"/>
    <w:basedOn w:val="Normal"/>
    <w:link w:val="BalloonTextChar"/>
    <w:uiPriority w:val="99"/>
    <w:semiHidden/>
    <w:unhideWhenUsed/>
    <w:rsid w:val="00DF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16"/>
    <w:rPr>
      <w:rFonts w:ascii="Tahoma" w:hAnsi="Tahoma" w:cs="Tahoma"/>
      <w:sz w:val="16"/>
      <w:szCs w:val="16"/>
    </w:rPr>
  </w:style>
  <w:style w:type="character" w:styleId="FollowedHyperlink">
    <w:name w:val="FollowedHyperlink"/>
    <w:basedOn w:val="DefaultParagraphFont"/>
    <w:uiPriority w:val="99"/>
    <w:semiHidden/>
    <w:unhideWhenUsed/>
    <w:rsid w:val="0054709C"/>
    <w:rPr>
      <w:color w:val="954F72" w:themeColor="followedHyperlink"/>
      <w:u w:val="single"/>
    </w:rPr>
  </w:style>
  <w:style w:type="paragraph" w:customStyle="1" w:styleId="References">
    <w:name w:val="References"/>
    <w:basedOn w:val="ListNumber"/>
    <w:uiPriority w:val="99"/>
    <w:rsid w:val="001358E3"/>
    <w:pPr>
      <w:suppressAutoHyphens/>
      <w:autoSpaceDE w:val="0"/>
      <w:spacing w:after="0" w:line="240" w:lineRule="auto"/>
      <w:contextualSpacing w:val="0"/>
      <w:jc w:val="both"/>
    </w:pPr>
    <w:rPr>
      <w:rFonts w:eastAsia="Times New Roman" w:cs="Times New Roman"/>
      <w:sz w:val="16"/>
      <w:szCs w:val="20"/>
      <w:lang w:val="en-IE" w:eastAsia="ar-SA"/>
    </w:rPr>
  </w:style>
  <w:style w:type="paragraph" w:styleId="ListNumber">
    <w:name w:val="List Number"/>
    <w:basedOn w:val="Normal"/>
    <w:uiPriority w:val="99"/>
    <w:semiHidden/>
    <w:unhideWhenUsed/>
    <w:rsid w:val="001358E3"/>
    <w:pPr>
      <w:tabs>
        <w:tab w:val="num" w:pos="360"/>
      </w:tabs>
      <w:ind w:left="360" w:hanging="360"/>
      <w:contextualSpacing/>
    </w:pPr>
  </w:style>
  <w:style w:type="table" w:customStyle="1" w:styleId="TableGrid1">
    <w:name w:val="Table Grid1"/>
    <w:basedOn w:val="TableNormal"/>
    <w:next w:val="TableGrid"/>
    <w:rsid w:val="00E514A9"/>
    <w:pPr>
      <w:suppressAutoHyphens/>
      <w:autoSpaceDE w:val="0"/>
      <w:spacing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7979">
      <w:bodyDiv w:val="1"/>
      <w:marLeft w:val="0"/>
      <w:marRight w:val="0"/>
      <w:marTop w:val="0"/>
      <w:marBottom w:val="0"/>
      <w:divBdr>
        <w:top w:val="none" w:sz="0" w:space="0" w:color="auto"/>
        <w:left w:val="none" w:sz="0" w:space="0" w:color="auto"/>
        <w:bottom w:val="none" w:sz="0" w:space="0" w:color="auto"/>
        <w:right w:val="none" w:sz="0" w:space="0" w:color="auto"/>
      </w:divBdr>
    </w:div>
    <w:div w:id="1101026898">
      <w:bodyDiv w:val="1"/>
      <w:marLeft w:val="0"/>
      <w:marRight w:val="0"/>
      <w:marTop w:val="0"/>
      <w:marBottom w:val="0"/>
      <w:divBdr>
        <w:top w:val="none" w:sz="0" w:space="0" w:color="auto"/>
        <w:left w:val="none" w:sz="0" w:space="0" w:color="auto"/>
        <w:bottom w:val="none" w:sz="0" w:space="0" w:color="auto"/>
        <w:right w:val="none" w:sz="0" w:space="0" w:color="auto"/>
      </w:divBdr>
    </w:div>
    <w:div w:id="1723364061">
      <w:bodyDiv w:val="1"/>
      <w:marLeft w:val="0"/>
      <w:marRight w:val="0"/>
      <w:marTop w:val="0"/>
      <w:marBottom w:val="0"/>
      <w:divBdr>
        <w:top w:val="none" w:sz="0" w:space="0" w:color="auto"/>
        <w:left w:val="none" w:sz="0" w:space="0" w:color="auto"/>
        <w:bottom w:val="none" w:sz="0" w:space="0" w:color="auto"/>
        <w:right w:val="none" w:sz="0" w:space="0" w:color="auto"/>
      </w:divBdr>
    </w:div>
    <w:div w:id="21143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cademy.ac.uk/sites/default/files/bim_june20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mtaskgroup.org/bim-academic-forum-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wrap.org.uk/sites/files/wrap/Highways%20_%20FINAL.pd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adie@ulster.ac.uk" TargetMode="External"/><Relationship Id="rId14" Type="http://schemas.openxmlformats.org/officeDocument/2006/relationships/hyperlink" Target="http://www.bimtaskgroup.org/wp-content/uploads/2012/03/BIS-BIM-strategy-Repor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Dropbox\Private\Mark%20Rice%20Galway\BIM%20Pedagogy%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075654975296478"/>
          <c:y val="1.168943789052152E-2"/>
          <c:w val="0.610511154855643"/>
          <c:h val="0.90396834093927236"/>
        </c:manualLayout>
      </c:layout>
      <c:barChart>
        <c:barDir val="bar"/>
        <c:grouping val="percentStacked"/>
        <c:varyColors val="0"/>
        <c:ser>
          <c:idx val="0"/>
          <c:order val="0"/>
          <c:tx>
            <c:strRef>
              <c:f>Sheet2!$C$54</c:f>
              <c:strCache>
                <c:ptCount val="1"/>
                <c:pt idx="0">
                  <c:v>1 Not at all Relevant</c:v>
                </c:pt>
              </c:strCache>
            </c:strRef>
          </c:tx>
          <c:invertIfNegative val="0"/>
          <c:dLbls>
            <c:dLbl>
              <c:idx val="0"/>
              <c:showLegendKey val="0"/>
              <c:showVal val="1"/>
              <c:showCatName val="0"/>
              <c:showSerName val="0"/>
              <c:showPercent val="0"/>
              <c:showBubbleSize val="0"/>
            </c:dLbl>
            <c:dLbl>
              <c:idx val="2"/>
              <c:showLegendKey val="0"/>
              <c:showVal val="1"/>
              <c:showCatName val="0"/>
              <c:showSerName val="0"/>
              <c:showPercent val="0"/>
              <c:showBubbleSize val="0"/>
            </c:dLbl>
            <c:dLbl>
              <c:idx val="4"/>
              <c:showLegendKey val="0"/>
              <c:showVal val="1"/>
              <c:showCatName val="0"/>
              <c:showSerName val="0"/>
              <c:showPercent val="0"/>
              <c:showBubbleSize val="0"/>
            </c:dLbl>
            <c:dLbl>
              <c:idx val="6"/>
              <c:showLegendKey val="0"/>
              <c:showVal val="1"/>
              <c:showCatName val="0"/>
              <c:showSerName val="0"/>
              <c:showPercent val="0"/>
              <c:showBubbleSize val="0"/>
            </c:dLbl>
            <c:dLbl>
              <c:idx val="8"/>
              <c:showLegendKey val="0"/>
              <c:showVal val="1"/>
              <c:showCatName val="0"/>
              <c:showSerName val="0"/>
              <c:showPercent val="0"/>
              <c:showBubbleSize val="0"/>
            </c:dLbl>
            <c:dLbl>
              <c:idx val="10"/>
              <c:showLegendKey val="0"/>
              <c:showVal val="1"/>
              <c:showCatName val="0"/>
              <c:showSerName val="0"/>
              <c:showPercent val="0"/>
              <c:showBubbleSize val="0"/>
            </c:dLbl>
            <c:dLbl>
              <c:idx val="12"/>
              <c:showLegendKey val="0"/>
              <c:showVal val="1"/>
              <c:showCatName val="0"/>
              <c:showSerName val="0"/>
              <c:showPercent val="0"/>
              <c:showBubbleSize val="0"/>
            </c:dLbl>
            <c:dLbl>
              <c:idx val="14"/>
              <c:showLegendKey val="0"/>
              <c:showVal val="1"/>
              <c:showCatName val="0"/>
              <c:showSerName val="0"/>
              <c:showPercent val="0"/>
              <c:showBubbleSize val="0"/>
            </c:dLbl>
            <c:dLbl>
              <c:idx val="16"/>
              <c:showLegendKey val="0"/>
              <c:showVal val="1"/>
              <c:showCatName val="0"/>
              <c:showSerName val="0"/>
              <c:showPercent val="0"/>
              <c:showBubbleSize val="0"/>
            </c:dLbl>
            <c:dLbl>
              <c:idx val="18"/>
              <c:showLegendKey val="0"/>
              <c:showVal val="1"/>
              <c:showCatName val="0"/>
              <c:showSerName val="0"/>
              <c:showPercent val="0"/>
              <c:showBubbleSize val="0"/>
            </c:dLbl>
            <c:dLbl>
              <c:idx val="20"/>
              <c:showLegendKey val="0"/>
              <c:showVal val="1"/>
              <c:showCatName val="0"/>
              <c:showSerName val="0"/>
              <c:showPercent val="0"/>
              <c:showBubbleSize val="0"/>
            </c:dLbl>
            <c:dLbl>
              <c:idx val="22"/>
              <c:showLegendKey val="0"/>
              <c:showVal val="1"/>
              <c:showCatName val="0"/>
              <c:showSerName val="0"/>
              <c:showPercent val="0"/>
              <c:showBubbleSize val="0"/>
            </c:dLbl>
            <c:dLbl>
              <c:idx val="24"/>
              <c:showLegendKey val="0"/>
              <c:showVal val="1"/>
              <c:showCatName val="0"/>
              <c:showSerName val="0"/>
              <c:showPercent val="0"/>
              <c:showBubbleSize val="0"/>
            </c:dLbl>
            <c:dLbl>
              <c:idx val="26"/>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dLbls>
          <c:cat>
            <c:strRef>
              <c:f>Sheet2!$B$55:$B$82</c:f>
              <c:strCache>
                <c:ptCount val="28"/>
                <c:pt idx="0">
                  <c:v>14.Accessing data - H</c:v>
                </c:pt>
                <c:pt idx="1">
                  <c:v>14.Accessing data - S</c:v>
                </c:pt>
                <c:pt idx="2">
                  <c:v>13.CDE - H</c:v>
                </c:pt>
                <c:pt idx="3">
                  <c:v>13.CDE - S</c:v>
                </c:pt>
                <c:pt idx="4">
                  <c:v>12.Collaboration Tools-H</c:v>
                </c:pt>
                <c:pt idx="5">
                  <c:v>12.Collaboration Tools-S</c:v>
                </c:pt>
                <c:pt idx="6">
                  <c:v>11.PAS1192:3 - H</c:v>
                </c:pt>
                <c:pt idx="7">
                  <c:v>11.PAS1192:3 - S</c:v>
                </c:pt>
                <c:pt idx="8">
                  <c:v>10.BIM Data maturity - H</c:v>
                </c:pt>
                <c:pt idx="9">
                  <c:v>10.BIM Data maturity - S</c:v>
                </c:pt>
                <c:pt idx="10">
                  <c:v>9. COBie - H</c:v>
                </c:pt>
                <c:pt idx="11">
                  <c:v>9. COBie - S</c:v>
                </c:pt>
                <c:pt idx="12">
                  <c:v>8.BIM Protocols - H</c:v>
                </c:pt>
                <c:pt idx="13">
                  <c:v>8.BIM Protocols - S</c:v>
                </c:pt>
                <c:pt idx="14">
                  <c:v>7.Change Management - H</c:v>
                </c:pt>
                <c:pt idx="15">
                  <c:v>7.Change Management - S</c:v>
                </c:pt>
                <c:pt idx="16">
                  <c:v>6.Sustainable Construction - H</c:v>
                </c:pt>
                <c:pt idx="17">
                  <c:v>6.Sustainable Construction - S</c:v>
                </c:pt>
                <c:pt idx="18">
                  <c:v>5.Big Data - H</c:v>
                </c:pt>
                <c:pt idx="19">
                  <c:v>5.Big Data - S</c:v>
                </c:pt>
                <c:pt idx="20">
                  <c:v>4.BIM Roles - H</c:v>
                </c:pt>
                <c:pt idx="21">
                  <c:v>4.BIM Roles - S</c:v>
                </c:pt>
                <c:pt idx="22">
                  <c:v>3.BIM Case studies - H</c:v>
                </c:pt>
                <c:pt idx="23">
                  <c:v>3.BIM Case studies - S</c:v>
                </c:pt>
                <c:pt idx="24">
                  <c:v>2.Service diversification - H</c:v>
                </c:pt>
                <c:pt idx="25">
                  <c:v>2.Service diversification - S</c:v>
                </c:pt>
                <c:pt idx="26">
                  <c:v>1.Productivity-H</c:v>
                </c:pt>
                <c:pt idx="27">
                  <c:v>1.Productivity -S</c:v>
                </c:pt>
              </c:strCache>
            </c:strRef>
          </c:cat>
          <c:val>
            <c:numRef>
              <c:f>Sheet2!$C$55:$C$82</c:f>
              <c:numCache>
                <c:formatCode>0%</c:formatCode>
                <c:ptCount val="28"/>
                <c:pt idx="0">
                  <c:v>7.0000000000000007E-2</c:v>
                </c:pt>
                <c:pt idx="1">
                  <c:v>0</c:v>
                </c:pt>
                <c:pt idx="2">
                  <c:v>7.0000000000000007E-2</c:v>
                </c:pt>
                <c:pt idx="3">
                  <c:v>0</c:v>
                </c:pt>
                <c:pt idx="4">
                  <c:v>7.0000000000000007E-2</c:v>
                </c:pt>
                <c:pt idx="5">
                  <c:v>0</c:v>
                </c:pt>
                <c:pt idx="6">
                  <c:v>7.0000000000000007E-2</c:v>
                </c:pt>
                <c:pt idx="7">
                  <c:v>0</c:v>
                </c:pt>
                <c:pt idx="8">
                  <c:v>7.0000000000000007E-2</c:v>
                </c:pt>
                <c:pt idx="9">
                  <c:v>0</c:v>
                </c:pt>
                <c:pt idx="10">
                  <c:v>7.0000000000000007E-2</c:v>
                </c:pt>
                <c:pt idx="11">
                  <c:v>0</c:v>
                </c:pt>
                <c:pt idx="12">
                  <c:v>7.0000000000000007E-2</c:v>
                </c:pt>
                <c:pt idx="13">
                  <c:v>0</c:v>
                </c:pt>
                <c:pt idx="14">
                  <c:v>7.0000000000000007E-2</c:v>
                </c:pt>
                <c:pt idx="15">
                  <c:v>0</c:v>
                </c:pt>
                <c:pt idx="16">
                  <c:v>7.0000000000000007E-2</c:v>
                </c:pt>
                <c:pt idx="17">
                  <c:v>0</c:v>
                </c:pt>
                <c:pt idx="18">
                  <c:v>7.0000000000000007E-2</c:v>
                </c:pt>
                <c:pt idx="19">
                  <c:v>0</c:v>
                </c:pt>
                <c:pt idx="20">
                  <c:v>7.0000000000000007E-2</c:v>
                </c:pt>
                <c:pt idx="21">
                  <c:v>0</c:v>
                </c:pt>
                <c:pt idx="22">
                  <c:v>7.0000000000000007E-2</c:v>
                </c:pt>
                <c:pt idx="23">
                  <c:v>0</c:v>
                </c:pt>
                <c:pt idx="24">
                  <c:v>7.0000000000000007E-2</c:v>
                </c:pt>
                <c:pt idx="25">
                  <c:v>0</c:v>
                </c:pt>
                <c:pt idx="26">
                  <c:v>7.0000000000000007E-2</c:v>
                </c:pt>
                <c:pt idx="27">
                  <c:v>0</c:v>
                </c:pt>
              </c:numCache>
            </c:numRef>
          </c:val>
        </c:ser>
        <c:ser>
          <c:idx val="1"/>
          <c:order val="1"/>
          <c:tx>
            <c:strRef>
              <c:f>Sheet2!$D$54</c:f>
              <c:strCache>
                <c:ptCount val="1"/>
                <c:pt idx="0">
                  <c:v>2 Slightly Relevant</c:v>
                </c:pt>
              </c:strCache>
            </c:strRef>
          </c:tx>
          <c:invertIfNegative val="0"/>
          <c:dLbls>
            <c:dLbl>
              <c:idx val="7"/>
              <c:showLegendKey val="0"/>
              <c:showVal val="1"/>
              <c:showCatName val="0"/>
              <c:showSerName val="0"/>
              <c:showPercent val="0"/>
              <c:showBubbleSize val="0"/>
            </c:dLbl>
            <c:dLbl>
              <c:idx val="18"/>
              <c:layout>
                <c:manualLayout>
                  <c:x val="2.0889798499799942E-2"/>
                  <c:y val="0"/>
                </c:manualLayout>
              </c:layout>
              <c:showLegendKey val="0"/>
              <c:showVal val="1"/>
              <c:showCatName val="0"/>
              <c:showSerName val="0"/>
              <c:showPercent val="0"/>
              <c:showBubbleSize val="0"/>
            </c:dLbl>
            <c:dLbl>
              <c:idx val="19"/>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dLbls>
          <c:cat>
            <c:strRef>
              <c:f>Sheet2!$B$55:$B$82</c:f>
              <c:strCache>
                <c:ptCount val="28"/>
                <c:pt idx="0">
                  <c:v>14.Accessing data - H</c:v>
                </c:pt>
                <c:pt idx="1">
                  <c:v>14.Accessing data - S</c:v>
                </c:pt>
                <c:pt idx="2">
                  <c:v>13.CDE - H</c:v>
                </c:pt>
                <c:pt idx="3">
                  <c:v>13.CDE - S</c:v>
                </c:pt>
                <c:pt idx="4">
                  <c:v>12.Collaboration Tools-H</c:v>
                </c:pt>
                <c:pt idx="5">
                  <c:v>12.Collaboration Tools-S</c:v>
                </c:pt>
                <c:pt idx="6">
                  <c:v>11.PAS1192:3 - H</c:v>
                </c:pt>
                <c:pt idx="7">
                  <c:v>11.PAS1192:3 - S</c:v>
                </c:pt>
                <c:pt idx="8">
                  <c:v>10.BIM Data maturity - H</c:v>
                </c:pt>
                <c:pt idx="9">
                  <c:v>10.BIM Data maturity - S</c:v>
                </c:pt>
                <c:pt idx="10">
                  <c:v>9. COBie - H</c:v>
                </c:pt>
                <c:pt idx="11">
                  <c:v>9. COBie - S</c:v>
                </c:pt>
                <c:pt idx="12">
                  <c:v>8.BIM Protocols - H</c:v>
                </c:pt>
                <c:pt idx="13">
                  <c:v>8.BIM Protocols - S</c:v>
                </c:pt>
                <c:pt idx="14">
                  <c:v>7.Change Management - H</c:v>
                </c:pt>
                <c:pt idx="15">
                  <c:v>7.Change Management - S</c:v>
                </c:pt>
                <c:pt idx="16">
                  <c:v>6.Sustainable Construction - H</c:v>
                </c:pt>
                <c:pt idx="17">
                  <c:v>6.Sustainable Construction - S</c:v>
                </c:pt>
                <c:pt idx="18">
                  <c:v>5.Big Data - H</c:v>
                </c:pt>
                <c:pt idx="19">
                  <c:v>5.Big Data - S</c:v>
                </c:pt>
                <c:pt idx="20">
                  <c:v>4.BIM Roles - H</c:v>
                </c:pt>
                <c:pt idx="21">
                  <c:v>4.BIM Roles - S</c:v>
                </c:pt>
                <c:pt idx="22">
                  <c:v>3.BIM Case studies - H</c:v>
                </c:pt>
                <c:pt idx="23">
                  <c:v>3.BIM Case studies - S</c:v>
                </c:pt>
                <c:pt idx="24">
                  <c:v>2.Service diversification - H</c:v>
                </c:pt>
                <c:pt idx="25">
                  <c:v>2.Service diversification - S</c:v>
                </c:pt>
                <c:pt idx="26">
                  <c:v>1.Productivity-H</c:v>
                </c:pt>
                <c:pt idx="27">
                  <c:v>1.Productivity -S</c:v>
                </c:pt>
              </c:strCache>
            </c:strRef>
          </c:cat>
          <c:val>
            <c:numRef>
              <c:f>Sheet2!$D$55:$D$82</c:f>
              <c:numCache>
                <c:formatCode>0%</c:formatCode>
                <c:ptCount val="28"/>
                <c:pt idx="0">
                  <c:v>0</c:v>
                </c:pt>
                <c:pt idx="1">
                  <c:v>0</c:v>
                </c:pt>
                <c:pt idx="2">
                  <c:v>0</c:v>
                </c:pt>
                <c:pt idx="3">
                  <c:v>0</c:v>
                </c:pt>
                <c:pt idx="4">
                  <c:v>0</c:v>
                </c:pt>
                <c:pt idx="5">
                  <c:v>0</c:v>
                </c:pt>
                <c:pt idx="6">
                  <c:v>0</c:v>
                </c:pt>
                <c:pt idx="7">
                  <c:v>7.0000000000000007E-2</c:v>
                </c:pt>
                <c:pt idx="8">
                  <c:v>0</c:v>
                </c:pt>
                <c:pt idx="9">
                  <c:v>0</c:v>
                </c:pt>
                <c:pt idx="10">
                  <c:v>0</c:v>
                </c:pt>
                <c:pt idx="11">
                  <c:v>0</c:v>
                </c:pt>
                <c:pt idx="12">
                  <c:v>0</c:v>
                </c:pt>
                <c:pt idx="13">
                  <c:v>0</c:v>
                </c:pt>
                <c:pt idx="14">
                  <c:v>0</c:v>
                </c:pt>
                <c:pt idx="15">
                  <c:v>0</c:v>
                </c:pt>
                <c:pt idx="16">
                  <c:v>0</c:v>
                </c:pt>
                <c:pt idx="17">
                  <c:v>0</c:v>
                </c:pt>
                <c:pt idx="18">
                  <c:v>7.0000000000000007E-2</c:v>
                </c:pt>
                <c:pt idx="19">
                  <c:v>7.0000000000000007E-2</c:v>
                </c:pt>
                <c:pt idx="20">
                  <c:v>0</c:v>
                </c:pt>
                <c:pt idx="21">
                  <c:v>0</c:v>
                </c:pt>
                <c:pt idx="22">
                  <c:v>0</c:v>
                </c:pt>
                <c:pt idx="23">
                  <c:v>0</c:v>
                </c:pt>
                <c:pt idx="24">
                  <c:v>0</c:v>
                </c:pt>
                <c:pt idx="25">
                  <c:v>0</c:v>
                </c:pt>
                <c:pt idx="26">
                  <c:v>0</c:v>
                </c:pt>
                <c:pt idx="27">
                  <c:v>0</c:v>
                </c:pt>
              </c:numCache>
            </c:numRef>
          </c:val>
        </c:ser>
        <c:ser>
          <c:idx val="2"/>
          <c:order val="2"/>
          <c:tx>
            <c:strRef>
              <c:f>Sheet2!$E$54</c:f>
              <c:strCache>
                <c:ptCount val="1"/>
                <c:pt idx="0">
                  <c:v>3 Moderately Relevant</c:v>
                </c:pt>
              </c:strCache>
            </c:strRef>
          </c:tx>
          <c:invertIfNegative val="0"/>
          <c:dLbls>
            <c:dLbl>
              <c:idx val="4"/>
              <c:layout>
                <c:manualLayout>
                  <c:x val="3.1334697749699915E-2"/>
                  <c:y val="0"/>
                </c:manualLayout>
              </c:layout>
              <c:showLegendKey val="0"/>
              <c:showVal val="1"/>
              <c:showCatName val="0"/>
              <c:showSerName val="0"/>
              <c:showPercent val="0"/>
              <c:showBubbleSize val="0"/>
            </c:dLbl>
            <c:dLbl>
              <c:idx val="6"/>
              <c:layout>
                <c:manualLayout>
                  <c:x val="2.0889798499799942E-2"/>
                  <c:y val="0"/>
                </c:manualLayout>
              </c:layout>
              <c:showLegendKey val="0"/>
              <c:showVal val="1"/>
              <c:showCatName val="0"/>
              <c:showSerName val="0"/>
              <c:showPercent val="0"/>
              <c:showBubbleSize val="0"/>
            </c:dLbl>
            <c:dLbl>
              <c:idx val="7"/>
              <c:layout>
                <c:manualLayout>
                  <c:x val="2.611224812474993E-2"/>
                  <c:y val="0"/>
                </c:manualLayout>
              </c:layout>
              <c:showLegendKey val="0"/>
              <c:showVal val="1"/>
              <c:showCatName val="0"/>
              <c:showSerName val="0"/>
              <c:showPercent val="0"/>
              <c:showBubbleSize val="0"/>
            </c:dLbl>
            <c:dLbl>
              <c:idx val="10"/>
              <c:layout>
                <c:manualLayout>
                  <c:x val="2.0889798499799942E-2"/>
                  <c:y val="-7.3145866319291405E-17"/>
                </c:manualLayout>
              </c:layout>
              <c:showLegendKey val="0"/>
              <c:showVal val="1"/>
              <c:showCatName val="0"/>
              <c:showSerName val="0"/>
              <c:showPercent val="0"/>
              <c:showBubbleSize val="0"/>
            </c:dLbl>
            <c:dLbl>
              <c:idx val="12"/>
              <c:layout>
                <c:manualLayout>
                  <c:x val="2.0889798499799942E-2"/>
                  <c:y val="0"/>
                </c:manualLayout>
              </c:layout>
              <c:showLegendKey val="0"/>
              <c:showVal val="1"/>
              <c:showCatName val="0"/>
              <c:showSerName val="0"/>
              <c:showPercent val="0"/>
              <c:showBubbleSize val="0"/>
            </c:dLbl>
            <c:dLbl>
              <c:idx val="13"/>
              <c:delete val="1"/>
            </c:dLbl>
            <c:dLbl>
              <c:idx val="16"/>
              <c:layout>
                <c:manualLayout>
                  <c:x val="1.5667348874849957E-2"/>
                  <c:y val="0"/>
                </c:manualLayout>
              </c:layout>
              <c:showLegendKey val="0"/>
              <c:showVal val="1"/>
              <c:showCatName val="0"/>
              <c:showSerName val="0"/>
              <c:showPercent val="0"/>
              <c:showBubbleSize val="0"/>
            </c:dLbl>
            <c:dLbl>
              <c:idx val="20"/>
              <c:layout>
                <c:manualLayout>
                  <c:x val="1.5667348874849957E-2"/>
                  <c:y val="0"/>
                </c:manualLayout>
              </c:layout>
              <c:showLegendKey val="0"/>
              <c:showVal val="1"/>
              <c:showCatName val="0"/>
              <c:showSerName val="0"/>
              <c:showPercent val="0"/>
              <c:showBubbleSize val="0"/>
            </c:dLbl>
            <c:dLbl>
              <c:idx val="24"/>
              <c:layout>
                <c:manualLayout>
                  <c:x val="1.5667348874849957E-2"/>
                  <c:y val="0"/>
                </c:manualLayout>
              </c:layout>
              <c:showLegendKey val="0"/>
              <c:showVal val="1"/>
              <c:showCatName val="0"/>
              <c:showSerName val="0"/>
              <c:showPercent val="0"/>
              <c:showBubbleSize val="0"/>
            </c:dLbl>
            <c:dLbl>
              <c:idx val="26"/>
              <c:layout>
                <c:manualLayout>
                  <c:x val="2.0882585198275624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Sheet2!$B$55:$B$82</c:f>
              <c:strCache>
                <c:ptCount val="28"/>
                <c:pt idx="0">
                  <c:v>14.Accessing data - H</c:v>
                </c:pt>
                <c:pt idx="1">
                  <c:v>14.Accessing data - S</c:v>
                </c:pt>
                <c:pt idx="2">
                  <c:v>13.CDE - H</c:v>
                </c:pt>
                <c:pt idx="3">
                  <c:v>13.CDE - S</c:v>
                </c:pt>
                <c:pt idx="4">
                  <c:v>12.Collaboration Tools-H</c:v>
                </c:pt>
                <c:pt idx="5">
                  <c:v>12.Collaboration Tools-S</c:v>
                </c:pt>
                <c:pt idx="6">
                  <c:v>11.PAS1192:3 - H</c:v>
                </c:pt>
                <c:pt idx="7">
                  <c:v>11.PAS1192:3 - S</c:v>
                </c:pt>
                <c:pt idx="8">
                  <c:v>10.BIM Data maturity - H</c:v>
                </c:pt>
                <c:pt idx="9">
                  <c:v>10.BIM Data maturity - S</c:v>
                </c:pt>
                <c:pt idx="10">
                  <c:v>9. COBie - H</c:v>
                </c:pt>
                <c:pt idx="11">
                  <c:v>9. COBie - S</c:v>
                </c:pt>
                <c:pt idx="12">
                  <c:v>8.BIM Protocols - H</c:v>
                </c:pt>
                <c:pt idx="13">
                  <c:v>8.BIM Protocols - S</c:v>
                </c:pt>
                <c:pt idx="14">
                  <c:v>7.Change Management - H</c:v>
                </c:pt>
                <c:pt idx="15">
                  <c:v>7.Change Management - S</c:v>
                </c:pt>
                <c:pt idx="16">
                  <c:v>6.Sustainable Construction - H</c:v>
                </c:pt>
                <c:pt idx="17">
                  <c:v>6.Sustainable Construction - S</c:v>
                </c:pt>
                <c:pt idx="18">
                  <c:v>5.Big Data - H</c:v>
                </c:pt>
                <c:pt idx="19">
                  <c:v>5.Big Data - S</c:v>
                </c:pt>
                <c:pt idx="20">
                  <c:v>4.BIM Roles - H</c:v>
                </c:pt>
                <c:pt idx="21">
                  <c:v>4.BIM Roles - S</c:v>
                </c:pt>
                <c:pt idx="22">
                  <c:v>3.BIM Case studies - H</c:v>
                </c:pt>
                <c:pt idx="23">
                  <c:v>3.BIM Case studies - S</c:v>
                </c:pt>
                <c:pt idx="24">
                  <c:v>2.Service diversification - H</c:v>
                </c:pt>
                <c:pt idx="25">
                  <c:v>2.Service diversification - S</c:v>
                </c:pt>
                <c:pt idx="26">
                  <c:v>1.Productivity-H</c:v>
                </c:pt>
                <c:pt idx="27">
                  <c:v>1.Productivity -S</c:v>
                </c:pt>
              </c:strCache>
            </c:strRef>
          </c:cat>
          <c:val>
            <c:numRef>
              <c:f>Sheet2!$E$55:$E$82</c:f>
              <c:numCache>
                <c:formatCode>0%</c:formatCode>
                <c:ptCount val="28"/>
                <c:pt idx="0">
                  <c:v>0.33</c:v>
                </c:pt>
                <c:pt idx="1">
                  <c:v>0.2</c:v>
                </c:pt>
                <c:pt idx="2">
                  <c:v>0.2</c:v>
                </c:pt>
                <c:pt idx="3">
                  <c:v>0.2</c:v>
                </c:pt>
                <c:pt idx="4">
                  <c:v>0.06</c:v>
                </c:pt>
                <c:pt idx="5">
                  <c:v>0.13</c:v>
                </c:pt>
                <c:pt idx="6">
                  <c:v>0.13</c:v>
                </c:pt>
                <c:pt idx="7">
                  <c:v>7.0000000000000007E-2</c:v>
                </c:pt>
                <c:pt idx="8">
                  <c:v>0.26</c:v>
                </c:pt>
                <c:pt idx="9">
                  <c:v>0.27</c:v>
                </c:pt>
                <c:pt idx="10">
                  <c:v>0.13</c:v>
                </c:pt>
                <c:pt idx="11">
                  <c:v>0.2</c:v>
                </c:pt>
                <c:pt idx="12">
                  <c:v>7.0000000000000007E-2</c:v>
                </c:pt>
                <c:pt idx="13">
                  <c:v>0</c:v>
                </c:pt>
                <c:pt idx="14">
                  <c:v>0.27</c:v>
                </c:pt>
                <c:pt idx="15">
                  <c:v>0.2</c:v>
                </c:pt>
                <c:pt idx="16">
                  <c:v>0.13</c:v>
                </c:pt>
                <c:pt idx="17">
                  <c:v>7.0000000000000007E-2</c:v>
                </c:pt>
                <c:pt idx="18">
                  <c:v>0.4</c:v>
                </c:pt>
                <c:pt idx="19">
                  <c:v>0.33</c:v>
                </c:pt>
                <c:pt idx="20">
                  <c:v>0.13</c:v>
                </c:pt>
                <c:pt idx="21">
                  <c:v>7.0000000000000007E-2</c:v>
                </c:pt>
                <c:pt idx="22">
                  <c:v>0.2</c:v>
                </c:pt>
                <c:pt idx="23">
                  <c:v>7.0000000000000007E-2</c:v>
                </c:pt>
                <c:pt idx="24">
                  <c:v>0.13</c:v>
                </c:pt>
                <c:pt idx="25">
                  <c:v>0.2</c:v>
                </c:pt>
                <c:pt idx="26">
                  <c:v>0.06</c:v>
                </c:pt>
                <c:pt idx="27">
                  <c:v>7.0000000000000007E-2</c:v>
                </c:pt>
              </c:numCache>
            </c:numRef>
          </c:val>
        </c:ser>
        <c:ser>
          <c:idx val="3"/>
          <c:order val="3"/>
          <c:tx>
            <c:strRef>
              <c:f>Sheet2!$F$54</c:f>
              <c:strCache>
                <c:ptCount val="1"/>
                <c:pt idx="0">
                  <c:v>4 Very Relevant</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Sheet2!$B$55:$B$82</c:f>
              <c:strCache>
                <c:ptCount val="28"/>
                <c:pt idx="0">
                  <c:v>14.Accessing data - H</c:v>
                </c:pt>
                <c:pt idx="1">
                  <c:v>14.Accessing data - S</c:v>
                </c:pt>
                <c:pt idx="2">
                  <c:v>13.CDE - H</c:v>
                </c:pt>
                <c:pt idx="3">
                  <c:v>13.CDE - S</c:v>
                </c:pt>
                <c:pt idx="4">
                  <c:v>12.Collaboration Tools-H</c:v>
                </c:pt>
                <c:pt idx="5">
                  <c:v>12.Collaboration Tools-S</c:v>
                </c:pt>
                <c:pt idx="6">
                  <c:v>11.PAS1192:3 - H</c:v>
                </c:pt>
                <c:pt idx="7">
                  <c:v>11.PAS1192:3 - S</c:v>
                </c:pt>
                <c:pt idx="8">
                  <c:v>10.BIM Data maturity - H</c:v>
                </c:pt>
                <c:pt idx="9">
                  <c:v>10.BIM Data maturity - S</c:v>
                </c:pt>
                <c:pt idx="10">
                  <c:v>9. COBie - H</c:v>
                </c:pt>
                <c:pt idx="11">
                  <c:v>9. COBie - S</c:v>
                </c:pt>
                <c:pt idx="12">
                  <c:v>8.BIM Protocols - H</c:v>
                </c:pt>
                <c:pt idx="13">
                  <c:v>8.BIM Protocols - S</c:v>
                </c:pt>
                <c:pt idx="14">
                  <c:v>7.Change Management - H</c:v>
                </c:pt>
                <c:pt idx="15">
                  <c:v>7.Change Management - S</c:v>
                </c:pt>
                <c:pt idx="16">
                  <c:v>6.Sustainable Construction - H</c:v>
                </c:pt>
                <c:pt idx="17">
                  <c:v>6.Sustainable Construction - S</c:v>
                </c:pt>
                <c:pt idx="18">
                  <c:v>5.Big Data - H</c:v>
                </c:pt>
                <c:pt idx="19">
                  <c:v>5.Big Data - S</c:v>
                </c:pt>
                <c:pt idx="20">
                  <c:v>4.BIM Roles - H</c:v>
                </c:pt>
                <c:pt idx="21">
                  <c:v>4.BIM Roles - S</c:v>
                </c:pt>
                <c:pt idx="22">
                  <c:v>3.BIM Case studies - H</c:v>
                </c:pt>
                <c:pt idx="23">
                  <c:v>3.BIM Case studies - S</c:v>
                </c:pt>
                <c:pt idx="24">
                  <c:v>2.Service diversification - H</c:v>
                </c:pt>
                <c:pt idx="25">
                  <c:v>2.Service diversification - S</c:v>
                </c:pt>
                <c:pt idx="26">
                  <c:v>1.Productivity-H</c:v>
                </c:pt>
                <c:pt idx="27">
                  <c:v>1.Productivity -S</c:v>
                </c:pt>
              </c:strCache>
            </c:strRef>
          </c:cat>
          <c:val>
            <c:numRef>
              <c:f>Sheet2!$F$55:$F$82</c:f>
              <c:numCache>
                <c:formatCode>0%</c:formatCode>
                <c:ptCount val="28"/>
                <c:pt idx="0">
                  <c:v>0.53</c:v>
                </c:pt>
                <c:pt idx="1">
                  <c:v>0.6</c:v>
                </c:pt>
                <c:pt idx="2">
                  <c:v>0.4</c:v>
                </c:pt>
                <c:pt idx="3">
                  <c:v>0.4</c:v>
                </c:pt>
                <c:pt idx="4">
                  <c:v>0.47</c:v>
                </c:pt>
                <c:pt idx="5">
                  <c:v>0.47</c:v>
                </c:pt>
                <c:pt idx="6">
                  <c:v>0.6</c:v>
                </c:pt>
                <c:pt idx="7">
                  <c:v>0.6</c:v>
                </c:pt>
                <c:pt idx="8">
                  <c:v>0.27</c:v>
                </c:pt>
                <c:pt idx="9">
                  <c:v>0.33</c:v>
                </c:pt>
                <c:pt idx="10">
                  <c:v>0.53</c:v>
                </c:pt>
                <c:pt idx="11">
                  <c:v>0.47</c:v>
                </c:pt>
                <c:pt idx="12">
                  <c:v>0.53</c:v>
                </c:pt>
                <c:pt idx="13">
                  <c:v>0.73</c:v>
                </c:pt>
                <c:pt idx="14">
                  <c:v>0.53</c:v>
                </c:pt>
                <c:pt idx="15">
                  <c:v>0.73</c:v>
                </c:pt>
                <c:pt idx="16">
                  <c:v>0.47</c:v>
                </c:pt>
                <c:pt idx="17">
                  <c:v>0.53</c:v>
                </c:pt>
                <c:pt idx="18">
                  <c:v>0.26</c:v>
                </c:pt>
                <c:pt idx="19">
                  <c:v>0.4</c:v>
                </c:pt>
                <c:pt idx="20">
                  <c:v>0.4</c:v>
                </c:pt>
                <c:pt idx="21">
                  <c:v>0.53</c:v>
                </c:pt>
                <c:pt idx="22">
                  <c:v>0.4</c:v>
                </c:pt>
                <c:pt idx="23">
                  <c:v>0.6</c:v>
                </c:pt>
                <c:pt idx="24">
                  <c:v>0.53</c:v>
                </c:pt>
                <c:pt idx="25">
                  <c:v>0.6</c:v>
                </c:pt>
                <c:pt idx="26">
                  <c:v>0.67</c:v>
                </c:pt>
                <c:pt idx="27">
                  <c:v>0.67</c:v>
                </c:pt>
              </c:numCache>
            </c:numRef>
          </c:val>
        </c:ser>
        <c:ser>
          <c:idx val="4"/>
          <c:order val="4"/>
          <c:tx>
            <c:strRef>
              <c:f>Sheet2!$G$54</c:f>
              <c:strCache>
                <c:ptCount val="1"/>
                <c:pt idx="0">
                  <c:v>5 Extremely Relevant</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Sheet2!$B$55:$B$82</c:f>
              <c:strCache>
                <c:ptCount val="28"/>
                <c:pt idx="0">
                  <c:v>14.Accessing data - H</c:v>
                </c:pt>
                <c:pt idx="1">
                  <c:v>14.Accessing data - S</c:v>
                </c:pt>
                <c:pt idx="2">
                  <c:v>13.CDE - H</c:v>
                </c:pt>
                <c:pt idx="3">
                  <c:v>13.CDE - S</c:v>
                </c:pt>
                <c:pt idx="4">
                  <c:v>12.Collaboration Tools-H</c:v>
                </c:pt>
                <c:pt idx="5">
                  <c:v>12.Collaboration Tools-S</c:v>
                </c:pt>
                <c:pt idx="6">
                  <c:v>11.PAS1192:3 - H</c:v>
                </c:pt>
                <c:pt idx="7">
                  <c:v>11.PAS1192:3 - S</c:v>
                </c:pt>
                <c:pt idx="8">
                  <c:v>10.BIM Data maturity - H</c:v>
                </c:pt>
                <c:pt idx="9">
                  <c:v>10.BIM Data maturity - S</c:v>
                </c:pt>
                <c:pt idx="10">
                  <c:v>9. COBie - H</c:v>
                </c:pt>
                <c:pt idx="11">
                  <c:v>9. COBie - S</c:v>
                </c:pt>
                <c:pt idx="12">
                  <c:v>8.BIM Protocols - H</c:v>
                </c:pt>
                <c:pt idx="13">
                  <c:v>8.BIM Protocols - S</c:v>
                </c:pt>
                <c:pt idx="14">
                  <c:v>7.Change Management - H</c:v>
                </c:pt>
                <c:pt idx="15">
                  <c:v>7.Change Management - S</c:v>
                </c:pt>
                <c:pt idx="16">
                  <c:v>6.Sustainable Construction - H</c:v>
                </c:pt>
                <c:pt idx="17">
                  <c:v>6.Sustainable Construction - S</c:v>
                </c:pt>
                <c:pt idx="18">
                  <c:v>5.Big Data - H</c:v>
                </c:pt>
                <c:pt idx="19">
                  <c:v>5.Big Data - S</c:v>
                </c:pt>
                <c:pt idx="20">
                  <c:v>4.BIM Roles - H</c:v>
                </c:pt>
                <c:pt idx="21">
                  <c:v>4.BIM Roles - S</c:v>
                </c:pt>
                <c:pt idx="22">
                  <c:v>3.BIM Case studies - H</c:v>
                </c:pt>
                <c:pt idx="23">
                  <c:v>3.BIM Case studies - S</c:v>
                </c:pt>
                <c:pt idx="24">
                  <c:v>2.Service diversification - H</c:v>
                </c:pt>
                <c:pt idx="25">
                  <c:v>2.Service diversification - S</c:v>
                </c:pt>
                <c:pt idx="26">
                  <c:v>1.Productivity-H</c:v>
                </c:pt>
                <c:pt idx="27">
                  <c:v>1.Productivity -S</c:v>
                </c:pt>
              </c:strCache>
            </c:strRef>
          </c:cat>
          <c:val>
            <c:numRef>
              <c:f>Sheet2!$G$55:$G$82</c:f>
              <c:numCache>
                <c:formatCode>0%</c:formatCode>
                <c:ptCount val="28"/>
                <c:pt idx="0">
                  <c:v>7.0000000000000007E-2</c:v>
                </c:pt>
                <c:pt idx="1">
                  <c:v>0.2</c:v>
                </c:pt>
                <c:pt idx="2">
                  <c:v>0.33</c:v>
                </c:pt>
                <c:pt idx="3">
                  <c:v>0.4</c:v>
                </c:pt>
                <c:pt idx="4">
                  <c:v>0.4</c:v>
                </c:pt>
                <c:pt idx="5">
                  <c:v>0.4</c:v>
                </c:pt>
                <c:pt idx="6">
                  <c:v>0.2</c:v>
                </c:pt>
                <c:pt idx="7">
                  <c:v>0.26</c:v>
                </c:pt>
                <c:pt idx="8">
                  <c:v>0.4</c:v>
                </c:pt>
                <c:pt idx="9">
                  <c:v>0.4</c:v>
                </c:pt>
                <c:pt idx="10">
                  <c:v>0.27</c:v>
                </c:pt>
                <c:pt idx="11">
                  <c:v>0.33</c:v>
                </c:pt>
                <c:pt idx="12">
                  <c:v>0.33</c:v>
                </c:pt>
                <c:pt idx="13">
                  <c:v>0.27</c:v>
                </c:pt>
                <c:pt idx="14">
                  <c:v>0.13</c:v>
                </c:pt>
                <c:pt idx="15">
                  <c:v>7.0000000000000007E-2</c:v>
                </c:pt>
                <c:pt idx="16">
                  <c:v>0.33</c:v>
                </c:pt>
                <c:pt idx="17">
                  <c:v>0.4</c:v>
                </c:pt>
                <c:pt idx="18">
                  <c:v>0.2</c:v>
                </c:pt>
                <c:pt idx="19">
                  <c:v>0.2</c:v>
                </c:pt>
                <c:pt idx="20">
                  <c:v>0.4</c:v>
                </c:pt>
                <c:pt idx="21">
                  <c:v>0.4</c:v>
                </c:pt>
                <c:pt idx="22">
                  <c:v>0.33</c:v>
                </c:pt>
                <c:pt idx="23">
                  <c:v>0.33</c:v>
                </c:pt>
                <c:pt idx="24">
                  <c:v>0.27</c:v>
                </c:pt>
                <c:pt idx="25">
                  <c:v>0.2</c:v>
                </c:pt>
                <c:pt idx="26">
                  <c:v>0.2</c:v>
                </c:pt>
                <c:pt idx="27">
                  <c:v>0.26</c:v>
                </c:pt>
              </c:numCache>
            </c:numRef>
          </c:val>
        </c:ser>
        <c:dLbls>
          <c:showLegendKey val="0"/>
          <c:showVal val="0"/>
          <c:showCatName val="0"/>
          <c:showSerName val="0"/>
          <c:showPercent val="0"/>
          <c:showBubbleSize val="0"/>
        </c:dLbls>
        <c:gapWidth val="87"/>
        <c:overlap val="100"/>
        <c:axId val="67982464"/>
        <c:axId val="67984000"/>
      </c:barChart>
      <c:catAx>
        <c:axId val="67982464"/>
        <c:scaling>
          <c:orientation val="minMax"/>
        </c:scaling>
        <c:delete val="0"/>
        <c:axPos val="l"/>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en-US"/>
          </a:p>
        </c:txPr>
        <c:crossAx val="67984000"/>
        <c:crosses val="autoZero"/>
        <c:auto val="1"/>
        <c:lblAlgn val="ctr"/>
        <c:lblOffset val="100"/>
        <c:noMultiLvlLbl val="0"/>
      </c:catAx>
      <c:valAx>
        <c:axId val="67984000"/>
        <c:scaling>
          <c:orientation val="minMax"/>
        </c:scaling>
        <c:delete val="0"/>
        <c:axPos val="b"/>
        <c:majorGridlines/>
        <c:numFmt formatCode="0%" sourceLinked="1"/>
        <c:majorTickMark val="out"/>
        <c:minorTickMark val="none"/>
        <c:tickLblPos val="nextTo"/>
        <c:txPr>
          <a:bodyPr/>
          <a:lstStyle/>
          <a:p>
            <a:pPr>
              <a:defRPr sz="800"/>
            </a:pPr>
            <a:endParaRPr lang="en-US"/>
          </a:p>
        </c:txPr>
        <c:crossAx val="67982464"/>
        <c:crosses val="autoZero"/>
        <c:crossBetween val="between"/>
      </c:valAx>
    </c:plotArea>
    <c:legend>
      <c:legendPos val="r"/>
      <c:layout>
        <c:manualLayout>
          <c:xMode val="edge"/>
          <c:yMode val="edge"/>
          <c:x val="2.6013998250218703E-2"/>
          <c:y val="0.94813308967509202"/>
          <c:w val="0.96790330212044562"/>
          <c:h val="4.9879710173385432E-2"/>
        </c:manualLayout>
      </c:layout>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FFF3-9F15-44C4-800C-361DD55B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3950</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SUNGWOOK KANG</dc:creator>
  <cp:lastModifiedBy>RobertEadie</cp:lastModifiedBy>
  <cp:revision>139</cp:revision>
  <cp:lastPrinted>2016-02-15T14:34:00Z</cp:lastPrinted>
  <dcterms:created xsi:type="dcterms:W3CDTF">2016-02-12T19:58:00Z</dcterms:created>
  <dcterms:modified xsi:type="dcterms:W3CDTF">2016-02-16T11:00:00Z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purmine@ymail.com@www.mendeley.com</vt:lpwstr>
  </property>
  <property fmtid="{D5CDD505-2E9C-101B-9397-08002B2CF9AE}" pid="4" name="Mendeley Citation Style_1">
    <vt:lpwstr>http://www.zotero.org/styles/international-communications-in-heat-and-mass-transfer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http://www.zotero.org/styles/international-communications-in-heat-and-mass-transfer</vt:lpwstr>
  </property>
  <property fmtid="{D5CDD505-2E9C-101B-9397-08002B2CF9AE}" pid="20" name="Mendeley Recent Style Name 7_1">
    <vt:lpwstr>International Communications in Heat and Mass Transfer</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