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C" w:rsidRPr="001D2E5C" w:rsidRDefault="001D2E5C" w:rsidP="001D2E5C">
      <w:pPr>
        <w:pStyle w:val="Heading1"/>
        <w:spacing w:before="0"/>
        <w:jc w:val="center"/>
        <w:rPr>
          <w:sz w:val="32"/>
          <w:szCs w:val="32"/>
        </w:rPr>
      </w:pPr>
      <w:r w:rsidRPr="001D2E5C">
        <w:rPr>
          <w:sz w:val="32"/>
          <w:szCs w:val="32"/>
        </w:rPr>
        <w:t>Optimising the uptake of health checks for people with intellectual disabilities</w:t>
      </w:r>
    </w:p>
    <w:p w:rsidR="001D2E5C" w:rsidRPr="00E45B46" w:rsidRDefault="001D2E5C" w:rsidP="001D2E5C">
      <w:pPr>
        <w:spacing w:before="0"/>
        <w:jc w:val="center"/>
      </w:pPr>
    </w:p>
    <w:p w:rsidR="001D2E5C" w:rsidRPr="00E45B46" w:rsidRDefault="001D2E5C" w:rsidP="001D2E5C">
      <w:pPr>
        <w:spacing w:before="0"/>
        <w:jc w:val="center"/>
        <w:rPr>
          <w:vertAlign w:val="superscript"/>
        </w:rPr>
      </w:pPr>
      <w:r w:rsidRPr="00E45B46">
        <w:t>Roy McConkey</w:t>
      </w:r>
      <w:r w:rsidRPr="00E45B46">
        <w:rPr>
          <w:vertAlign w:val="superscript"/>
        </w:rPr>
        <w:t>1</w:t>
      </w:r>
      <w:r w:rsidRPr="00E45B46">
        <w:t>, Laurence Taggart</w:t>
      </w:r>
      <w:r w:rsidRPr="00E45B46">
        <w:rPr>
          <w:vertAlign w:val="superscript"/>
        </w:rPr>
        <w:t>1</w:t>
      </w:r>
      <w:r w:rsidRPr="00E45B46">
        <w:t xml:space="preserve"> and Molly Kane</w:t>
      </w:r>
      <w:r w:rsidRPr="00E45B46">
        <w:rPr>
          <w:vertAlign w:val="superscript"/>
        </w:rPr>
        <w:t>2</w:t>
      </w:r>
    </w:p>
    <w:p w:rsidR="001D2E5C" w:rsidRPr="00E45B46" w:rsidRDefault="001D2E5C" w:rsidP="001D2E5C">
      <w:pPr>
        <w:spacing w:before="0"/>
        <w:jc w:val="center"/>
      </w:pPr>
      <w:r w:rsidRPr="00E45B46">
        <w:rPr>
          <w:vertAlign w:val="superscript"/>
        </w:rPr>
        <w:t>1</w:t>
      </w:r>
      <w:r w:rsidRPr="00E45B46">
        <w:t>Institute of Nursing and Health Research, University of Ulster</w:t>
      </w:r>
    </w:p>
    <w:p w:rsidR="001D2E5C" w:rsidRPr="00E45B46" w:rsidRDefault="001D2E5C" w:rsidP="001D2E5C">
      <w:pPr>
        <w:spacing w:before="0"/>
        <w:jc w:val="center"/>
      </w:pPr>
      <w:r w:rsidRPr="00E45B46">
        <w:rPr>
          <w:vertAlign w:val="superscript"/>
        </w:rPr>
        <w:t>2</w:t>
      </w:r>
      <w:r w:rsidRPr="00E45B46">
        <w:t>Public Health Agency, Northern Ireland</w:t>
      </w:r>
    </w:p>
    <w:p w:rsidR="001D2E5C" w:rsidRDefault="001D2E5C" w:rsidP="001D2E5C">
      <w:pPr>
        <w:spacing w:before="0"/>
      </w:pPr>
    </w:p>
    <w:p w:rsidR="001D2E5C" w:rsidRPr="00E45B46" w:rsidRDefault="001D2E5C" w:rsidP="001D2E5C">
      <w:pPr>
        <w:spacing w:before="0"/>
      </w:pPr>
      <w:bookmarkStart w:id="0" w:name="_GoBack"/>
      <w:bookmarkEnd w:id="0"/>
    </w:p>
    <w:p w:rsidR="001D2E5C" w:rsidRPr="00E45B46" w:rsidRDefault="001D2E5C" w:rsidP="001D2E5C">
      <w:pPr>
        <w:spacing w:before="0"/>
        <w:rPr>
          <w:b/>
        </w:rPr>
      </w:pPr>
      <w:r w:rsidRPr="00E45B46">
        <w:rPr>
          <w:b/>
        </w:rPr>
        <w:t>Address for Correspondence</w:t>
      </w:r>
    </w:p>
    <w:p w:rsidR="001D2E5C" w:rsidRPr="00E45B46" w:rsidRDefault="001D2E5C" w:rsidP="001D2E5C">
      <w:pPr>
        <w:spacing w:before="0" w:after="0" w:line="240" w:lineRule="auto"/>
      </w:pPr>
      <w:r w:rsidRPr="00E45B46">
        <w:t>Professor Roy McConkey</w:t>
      </w:r>
    </w:p>
    <w:p w:rsidR="001D2E5C" w:rsidRPr="00E45B46" w:rsidRDefault="001D2E5C" w:rsidP="001D2E5C">
      <w:pPr>
        <w:spacing w:before="0" w:after="0" w:line="240" w:lineRule="auto"/>
      </w:pPr>
      <w:r w:rsidRPr="00E45B46">
        <w:t>Institute of Nursing Research</w:t>
      </w:r>
    </w:p>
    <w:p w:rsidR="001D2E5C" w:rsidRPr="00E45B46" w:rsidRDefault="001D2E5C" w:rsidP="001D2E5C">
      <w:pPr>
        <w:spacing w:before="0" w:after="0" w:line="240" w:lineRule="auto"/>
      </w:pPr>
      <w:r w:rsidRPr="00E45B46">
        <w:t>School of Nursing</w:t>
      </w:r>
    </w:p>
    <w:p w:rsidR="001D2E5C" w:rsidRPr="00E45B46" w:rsidRDefault="001D2E5C" w:rsidP="001D2E5C">
      <w:pPr>
        <w:spacing w:before="0" w:after="0" w:line="240" w:lineRule="auto"/>
      </w:pPr>
      <w:r w:rsidRPr="00E45B46">
        <w:t>University of Ulster</w:t>
      </w:r>
    </w:p>
    <w:p w:rsidR="001D2E5C" w:rsidRPr="00E45B46" w:rsidRDefault="001D2E5C" w:rsidP="001D2E5C">
      <w:pPr>
        <w:spacing w:before="0" w:after="0" w:line="240" w:lineRule="auto"/>
      </w:pPr>
      <w:r w:rsidRPr="00E45B46">
        <w:t>Newtownabbey</w:t>
      </w:r>
    </w:p>
    <w:p w:rsidR="001D2E5C" w:rsidRPr="00E45B46" w:rsidRDefault="001D2E5C" w:rsidP="001D2E5C">
      <w:pPr>
        <w:spacing w:before="0" w:after="0" w:line="240" w:lineRule="auto"/>
      </w:pPr>
      <w:r w:rsidRPr="00E45B46">
        <w:t>N Ireland BT37 0QB</w:t>
      </w:r>
    </w:p>
    <w:p w:rsidR="001D2E5C" w:rsidRPr="00E45B46" w:rsidRDefault="001D2E5C" w:rsidP="001D2E5C">
      <w:pPr>
        <w:spacing w:before="0"/>
      </w:pPr>
    </w:p>
    <w:p w:rsidR="001D2E5C" w:rsidRPr="00E45B46" w:rsidRDefault="001D2E5C" w:rsidP="001D2E5C">
      <w:pPr>
        <w:spacing w:before="0"/>
      </w:pPr>
      <w:r w:rsidRPr="00E45B46">
        <w:rPr>
          <w:b/>
        </w:rPr>
        <w:t xml:space="preserve">Email: </w:t>
      </w:r>
      <w:hyperlink r:id="rId9" w:history="1">
        <w:r w:rsidRPr="00E45B46">
          <w:rPr>
            <w:rStyle w:val="Hyperlink"/>
          </w:rPr>
          <w:t>r.mcconkey@ulster.ac.uk</w:t>
        </w:r>
      </w:hyperlink>
      <w:r w:rsidRPr="00E45B46">
        <w:rPr>
          <w:b/>
        </w:rPr>
        <w:t xml:space="preserve">   Phone: </w:t>
      </w:r>
      <w:r w:rsidRPr="00E45B46">
        <w:t>028 90 852 537</w:t>
      </w:r>
    </w:p>
    <w:p w:rsidR="001D2E5C" w:rsidRPr="00E45B46" w:rsidRDefault="001D2E5C" w:rsidP="001D2E5C">
      <w:pPr>
        <w:spacing w:before="0"/>
      </w:pPr>
    </w:p>
    <w:p w:rsidR="001D2E5C" w:rsidRPr="00E45B46" w:rsidRDefault="001D2E5C" w:rsidP="001D2E5C">
      <w:pPr>
        <w:spacing w:before="0"/>
        <w:rPr>
          <w:b/>
        </w:rPr>
      </w:pPr>
      <w:r w:rsidRPr="00E45B46">
        <w:rPr>
          <w:b/>
        </w:rPr>
        <w:t>Acknowledgements</w:t>
      </w:r>
    </w:p>
    <w:p w:rsidR="001D2E5C" w:rsidRPr="00E45B46" w:rsidRDefault="001D2E5C" w:rsidP="001D2E5C">
      <w:pPr>
        <w:spacing w:before="0"/>
      </w:pPr>
      <w:r w:rsidRPr="00E45B46">
        <w:t xml:space="preserve">This study formed part of a wider service evaluation into health checks in Northern Ireland commissioned by the Public Health Agency and the Health and Social Care Board.  Our grateful thanks to Neil McCaig for supplying the data from GP practices and to the Health Facilitators in the Northern Health and Social Care Trust for the information on patients who had received </w:t>
      </w:r>
      <w:r>
        <w:t>health checks</w:t>
      </w:r>
      <w:r w:rsidRPr="00E45B46">
        <w:t xml:space="preserve">. </w:t>
      </w:r>
    </w:p>
    <w:p w:rsidR="001D2E5C" w:rsidRDefault="001D2E5C" w:rsidP="001D2E5C">
      <w:pPr>
        <w:spacing w:before="0"/>
        <w:jc w:val="both"/>
        <w:rPr>
          <w:b/>
          <w:sz w:val="28"/>
          <w:szCs w:val="28"/>
        </w:rPr>
      </w:pPr>
    </w:p>
    <w:p w:rsidR="001D2E5C" w:rsidRPr="001D2E5C" w:rsidRDefault="001D2E5C" w:rsidP="001D2E5C">
      <w:pPr>
        <w:spacing w:before="0"/>
        <w:jc w:val="both"/>
      </w:pPr>
      <w:r w:rsidRPr="001D2E5C">
        <w:rPr>
          <w:b/>
        </w:rPr>
        <w:t>Revised Paper submitted to:</w:t>
      </w:r>
      <w:r w:rsidRPr="001D2E5C">
        <w:t xml:space="preserve"> Journal of Intellectual Disabilities, December 2015. </w:t>
      </w:r>
      <w:r w:rsidRPr="001D2E5C">
        <w:br w:type="page"/>
      </w:r>
    </w:p>
    <w:p w:rsidR="003B6D3D" w:rsidRPr="00A56797" w:rsidRDefault="00376D4B" w:rsidP="00652A44">
      <w:pPr>
        <w:spacing w:before="0" w:after="240" w:line="480" w:lineRule="auto"/>
        <w:jc w:val="both"/>
        <w:rPr>
          <w:b/>
          <w:sz w:val="28"/>
          <w:szCs w:val="28"/>
        </w:rPr>
      </w:pPr>
      <w:r w:rsidRPr="00A56797">
        <w:rPr>
          <w:b/>
          <w:sz w:val="28"/>
          <w:szCs w:val="28"/>
        </w:rPr>
        <w:lastRenderedPageBreak/>
        <w:t>Introduction</w:t>
      </w:r>
    </w:p>
    <w:p w:rsidR="00BC6CAC" w:rsidRPr="00E45B46" w:rsidRDefault="00E64730" w:rsidP="00652A44">
      <w:pPr>
        <w:kinsoku w:val="0"/>
        <w:overflowPunct w:val="0"/>
        <w:spacing w:before="0" w:after="240" w:line="480" w:lineRule="auto"/>
        <w:textAlignment w:val="baseline"/>
        <w:rPr>
          <w:rFonts w:eastAsia="Times New Roman"/>
          <w:lang w:eastAsia="en-GB"/>
        </w:rPr>
      </w:pPr>
      <w:r w:rsidRPr="00E45B46">
        <w:t xml:space="preserve">The health inequalities experienced by people with </w:t>
      </w:r>
      <w:r w:rsidR="00702896" w:rsidRPr="00E45B46">
        <w:t>intellectual</w:t>
      </w:r>
      <w:r w:rsidRPr="00E45B46">
        <w:t xml:space="preserve"> disabilit</w:t>
      </w:r>
      <w:r w:rsidR="00F51FFF">
        <w:t>y</w:t>
      </w:r>
      <w:r w:rsidR="00A1702E">
        <w:rPr>
          <w:rStyle w:val="FootnoteReference"/>
        </w:rPr>
        <w:footnoteReference w:id="1"/>
      </w:r>
      <w:r w:rsidRPr="00E45B46">
        <w:t xml:space="preserve"> is well </w:t>
      </w:r>
      <w:r w:rsidR="00911A99" w:rsidRPr="00E45B46">
        <w:t xml:space="preserve">attested </w:t>
      </w:r>
      <w:r w:rsidRPr="00E45B46">
        <w:t>nationally in the UK as well as internationally (</w:t>
      </w:r>
      <w:r w:rsidR="004B20FD" w:rsidRPr="00E45B46">
        <w:t xml:space="preserve">Emerson and </w:t>
      </w:r>
      <w:r w:rsidRPr="00E45B46">
        <w:t>Hatton, 201</w:t>
      </w:r>
      <w:r w:rsidR="009728A0" w:rsidRPr="00E45B46">
        <w:t>3</w:t>
      </w:r>
      <w:r w:rsidRPr="00E45B46">
        <w:t xml:space="preserve">).  </w:t>
      </w:r>
      <w:r w:rsidR="00172200" w:rsidRPr="00E45B46">
        <w:rPr>
          <w:color w:val="000000"/>
        </w:rPr>
        <w:t xml:space="preserve">Taggart </w:t>
      </w:r>
      <w:r w:rsidR="00A56797">
        <w:rPr>
          <w:color w:val="000000"/>
        </w:rPr>
        <w:t>and</w:t>
      </w:r>
      <w:r w:rsidR="00172200" w:rsidRPr="00E45B46">
        <w:rPr>
          <w:color w:val="000000"/>
        </w:rPr>
        <w:t xml:space="preserve"> Cousins (2014) reported that </w:t>
      </w:r>
      <w:r w:rsidR="00172200">
        <w:rPr>
          <w:color w:val="000000"/>
        </w:rPr>
        <w:t>they are</w:t>
      </w:r>
      <w:r w:rsidR="00172200" w:rsidRPr="00E45B46">
        <w:rPr>
          <w:color w:val="000000"/>
        </w:rPr>
        <w:t xml:space="preserve"> more likely to experience a range of secondary</w:t>
      </w:r>
      <w:r w:rsidR="00172200">
        <w:rPr>
          <w:color w:val="000000"/>
        </w:rPr>
        <w:t xml:space="preserve"> or </w:t>
      </w:r>
      <w:r w:rsidR="00172200" w:rsidRPr="00E45B46">
        <w:rPr>
          <w:color w:val="000000"/>
        </w:rPr>
        <w:t>chronic health conditions</w:t>
      </w:r>
      <w:r w:rsidR="00462E10">
        <w:rPr>
          <w:color w:val="000000"/>
        </w:rPr>
        <w:t xml:space="preserve">, such as constipation, thyroid problems and diabetes, </w:t>
      </w:r>
      <w:r w:rsidR="00172200" w:rsidRPr="00E45B46">
        <w:rPr>
          <w:color w:val="000000"/>
        </w:rPr>
        <w:t xml:space="preserve">many of which can be prevented </w:t>
      </w:r>
      <w:r w:rsidR="00462E10">
        <w:rPr>
          <w:color w:val="000000"/>
        </w:rPr>
        <w:t>and</w:t>
      </w:r>
      <w:r w:rsidR="00172200" w:rsidRPr="00E45B46">
        <w:rPr>
          <w:color w:val="000000"/>
        </w:rPr>
        <w:t xml:space="preserve"> managed more appropriately</w:t>
      </w:r>
      <w:r w:rsidR="00462E10">
        <w:rPr>
          <w:color w:val="000000"/>
        </w:rPr>
        <w:t xml:space="preserve">, thereby </w:t>
      </w:r>
      <w:r w:rsidR="00172200" w:rsidRPr="00E45B46">
        <w:rPr>
          <w:color w:val="000000"/>
        </w:rPr>
        <w:t>improving qualit</w:t>
      </w:r>
      <w:r w:rsidR="00172200">
        <w:rPr>
          <w:color w:val="000000"/>
        </w:rPr>
        <w:t>y of life, increasing longevity</w:t>
      </w:r>
      <w:r w:rsidR="00172200" w:rsidRPr="00E45B46">
        <w:rPr>
          <w:color w:val="000000"/>
        </w:rPr>
        <w:t xml:space="preserve"> and reducing care costs. </w:t>
      </w:r>
      <w:r w:rsidR="00462E10">
        <w:rPr>
          <w:color w:val="000000"/>
        </w:rPr>
        <w:t xml:space="preserve"> </w:t>
      </w:r>
      <w:r w:rsidR="00172200" w:rsidRPr="00E45B46">
        <w:rPr>
          <w:color w:val="000000"/>
        </w:rPr>
        <w:t>There is also evidence</w:t>
      </w:r>
      <w:r w:rsidR="00462E10">
        <w:rPr>
          <w:color w:val="000000"/>
        </w:rPr>
        <w:t xml:space="preserve"> that </w:t>
      </w:r>
      <w:r w:rsidR="00172200" w:rsidRPr="00E45B46">
        <w:rPr>
          <w:color w:val="000000"/>
        </w:rPr>
        <w:t xml:space="preserve">people with intellectual </w:t>
      </w:r>
      <w:r w:rsidR="00F51FFF">
        <w:rPr>
          <w:color w:val="000000"/>
        </w:rPr>
        <w:t>disability</w:t>
      </w:r>
      <w:r w:rsidR="00172200" w:rsidRPr="00E45B46">
        <w:rPr>
          <w:color w:val="000000"/>
        </w:rPr>
        <w:t xml:space="preserve"> are less likely to receive </w:t>
      </w:r>
      <w:r w:rsidR="00462E10">
        <w:rPr>
          <w:color w:val="000000"/>
        </w:rPr>
        <w:t xml:space="preserve">checks </w:t>
      </w:r>
      <w:r w:rsidR="00E12DB9">
        <w:rPr>
          <w:color w:val="000000"/>
        </w:rPr>
        <w:t xml:space="preserve">for </w:t>
      </w:r>
      <w:r w:rsidR="00E12DB9" w:rsidRPr="00E45B46">
        <w:rPr>
          <w:color w:val="000000"/>
        </w:rPr>
        <w:t>breast</w:t>
      </w:r>
      <w:r w:rsidR="00172200" w:rsidRPr="00E45B46">
        <w:rPr>
          <w:color w:val="000000"/>
        </w:rPr>
        <w:t xml:space="preserve"> and cervical cancer compared to their non-disabled peers</w:t>
      </w:r>
      <w:r w:rsidR="00462E10">
        <w:rPr>
          <w:color w:val="000000"/>
        </w:rPr>
        <w:t>.  However i</w:t>
      </w:r>
      <w:r w:rsidR="00BC6CAC" w:rsidRPr="00E45B46">
        <w:rPr>
          <w:rFonts w:eastAsia="MS PGothic"/>
          <w:bCs/>
          <w:lang w:eastAsia="en-GB"/>
        </w:rPr>
        <w:t xml:space="preserve">t is </w:t>
      </w:r>
      <w:r w:rsidR="00DE16F5" w:rsidRPr="00E45B46">
        <w:rPr>
          <w:rFonts w:eastAsia="MS PGothic"/>
          <w:bCs/>
          <w:lang w:eastAsia="en-GB"/>
        </w:rPr>
        <w:t xml:space="preserve">now </w:t>
      </w:r>
      <w:r w:rsidR="00172200">
        <w:rPr>
          <w:rFonts w:eastAsia="MS PGothic"/>
          <w:bCs/>
          <w:lang w:eastAsia="en-GB"/>
        </w:rPr>
        <w:t>a</w:t>
      </w:r>
      <w:r w:rsidR="00BC6CAC" w:rsidRPr="00E45B46">
        <w:rPr>
          <w:rFonts w:eastAsia="MS PGothic"/>
          <w:bCs/>
          <w:lang w:eastAsia="en-GB"/>
        </w:rPr>
        <w:t xml:space="preserve"> legal duty </w:t>
      </w:r>
      <w:r w:rsidR="00DE16F5" w:rsidRPr="00E45B46">
        <w:rPr>
          <w:rFonts w:eastAsia="MS PGothic"/>
          <w:bCs/>
          <w:lang w:eastAsia="en-GB"/>
        </w:rPr>
        <w:t xml:space="preserve">within the UK </w:t>
      </w:r>
      <w:r w:rsidR="00BC6CAC" w:rsidRPr="00E45B46">
        <w:rPr>
          <w:rFonts w:eastAsia="MS PGothic"/>
          <w:bCs/>
          <w:lang w:eastAsia="en-GB"/>
        </w:rPr>
        <w:t xml:space="preserve">under the Disability Discrimination Acts </w:t>
      </w:r>
      <w:r w:rsidR="00DE16F5" w:rsidRPr="00E45B46">
        <w:rPr>
          <w:rFonts w:eastAsia="MS PGothic"/>
          <w:bCs/>
          <w:lang w:eastAsia="en-GB"/>
        </w:rPr>
        <w:t>(</w:t>
      </w:r>
      <w:r w:rsidR="00BC6CAC" w:rsidRPr="00E45B46">
        <w:rPr>
          <w:rFonts w:eastAsia="MS PGothic"/>
          <w:bCs/>
          <w:lang w:eastAsia="en-GB"/>
        </w:rPr>
        <w:t>1995, 2005</w:t>
      </w:r>
      <w:r w:rsidR="00DE16F5" w:rsidRPr="00E45B46">
        <w:rPr>
          <w:rFonts w:eastAsia="MS PGothic"/>
          <w:bCs/>
          <w:lang w:eastAsia="en-GB"/>
        </w:rPr>
        <w:t>)</w:t>
      </w:r>
      <w:r w:rsidR="00BC6CAC" w:rsidRPr="00E45B46">
        <w:rPr>
          <w:rFonts w:eastAsia="MS PGothic"/>
          <w:bCs/>
          <w:lang w:eastAsia="en-GB"/>
        </w:rPr>
        <w:t xml:space="preserve"> and the Equality Act </w:t>
      </w:r>
      <w:r w:rsidR="00DE16F5" w:rsidRPr="00E45B46">
        <w:rPr>
          <w:rFonts w:eastAsia="MS PGothic"/>
          <w:bCs/>
          <w:lang w:eastAsia="en-GB"/>
        </w:rPr>
        <w:t>(</w:t>
      </w:r>
      <w:r w:rsidR="00BC6CAC" w:rsidRPr="00E45B46">
        <w:rPr>
          <w:rFonts w:eastAsia="MS PGothic"/>
          <w:bCs/>
          <w:lang w:eastAsia="en-GB"/>
        </w:rPr>
        <w:t xml:space="preserve">2010) </w:t>
      </w:r>
      <w:r w:rsidR="00172200">
        <w:rPr>
          <w:rFonts w:eastAsia="MS PGothic"/>
          <w:bCs/>
          <w:lang w:eastAsia="en-GB"/>
        </w:rPr>
        <w:t>for</w:t>
      </w:r>
      <w:r w:rsidR="00BC6CAC" w:rsidRPr="00E45B46">
        <w:rPr>
          <w:rFonts w:eastAsia="MS PGothic"/>
          <w:bCs/>
          <w:lang w:eastAsia="en-GB"/>
        </w:rPr>
        <w:t xml:space="preserve"> primary</w:t>
      </w:r>
      <w:r w:rsidR="00DE16F5" w:rsidRPr="00E45B46">
        <w:rPr>
          <w:rFonts w:eastAsia="MS PGothic"/>
          <w:bCs/>
          <w:lang w:eastAsia="en-GB"/>
        </w:rPr>
        <w:t xml:space="preserve"> and secondary</w:t>
      </w:r>
      <w:r w:rsidR="00BC6CAC" w:rsidRPr="00E45B46">
        <w:rPr>
          <w:rFonts w:eastAsia="MS PGothic"/>
          <w:bCs/>
          <w:lang w:eastAsia="en-GB"/>
        </w:rPr>
        <w:t xml:space="preserve"> services to make reasonable adjustments </w:t>
      </w:r>
      <w:r w:rsidR="00172200">
        <w:rPr>
          <w:rFonts w:eastAsia="MS PGothic"/>
          <w:bCs/>
          <w:lang w:eastAsia="en-GB"/>
        </w:rPr>
        <w:t xml:space="preserve">to ensure equality of access to healthcare </w:t>
      </w:r>
      <w:r w:rsidR="00BC6CAC" w:rsidRPr="00E45B46">
        <w:rPr>
          <w:rFonts w:eastAsia="MS PGothic"/>
          <w:bCs/>
          <w:lang w:eastAsia="en-GB"/>
        </w:rPr>
        <w:t>(</w:t>
      </w:r>
      <w:r w:rsidR="00E12DB9" w:rsidRPr="0071605E">
        <w:rPr>
          <w:rFonts w:eastAsia="Calibri"/>
        </w:rPr>
        <w:t>Disability Rights Commission</w:t>
      </w:r>
      <w:r w:rsidR="00E12DB9">
        <w:rPr>
          <w:rFonts w:eastAsia="Calibri"/>
        </w:rPr>
        <w:t xml:space="preserve">, </w:t>
      </w:r>
      <w:r w:rsidR="00E12DB9" w:rsidRPr="0071605E">
        <w:rPr>
          <w:rFonts w:eastAsia="Calibri"/>
        </w:rPr>
        <w:t>2006)</w:t>
      </w:r>
      <w:r w:rsidR="00BC6CAC" w:rsidRPr="00E45B46">
        <w:rPr>
          <w:rFonts w:eastAsia="MS PGothic"/>
          <w:bCs/>
          <w:lang w:eastAsia="en-GB"/>
        </w:rPr>
        <w:t>.</w:t>
      </w:r>
    </w:p>
    <w:p w:rsidR="0016197A" w:rsidRPr="00E45B46" w:rsidRDefault="00E64730" w:rsidP="00652A44">
      <w:pPr>
        <w:tabs>
          <w:tab w:val="left" w:pos="1560"/>
        </w:tabs>
        <w:spacing w:before="0" w:after="240" w:line="480" w:lineRule="auto"/>
      </w:pPr>
      <w:r w:rsidRPr="00E45B46">
        <w:t>One response has been the introduction of annual health checks</w:t>
      </w:r>
      <w:r w:rsidR="00D80A1E" w:rsidRPr="00E45B46">
        <w:t xml:space="preserve"> undertaken by community</w:t>
      </w:r>
      <w:r w:rsidR="00C10622" w:rsidRPr="00E45B46">
        <w:t xml:space="preserve"> family</w:t>
      </w:r>
      <w:r w:rsidR="00D80A1E" w:rsidRPr="00E45B46">
        <w:t xml:space="preserve"> doctors such as general practitioners</w:t>
      </w:r>
      <w:r w:rsidR="00C84D1D" w:rsidRPr="00E45B46">
        <w:t xml:space="preserve"> (GP)</w:t>
      </w:r>
      <w:r w:rsidR="00D80A1E" w:rsidRPr="00E45B46">
        <w:t xml:space="preserve"> in the UK National Health Service.  </w:t>
      </w:r>
      <w:r w:rsidR="00957DF7">
        <w:t xml:space="preserve">This is supported by a body of literature from the mid-1990s </w:t>
      </w:r>
      <w:r w:rsidR="001739D2">
        <w:t>onwards and</w:t>
      </w:r>
      <w:r w:rsidR="00957DF7">
        <w:t xml:space="preserve"> the development of screening tools such as the Cardiff </w:t>
      </w:r>
      <w:r w:rsidR="00DA1078">
        <w:t xml:space="preserve">Health Check </w:t>
      </w:r>
      <w:r w:rsidR="00957DF7">
        <w:t xml:space="preserve">(Baxter et al, 2006).  </w:t>
      </w:r>
      <w:r w:rsidR="0016197A" w:rsidRPr="00E45B46">
        <w:t xml:space="preserve">A systematic review of international evidence on health checks for adults with intellectual </w:t>
      </w:r>
      <w:r w:rsidR="00F51FFF">
        <w:t>disability</w:t>
      </w:r>
      <w:r w:rsidR="0016197A" w:rsidRPr="00E45B46">
        <w:t xml:space="preserve"> has been recently unde</w:t>
      </w:r>
      <w:r w:rsidR="00E817FE">
        <w:t>rtaken by Robertson et al. (2010</w:t>
      </w:r>
      <w:r w:rsidR="000F682D">
        <w:t xml:space="preserve">) </w:t>
      </w:r>
      <w:r w:rsidR="00E54D1A">
        <w:t xml:space="preserve">which </w:t>
      </w:r>
      <w:r w:rsidR="0016197A" w:rsidRPr="00E45B46">
        <w:t xml:space="preserve"> concluded that the introduction of health </w:t>
      </w:r>
      <w:r w:rsidR="0016197A" w:rsidRPr="00E45B46">
        <w:lastRenderedPageBreak/>
        <w:t xml:space="preserve">checks had resulted in </w:t>
      </w:r>
      <w:r w:rsidR="00E817FE">
        <w:t>‘</w:t>
      </w:r>
      <w:r w:rsidR="0016197A" w:rsidRPr="00E45B46">
        <w:rPr>
          <w:i/>
        </w:rPr>
        <w:t>the detection of unmet, unrecognised and potentially treatable health conditions (including serious and life threatening conditions such as cancer, heart disease and dementia)</w:t>
      </w:r>
      <w:r w:rsidR="00E817FE">
        <w:rPr>
          <w:i/>
        </w:rPr>
        <w:t xml:space="preserve"> p. 24’</w:t>
      </w:r>
      <w:r w:rsidR="0016197A" w:rsidRPr="00E45B46">
        <w:rPr>
          <w:i/>
        </w:rPr>
        <w:t>.</w:t>
      </w:r>
      <w:r w:rsidR="0016197A" w:rsidRPr="00E45B46">
        <w:t xml:space="preserve">  The health checks also led to targeted actions to address health needs such as the promotion of healthier lifestyles. </w:t>
      </w:r>
      <w:r w:rsidR="00E54D1A">
        <w:t xml:space="preserve">  Moreover h</w:t>
      </w:r>
      <w:r w:rsidR="00E54D1A" w:rsidRPr="00E45B46">
        <w:t xml:space="preserve">ealth checks also </w:t>
      </w:r>
      <w:r w:rsidR="00E817FE">
        <w:t xml:space="preserve">seem to </w:t>
      </w:r>
      <w:r w:rsidR="00E54D1A" w:rsidRPr="00E45B46">
        <w:t xml:space="preserve">be cost-effective as early detection </w:t>
      </w:r>
      <w:r w:rsidR="000F682D">
        <w:t xml:space="preserve">reduces the </w:t>
      </w:r>
      <w:r w:rsidR="00E54D1A" w:rsidRPr="00E45B46">
        <w:t xml:space="preserve">costs associated with managing </w:t>
      </w:r>
      <w:r w:rsidR="000F682D">
        <w:t>chronic conditions</w:t>
      </w:r>
      <w:r w:rsidR="00E817FE">
        <w:t xml:space="preserve"> (</w:t>
      </w:r>
      <w:r w:rsidR="00A924DC">
        <w:rPr>
          <w:iCs/>
        </w:rPr>
        <w:t>Buszewicz</w:t>
      </w:r>
      <w:r w:rsidR="00E817FE">
        <w:t xml:space="preserve"> et al., 2014)</w:t>
      </w:r>
      <w:r w:rsidR="00E54D1A" w:rsidRPr="00E45B46">
        <w:t>.</w:t>
      </w:r>
    </w:p>
    <w:p w:rsidR="00DC4BA9" w:rsidRPr="00E45B46" w:rsidRDefault="00D80A1E" w:rsidP="00652A44">
      <w:pPr>
        <w:spacing w:before="0" w:after="240" w:line="480" w:lineRule="auto"/>
      </w:pPr>
      <w:r w:rsidRPr="00E45B46">
        <w:t xml:space="preserve">In England, the uptake of health checks has been documented by Public Health England (2013) since their introduction nationally in 2008.  By 2012/2013 there had been nearly a four-fold increase from 27,000 to over 93,000 </w:t>
      </w:r>
      <w:r w:rsidR="00652A44">
        <w:t xml:space="preserve">checks </w:t>
      </w:r>
      <w:r w:rsidRPr="00E45B46">
        <w:t xml:space="preserve"> undertaken. </w:t>
      </w:r>
      <w:r w:rsidR="00545149">
        <w:t xml:space="preserve"> </w:t>
      </w:r>
      <w:r w:rsidR="00DC4BA9" w:rsidRPr="00E45B46">
        <w:t xml:space="preserve">Nevertheless only a minority of </w:t>
      </w:r>
      <w:r w:rsidR="00DB49F0" w:rsidRPr="00E45B46">
        <w:t xml:space="preserve">adult persons </w:t>
      </w:r>
      <w:r w:rsidR="00DC4BA9" w:rsidRPr="00E45B46">
        <w:t>with a</w:t>
      </w:r>
      <w:r w:rsidR="005C5DA8" w:rsidRPr="00E45B46">
        <w:t>n intellectual</w:t>
      </w:r>
      <w:r w:rsidR="00DC4BA9" w:rsidRPr="00E45B46">
        <w:t xml:space="preserve"> disability are receiving a health </w:t>
      </w:r>
      <w:r w:rsidR="00652A44">
        <w:t>check</w:t>
      </w:r>
      <w:r w:rsidR="00DC4BA9" w:rsidRPr="00E45B46">
        <w:t xml:space="preserve"> although the proportion has risen from 19% to 46%.  A striking feature of the English data is the regional variation across the 10 Strategic Health Authorities</w:t>
      </w:r>
      <w:r w:rsidR="00F51FFF">
        <w:t xml:space="preserve">.  </w:t>
      </w:r>
      <w:r w:rsidR="00DC4BA9" w:rsidRPr="00E45B46">
        <w:t xml:space="preserve"> </w:t>
      </w:r>
      <w:r w:rsidR="00F51FFF">
        <w:t>A</w:t>
      </w:r>
      <w:r w:rsidR="00DC4BA9" w:rsidRPr="00E45B46">
        <w:t>lthough all show</w:t>
      </w:r>
      <w:r w:rsidR="00F51FFF">
        <w:t>ed</w:t>
      </w:r>
      <w:r w:rsidR="00DC4BA9" w:rsidRPr="00E45B46">
        <w:t xml:space="preserve"> some progress in </w:t>
      </w:r>
      <w:r w:rsidR="00DB49F0" w:rsidRPr="00E45B46">
        <w:t xml:space="preserve">the </w:t>
      </w:r>
      <w:r w:rsidR="00DC4BA9" w:rsidRPr="00E45B46">
        <w:t xml:space="preserve">proportions </w:t>
      </w:r>
      <w:r w:rsidR="00DB49F0" w:rsidRPr="00E45B46">
        <w:t>of</w:t>
      </w:r>
      <w:r w:rsidR="00DC4BA9" w:rsidRPr="00E45B46">
        <w:t xml:space="preserve"> people </w:t>
      </w:r>
      <w:r w:rsidR="00DB49F0" w:rsidRPr="00E45B46">
        <w:t>with a</w:t>
      </w:r>
      <w:r w:rsidR="005C5DA8" w:rsidRPr="00E45B46">
        <w:t>n intellectual</w:t>
      </w:r>
      <w:r w:rsidR="00DB49F0" w:rsidRPr="00E45B46">
        <w:t xml:space="preserve"> disability </w:t>
      </w:r>
      <w:r w:rsidR="00DC4BA9" w:rsidRPr="00E45B46">
        <w:t xml:space="preserve">screened, the patterns were very stable over time: the better </w:t>
      </w:r>
      <w:r w:rsidR="00F51FFF">
        <w:t>region</w:t>
      </w:r>
      <w:r w:rsidR="00DA1078">
        <w:t>s</w:t>
      </w:r>
      <w:r w:rsidR="00DC4BA9" w:rsidRPr="00E45B46">
        <w:t xml:space="preserve"> continue to </w:t>
      </w:r>
      <w:r w:rsidR="00F51FFF">
        <w:t xml:space="preserve">screen more people </w:t>
      </w:r>
      <w:r w:rsidR="00DC4BA9" w:rsidRPr="00E45B46">
        <w:t xml:space="preserve">while the </w:t>
      </w:r>
      <w:r w:rsidR="00F51FFF">
        <w:t xml:space="preserve">rates in </w:t>
      </w:r>
      <w:r w:rsidR="00DC4BA9" w:rsidRPr="00E45B46">
        <w:t xml:space="preserve">poorer performing regions remain </w:t>
      </w:r>
      <w:r w:rsidR="00F51FFF">
        <w:t>low</w:t>
      </w:r>
      <w:r w:rsidR="00DC4BA9" w:rsidRPr="00E45B46">
        <w:t xml:space="preserve">. </w:t>
      </w:r>
      <w:r w:rsidR="003653A0" w:rsidRPr="00E45B46">
        <w:t xml:space="preserve"> Thus by 2012/2013 the best performing region screened 64% of persons </w:t>
      </w:r>
      <w:r w:rsidR="00DB49F0" w:rsidRPr="00E45B46">
        <w:t>with a</w:t>
      </w:r>
      <w:r w:rsidR="005C5DA8" w:rsidRPr="00E45B46">
        <w:t>n intellectual</w:t>
      </w:r>
      <w:r w:rsidR="00DB49F0" w:rsidRPr="00E45B46">
        <w:t xml:space="preserve"> disability </w:t>
      </w:r>
      <w:r w:rsidR="003653A0" w:rsidRPr="00E45B46">
        <w:t xml:space="preserve">known to GP practices compared to 37% in the poorest region. </w:t>
      </w:r>
      <w:r w:rsidR="00DB49F0" w:rsidRPr="00E45B46">
        <w:t xml:space="preserve">  A similar regional variation in the provision of health checks has been reported for Wales from 23% to 60% (Perry et al., 2010). </w:t>
      </w:r>
    </w:p>
    <w:p w:rsidR="00DB49F0" w:rsidRPr="00E45B46" w:rsidRDefault="00957DF7" w:rsidP="00652A44">
      <w:pPr>
        <w:spacing w:before="0" w:after="240" w:line="480" w:lineRule="auto"/>
      </w:pPr>
      <w:r>
        <w:t xml:space="preserve">To date, relatively little attention has been given to </w:t>
      </w:r>
      <w:r w:rsidR="00DB49F0" w:rsidRPr="00E45B46">
        <w:t xml:space="preserve">examining </w:t>
      </w:r>
      <w:r w:rsidR="00A924DC">
        <w:t>the</w:t>
      </w:r>
      <w:r>
        <w:t xml:space="preserve"> </w:t>
      </w:r>
      <w:r w:rsidR="00DB49F0" w:rsidRPr="00E45B46">
        <w:t xml:space="preserve"> implementation </w:t>
      </w:r>
      <w:r w:rsidR="00A924DC">
        <w:t xml:space="preserve">nationally </w:t>
      </w:r>
      <w:r>
        <w:t xml:space="preserve">of health checks </w:t>
      </w:r>
      <w:r w:rsidR="00DB49F0" w:rsidRPr="00E45B46">
        <w:t xml:space="preserve">and especially the resulting </w:t>
      </w:r>
      <w:r w:rsidR="00DB49F0" w:rsidRPr="00E45B46">
        <w:lastRenderedPageBreak/>
        <w:t xml:space="preserve">inequities </w:t>
      </w:r>
      <w:r w:rsidR="00A924DC">
        <w:t xml:space="preserve">across regions </w:t>
      </w:r>
      <w:r w:rsidR="00DB49F0" w:rsidRPr="00E45B46">
        <w:t xml:space="preserve">that are now clearly apparent.  In Northern Ireland, health </w:t>
      </w:r>
      <w:r w:rsidR="00652A44">
        <w:t xml:space="preserve">checks were </w:t>
      </w:r>
      <w:r w:rsidR="001D4161" w:rsidRPr="00E45B46">
        <w:t>introduced somewhat later than in other parts of the UK</w:t>
      </w:r>
      <w:r w:rsidR="00F51FFF">
        <w:t xml:space="preserve">.  </w:t>
      </w:r>
      <w:r w:rsidR="00672D70" w:rsidRPr="00E45B46">
        <w:t>201</w:t>
      </w:r>
      <w:r w:rsidR="00672D70">
        <w:t>1</w:t>
      </w:r>
      <w:r w:rsidR="00672D70" w:rsidRPr="00E45B46">
        <w:t>/</w:t>
      </w:r>
      <w:r w:rsidR="00672D70">
        <w:t>12 was t</w:t>
      </w:r>
      <w:r w:rsidR="001D4161" w:rsidRPr="00E45B46">
        <w:t xml:space="preserve">he first year </w:t>
      </w:r>
      <w:r w:rsidR="000078EB">
        <w:t xml:space="preserve">in which complete data was available across the region </w:t>
      </w:r>
      <w:r w:rsidR="00545149">
        <w:t>for</w:t>
      </w:r>
      <w:r w:rsidR="00911A99" w:rsidRPr="00E45B46">
        <w:t xml:space="preserve"> the Direct Enhanced Scheme for Learning Disability under which payments are made to GP practices for the provision of an annual check</w:t>
      </w:r>
      <w:r w:rsidR="001D4161" w:rsidRPr="00E45B46">
        <w:t xml:space="preserve">.  However </w:t>
      </w:r>
      <w:r w:rsidR="00B02738" w:rsidRPr="00E45B46">
        <w:t>given the small</w:t>
      </w:r>
      <w:r w:rsidR="000078EB">
        <w:t xml:space="preserve">ness of the </w:t>
      </w:r>
      <w:r w:rsidR="00B02738" w:rsidRPr="00E45B46">
        <w:t>region</w:t>
      </w:r>
      <w:r w:rsidR="005C5DA8" w:rsidRPr="00E45B46">
        <w:t xml:space="preserve"> </w:t>
      </w:r>
      <w:r w:rsidR="00B02738" w:rsidRPr="00E45B46">
        <w:t>(1.8 million</w:t>
      </w:r>
      <w:r w:rsidR="005C5DA8" w:rsidRPr="00E45B46">
        <w:t xml:space="preserve"> people</w:t>
      </w:r>
      <w:r w:rsidR="00B02738" w:rsidRPr="00E45B46">
        <w:t xml:space="preserve">) and the data emerging from England and Wales, a major concern </w:t>
      </w:r>
      <w:r w:rsidR="00810280" w:rsidRPr="00E45B46">
        <w:t xml:space="preserve">was </w:t>
      </w:r>
      <w:r w:rsidR="00B02738" w:rsidRPr="00E45B46">
        <w:t xml:space="preserve">to encourage the uptake of </w:t>
      </w:r>
      <w:r w:rsidR="00DE157C" w:rsidRPr="00E45B46">
        <w:t xml:space="preserve">health </w:t>
      </w:r>
      <w:r w:rsidR="00652A44">
        <w:t>check</w:t>
      </w:r>
      <w:r w:rsidR="00DE157C" w:rsidRPr="00E45B46">
        <w:t xml:space="preserve">s and </w:t>
      </w:r>
      <w:r w:rsidR="00810280" w:rsidRPr="00E45B46">
        <w:t xml:space="preserve">to monitor </w:t>
      </w:r>
      <w:r w:rsidR="00DE157C" w:rsidRPr="00E45B46">
        <w:t xml:space="preserve">equity of </w:t>
      </w:r>
      <w:r w:rsidR="00B02738" w:rsidRPr="00E45B46">
        <w:t>provision</w:t>
      </w:r>
      <w:r w:rsidR="00810280" w:rsidRPr="00E45B46">
        <w:t xml:space="preserve"> across the region</w:t>
      </w:r>
      <w:r w:rsidR="00DE157C" w:rsidRPr="00E45B46">
        <w:t xml:space="preserve">. </w:t>
      </w:r>
      <w:r w:rsidR="00B02738" w:rsidRPr="00E45B46">
        <w:t xml:space="preserve"> </w:t>
      </w:r>
      <w:r w:rsidR="00810280" w:rsidRPr="00E45B46">
        <w:t xml:space="preserve">The paper reports the findings from a three-year review that </w:t>
      </w:r>
      <w:r w:rsidR="001574F1" w:rsidRPr="00E45B46">
        <w:t xml:space="preserve">aimed to discover possible factors affecting the provision of health </w:t>
      </w:r>
      <w:r w:rsidR="00652A44">
        <w:t>check</w:t>
      </w:r>
      <w:r w:rsidR="001574F1" w:rsidRPr="00E45B46">
        <w:t>s and the contribution that the appointment of a cad</w:t>
      </w:r>
      <w:r w:rsidR="00E72E35" w:rsidRPr="00E45B46">
        <w:t>re of dedicated staff known as Health F</w:t>
      </w:r>
      <w:r w:rsidR="001574F1" w:rsidRPr="00E45B46">
        <w:t xml:space="preserve">acilitators could make to this. </w:t>
      </w:r>
      <w:r w:rsidR="00911A99" w:rsidRPr="00E45B46">
        <w:t xml:space="preserve"> </w:t>
      </w:r>
      <w:r w:rsidR="00973C11">
        <w:t>All were registered learning disability</w:t>
      </w:r>
      <w:r w:rsidR="00911A99" w:rsidRPr="00E45B46">
        <w:t xml:space="preserve"> nurses </w:t>
      </w:r>
      <w:r w:rsidR="00973C11">
        <w:t xml:space="preserve">and </w:t>
      </w:r>
      <w:r w:rsidR="00911A99" w:rsidRPr="00E45B46">
        <w:t xml:space="preserve">members of community </w:t>
      </w:r>
      <w:r w:rsidR="00E72E35" w:rsidRPr="00E45B46">
        <w:t>intellectual</w:t>
      </w:r>
      <w:r w:rsidR="00911A99" w:rsidRPr="00E45B46">
        <w:t xml:space="preserve"> disability teams</w:t>
      </w:r>
      <w:r w:rsidR="00973C11">
        <w:t xml:space="preserve">.  They </w:t>
      </w:r>
      <w:r w:rsidR="00911A99" w:rsidRPr="00E45B46">
        <w:t xml:space="preserve">were seconded </w:t>
      </w:r>
      <w:r w:rsidR="00973C11">
        <w:t xml:space="preserve">to these new posts </w:t>
      </w:r>
      <w:r w:rsidR="00911A99" w:rsidRPr="00E45B46">
        <w:t>to liaise with GP practices.</w:t>
      </w:r>
    </w:p>
    <w:p w:rsidR="00DB49F0" w:rsidRPr="001B0A0C" w:rsidRDefault="001574F1" w:rsidP="00652A44">
      <w:pPr>
        <w:spacing w:before="0" w:after="240" w:line="480" w:lineRule="auto"/>
        <w:rPr>
          <w:b/>
          <w:sz w:val="28"/>
          <w:szCs w:val="28"/>
        </w:rPr>
      </w:pPr>
      <w:r w:rsidRPr="001B0A0C">
        <w:rPr>
          <w:b/>
          <w:sz w:val="28"/>
          <w:szCs w:val="28"/>
        </w:rPr>
        <w:t>Method</w:t>
      </w:r>
    </w:p>
    <w:p w:rsidR="00206D29" w:rsidRPr="00E45B46" w:rsidRDefault="00206D29" w:rsidP="00652A44">
      <w:pPr>
        <w:spacing w:before="0" w:after="240" w:line="480" w:lineRule="auto"/>
        <w:rPr>
          <w:b/>
        </w:rPr>
      </w:pPr>
      <w:r w:rsidRPr="00E45B46">
        <w:rPr>
          <w:b/>
        </w:rPr>
        <w:t>Country cont</w:t>
      </w:r>
      <w:r w:rsidR="000059AF" w:rsidRPr="00E45B46">
        <w:rPr>
          <w:b/>
        </w:rPr>
        <w:t>ext</w:t>
      </w:r>
    </w:p>
    <w:p w:rsidR="006843F0" w:rsidRPr="00E45B46" w:rsidRDefault="00206D29" w:rsidP="00652A44">
      <w:pPr>
        <w:spacing w:before="0" w:after="240" w:line="480" w:lineRule="auto"/>
      </w:pPr>
      <w:r w:rsidRPr="00E45B46">
        <w:t xml:space="preserve">Northern Ireland operates a National Health Service in common with other parts of the </w:t>
      </w:r>
      <w:r w:rsidR="00AE58B1" w:rsidRPr="00E45B46">
        <w:t>UK</w:t>
      </w:r>
      <w:r w:rsidRPr="00E45B46">
        <w:t xml:space="preserve">.  General Practitioners (GPs) provide free primary health care to a panel of patients mostly resident in their locality.   </w:t>
      </w:r>
      <w:r w:rsidR="00745372" w:rsidRPr="00E45B46">
        <w:t>There were 351 GP practices in 2013/14 (353 in other years)</w:t>
      </w:r>
      <w:r w:rsidR="00761117" w:rsidRPr="00E45B46">
        <w:t xml:space="preserve"> with around 1,100 GPs employed in total</w:t>
      </w:r>
      <w:r w:rsidR="00745372" w:rsidRPr="00E45B46">
        <w:t xml:space="preserve">. </w:t>
      </w:r>
      <w:r w:rsidR="0048511D">
        <w:t xml:space="preserve"> In 2013 t</w:t>
      </w:r>
      <w:r w:rsidR="00235134" w:rsidRPr="00E45B46">
        <w:t xml:space="preserve">he average number of patients per practice </w:t>
      </w:r>
      <w:r w:rsidR="0048511D">
        <w:t>wa</w:t>
      </w:r>
      <w:r w:rsidR="00235134" w:rsidRPr="00E45B46">
        <w:t xml:space="preserve">s around 5,200 </w:t>
      </w:r>
      <w:r w:rsidR="00911A99" w:rsidRPr="00E45B46">
        <w:t>of</w:t>
      </w:r>
      <w:r w:rsidR="00235134" w:rsidRPr="00E45B46">
        <w:t xml:space="preserve"> </w:t>
      </w:r>
      <w:r w:rsidR="00911A99" w:rsidRPr="00E45B46">
        <w:t>whom</w:t>
      </w:r>
      <w:r w:rsidR="00235134" w:rsidRPr="00E45B46">
        <w:t xml:space="preserve"> </w:t>
      </w:r>
      <w:r w:rsidR="00761117" w:rsidRPr="00E45B46">
        <w:t xml:space="preserve">3,800 are adults aged 20 years </w:t>
      </w:r>
      <w:r w:rsidR="00911A99" w:rsidRPr="00E45B46">
        <w:t>(based on figures</w:t>
      </w:r>
      <w:r w:rsidR="00347C97">
        <w:t xml:space="preserve"> provided by the Department of Health, Social Services and Public Safety: </w:t>
      </w:r>
      <w:r w:rsidR="00347C97" w:rsidRPr="00347C97">
        <w:t>http://www.dhsspsni.gov.uk/gp-w-</w:t>
      </w:r>
      <w:r w:rsidR="00347C97" w:rsidRPr="00347C97">
        <w:lastRenderedPageBreak/>
        <w:t>f.pdf</w:t>
      </w:r>
      <w:r w:rsidR="00347C97">
        <w:t xml:space="preserve"> </w:t>
      </w:r>
      <w:r w:rsidR="00911A99" w:rsidRPr="00E45B46">
        <w:t>)</w:t>
      </w:r>
      <w:r w:rsidR="00235134" w:rsidRPr="00E45B46">
        <w:t xml:space="preserve">. </w:t>
      </w:r>
      <w:r w:rsidR="00C27D60">
        <w:t xml:space="preserve"> </w:t>
      </w:r>
      <w:r w:rsidRPr="00E45B46">
        <w:t>In addition Health Boards may contract with GPs to provide additional services</w:t>
      </w:r>
      <w:r w:rsidR="00911A99" w:rsidRPr="00E45B46">
        <w:t xml:space="preserve"> to subgroups of patients such as those with diabetes under what is known as Directed Enhanced Service</w:t>
      </w:r>
      <w:r w:rsidR="0003476E" w:rsidRPr="00E45B46">
        <w:t xml:space="preserve"> (DES)</w:t>
      </w:r>
      <w:r w:rsidRPr="00E45B46">
        <w:t xml:space="preserve">.  </w:t>
      </w:r>
    </w:p>
    <w:p w:rsidR="006843F0" w:rsidRPr="00E45B46" w:rsidRDefault="00206D29" w:rsidP="00652A44">
      <w:pPr>
        <w:spacing w:before="0" w:after="240" w:line="480" w:lineRule="auto"/>
      </w:pPr>
      <w:r w:rsidRPr="00E45B46">
        <w:t xml:space="preserve">As in other parts of the UK, a </w:t>
      </w:r>
      <w:r w:rsidR="0003476E" w:rsidRPr="00E45B46">
        <w:t xml:space="preserve">DES </w:t>
      </w:r>
      <w:r w:rsidRPr="00E45B46">
        <w:t xml:space="preserve">for Learning Disability was introduced </w:t>
      </w:r>
      <w:r w:rsidR="00C27D60">
        <w:t xml:space="preserve">regionally </w:t>
      </w:r>
      <w:r w:rsidRPr="00E45B46">
        <w:t xml:space="preserve">in 2010 with GPs entitled to claim £75 for each patient with </w:t>
      </w:r>
      <w:r w:rsidR="00F13760">
        <w:t>intellectual</w:t>
      </w:r>
      <w:r w:rsidR="007C1355">
        <w:t xml:space="preserve"> </w:t>
      </w:r>
      <w:r w:rsidRPr="00E45B46">
        <w:t>disability who ha</w:t>
      </w:r>
      <w:r w:rsidR="00C27D60">
        <w:t>d</w:t>
      </w:r>
      <w:r w:rsidRPr="00E45B46">
        <w:t xml:space="preserve"> a health check</w:t>
      </w:r>
      <w:r w:rsidR="000059AF" w:rsidRPr="00E45B46">
        <w:t xml:space="preserve">. </w:t>
      </w:r>
      <w:r w:rsidR="006843F0" w:rsidRPr="00E45B46">
        <w:t xml:space="preserve">Guidance was provided on the type of checks to be undertaken based </w:t>
      </w:r>
      <w:r w:rsidR="00E12DB9">
        <w:t xml:space="preserve">on </w:t>
      </w:r>
      <w:r w:rsidR="00E12DB9" w:rsidRPr="00E45B46">
        <w:t>the</w:t>
      </w:r>
      <w:r w:rsidR="006843F0" w:rsidRPr="00E45B46">
        <w:t xml:space="preserve"> </w:t>
      </w:r>
      <w:r w:rsidR="00576EDE" w:rsidRPr="00E45B46">
        <w:t>Cardiff Health</w:t>
      </w:r>
      <w:r w:rsidR="006843F0" w:rsidRPr="00E45B46">
        <w:t xml:space="preserve"> Check (Royal College of General Practitioners, 2010).  This includes a physical examination by the doctor and information obtained from the patient or an accompanying person such as a family carer or service staff.  </w:t>
      </w:r>
    </w:p>
    <w:p w:rsidR="00206D29" w:rsidRPr="00E45B46" w:rsidRDefault="000059AF" w:rsidP="00652A44">
      <w:pPr>
        <w:spacing w:before="0" w:after="240" w:line="480" w:lineRule="auto"/>
      </w:pPr>
      <w:r w:rsidRPr="00E45B46">
        <w:t xml:space="preserve">Further monies were made available </w:t>
      </w:r>
      <w:r w:rsidR="00973C11">
        <w:t xml:space="preserve">in Northern Ireland </w:t>
      </w:r>
      <w:r w:rsidR="006843F0" w:rsidRPr="00E45B46">
        <w:t xml:space="preserve">by the </w:t>
      </w:r>
      <w:r w:rsidR="006236C9" w:rsidRPr="00E45B46">
        <w:t xml:space="preserve">commissioning </w:t>
      </w:r>
      <w:r w:rsidR="006236C9">
        <w:t>Health</w:t>
      </w:r>
      <w:r w:rsidR="00C27D60">
        <w:t xml:space="preserve"> and Social Care </w:t>
      </w:r>
      <w:r w:rsidR="006843F0" w:rsidRPr="00E45B46">
        <w:t xml:space="preserve">Board so that </w:t>
      </w:r>
      <w:r w:rsidRPr="00E45B46">
        <w:t xml:space="preserve">community </w:t>
      </w:r>
      <w:r w:rsidR="00A1702E">
        <w:t>learning</w:t>
      </w:r>
      <w:r w:rsidRPr="00E45B46">
        <w:t xml:space="preserve"> disability nurses who were employed by Health and Social Care Trusts</w:t>
      </w:r>
      <w:r w:rsidR="006843F0" w:rsidRPr="00E45B46">
        <w:t xml:space="preserve"> could be seconded</w:t>
      </w:r>
      <w:r w:rsidRPr="00E45B46">
        <w:t xml:space="preserve"> </w:t>
      </w:r>
      <w:r w:rsidR="000078EB">
        <w:t xml:space="preserve">or recruited </w:t>
      </w:r>
      <w:r w:rsidRPr="00E45B46">
        <w:t xml:space="preserve">to act as </w:t>
      </w:r>
      <w:r w:rsidR="00206D29" w:rsidRPr="00E45B46">
        <w:t xml:space="preserve">Health Facilitators. </w:t>
      </w:r>
      <w:r w:rsidRPr="00E45B46">
        <w:t xml:space="preserve"> In broad terms t</w:t>
      </w:r>
      <w:r w:rsidR="00206D29" w:rsidRPr="00E45B46">
        <w:t xml:space="preserve">heir role was </w:t>
      </w:r>
      <w:r w:rsidR="00C924C7" w:rsidRPr="00E45B46">
        <w:t xml:space="preserve">to liaise with </w:t>
      </w:r>
      <w:r w:rsidRPr="00E45B46">
        <w:t>GP practices to identify patients with</w:t>
      </w:r>
      <w:r w:rsidR="00C924C7" w:rsidRPr="00E45B46">
        <w:t xml:space="preserve"> </w:t>
      </w:r>
      <w:r w:rsidR="00F13760">
        <w:t>intellectual</w:t>
      </w:r>
      <w:r w:rsidR="00C924C7" w:rsidRPr="00E45B46">
        <w:t xml:space="preserve"> disabilit</w:t>
      </w:r>
      <w:r w:rsidR="00A1702E">
        <w:t>y</w:t>
      </w:r>
      <w:r w:rsidRPr="00E45B46">
        <w:t xml:space="preserve">, encourage their attendance for health checks, </w:t>
      </w:r>
      <w:r w:rsidR="006236C9">
        <w:t xml:space="preserve">to </w:t>
      </w:r>
      <w:r w:rsidR="006236C9" w:rsidRPr="00E45B46">
        <w:t>assist</w:t>
      </w:r>
      <w:r w:rsidRPr="00E45B46">
        <w:t xml:space="preserve"> at screening clinics and follow-up on</w:t>
      </w:r>
      <w:r w:rsidR="006236C9">
        <w:t xml:space="preserve"> actions needed.  D</w:t>
      </w:r>
      <w:r w:rsidR="006236C9" w:rsidRPr="00E45B46">
        <w:t>ue to financial pressures</w:t>
      </w:r>
      <w:r w:rsidR="006236C9">
        <w:t>, t</w:t>
      </w:r>
      <w:r w:rsidR="00C924C7" w:rsidRPr="00E45B46">
        <w:t>he number of Health F</w:t>
      </w:r>
      <w:r w:rsidRPr="00E45B46">
        <w:t>acilitators that were appointed varied across the Trust</w:t>
      </w:r>
      <w:r w:rsidR="00320F99" w:rsidRPr="00E45B46">
        <w:t>s</w:t>
      </w:r>
      <w:r w:rsidRPr="00E45B46">
        <w:t xml:space="preserve"> and over the years. </w:t>
      </w:r>
      <w:r w:rsidR="00320F99" w:rsidRPr="00E45B46">
        <w:t xml:space="preserve">However this provided the opportunity to </w:t>
      </w:r>
      <w:r w:rsidR="0003476E" w:rsidRPr="00E45B46">
        <w:t xml:space="preserve">assess the </w:t>
      </w:r>
      <w:r w:rsidR="006843F0" w:rsidRPr="00E45B46">
        <w:t xml:space="preserve">impact that the Health Facilitators might have on </w:t>
      </w:r>
      <w:r w:rsidR="006236C9">
        <w:t xml:space="preserve">the </w:t>
      </w:r>
      <w:r w:rsidR="006843F0" w:rsidRPr="00E45B46">
        <w:t xml:space="preserve">uptake of health </w:t>
      </w:r>
      <w:r w:rsidR="00652A44">
        <w:t>check</w:t>
      </w:r>
      <w:r w:rsidR="006843F0" w:rsidRPr="00E45B46">
        <w:t>s.</w:t>
      </w:r>
    </w:p>
    <w:p w:rsidR="00745372" w:rsidRPr="00E45B46" w:rsidRDefault="00745372" w:rsidP="00652A44">
      <w:pPr>
        <w:spacing w:before="0" w:after="240" w:line="480" w:lineRule="auto"/>
        <w:rPr>
          <w:b/>
        </w:rPr>
      </w:pPr>
      <w:r w:rsidRPr="00E45B46">
        <w:rPr>
          <w:b/>
        </w:rPr>
        <w:t>Information gathered</w:t>
      </w:r>
    </w:p>
    <w:p w:rsidR="00973C11" w:rsidRDefault="0003476E" w:rsidP="00652A44">
      <w:pPr>
        <w:spacing w:before="0" w:after="240" w:line="480" w:lineRule="auto"/>
      </w:pPr>
      <w:r w:rsidRPr="00E45B46">
        <w:t xml:space="preserve">This study </w:t>
      </w:r>
      <w:r w:rsidR="00973C11">
        <w:t xml:space="preserve">was an audit of anonymised data held by Health and Social personnel and as such ethical approval was not required.  </w:t>
      </w:r>
    </w:p>
    <w:p w:rsidR="00745372" w:rsidRPr="00E45B46" w:rsidRDefault="00973C11" w:rsidP="00652A44">
      <w:pPr>
        <w:spacing w:before="0" w:after="240" w:line="480" w:lineRule="auto"/>
      </w:pPr>
      <w:r>
        <w:lastRenderedPageBreak/>
        <w:t>T</w:t>
      </w:r>
      <w:r w:rsidR="002E1A11" w:rsidRPr="00E45B46">
        <w:t xml:space="preserve">he Health and Social Care Board </w:t>
      </w:r>
      <w:r>
        <w:t xml:space="preserve">provided information </w:t>
      </w:r>
      <w:r w:rsidR="002E1A11" w:rsidRPr="00E45B46">
        <w:t>on the claims made by GP practices for reimbursement</w:t>
      </w:r>
      <w:r w:rsidR="000059AF" w:rsidRPr="00E45B46">
        <w:t xml:space="preserve"> for the </w:t>
      </w:r>
      <w:r w:rsidR="00652A44">
        <w:t>check</w:t>
      </w:r>
      <w:r w:rsidR="000059AF" w:rsidRPr="00E45B46">
        <w:t>s they had undertaken in the three financial years: 20</w:t>
      </w:r>
      <w:r w:rsidR="00307901">
        <w:t>11</w:t>
      </w:r>
      <w:r w:rsidR="000059AF" w:rsidRPr="00E45B46">
        <w:t>/12;</w:t>
      </w:r>
      <w:r w:rsidR="00745372" w:rsidRPr="00E45B46">
        <w:t xml:space="preserve"> </w:t>
      </w:r>
      <w:r w:rsidR="000059AF" w:rsidRPr="00E45B46">
        <w:t xml:space="preserve">2012/13 and 2013/14. </w:t>
      </w:r>
      <w:r w:rsidR="002E1A11" w:rsidRPr="00E45B46">
        <w:t xml:space="preserve"> </w:t>
      </w:r>
      <w:r w:rsidR="00745372" w:rsidRPr="00E45B46">
        <w:t xml:space="preserve"> This data </w:t>
      </w:r>
      <w:r>
        <w:t xml:space="preserve">also </w:t>
      </w:r>
      <w:r w:rsidR="0003476E" w:rsidRPr="00E45B46">
        <w:t>identified</w:t>
      </w:r>
      <w:r w:rsidR="00745372" w:rsidRPr="00E45B46">
        <w:t xml:space="preserve"> the number of GP practices that had agreed to </w:t>
      </w:r>
      <w:r w:rsidR="00320F99" w:rsidRPr="00E45B46">
        <w:t>provide health checks – a potential source of inequity</w:t>
      </w:r>
      <w:r w:rsidR="0003476E" w:rsidRPr="00E45B46">
        <w:t xml:space="preserve"> – along with the total nu</w:t>
      </w:r>
      <w:r w:rsidR="00C924C7" w:rsidRPr="00E45B46">
        <w:t xml:space="preserve">mber of patients with </w:t>
      </w:r>
      <w:r w:rsidR="00F13760">
        <w:t xml:space="preserve">intellectual </w:t>
      </w:r>
      <w:r w:rsidR="0003476E" w:rsidRPr="00E45B46">
        <w:t xml:space="preserve"> disability known to the practice.</w:t>
      </w:r>
      <w:r w:rsidR="00320F99" w:rsidRPr="00E45B46">
        <w:t xml:space="preserve">  The number of patients who had been </w:t>
      </w:r>
      <w:r w:rsidR="00652A44">
        <w:t>check</w:t>
      </w:r>
      <w:r w:rsidR="00320F99" w:rsidRPr="00E45B46">
        <w:t xml:space="preserve">ed could also be identified and the variations over </w:t>
      </w:r>
      <w:r w:rsidR="00DA1078">
        <w:t>the three years</w:t>
      </w:r>
      <w:r w:rsidR="00320F99" w:rsidRPr="00E45B46">
        <w:t xml:space="preserve"> and across Trusts </w:t>
      </w:r>
      <w:r w:rsidR="00DA1078">
        <w:t>c</w:t>
      </w:r>
      <w:r w:rsidR="00320F99" w:rsidRPr="00E45B46">
        <w:t xml:space="preserve">ould be monitored. </w:t>
      </w:r>
    </w:p>
    <w:p w:rsidR="00DA1078" w:rsidRDefault="0048511D" w:rsidP="00652A44">
      <w:pPr>
        <w:spacing w:before="0" w:after="240" w:line="480" w:lineRule="auto"/>
      </w:pPr>
      <w:r>
        <w:t>However t</w:t>
      </w:r>
      <w:r w:rsidR="00745372" w:rsidRPr="00E45B46">
        <w:t xml:space="preserve">hese </w:t>
      </w:r>
      <w:r>
        <w:t xml:space="preserve">summated </w:t>
      </w:r>
      <w:r w:rsidR="00745372" w:rsidRPr="00E45B46">
        <w:t xml:space="preserve">data </w:t>
      </w:r>
      <w:r w:rsidR="006843F0" w:rsidRPr="00E45B46">
        <w:t xml:space="preserve">gave no personal details of the people attending health </w:t>
      </w:r>
      <w:r w:rsidR="00652A44">
        <w:t>check</w:t>
      </w:r>
      <w:r w:rsidR="006843F0" w:rsidRPr="00E45B46">
        <w:t xml:space="preserve">s.  Thus an analysis was made of the </w:t>
      </w:r>
      <w:r w:rsidR="00973C11">
        <w:t xml:space="preserve">anonymised </w:t>
      </w:r>
      <w:r w:rsidR="0003476E" w:rsidRPr="00E45B46">
        <w:t xml:space="preserve">patient </w:t>
      </w:r>
      <w:r w:rsidR="002E1A11" w:rsidRPr="00E45B46">
        <w:t>records kept by Health Facilitators within one Health and Social Care Trust</w:t>
      </w:r>
      <w:r w:rsidR="00077C13" w:rsidRPr="00E45B46">
        <w:t xml:space="preserve">.  These records were held for all the patients with </w:t>
      </w:r>
      <w:r w:rsidR="00F13760">
        <w:t>intellectual</w:t>
      </w:r>
      <w:r w:rsidR="00077C13" w:rsidRPr="00E45B46">
        <w:t xml:space="preserve"> disability who were known to the practices.  Thus c</w:t>
      </w:r>
      <w:r w:rsidR="006843F0" w:rsidRPr="00E45B46">
        <w:t>omparisons c</w:t>
      </w:r>
      <w:r w:rsidR="00077C13" w:rsidRPr="00E45B46">
        <w:t>ould</w:t>
      </w:r>
      <w:r w:rsidR="006843F0" w:rsidRPr="00E45B46">
        <w:t xml:space="preserve"> be drawn with those patients </w:t>
      </w:r>
      <w:r w:rsidR="00077C13" w:rsidRPr="00E45B46">
        <w:t xml:space="preserve">who had a health check and those </w:t>
      </w:r>
      <w:r w:rsidR="006843F0" w:rsidRPr="00E45B46">
        <w:t>who had not</w:t>
      </w:r>
      <w:r w:rsidR="00077C13" w:rsidRPr="00E45B46">
        <w:t>.</w:t>
      </w:r>
      <w:r w:rsidR="006843F0" w:rsidRPr="00E45B46">
        <w:t xml:space="preserve"> </w:t>
      </w:r>
      <w:r w:rsidR="00973C11">
        <w:t xml:space="preserve"> </w:t>
      </w:r>
      <w:r w:rsidR="00DA1078">
        <w:t>Chi Square Tests or T-tests as appropriate were used to assess the statistical significance of differences.</w:t>
      </w:r>
    </w:p>
    <w:p w:rsidR="002E1A11" w:rsidRPr="007C1355" w:rsidRDefault="00A55105" w:rsidP="00652A44">
      <w:pPr>
        <w:spacing w:before="0" w:after="240" w:line="480" w:lineRule="auto"/>
        <w:rPr>
          <w:sz w:val="28"/>
          <w:szCs w:val="28"/>
        </w:rPr>
      </w:pPr>
      <w:r w:rsidRPr="007C1355">
        <w:rPr>
          <w:b/>
          <w:sz w:val="28"/>
          <w:szCs w:val="28"/>
        </w:rPr>
        <w:t>Results</w:t>
      </w:r>
    </w:p>
    <w:p w:rsidR="002E1A11" w:rsidRPr="00E45B46" w:rsidRDefault="002E1A11" w:rsidP="00652A44">
      <w:pPr>
        <w:spacing w:before="0" w:after="240" w:line="480" w:lineRule="auto"/>
        <w:rPr>
          <w:b/>
        </w:rPr>
      </w:pPr>
      <w:r w:rsidRPr="00E45B46">
        <w:rPr>
          <w:b/>
        </w:rPr>
        <w:t>Information on practices</w:t>
      </w:r>
    </w:p>
    <w:p w:rsidR="00685F3A" w:rsidRDefault="00685F3A" w:rsidP="00652A44">
      <w:pPr>
        <w:spacing w:before="0" w:after="240" w:line="480" w:lineRule="auto"/>
      </w:pPr>
      <w:r w:rsidRPr="00E45B46">
        <w:t xml:space="preserve">Northern Ireland has 351 GP practices (353 in years 2011-13).  Over the three years the number of practices signed up for the DES has increased from 77% in 2011/12 to 79% in 2012/13 and 92% </w:t>
      </w:r>
      <w:r w:rsidR="00283F21" w:rsidRPr="00E45B46">
        <w:t>in</w:t>
      </w:r>
      <w:r w:rsidRPr="00E45B46">
        <w:t xml:space="preserve"> 2013/14.  However not all practices undert</w:t>
      </w:r>
      <w:r w:rsidR="00283F21" w:rsidRPr="00E45B46">
        <w:t xml:space="preserve">ook </w:t>
      </w:r>
      <w:r w:rsidRPr="00E45B46">
        <w:t xml:space="preserve">health checks in any one year.  Figure 1 illustrates the variations in </w:t>
      </w:r>
      <w:r w:rsidRPr="00E45B46">
        <w:lastRenderedPageBreak/>
        <w:t>the percentage of practices in each Trust undertaking health checks over three years</w:t>
      </w:r>
      <w:r w:rsidR="0048511D">
        <w:t xml:space="preserve"> as well as the total for Northern Ireland overall</w:t>
      </w:r>
      <w:r w:rsidRPr="00E45B46">
        <w:t xml:space="preserve">. </w:t>
      </w:r>
    </w:p>
    <w:p w:rsidR="006236C9" w:rsidRPr="006236C9" w:rsidRDefault="006236C9" w:rsidP="00652A44">
      <w:pPr>
        <w:spacing w:before="0" w:after="240" w:line="480" w:lineRule="auto"/>
        <w:jc w:val="center"/>
        <w:rPr>
          <w:i/>
        </w:rPr>
      </w:pPr>
      <w:r w:rsidRPr="006236C9">
        <w:rPr>
          <w:i/>
        </w:rPr>
        <w:t>Insert Figure 1 about here</w:t>
      </w:r>
    </w:p>
    <w:p w:rsidR="0022530A" w:rsidRPr="00E45B46" w:rsidRDefault="00283F21" w:rsidP="00652A44">
      <w:pPr>
        <w:spacing w:before="0" w:after="240" w:line="480" w:lineRule="auto"/>
      </w:pPr>
      <w:r w:rsidRPr="00E45B46">
        <w:rPr>
          <w:noProof/>
          <w:lang w:eastAsia="en-GB"/>
        </w:rPr>
        <w:t xml:space="preserve">As Figure </w:t>
      </w:r>
      <w:r w:rsidR="00924D28">
        <w:rPr>
          <w:noProof/>
          <w:lang w:eastAsia="en-GB"/>
        </w:rPr>
        <w:t xml:space="preserve">1 </w:t>
      </w:r>
      <w:r w:rsidRPr="00E45B46">
        <w:rPr>
          <w:noProof/>
          <w:lang w:eastAsia="en-GB"/>
        </w:rPr>
        <w:t xml:space="preserve">shows, the overall percentage of practices had risen to 84% </w:t>
      </w:r>
      <w:r w:rsidR="00A55105" w:rsidRPr="00E45B46">
        <w:rPr>
          <w:noProof/>
          <w:lang w:eastAsia="en-GB"/>
        </w:rPr>
        <w:t>by</w:t>
      </w:r>
      <w:r w:rsidRPr="00E45B46">
        <w:rPr>
          <w:noProof/>
          <w:lang w:eastAsia="en-GB"/>
        </w:rPr>
        <w:t xml:space="preserve"> 2013/14.  </w:t>
      </w:r>
      <w:r w:rsidR="004A7B2C" w:rsidRPr="00E45B46">
        <w:t>T</w:t>
      </w:r>
      <w:r w:rsidR="007B6902" w:rsidRPr="00E45B46">
        <w:t xml:space="preserve">he highest uptake </w:t>
      </w:r>
      <w:r w:rsidR="004A7B2C" w:rsidRPr="00E45B46">
        <w:t>over</w:t>
      </w:r>
      <w:r w:rsidRPr="00E45B46">
        <w:t xml:space="preserve"> the </w:t>
      </w:r>
      <w:r w:rsidR="004A7B2C" w:rsidRPr="00E45B46">
        <w:t xml:space="preserve">three years was in </w:t>
      </w:r>
      <w:r w:rsidR="007B6902" w:rsidRPr="00E45B46">
        <w:t>the Northern Trust which has h</w:t>
      </w:r>
      <w:r w:rsidR="006A04EB" w:rsidRPr="00E45B46">
        <w:t>ad a full team of three Health F</w:t>
      </w:r>
      <w:r w:rsidR="007B6902" w:rsidRPr="00E45B46">
        <w:t xml:space="preserve">acilitators for the longest period </w:t>
      </w:r>
      <w:r w:rsidR="00077C13" w:rsidRPr="00E45B46">
        <w:t>with the</w:t>
      </w:r>
      <w:r w:rsidR="007B6902" w:rsidRPr="00E45B46">
        <w:t xml:space="preserve"> lowest </w:t>
      </w:r>
      <w:r w:rsidR="00077C13" w:rsidRPr="00E45B46">
        <w:t xml:space="preserve">uptake </w:t>
      </w:r>
      <w:r w:rsidR="007B6902" w:rsidRPr="00E45B46">
        <w:t>in Belfast w</w:t>
      </w:r>
      <w:r w:rsidRPr="00E45B46">
        <w:t>hich started w</w:t>
      </w:r>
      <w:r w:rsidR="007B6902" w:rsidRPr="00E45B46">
        <w:t>ith only one part-time Health Facilitator</w:t>
      </w:r>
      <w:r w:rsidR="00A01429">
        <w:t xml:space="preserve"> (0.6 WTE) </w:t>
      </w:r>
      <w:r w:rsidRPr="00E45B46">
        <w:t xml:space="preserve"> in 2011/12 but this complement has been increased to </w:t>
      </w:r>
      <w:r w:rsidR="00A01429" w:rsidRPr="00A01429">
        <w:t>a full-time post</w:t>
      </w:r>
      <w:r w:rsidR="007B6902" w:rsidRPr="00A01429">
        <w:t>.</w:t>
      </w:r>
      <w:r w:rsidR="007B6902" w:rsidRPr="00E45B46">
        <w:t xml:space="preserve">  </w:t>
      </w:r>
      <w:r w:rsidRPr="00E45B46">
        <w:t xml:space="preserve">Likewise in the Western Trust the </w:t>
      </w:r>
      <w:r w:rsidR="00D53B05" w:rsidRPr="00E45B46">
        <w:t xml:space="preserve">two WTE </w:t>
      </w:r>
      <w:r w:rsidR="006A04EB" w:rsidRPr="00E45B46">
        <w:t>Health F</w:t>
      </w:r>
      <w:r w:rsidRPr="00E45B46">
        <w:t xml:space="preserve">acilitators only became fully active in 2012/2013 when there </w:t>
      </w:r>
      <w:r w:rsidR="00D53B05" w:rsidRPr="00E45B46">
        <w:t xml:space="preserve">was </w:t>
      </w:r>
      <w:r w:rsidRPr="00E45B46">
        <w:t xml:space="preserve">a marked increase in the number of participating practices.  </w:t>
      </w:r>
      <w:r w:rsidR="006A04EB" w:rsidRPr="00E45B46">
        <w:t>In the two other Trust areas Health F</w:t>
      </w:r>
      <w:r w:rsidR="00D53B05" w:rsidRPr="00E45B46">
        <w:t xml:space="preserve">acilitators have been active since 2011/12 and again the proportion of participating practices is high in that year.  However the fall in the proportion of practices undertaking checks in 2012/2013 is not </w:t>
      </w:r>
      <w:r w:rsidR="00A55105" w:rsidRPr="00E45B46">
        <w:t xml:space="preserve">necessarily </w:t>
      </w:r>
      <w:r w:rsidR="00D53B05" w:rsidRPr="00E45B46">
        <w:t>reflect</w:t>
      </w:r>
      <w:r w:rsidR="002E1A11" w:rsidRPr="00E45B46">
        <w:t>ive</w:t>
      </w:r>
      <w:r w:rsidR="00D53B05" w:rsidRPr="00E45B46">
        <w:t xml:space="preserve"> </w:t>
      </w:r>
      <w:r w:rsidR="00002739" w:rsidRPr="00E45B46">
        <w:t>of a</w:t>
      </w:r>
      <w:r w:rsidR="00D53B05" w:rsidRPr="00E45B46">
        <w:t xml:space="preserve"> drop in the number of practic</w:t>
      </w:r>
      <w:r w:rsidR="00924D28">
        <w:t xml:space="preserve">es participating in the DES but the Health Facilitators reported that </w:t>
      </w:r>
      <w:r w:rsidR="00D53B05" w:rsidRPr="00E45B46">
        <w:t>certain GPs</w:t>
      </w:r>
      <w:r w:rsidR="002E1A11" w:rsidRPr="00E45B46">
        <w:t xml:space="preserve"> in the Southern Trust area in particular</w:t>
      </w:r>
      <w:r w:rsidR="00924D28">
        <w:t>, felt</w:t>
      </w:r>
      <w:r w:rsidR="00D53B05" w:rsidRPr="00E45B46">
        <w:t xml:space="preserve"> that </w:t>
      </w:r>
      <w:r w:rsidR="002E1A11" w:rsidRPr="00E45B46">
        <w:t xml:space="preserve">an </w:t>
      </w:r>
      <w:r w:rsidR="00D53B05" w:rsidRPr="00E45B46">
        <w:t xml:space="preserve">annual health check </w:t>
      </w:r>
      <w:r w:rsidR="002E1A11" w:rsidRPr="00E45B46">
        <w:t>was</w:t>
      </w:r>
      <w:r w:rsidR="00D53B05" w:rsidRPr="00E45B46">
        <w:t xml:space="preserve"> not necessary for </w:t>
      </w:r>
      <w:r w:rsidR="002E3603" w:rsidRPr="00E45B46">
        <w:t>the</w:t>
      </w:r>
      <w:r w:rsidR="00D81D4B">
        <w:t>ir patients with an intellectual disability.</w:t>
      </w:r>
    </w:p>
    <w:p w:rsidR="007B6902" w:rsidRPr="00E45B46" w:rsidRDefault="00E767F8" w:rsidP="00652A44">
      <w:pPr>
        <w:spacing w:before="0" w:after="240" w:line="480" w:lineRule="auto"/>
        <w:rPr>
          <w:b/>
        </w:rPr>
      </w:pPr>
      <w:r w:rsidRPr="00E45B46">
        <w:rPr>
          <w:b/>
        </w:rPr>
        <w:t>Patients registered with practices</w:t>
      </w:r>
    </w:p>
    <w:p w:rsidR="00E767F8" w:rsidRPr="00E45B46" w:rsidRDefault="00E767F8" w:rsidP="00652A44">
      <w:pPr>
        <w:spacing w:before="0" w:after="240" w:line="480" w:lineRule="auto"/>
        <w:jc w:val="center"/>
        <w:rPr>
          <w:i/>
        </w:rPr>
      </w:pPr>
      <w:r w:rsidRPr="00E45B46">
        <w:rPr>
          <w:i/>
        </w:rPr>
        <w:t>Insert Table 1 about here</w:t>
      </w:r>
    </w:p>
    <w:p w:rsidR="00235134" w:rsidRPr="00E45B46" w:rsidRDefault="002E3603" w:rsidP="00652A44">
      <w:pPr>
        <w:spacing w:before="0" w:after="240" w:line="480" w:lineRule="auto"/>
      </w:pPr>
      <w:r w:rsidRPr="00E45B46">
        <w:t xml:space="preserve">Details on the </w:t>
      </w:r>
      <w:r w:rsidR="00AE0D0A">
        <w:t>number</w:t>
      </w:r>
      <w:r w:rsidRPr="00E45B46">
        <w:t xml:space="preserve"> of patients who receive</w:t>
      </w:r>
      <w:r w:rsidR="006A04EB" w:rsidRPr="00E45B46">
        <w:t>d</w:t>
      </w:r>
      <w:r w:rsidRPr="00E45B46">
        <w:t xml:space="preserve"> a health check </w:t>
      </w:r>
      <w:r w:rsidR="00983107">
        <w:t xml:space="preserve">in GP practices </w:t>
      </w:r>
      <w:r w:rsidRPr="00E45B46">
        <w:t xml:space="preserve">needs to be set against </w:t>
      </w:r>
      <w:r w:rsidR="00983107">
        <w:t xml:space="preserve">possible differences in </w:t>
      </w:r>
      <w:r w:rsidRPr="00E45B46">
        <w:t xml:space="preserve">the prevalence rates </w:t>
      </w:r>
      <w:r w:rsidR="00983107">
        <w:t xml:space="preserve">for these </w:t>
      </w:r>
      <w:r w:rsidR="00983107">
        <w:lastRenderedPageBreak/>
        <w:t xml:space="preserve">patients </w:t>
      </w:r>
      <w:r w:rsidRPr="00E45B46">
        <w:t>across the five Trust area</w:t>
      </w:r>
      <w:r w:rsidR="006A04EB" w:rsidRPr="00E45B46">
        <w:t>s in Northern Ireland</w:t>
      </w:r>
      <w:r w:rsidRPr="00E45B46">
        <w:t xml:space="preserve">.  The first row of Table 1 presents the number of adult persons resident </w:t>
      </w:r>
      <w:r w:rsidR="001F50C9" w:rsidRPr="00E45B46">
        <w:t xml:space="preserve">in </w:t>
      </w:r>
      <w:r w:rsidR="006A04EB" w:rsidRPr="00E45B46">
        <w:t>each T</w:t>
      </w:r>
      <w:r w:rsidRPr="00E45B46">
        <w:t xml:space="preserve">rust area.  The second row gives the number of persons with </w:t>
      </w:r>
      <w:r w:rsidR="00F13760">
        <w:t>intellectual</w:t>
      </w:r>
      <w:r w:rsidRPr="00E45B46">
        <w:t xml:space="preserve"> disability </w:t>
      </w:r>
      <w:r w:rsidR="00AE0D0A">
        <w:t>identified in</w:t>
      </w:r>
      <w:r w:rsidRPr="00E45B46">
        <w:t xml:space="preserve"> GP practices. </w:t>
      </w:r>
      <w:r w:rsidR="00983107">
        <w:t xml:space="preserve"> </w:t>
      </w:r>
      <w:r w:rsidRPr="00E45B46">
        <w:t xml:space="preserve">As there is no centralised data-set in Northern Ireland that </w:t>
      </w:r>
      <w:r w:rsidR="00AE0D0A">
        <w:t xml:space="preserve">registers </w:t>
      </w:r>
      <w:r w:rsidRPr="00E45B46">
        <w:t xml:space="preserve"> peop</w:t>
      </w:r>
      <w:r w:rsidR="001F50C9" w:rsidRPr="00E45B46">
        <w:t xml:space="preserve">le with </w:t>
      </w:r>
      <w:r w:rsidR="00F13760">
        <w:t>intellectual</w:t>
      </w:r>
      <w:r w:rsidR="006A04EB" w:rsidRPr="00E45B46">
        <w:t xml:space="preserve"> </w:t>
      </w:r>
      <w:r w:rsidR="001F50C9" w:rsidRPr="00E45B46">
        <w:t xml:space="preserve">disability, </w:t>
      </w:r>
      <w:r w:rsidR="006A04EB" w:rsidRPr="00E45B46">
        <w:t>the Health F</w:t>
      </w:r>
      <w:r w:rsidRPr="00E45B46">
        <w:t xml:space="preserve">acilitators when they came in post worked with practices to match people known to Trusts with those known to the practice and also to verify if those recorded in the practice did in fact have </w:t>
      </w:r>
      <w:r w:rsidR="00F13760">
        <w:t xml:space="preserve">an </w:t>
      </w:r>
      <w:r w:rsidRPr="00E45B46">
        <w:t xml:space="preserve"> </w:t>
      </w:r>
      <w:r w:rsidR="00F13760">
        <w:t xml:space="preserve">intellectual </w:t>
      </w:r>
      <w:r w:rsidRPr="00E45B46">
        <w:t>disability using agreed criteria when the DES was introduced.  The resulting prevalence rate is shown in the third row</w:t>
      </w:r>
      <w:r w:rsidR="00E767F8" w:rsidRPr="00E45B46">
        <w:t xml:space="preserve">.  </w:t>
      </w:r>
      <w:r w:rsidRPr="00E45B46">
        <w:t xml:space="preserve"> </w:t>
      </w:r>
      <w:r w:rsidR="00E767F8" w:rsidRPr="00E45B46">
        <w:t>The regional prevalence rate of 7.16 is close to that previously reported of 7.06 (McConkey et al</w:t>
      </w:r>
      <w:r w:rsidR="0017663E" w:rsidRPr="00E45B46">
        <w:t>.</w:t>
      </w:r>
      <w:r w:rsidR="00E767F8" w:rsidRPr="00E45B46">
        <w:t xml:space="preserve">, 2006) and the higher proportions of people with </w:t>
      </w:r>
      <w:r w:rsidR="00F13760">
        <w:t>intellectual</w:t>
      </w:r>
      <w:r w:rsidR="00E767F8" w:rsidRPr="00E45B46">
        <w:t xml:space="preserve"> disability in the Western and Southern Trusts is a </w:t>
      </w:r>
      <w:r w:rsidR="00970BE6" w:rsidRPr="00E45B46">
        <w:t>well-established</w:t>
      </w:r>
      <w:r w:rsidR="00E767F8" w:rsidRPr="00E45B46">
        <w:t xml:space="preserve"> finding from studies undertaken in Northern Ireland over the past 40 years (</w:t>
      </w:r>
      <w:r w:rsidR="0017663E" w:rsidRPr="00E45B46">
        <w:t xml:space="preserve">McDonald </w:t>
      </w:r>
      <w:r w:rsidR="00FD103D">
        <w:t>and</w:t>
      </w:r>
      <w:r w:rsidR="00077C13" w:rsidRPr="00E45B46">
        <w:t xml:space="preserve"> Mackay, 1994</w:t>
      </w:r>
      <w:r w:rsidR="00E767F8" w:rsidRPr="00E45B46">
        <w:t xml:space="preserve">). </w:t>
      </w:r>
      <w:r w:rsidR="00A14D2E">
        <w:t xml:space="preserve"> </w:t>
      </w:r>
      <w:r w:rsidR="00AE0D0A">
        <w:t xml:space="preserve">The fourth row of Table 1 </w:t>
      </w:r>
      <w:r w:rsidRPr="00E45B46">
        <w:t>gives the number of patients</w:t>
      </w:r>
      <w:r w:rsidR="00E767F8" w:rsidRPr="00E45B46">
        <w:t xml:space="preserve"> with </w:t>
      </w:r>
      <w:r w:rsidR="0017663E" w:rsidRPr="00E45B46">
        <w:t>intellectual</w:t>
      </w:r>
      <w:r w:rsidR="00E767F8" w:rsidRPr="00E45B46">
        <w:t xml:space="preserve"> </w:t>
      </w:r>
      <w:r w:rsidR="00F51FFF">
        <w:t>disability</w:t>
      </w:r>
      <w:r w:rsidR="00E767F8" w:rsidRPr="00E45B46">
        <w:t xml:space="preserve"> recorded </w:t>
      </w:r>
      <w:r w:rsidRPr="00E45B46">
        <w:t xml:space="preserve">in the GP practices </w:t>
      </w:r>
      <w:r w:rsidR="00983107">
        <w:t xml:space="preserve">within the Trusts </w:t>
      </w:r>
      <w:r w:rsidRPr="00E45B46">
        <w:t xml:space="preserve">that took part in the </w:t>
      </w:r>
      <w:r w:rsidR="00652A44">
        <w:t xml:space="preserve">DES </w:t>
      </w:r>
      <w:r w:rsidRPr="00E45B46">
        <w:t>programme in 2013/14</w:t>
      </w:r>
      <w:r w:rsidR="00C6517A">
        <w:t xml:space="preserve"> and expresses this as a percentage of people identified in the practices</w:t>
      </w:r>
      <w:r w:rsidR="00E767F8" w:rsidRPr="00E45B46">
        <w:t>.</w:t>
      </w:r>
      <w:r w:rsidRPr="00E45B46">
        <w:t xml:space="preserve">  </w:t>
      </w:r>
      <w:r w:rsidR="00E767F8" w:rsidRPr="00E45B46">
        <w:t xml:space="preserve">Thus regionally around 87% of people with </w:t>
      </w:r>
      <w:r w:rsidR="00970BE6" w:rsidRPr="00E45B46">
        <w:t xml:space="preserve">intellectual </w:t>
      </w:r>
      <w:r w:rsidR="00F51FFF">
        <w:t>disability</w:t>
      </w:r>
      <w:r w:rsidR="00E767F8" w:rsidRPr="00E45B46">
        <w:t xml:space="preserve"> are covered by participating practices, with the Northern Trust having the highest coverage and Southern the least. </w:t>
      </w:r>
    </w:p>
    <w:p w:rsidR="00277854" w:rsidRDefault="00E767F8" w:rsidP="00652A44">
      <w:pPr>
        <w:spacing w:before="0" w:after="240" w:line="480" w:lineRule="auto"/>
      </w:pPr>
      <w:r w:rsidRPr="00E45B46">
        <w:t xml:space="preserve">The final row </w:t>
      </w:r>
      <w:r w:rsidR="00235134" w:rsidRPr="00E45B46">
        <w:t xml:space="preserve">in Table 1 </w:t>
      </w:r>
      <w:r w:rsidRPr="00E45B46">
        <w:t>shows the mean number of patients</w:t>
      </w:r>
      <w:r w:rsidR="00235134" w:rsidRPr="00E45B46">
        <w:t xml:space="preserve"> with </w:t>
      </w:r>
      <w:r w:rsidR="00C6517A">
        <w:t xml:space="preserve">intellectual </w:t>
      </w:r>
      <w:r w:rsidR="00235134" w:rsidRPr="00E45B46">
        <w:t xml:space="preserve"> disability </w:t>
      </w:r>
      <w:r w:rsidRPr="00E45B46">
        <w:t xml:space="preserve">in participating practices and the range in each trust area.  </w:t>
      </w:r>
      <w:r w:rsidR="00277854" w:rsidRPr="00E45B46">
        <w:t xml:space="preserve">The larger numbers of person with </w:t>
      </w:r>
      <w:r w:rsidR="00F13760">
        <w:t>intellectual</w:t>
      </w:r>
      <w:r w:rsidR="00277854" w:rsidRPr="00E45B46">
        <w:t xml:space="preserve"> disability in some practices probably arises from their proximity to residential and nursing homes which accommodate sizeable numbers of residents. </w:t>
      </w:r>
      <w:r w:rsidR="00277854">
        <w:t xml:space="preserve"> </w:t>
      </w:r>
      <w:r w:rsidR="00401AB1">
        <w:t xml:space="preserve">It might be expected that higher proportions of </w:t>
      </w:r>
      <w:r w:rsidR="00401AB1">
        <w:lastRenderedPageBreak/>
        <w:t>people with intellectual disability might be screened in practices with smaller number identified.  This was not the case</w:t>
      </w:r>
      <w:r w:rsidR="00277854">
        <w:t xml:space="preserve"> as comparison of rows 4 and 5 illustrates</w:t>
      </w:r>
      <w:r w:rsidR="00401AB1">
        <w:t xml:space="preserve">.  </w:t>
      </w:r>
    </w:p>
    <w:p w:rsidR="005139DE" w:rsidRPr="00E45B46" w:rsidRDefault="009113E4" w:rsidP="005139DE">
      <w:pPr>
        <w:spacing w:before="0" w:after="240" w:line="480" w:lineRule="auto"/>
      </w:pPr>
      <w:r>
        <w:t xml:space="preserve">Overall </w:t>
      </w:r>
      <w:r w:rsidRPr="00E45B46">
        <w:t>the</w:t>
      </w:r>
      <w:r w:rsidR="00761117" w:rsidRPr="00E45B46">
        <w:t xml:space="preserve"> proportion of patients with </w:t>
      </w:r>
      <w:r w:rsidR="0017663E" w:rsidRPr="00E45B46">
        <w:t xml:space="preserve">intellectual </w:t>
      </w:r>
      <w:r w:rsidR="00F51FFF">
        <w:t>disability</w:t>
      </w:r>
      <w:r w:rsidR="0017663E" w:rsidRPr="00E45B46">
        <w:t xml:space="preserve"> </w:t>
      </w:r>
      <w:r w:rsidR="00D81D4B">
        <w:t xml:space="preserve">is generally </w:t>
      </w:r>
      <w:r w:rsidR="00761117" w:rsidRPr="00E45B46">
        <w:t>small</w:t>
      </w:r>
      <w:r w:rsidR="00077C13" w:rsidRPr="00E45B46">
        <w:t xml:space="preserve"> in GP practices</w:t>
      </w:r>
      <w:r w:rsidR="00277854">
        <w:t xml:space="preserve">: an average of 19 per practice (which represents </w:t>
      </w:r>
      <w:r w:rsidR="00DA1078">
        <w:t xml:space="preserve"> around </w:t>
      </w:r>
      <w:r w:rsidR="00277854">
        <w:t>0.5% of the total number of adults on GP lists)</w:t>
      </w:r>
      <w:r w:rsidR="00077C13" w:rsidRPr="00E45B46">
        <w:t xml:space="preserve">.  </w:t>
      </w:r>
      <w:r w:rsidR="005139DE">
        <w:t xml:space="preserve">If around 30 minutes is assumed for each </w:t>
      </w:r>
      <w:r w:rsidR="005139DE" w:rsidRPr="00E45B46">
        <w:t xml:space="preserve">health check, </w:t>
      </w:r>
      <w:r w:rsidR="005139DE">
        <w:t>then the time investment for an average of 19 patients is</w:t>
      </w:r>
      <w:r w:rsidR="005139DE" w:rsidRPr="00E45B46">
        <w:t xml:space="preserve"> 10 hours </w:t>
      </w:r>
      <w:r w:rsidR="005139DE">
        <w:t xml:space="preserve">per annum for </w:t>
      </w:r>
      <w:r w:rsidR="005139DE" w:rsidRPr="00E45B46">
        <w:t xml:space="preserve">Northern Ireland </w:t>
      </w:r>
      <w:r w:rsidR="00DA1078">
        <w:t>per practice</w:t>
      </w:r>
      <w:r w:rsidR="005139DE" w:rsidRPr="00E45B46">
        <w:t xml:space="preserve">.  </w:t>
      </w:r>
    </w:p>
    <w:p w:rsidR="00466456" w:rsidRPr="00E45B46" w:rsidRDefault="009F7805" w:rsidP="00652A44">
      <w:pPr>
        <w:spacing w:before="0" w:after="240" w:line="480" w:lineRule="auto"/>
        <w:rPr>
          <w:b/>
        </w:rPr>
      </w:pPr>
      <w:r>
        <w:rPr>
          <w:b/>
        </w:rPr>
        <w:t>The number of p</w:t>
      </w:r>
      <w:r w:rsidR="00094199" w:rsidRPr="00E45B46">
        <w:rPr>
          <w:b/>
        </w:rPr>
        <w:t xml:space="preserve">atients who </w:t>
      </w:r>
      <w:r w:rsidR="00652A44">
        <w:rPr>
          <w:b/>
        </w:rPr>
        <w:t>had health check</w:t>
      </w:r>
    </w:p>
    <w:p w:rsidR="00077C13" w:rsidRPr="00E45B46" w:rsidRDefault="00761117" w:rsidP="00652A44">
      <w:pPr>
        <w:spacing w:before="0" w:after="240" w:line="480" w:lineRule="auto"/>
        <w:jc w:val="center"/>
      </w:pPr>
      <w:r w:rsidRPr="00E45B46">
        <w:rPr>
          <w:i/>
        </w:rPr>
        <w:t>Insert Figure 2 about here</w:t>
      </w:r>
    </w:p>
    <w:p w:rsidR="00970BE6" w:rsidRPr="00970BE6" w:rsidRDefault="00970BE6" w:rsidP="00652A44">
      <w:pPr>
        <w:spacing w:before="0" w:after="240" w:line="480" w:lineRule="auto"/>
      </w:pPr>
      <w:r w:rsidRPr="00E45B46">
        <w:t xml:space="preserve">The number of health </w:t>
      </w:r>
      <w:r w:rsidR="00652A44">
        <w:t>check</w:t>
      </w:r>
      <w:r w:rsidRPr="00E45B46">
        <w:t xml:space="preserve">s undertaken across Northern Ireland has risen from 4,478 in 2011/12 to 5,084 in 2012/13 (a 13.5% annual increase) and 5,376 in 2013/14 (a further 5.7% annual increase).  </w:t>
      </w:r>
      <w:r w:rsidR="00CE18E3">
        <w:t>Likewise the number of people with intellectual disability identified by practices has also increased</w:t>
      </w:r>
      <w:r w:rsidR="00DA1078">
        <w:t xml:space="preserve"> over this time</w:t>
      </w:r>
      <w:r w:rsidR="00CE18E3">
        <w:t xml:space="preserve">.  In 2013/14, </w:t>
      </w:r>
      <w:r w:rsidRPr="00E45B46">
        <w:t xml:space="preserve"> 64% of the number of people with intellectual </w:t>
      </w:r>
      <w:r w:rsidR="00F51FFF">
        <w:t>disability</w:t>
      </w:r>
      <w:r w:rsidRPr="00E45B46">
        <w:t xml:space="preserve"> known to </w:t>
      </w:r>
      <w:r w:rsidR="007C1355" w:rsidRPr="00E45B46">
        <w:t xml:space="preserve">practices </w:t>
      </w:r>
      <w:r w:rsidR="00CE18E3">
        <w:t xml:space="preserve">had received a health check </w:t>
      </w:r>
      <w:r w:rsidR="007C1355" w:rsidRPr="00E45B46">
        <w:t xml:space="preserve">which </w:t>
      </w:r>
      <w:r w:rsidR="007C1355">
        <w:t>is</w:t>
      </w:r>
      <w:r w:rsidRPr="00E45B46">
        <w:t xml:space="preserve"> significantly higher than comparable percentages of around 46% reported for England (Public Health England, 2013).  However as Figure 2 shows, the proportions of people with intellectual </w:t>
      </w:r>
      <w:r w:rsidR="00F51FFF">
        <w:t>disability</w:t>
      </w:r>
      <w:r w:rsidRPr="00E45B46">
        <w:t xml:space="preserve"> who received a health check varied across the Trusts as a whole but with less variation by 2013/14 (ranging from  56% to 70%).  Comparable ranges across Strategic Health Authorities in England were from 37% to 64%.</w:t>
      </w:r>
    </w:p>
    <w:p w:rsidR="00CE18E3" w:rsidRDefault="00E64730" w:rsidP="00652A44">
      <w:pPr>
        <w:spacing w:before="0" w:after="240" w:line="480" w:lineRule="auto"/>
      </w:pPr>
      <w:r w:rsidRPr="00E45B46">
        <w:lastRenderedPageBreak/>
        <w:t>I</w:t>
      </w:r>
      <w:r w:rsidR="0017663E" w:rsidRPr="00E45B46">
        <w:t>n the Belfast T</w:t>
      </w:r>
      <w:r w:rsidR="00BB27D5" w:rsidRPr="00E45B46">
        <w:t>rust, not only were fewer practices offering health checks but smaller proportions of patients known to the practices were receiving the checks.  By contrast the highest proportions of people receiving health checks was in the South-Eastern area which has had a longer history of providing health checks</w:t>
      </w:r>
      <w:r w:rsidR="00474C2E" w:rsidRPr="00E45B46">
        <w:t xml:space="preserve"> (Marshall et al., 2003)</w:t>
      </w:r>
      <w:r w:rsidR="00BB27D5" w:rsidRPr="00E45B46">
        <w:t xml:space="preserve">.  </w:t>
      </w:r>
    </w:p>
    <w:p w:rsidR="00BB27D5" w:rsidRPr="00E45B46" w:rsidRDefault="00BB27D5" w:rsidP="00652A44">
      <w:pPr>
        <w:spacing w:before="0" w:after="240" w:line="480" w:lineRule="auto"/>
      </w:pPr>
      <w:r w:rsidRPr="00E45B46">
        <w:t xml:space="preserve">It is noticeable though that the proportions </w:t>
      </w:r>
      <w:r w:rsidR="00CE18E3">
        <w:t xml:space="preserve">of people with intellectual disability who received a health check had </w:t>
      </w:r>
      <w:r w:rsidRPr="00E45B46">
        <w:t>fallen i</w:t>
      </w:r>
      <w:r w:rsidR="00CE18E3">
        <w:t xml:space="preserve">n the most recent year.  In part this is due to increased numbers of people being identified by practices but it could also </w:t>
      </w:r>
      <w:r w:rsidR="00DA1078">
        <w:t xml:space="preserve">arise from </w:t>
      </w:r>
      <w:r w:rsidRPr="00E45B46">
        <w:t xml:space="preserve">practices not calling people annually for a check if there were no concerns from previous checks.  </w:t>
      </w:r>
      <w:r w:rsidR="00077C13" w:rsidRPr="00E45B46">
        <w:t xml:space="preserve">A similar drop had been reported for some English Health Authorities (Public Health England, 2013). </w:t>
      </w:r>
      <w:r w:rsidRPr="00E45B46">
        <w:t xml:space="preserve">Even so within </w:t>
      </w:r>
      <w:r w:rsidR="00077C13" w:rsidRPr="00E45B46">
        <w:t xml:space="preserve">the five </w:t>
      </w:r>
      <w:r w:rsidRPr="00E45B46">
        <w:t xml:space="preserve">Trusts </w:t>
      </w:r>
      <w:r w:rsidR="00077C13" w:rsidRPr="00E45B46">
        <w:t xml:space="preserve">in Northern Ireland </w:t>
      </w:r>
      <w:r w:rsidRPr="00E45B46">
        <w:t xml:space="preserve">there was wide variation on the proportion of patients </w:t>
      </w:r>
      <w:r w:rsidR="00D81D4B">
        <w:t>receiving a health check</w:t>
      </w:r>
      <w:r w:rsidRPr="00E45B46">
        <w:t xml:space="preserve"> by practices</w:t>
      </w:r>
      <w:r w:rsidR="00910EE5">
        <w:t>;</w:t>
      </w:r>
      <w:r w:rsidRPr="00E45B46">
        <w:t xml:space="preserve"> ranging from 6% to 100%</w:t>
      </w:r>
      <w:r w:rsidR="00E64730" w:rsidRPr="00E45B46">
        <w:t xml:space="preserve"> of all t</w:t>
      </w:r>
      <w:r w:rsidR="0017663E" w:rsidRPr="00E45B46">
        <w:t xml:space="preserve">he patients known to them with intellectual </w:t>
      </w:r>
      <w:r w:rsidR="00F51FFF">
        <w:t>disability</w:t>
      </w:r>
      <w:r w:rsidRPr="00E45B46">
        <w:t xml:space="preserve">.  Moreover there was no </w:t>
      </w:r>
      <w:r w:rsidR="00910EE5">
        <w:t>apparent relationship</w:t>
      </w:r>
      <w:r w:rsidRPr="00E45B46">
        <w:t xml:space="preserve"> between the number of patients with </w:t>
      </w:r>
      <w:r w:rsidR="00F13760">
        <w:t>intellectual</w:t>
      </w:r>
      <w:r w:rsidRPr="00E45B46">
        <w:t xml:space="preserve"> disability known to the practice and the proportion who received a health check</w:t>
      </w:r>
      <w:r w:rsidR="00910EE5">
        <w:t xml:space="preserve"> as summarised in Table 1</w:t>
      </w:r>
      <w:r w:rsidRPr="00E45B46">
        <w:t xml:space="preserve">. </w:t>
      </w:r>
      <w:r w:rsidR="004C6F06">
        <w:t xml:space="preserve">  This was further confirmed when Pearson Product Moments correlations were calculated between the proportion of persons who had a health check in each practice with the numbers of patient with intellectual disability known to that practice. None of the correlations within each Trust or for the region as a whole were statistically significant</w:t>
      </w:r>
      <w:r w:rsidR="00DA1078">
        <w:t xml:space="preserve"> (p&gt;0.05)</w:t>
      </w:r>
      <w:r w:rsidR="004C6F06">
        <w:t xml:space="preserve">.  </w:t>
      </w:r>
      <w:r w:rsidRPr="00E45B46">
        <w:t xml:space="preserve">Thus practices with smaller numbers </w:t>
      </w:r>
      <w:r w:rsidR="00652A44">
        <w:t xml:space="preserve">checked </w:t>
      </w:r>
      <w:r w:rsidR="00E64730" w:rsidRPr="00E45B46">
        <w:t xml:space="preserve">the same proportions of their patients </w:t>
      </w:r>
      <w:r w:rsidRPr="00E45B46">
        <w:t xml:space="preserve">than practices with large numbers. </w:t>
      </w:r>
    </w:p>
    <w:p w:rsidR="009F7805" w:rsidRPr="009F7805" w:rsidRDefault="009F7805" w:rsidP="00652A44">
      <w:pPr>
        <w:spacing w:before="0" w:after="240" w:line="480" w:lineRule="auto"/>
        <w:rPr>
          <w:b/>
        </w:rPr>
      </w:pPr>
      <w:r w:rsidRPr="009F7805">
        <w:rPr>
          <w:b/>
        </w:rPr>
        <w:lastRenderedPageBreak/>
        <w:t xml:space="preserve">The characteristics of patients who </w:t>
      </w:r>
      <w:r w:rsidR="00652A44">
        <w:rPr>
          <w:b/>
        </w:rPr>
        <w:t>had a health check</w:t>
      </w:r>
    </w:p>
    <w:p w:rsidR="007B6902" w:rsidRPr="00E45B46" w:rsidRDefault="00BE1D7B" w:rsidP="00652A44">
      <w:pPr>
        <w:spacing w:before="0" w:after="240" w:line="480" w:lineRule="auto"/>
      </w:pPr>
      <w:r w:rsidRPr="00E45B46">
        <w:t>N</w:t>
      </w:r>
      <w:r w:rsidR="007B6902" w:rsidRPr="00E45B46">
        <w:t xml:space="preserve">o details are available from GP records of the demographic characteristics of people </w:t>
      </w:r>
      <w:r w:rsidR="00652A44">
        <w:t>check</w:t>
      </w:r>
      <w:r w:rsidR="007B6902" w:rsidRPr="00E45B46">
        <w:t>ed.  In order to obtain this information, the records of patients held by the Health Facilitators in the N</w:t>
      </w:r>
      <w:r w:rsidR="0017663E" w:rsidRPr="00E45B46">
        <w:t>orthern HSC T</w:t>
      </w:r>
      <w:r w:rsidRPr="00E45B46">
        <w:t xml:space="preserve">rust were analysed. </w:t>
      </w:r>
      <w:r w:rsidR="005D295B">
        <w:t xml:space="preserve"> </w:t>
      </w:r>
      <w:r w:rsidR="0017663E" w:rsidRPr="00E45B46">
        <w:t>This T</w:t>
      </w:r>
      <w:r w:rsidR="007B6902" w:rsidRPr="00E45B46">
        <w:t xml:space="preserve">rust has the longest established provision of health checks and has achieved the highest enrolment of practices and percentage of persons checked within practices. </w:t>
      </w:r>
      <w:r w:rsidR="004C6F06">
        <w:t xml:space="preserve"> </w:t>
      </w:r>
      <w:r w:rsidR="007B6902" w:rsidRPr="00E45B46">
        <w:t>Although this da</w:t>
      </w:r>
      <w:r w:rsidR="0017663E" w:rsidRPr="00E45B46">
        <w:t>ta may not be typical of other T</w:t>
      </w:r>
      <w:r w:rsidR="007B6902" w:rsidRPr="00E45B46">
        <w:t xml:space="preserve">rusts, it </w:t>
      </w:r>
      <w:r w:rsidR="004C6F06">
        <w:t xml:space="preserve">could </w:t>
      </w:r>
      <w:r w:rsidR="0036498E">
        <w:t xml:space="preserve">indicate </w:t>
      </w:r>
      <w:r w:rsidR="0036498E" w:rsidRPr="00E45B46">
        <w:t>possible</w:t>
      </w:r>
      <w:r w:rsidR="007B6902" w:rsidRPr="00E45B46">
        <w:t xml:space="preserve"> trends</w:t>
      </w:r>
      <w:r w:rsidR="004249B5" w:rsidRPr="00E45B46">
        <w:t xml:space="preserve"> </w:t>
      </w:r>
      <w:r w:rsidR="004C6F06">
        <w:t xml:space="preserve">in the people being checked </w:t>
      </w:r>
      <w:r w:rsidR="004249B5" w:rsidRPr="00E45B46">
        <w:t xml:space="preserve">that might be </w:t>
      </w:r>
      <w:r w:rsidR="004C6F06">
        <w:t>more marked in areas with lower uptake of checks.</w:t>
      </w:r>
      <w:r w:rsidRPr="00E45B46">
        <w:t xml:space="preserve"> </w:t>
      </w:r>
      <w:r w:rsidR="007B6902" w:rsidRPr="00E45B46">
        <w:t xml:space="preserve"> </w:t>
      </w:r>
    </w:p>
    <w:p w:rsidR="009B0348" w:rsidRPr="00E45B46" w:rsidRDefault="000F4C14" w:rsidP="00652A44">
      <w:pPr>
        <w:spacing w:before="0" w:after="240" w:line="480" w:lineRule="auto"/>
      </w:pPr>
      <w:r w:rsidRPr="00E45B46">
        <w:t xml:space="preserve">The Health Facilitators had acquired </w:t>
      </w:r>
      <w:r w:rsidR="002047E2" w:rsidRPr="00E45B46">
        <w:t>information</w:t>
      </w:r>
      <w:r w:rsidR="00231E05" w:rsidRPr="00E45B46">
        <w:t xml:space="preserve"> on 1,944 adult persons with </w:t>
      </w:r>
      <w:r w:rsidR="00A1702E">
        <w:t xml:space="preserve">a </w:t>
      </w:r>
      <w:r w:rsidR="0036498E">
        <w:t xml:space="preserve">reported by </w:t>
      </w:r>
      <w:r w:rsidR="00231E05" w:rsidRPr="00E45B46">
        <w:t>GP</w:t>
      </w:r>
      <w:r w:rsidR="00761117" w:rsidRPr="00E45B46">
        <w:t xml:space="preserve"> </w:t>
      </w:r>
      <w:r w:rsidR="003F7915" w:rsidRPr="00E45B46">
        <w:t>practices which</w:t>
      </w:r>
      <w:r w:rsidR="00231E05" w:rsidRPr="00E45B46">
        <w:t xml:space="preserve"> was 1,714</w:t>
      </w:r>
      <w:r w:rsidRPr="00E45B46">
        <w:t xml:space="preserve"> </w:t>
      </w:r>
      <w:r w:rsidR="00231E05" w:rsidRPr="00E45B46">
        <w:t>persons</w:t>
      </w:r>
      <w:r w:rsidR="00B17135" w:rsidRPr="00E45B46">
        <w:t xml:space="preserve"> and is accounted in part by the omission of a few practices from the DES</w:t>
      </w:r>
      <w:r w:rsidR="00231E05" w:rsidRPr="00E45B46">
        <w:t>.   In all 1,371 persons (71%</w:t>
      </w:r>
      <w:r w:rsidR="00B17135" w:rsidRPr="00E45B46">
        <w:t xml:space="preserve"> of the total</w:t>
      </w:r>
      <w:r w:rsidR="00231E05" w:rsidRPr="00E45B46">
        <w:t>) had received at least one health check in the period 2010 to 2013</w:t>
      </w:r>
      <w:r w:rsidR="009B0348" w:rsidRPr="00E45B46">
        <w:t xml:space="preserve"> which accords well with the claims made by practices and shown in Figure 2</w:t>
      </w:r>
      <w:r w:rsidR="00231E05" w:rsidRPr="00E45B46">
        <w:t xml:space="preserve">.  Comparisons can then be drawn between those who had a health check and those who had not.  </w:t>
      </w:r>
    </w:p>
    <w:p w:rsidR="007B6902" w:rsidRPr="00E45B46" w:rsidRDefault="001E647B" w:rsidP="00652A44">
      <w:pPr>
        <w:spacing w:before="0" w:after="240" w:line="480" w:lineRule="auto"/>
      </w:pPr>
      <w:r>
        <w:t>There was no significance difference by gender.  M</w:t>
      </w:r>
      <w:r w:rsidR="007B6902" w:rsidRPr="00E45B46">
        <w:t>ore males</w:t>
      </w:r>
      <w:r w:rsidR="00EA59D6" w:rsidRPr="00E45B46">
        <w:t xml:space="preserve"> (54%) </w:t>
      </w:r>
      <w:r w:rsidR="007B6902" w:rsidRPr="00E45B46">
        <w:t>than females</w:t>
      </w:r>
      <w:r w:rsidR="00EA59D6" w:rsidRPr="00E45B46">
        <w:t xml:space="preserve"> (46%) </w:t>
      </w:r>
      <w:r w:rsidR="007B6902" w:rsidRPr="00E45B46">
        <w:t xml:space="preserve">had a check which is in keeping with the </w:t>
      </w:r>
      <w:r w:rsidR="00EA59D6" w:rsidRPr="00E45B46">
        <w:t xml:space="preserve">overall </w:t>
      </w:r>
      <w:r w:rsidR="007B6902" w:rsidRPr="00E45B46">
        <w:t xml:space="preserve">demographic </w:t>
      </w:r>
      <w:r w:rsidR="00EA59D6" w:rsidRPr="00E45B46">
        <w:t xml:space="preserve">for </w:t>
      </w:r>
      <w:r w:rsidR="007B6902" w:rsidRPr="00E45B46">
        <w:t xml:space="preserve">this client group.  </w:t>
      </w:r>
      <w:r>
        <w:t xml:space="preserve">Likewise differences in terms of level of disability were not significant.  </w:t>
      </w:r>
      <w:r w:rsidRPr="00E45B46">
        <w:t xml:space="preserve">Around half the persons </w:t>
      </w:r>
      <w:r>
        <w:t>check</w:t>
      </w:r>
      <w:r w:rsidRPr="00E45B46">
        <w:t xml:space="preserve">ed (50%) were considered to have a severe </w:t>
      </w:r>
      <w:r w:rsidR="00F13760">
        <w:t>intellectual</w:t>
      </w:r>
      <w:r w:rsidRPr="00E45B46">
        <w:t xml:space="preserve"> disability; just under one-third (30%) a mild </w:t>
      </w:r>
      <w:r w:rsidR="00F13760">
        <w:t>intellectual</w:t>
      </w:r>
      <w:r w:rsidRPr="00E45B46">
        <w:t xml:space="preserve"> disability with around 20% undefined which again was similar to the overall proportions in the population.  </w:t>
      </w:r>
      <w:r w:rsidR="007B6902" w:rsidRPr="00E45B46">
        <w:t xml:space="preserve">The mean age of those </w:t>
      </w:r>
      <w:r w:rsidR="00EA59D6" w:rsidRPr="00E45B46">
        <w:t xml:space="preserve">who had </w:t>
      </w:r>
      <w:r w:rsidR="007B6902" w:rsidRPr="00E45B46">
        <w:t xml:space="preserve">a check was </w:t>
      </w:r>
      <w:r w:rsidR="007B6902" w:rsidRPr="00E45B46">
        <w:lastRenderedPageBreak/>
        <w:t>44.7 years which was significantly higher than those who did not have a check (mean 41.7 years)</w:t>
      </w:r>
      <w:r w:rsidR="00AD07C9">
        <w:t xml:space="preserve"> (t=3.1; p&lt;0.002)</w:t>
      </w:r>
      <w:r w:rsidR="007B6902" w:rsidRPr="00E45B46">
        <w:t xml:space="preserve">.   </w:t>
      </w:r>
      <w:r>
        <w:t>Likewise</w:t>
      </w:r>
      <w:r w:rsidR="00EA59D6" w:rsidRPr="00E45B46">
        <w:t xml:space="preserve"> people living in nursing or residential homes (82%) or in supported living arrangements (75%) were more likely to have a health check than those </w:t>
      </w:r>
      <w:r w:rsidR="007B6902" w:rsidRPr="00E45B46">
        <w:t xml:space="preserve">living with family carers </w:t>
      </w:r>
      <w:r w:rsidR="00EA59D6" w:rsidRPr="00E45B46">
        <w:t xml:space="preserve">(72%) </w:t>
      </w:r>
      <w:r w:rsidR="007B6902" w:rsidRPr="00E45B46">
        <w:t>or independently</w:t>
      </w:r>
      <w:r w:rsidR="00EA59D6" w:rsidRPr="00E45B46">
        <w:t xml:space="preserve"> (63%) (Chi Sq 24.4 p&lt;0.001). </w:t>
      </w:r>
      <w:r w:rsidR="007B6902" w:rsidRPr="00E45B46">
        <w:t xml:space="preserve"> </w:t>
      </w:r>
      <w:r w:rsidR="00EA59D6" w:rsidRPr="00E45B46">
        <w:t>Also p</w:t>
      </w:r>
      <w:r w:rsidR="007B6902" w:rsidRPr="00E45B46">
        <w:t xml:space="preserve">eople who had health checks tended to live in </w:t>
      </w:r>
      <w:r w:rsidR="00EA59D6" w:rsidRPr="00E45B46">
        <w:t>more affluent</w:t>
      </w:r>
      <w:r w:rsidR="007B6902" w:rsidRPr="00E45B46">
        <w:t xml:space="preserve"> areas based on postcode of their residence.  Of the people </w:t>
      </w:r>
      <w:r w:rsidR="00652A44">
        <w:t>check</w:t>
      </w:r>
      <w:r w:rsidR="007B6902" w:rsidRPr="00E45B46">
        <w:t>ed, 1</w:t>
      </w:r>
      <w:r w:rsidR="00BF1FF2" w:rsidRPr="00E45B46">
        <w:t>5</w:t>
      </w:r>
      <w:r w:rsidR="007B6902" w:rsidRPr="00E45B46">
        <w:t>% lived in the top 20% of areas with least deprivation with only 7% living in top 20% of the more deprived areas</w:t>
      </w:r>
      <w:r>
        <w:t xml:space="preserve"> (Chi Sq 8.4:p&lt;0.02)</w:t>
      </w:r>
      <w:r w:rsidR="007B6902" w:rsidRPr="00E45B46">
        <w:t xml:space="preserve">.    </w:t>
      </w:r>
    </w:p>
    <w:p w:rsidR="007B6902" w:rsidRPr="00E45B46" w:rsidRDefault="007B6902" w:rsidP="00652A44">
      <w:pPr>
        <w:spacing w:before="0" w:after="240" w:line="480" w:lineRule="auto"/>
      </w:pPr>
      <w:r w:rsidRPr="00E45B46">
        <w:t>In sum</w:t>
      </w:r>
      <w:r w:rsidR="00924D28">
        <w:t>mary</w:t>
      </w:r>
      <w:r w:rsidRPr="00E45B46">
        <w:t>, this data suggests that there may be some</w:t>
      </w:r>
      <w:r w:rsidR="0017663E" w:rsidRPr="00E45B46">
        <w:t xml:space="preserve"> biases among those who received </w:t>
      </w:r>
      <w:r w:rsidRPr="00E45B46">
        <w:t>a health check. People more likely to do so were: older persons, living in residential accommodation and in areas of less deprivation.</w:t>
      </w:r>
      <w:r w:rsidR="004249B5" w:rsidRPr="00E45B46">
        <w:t xml:space="preserve">  By contrast, p</w:t>
      </w:r>
      <w:r w:rsidRPr="00E45B46">
        <w:t xml:space="preserve">eople less likely to have a health check are younger people, those living with families </w:t>
      </w:r>
      <w:r w:rsidR="00B17135" w:rsidRPr="00E45B46">
        <w:t xml:space="preserve">or independently </w:t>
      </w:r>
      <w:r w:rsidRPr="00E45B46">
        <w:t>and in more deprived areas.</w:t>
      </w:r>
    </w:p>
    <w:p w:rsidR="007B6902" w:rsidRPr="00E45B46" w:rsidRDefault="007B6902" w:rsidP="00652A44">
      <w:pPr>
        <w:spacing w:before="0" w:after="240" w:line="480" w:lineRule="auto"/>
        <w:rPr>
          <w:b/>
        </w:rPr>
      </w:pPr>
      <w:r w:rsidRPr="00E45B46">
        <w:rPr>
          <w:b/>
        </w:rPr>
        <w:t xml:space="preserve">Number of </w:t>
      </w:r>
      <w:r w:rsidR="00652A44">
        <w:rPr>
          <w:b/>
        </w:rPr>
        <w:t>check</w:t>
      </w:r>
      <w:r w:rsidRPr="00E45B46">
        <w:rPr>
          <w:b/>
        </w:rPr>
        <w:t>s undertaken</w:t>
      </w:r>
      <w:r w:rsidR="005D295B">
        <w:rPr>
          <w:b/>
        </w:rPr>
        <w:t xml:space="preserve"> for each patient</w:t>
      </w:r>
    </w:p>
    <w:p w:rsidR="007B6902" w:rsidRPr="00E45B46" w:rsidRDefault="009B0348" w:rsidP="00652A44">
      <w:pPr>
        <w:spacing w:before="0" w:after="240" w:line="480" w:lineRule="auto"/>
      </w:pPr>
      <w:r w:rsidRPr="00E45B46">
        <w:t xml:space="preserve">The data submitted by GPs does not identify the people who were </w:t>
      </w:r>
      <w:r w:rsidR="00652A44">
        <w:t>check</w:t>
      </w:r>
      <w:r w:rsidRPr="00E45B46">
        <w:t>ed so it not possible to determine the extent to which peop</w:t>
      </w:r>
      <w:r w:rsidR="0017663E" w:rsidRPr="00E45B46">
        <w:t xml:space="preserve">le are having repeat </w:t>
      </w:r>
      <w:r w:rsidR="00652A44">
        <w:t>check</w:t>
      </w:r>
      <w:r w:rsidR="0017663E" w:rsidRPr="00E45B46">
        <w:t>:</w:t>
      </w:r>
      <w:r w:rsidRPr="00E45B46">
        <w:t xml:space="preserve"> </w:t>
      </w:r>
      <w:r w:rsidR="0017663E" w:rsidRPr="00E45B46">
        <w:t>(a</w:t>
      </w:r>
      <w:r w:rsidR="00B17135" w:rsidRPr="00E45B46">
        <w:t xml:space="preserve"> similar problem </w:t>
      </w:r>
      <w:r w:rsidR="0017663E" w:rsidRPr="00E45B46">
        <w:t>is present in the English data).</w:t>
      </w:r>
      <w:r w:rsidR="00B17135" w:rsidRPr="00E45B46">
        <w:t xml:space="preserve"> </w:t>
      </w:r>
      <w:r w:rsidR="0017663E" w:rsidRPr="00E45B46">
        <w:t>The Health F</w:t>
      </w:r>
      <w:r w:rsidRPr="00E45B46">
        <w:t xml:space="preserve">acilitator’s database was used to determine this.  </w:t>
      </w:r>
      <w:r w:rsidR="007B6902" w:rsidRPr="00E45B46">
        <w:t>Over the period from 2010 when the Health Facilitators commenced work in the Northern Trust, the number of health checks reported to them</w:t>
      </w:r>
      <w:r w:rsidRPr="00E45B46">
        <w:t xml:space="preserve"> for each person was as follows: No health check</w:t>
      </w:r>
      <w:r w:rsidR="00A1702E">
        <w:t>,</w:t>
      </w:r>
      <w:r w:rsidRPr="00E45B46">
        <w:t xml:space="preserve"> n=</w:t>
      </w:r>
      <w:r w:rsidR="007B6902" w:rsidRPr="00E45B46">
        <w:t>550</w:t>
      </w:r>
      <w:r w:rsidRPr="00E45B46">
        <w:t xml:space="preserve"> </w:t>
      </w:r>
      <w:r w:rsidR="007B6902" w:rsidRPr="00E45B46">
        <w:t>(29%)</w:t>
      </w:r>
      <w:r w:rsidRPr="00E45B46">
        <w:t xml:space="preserve">; </w:t>
      </w:r>
      <w:r w:rsidR="00B17135" w:rsidRPr="00E45B46">
        <w:t>o</w:t>
      </w:r>
      <w:r w:rsidR="007B6902" w:rsidRPr="00E45B46">
        <w:t>ne health check</w:t>
      </w:r>
      <w:r w:rsidR="00B17135" w:rsidRPr="00E45B46">
        <w:t xml:space="preserve">, </w:t>
      </w:r>
      <w:r w:rsidRPr="00E45B46">
        <w:t>n=</w:t>
      </w:r>
      <w:r w:rsidR="007818D6">
        <w:t>587</w:t>
      </w:r>
      <w:r w:rsidR="007B6902" w:rsidRPr="00E45B46">
        <w:t>(31%)</w:t>
      </w:r>
      <w:r w:rsidRPr="00E45B46">
        <w:t xml:space="preserve">; </w:t>
      </w:r>
      <w:r w:rsidR="00B17135" w:rsidRPr="00E45B46">
        <w:t xml:space="preserve">two checks, </w:t>
      </w:r>
      <w:r w:rsidRPr="00E45B46">
        <w:t>n=</w:t>
      </w:r>
      <w:r w:rsidR="007818D6">
        <w:t xml:space="preserve">319 </w:t>
      </w:r>
      <w:r w:rsidR="007B6902" w:rsidRPr="00E45B46">
        <w:t>(17%)</w:t>
      </w:r>
      <w:r w:rsidR="00B17135" w:rsidRPr="00E45B46">
        <w:t>; t</w:t>
      </w:r>
      <w:r w:rsidRPr="00E45B46">
        <w:t>hree checks</w:t>
      </w:r>
      <w:r w:rsidR="00B17135" w:rsidRPr="00E45B46">
        <w:t>,</w:t>
      </w:r>
      <w:r w:rsidRPr="00E45B46">
        <w:t xml:space="preserve"> n=</w:t>
      </w:r>
      <w:r w:rsidR="007B6902" w:rsidRPr="00E45B46">
        <w:t>386</w:t>
      </w:r>
      <w:r w:rsidRPr="00E45B46">
        <w:t xml:space="preserve"> </w:t>
      </w:r>
      <w:r w:rsidR="007B6902" w:rsidRPr="00E45B46">
        <w:t>(20%)</w:t>
      </w:r>
      <w:r w:rsidRPr="00E45B46">
        <w:t xml:space="preserve"> and four checks</w:t>
      </w:r>
      <w:r w:rsidR="00A1702E">
        <w:t>,</w:t>
      </w:r>
      <w:r w:rsidRPr="00E45B46">
        <w:t xml:space="preserve"> n=79 (</w:t>
      </w:r>
      <w:r w:rsidR="007B6902" w:rsidRPr="00E45B46">
        <w:t>4%)</w:t>
      </w:r>
      <w:r w:rsidRPr="00E45B46">
        <w:t>.</w:t>
      </w:r>
      <w:r w:rsidR="0017663E" w:rsidRPr="00E45B46">
        <w:t xml:space="preserve"> </w:t>
      </w:r>
      <w:r w:rsidR="007B6902" w:rsidRPr="00E45B46">
        <w:t xml:space="preserve">This data suggests that by </w:t>
      </w:r>
      <w:r w:rsidR="007B6902" w:rsidRPr="00E45B46">
        <w:lastRenderedPageBreak/>
        <w:t>the fourth year of operation, fewer than 50% of people have had more than one health check</w:t>
      </w:r>
      <w:r w:rsidR="00A1702E">
        <w:t xml:space="preserve"> and this was in the Trust with the highest uptake of checks</w:t>
      </w:r>
      <w:r w:rsidR="007B6902" w:rsidRPr="00E45B46">
        <w:t xml:space="preserve">.  In </w:t>
      </w:r>
      <w:r w:rsidR="00924D28">
        <w:t>future years</w:t>
      </w:r>
      <w:r w:rsidR="007B6902" w:rsidRPr="00E45B46">
        <w:t xml:space="preserve"> this figure </w:t>
      </w:r>
      <w:r w:rsidR="007818D6">
        <w:t>should</w:t>
      </w:r>
      <w:r w:rsidR="00DD42DB">
        <w:t xml:space="preserve"> rise as long as health checks continue to be provided</w:t>
      </w:r>
      <w:r w:rsidR="007818D6">
        <w:t xml:space="preserve"> but it is an indication of the length of time required for this to happen</w:t>
      </w:r>
      <w:r w:rsidR="00DD42DB">
        <w:t xml:space="preserve">. </w:t>
      </w:r>
    </w:p>
    <w:p w:rsidR="007B6902" w:rsidRPr="00E45B46" w:rsidRDefault="007B6902" w:rsidP="00652A44">
      <w:pPr>
        <w:spacing w:before="0" w:after="240" w:line="480" w:lineRule="auto"/>
        <w:rPr>
          <w:b/>
        </w:rPr>
      </w:pPr>
      <w:r w:rsidRPr="00E45B46">
        <w:rPr>
          <w:b/>
        </w:rPr>
        <w:t>Patient Satisfaction</w:t>
      </w:r>
    </w:p>
    <w:p w:rsidR="007B6902" w:rsidRPr="00E45B46" w:rsidRDefault="007B6902" w:rsidP="00652A44">
      <w:pPr>
        <w:spacing w:before="0" w:after="240" w:line="480" w:lineRule="auto"/>
        <w:rPr>
          <w:i/>
        </w:rPr>
      </w:pPr>
      <w:r w:rsidRPr="00E45B46">
        <w:t>As part of the DES</w:t>
      </w:r>
      <w:r w:rsidR="00673C41" w:rsidRPr="00E45B46">
        <w:t>,</w:t>
      </w:r>
      <w:r w:rsidRPr="00E45B46">
        <w:t xml:space="preserve"> a </w:t>
      </w:r>
      <w:r w:rsidR="00DD42DB">
        <w:t xml:space="preserve">brief </w:t>
      </w:r>
      <w:r w:rsidRPr="00E45B46">
        <w:t xml:space="preserve">patient satisfaction questionnaire </w:t>
      </w:r>
      <w:r w:rsidR="00DD42DB">
        <w:t xml:space="preserve">on the health checks </w:t>
      </w:r>
      <w:r w:rsidRPr="00E45B46">
        <w:t xml:space="preserve">is completed </w:t>
      </w:r>
      <w:r w:rsidR="00DD42DB">
        <w:t>at the end of the appointment</w:t>
      </w:r>
      <w:r w:rsidR="007818D6">
        <w:t xml:space="preserve"> (see below).  F</w:t>
      </w:r>
      <w:r w:rsidRPr="00E45B46">
        <w:t>rom</w:t>
      </w:r>
      <w:r w:rsidR="007818D6">
        <w:t xml:space="preserve"> the</w:t>
      </w:r>
      <w:r w:rsidRPr="00E45B46">
        <w:t xml:space="preserve"> returns made by </w:t>
      </w:r>
      <w:r w:rsidR="00B17135" w:rsidRPr="00E45B46">
        <w:t>p</w:t>
      </w:r>
      <w:r w:rsidRPr="00E45B46">
        <w:t>ractices in 2012/13</w:t>
      </w:r>
      <w:r w:rsidR="00673C41" w:rsidRPr="00E45B46">
        <w:t>,</w:t>
      </w:r>
      <w:r w:rsidRPr="00E45B46">
        <w:t xml:space="preserve"> 58</w:t>
      </w:r>
      <w:r w:rsidR="00673C41" w:rsidRPr="00E45B46">
        <w:t>%</w:t>
      </w:r>
      <w:r w:rsidRPr="00E45B46">
        <w:t xml:space="preserve"> </w:t>
      </w:r>
      <w:r w:rsidR="00DD42DB">
        <w:t xml:space="preserve">of </w:t>
      </w:r>
      <w:r w:rsidR="007818D6">
        <w:t>them</w:t>
      </w:r>
      <w:r w:rsidR="00DD42DB">
        <w:t xml:space="preserve"> </w:t>
      </w:r>
      <w:r w:rsidR="00673C41" w:rsidRPr="00E45B46">
        <w:t>had done this</w:t>
      </w:r>
      <w:r w:rsidRPr="00E45B46">
        <w:t xml:space="preserve"> (range 49% to 74% across the trusts).   An audit was undertaken of 408 questionnaires drawn from 22 practices</w:t>
      </w:r>
      <w:r w:rsidR="007818D6">
        <w:t xml:space="preserve"> across the Trusts</w:t>
      </w:r>
      <w:r w:rsidRPr="00E45B46">
        <w:t xml:space="preserve">.  Almost without exception people rated the </w:t>
      </w:r>
      <w:r w:rsidR="00652A44">
        <w:t>check</w:t>
      </w:r>
      <w:r w:rsidRPr="00E45B46">
        <w:t>s highly</w:t>
      </w:r>
      <w:r w:rsidR="00673C41" w:rsidRPr="00E45B46">
        <w:t xml:space="preserve">: </w:t>
      </w:r>
      <w:r w:rsidRPr="00E45B46">
        <w:t xml:space="preserve">100% were happy with it; 100% </w:t>
      </w:r>
      <w:r w:rsidR="0017663E" w:rsidRPr="00E45B46">
        <w:t xml:space="preserve">reported </w:t>
      </w:r>
      <w:r w:rsidRPr="00E45B46">
        <w:t xml:space="preserve">they had enough time; 96% </w:t>
      </w:r>
      <w:r w:rsidR="0017663E" w:rsidRPr="00E45B46">
        <w:t>reported</w:t>
      </w:r>
      <w:r w:rsidRPr="00E45B46">
        <w:t xml:space="preserve"> they had been told how their health could be better and all were willing to come back next year.  </w:t>
      </w:r>
    </w:p>
    <w:p w:rsidR="007B6902" w:rsidRPr="007C1355" w:rsidRDefault="009B0348" w:rsidP="00652A44">
      <w:pPr>
        <w:spacing w:before="0" w:after="240" w:line="480" w:lineRule="auto"/>
        <w:rPr>
          <w:b/>
          <w:sz w:val="28"/>
          <w:szCs w:val="28"/>
        </w:rPr>
      </w:pPr>
      <w:r w:rsidRPr="007C1355">
        <w:rPr>
          <w:b/>
          <w:sz w:val="28"/>
          <w:szCs w:val="28"/>
        </w:rPr>
        <w:t>Discussion</w:t>
      </w:r>
    </w:p>
    <w:p w:rsidR="00130C71" w:rsidRPr="00E45B46" w:rsidRDefault="009B0348" w:rsidP="00652A44">
      <w:pPr>
        <w:spacing w:before="0" w:after="240" w:line="480" w:lineRule="auto"/>
      </w:pPr>
      <w:r w:rsidRPr="00E45B46">
        <w:t xml:space="preserve">Although confined to one small region of the United Kingdom, this study provides the most detailed information to date on the uptake of health </w:t>
      </w:r>
      <w:r w:rsidR="00652A44">
        <w:t>check</w:t>
      </w:r>
      <w:r w:rsidRPr="00E45B46">
        <w:t xml:space="preserve">s for people with </w:t>
      </w:r>
      <w:r w:rsidR="0017663E" w:rsidRPr="00E45B46">
        <w:t xml:space="preserve">intellectual </w:t>
      </w:r>
      <w:r w:rsidR="00F51FFF">
        <w:t>disability</w:t>
      </w:r>
      <w:r w:rsidRPr="00E45B46">
        <w:t>.  Compared to England and Wales</w:t>
      </w:r>
      <w:r w:rsidR="00282AB4" w:rsidRPr="00E45B46">
        <w:t xml:space="preserve"> (</w:t>
      </w:r>
      <w:r w:rsidR="00130C71" w:rsidRPr="00E45B46">
        <w:t xml:space="preserve">Perry et al., 2010, </w:t>
      </w:r>
      <w:r w:rsidR="00970BE6">
        <w:t>Public Health England</w:t>
      </w:r>
      <w:r w:rsidR="00282AB4" w:rsidRPr="00E45B46">
        <w:t>, 2013)</w:t>
      </w:r>
      <w:r w:rsidRPr="00E45B46">
        <w:t xml:space="preserve">, it would seem that greater coverage has been attained in Northern Ireland with around 87% of adult persons with </w:t>
      </w:r>
      <w:r w:rsidR="007818D6">
        <w:t>intellectual</w:t>
      </w:r>
      <w:r w:rsidR="00282AB4" w:rsidRPr="00E45B46">
        <w:t xml:space="preserve"> </w:t>
      </w:r>
      <w:r w:rsidRPr="00E45B46">
        <w:t xml:space="preserve">disability registered with a practice that offers an annual health check. There is fairly clear evidence that this can be attributed to the appointment of </w:t>
      </w:r>
      <w:r w:rsidR="00282AB4" w:rsidRPr="00E45B46">
        <w:t>Health F</w:t>
      </w:r>
      <w:r w:rsidRPr="00E45B46">
        <w:t>acilitators</w:t>
      </w:r>
      <w:r w:rsidR="00002739" w:rsidRPr="00E45B46">
        <w:t xml:space="preserve"> given the variation that exist</w:t>
      </w:r>
      <w:r w:rsidR="00B17135" w:rsidRPr="00E45B46">
        <w:t>ed</w:t>
      </w:r>
      <w:r w:rsidR="00002739" w:rsidRPr="00E45B46">
        <w:t xml:space="preserve"> across the five </w:t>
      </w:r>
      <w:r w:rsidR="00002739" w:rsidRPr="00E45B46">
        <w:lastRenderedPageBreak/>
        <w:t>Trusts</w:t>
      </w:r>
      <w:r w:rsidR="00C76BB1" w:rsidRPr="00E45B46">
        <w:t xml:space="preserve">. </w:t>
      </w:r>
      <w:r w:rsidR="008A5E5C" w:rsidRPr="00E45B46">
        <w:t>The</w:t>
      </w:r>
      <w:r w:rsidR="008A5E5C">
        <w:t xml:space="preserve"> more </w:t>
      </w:r>
      <w:r w:rsidR="008A5E5C" w:rsidRPr="00E45B46">
        <w:t xml:space="preserve">Health Facilitators there </w:t>
      </w:r>
      <w:r w:rsidR="008A5E5C">
        <w:t>were</w:t>
      </w:r>
      <w:r w:rsidR="008A5E5C" w:rsidRPr="00E45B46">
        <w:t xml:space="preserve"> and the longer they </w:t>
      </w:r>
      <w:r w:rsidR="008A5E5C">
        <w:t>have been in post, the greater wa</w:t>
      </w:r>
      <w:r w:rsidR="008A5E5C" w:rsidRPr="00E45B46">
        <w:t>s the number of practices that provide</w:t>
      </w:r>
      <w:r w:rsidR="008A5E5C">
        <w:t>d</w:t>
      </w:r>
      <w:r w:rsidR="008A5E5C" w:rsidRPr="00E45B46">
        <w:t xml:space="preserve"> health checks.  </w:t>
      </w:r>
      <w:r w:rsidR="00130C71" w:rsidRPr="00E45B46">
        <w:t>The</w:t>
      </w:r>
      <w:r w:rsidR="00731E29">
        <w:t>ir</w:t>
      </w:r>
      <w:r w:rsidR="00130C71" w:rsidRPr="00E45B46">
        <w:t xml:space="preserve"> role </w:t>
      </w:r>
      <w:r w:rsidR="00130C71" w:rsidRPr="00731E29">
        <w:t xml:space="preserve">in </w:t>
      </w:r>
      <w:r w:rsidR="0014475C" w:rsidRPr="00731E29">
        <w:t xml:space="preserve">supporting </w:t>
      </w:r>
      <w:r w:rsidR="00731E29">
        <w:t>practices</w:t>
      </w:r>
      <w:r w:rsidR="0014475C" w:rsidRPr="00731E29">
        <w:t xml:space="preserve"> to provide </w:t>
      </w:r>
      <w:r w:rsidR="00731E29">
        <w:t>health checks may have overcome some of the barriers these patients may have encountered previously</w:t>
      </w:r>
      <w:r w:rsidR="00DD42DB">
        <w:t xml:space="preserve"> (Lennox et al, 1997)</w:t>
      </w:r>
      <w:r w:rsidR="00731E29">
        <w:t xml:space="preserve">.  </w:t>
      </w:r>
      <w:r w:rsidR="00130C71" w:rsidRPr="00731E29">
        <w:t>GP</w:t>
      </w:r>
      <w:r w:rsidR="005A060E" w:rsidRPr="00731E29">
        <w:t xml:space="preserve">s </w:t>
      </w:r>
      <w:r w:rsidR="00731E29">
        <w:t xml:space="preserve">may </w:t>
      </w:r>
      <w:r w:rsidR="00130C71" w:rsidRPr="00731E29">
        <w:t>value the benefits that health checks can have above routine appointments,</w:t>
      </w:r>
      <w:r w:rsidR="0014475C" w:rsidRPr="00731E29">
        <w:t xml:space="preserve"> they are more confident to undertake health checks</w:t>
      </w:r>
      <w:r w:rsidR="008A5E5C">
        <w:t xml:space="preserve"> and </w:t>
      </w:r>
      <w:r w:rsidR="0014475C" w:rsidRPr="00731E29">
        <w:t>there is clarity around the</w:t>
      </w:r>
      <w:r w:rsidR="0014475C" w:rsidRPr="00E45B46">
        <w:t xml:space="preserve"> eligibility criterion of who can have a health </w:t>
      </w:r>
      <w:r w:rsidR="00652A44">
        <w:t>check</w:t>
      </w:r>
      <w:r w:rsidR="00130C71" w:rsidRPr="00E45B46">
        <w:t xml:space="preserve"> (Turner </w:t>
      </w:r>
      <w:r w:rsidR="00FD103D">
        <w:t>and</w:t>
      </w:r>
      <w:r w:rsidR="00130C71" w:rsidRPr="00E45B46">
        <w:t xml:space="preserve"> Robinson, 2010, Chauhan et al., 2012). </w:t>
      </w:r>
    </w:p>
    <w:p w:rsidR="00282AB4" w:rsidRPr="00E45B46" w:rsidRDefault="00C76BB1" w:rsidP="00652A44">
      <w:pPr>
        <w:spacing w:before="0" w:after="240" w:line="480" w:lineRule="auto"/>
      </w:pPr>
      <w:r w:rsidRPr="00E45B46">
        <w:t xml:space="preserve">Yet despite the efforts </w:t>
      </w:r>
      <w:r w:rsidR="008A5E5C">
        <w:t xml:space="preserve">of the Health Facilitators </w:t>
      </w:r>
      <w:r w:rsidRPr="00E45B46">
        <w:t xml:space="preserve">some </w:t>
      </w:r>
      <w:r w:rsidR="00970BE6">
        <w:t xml:space="preserve">GP </w:t>
      </w:r>
      <w:r w:rsidRPr="00E45B46">
        <w:t xml:space="preserve">practices have been reluctant to sign up, citing </w:t>
      </w:r>
      <w:r w:rsidR="00B17135" w:rsidRPr="00E45B46">
        <w:t>as their main reasons for not doing so</w:t>
      </w:r>
      <w:r w:rsidR="007C1355">
        <w:t>,</w:t>
      </w:r>
      <w:r w:rsidR="00B17135" w:rsidRPr="00E45B46">
        <w:t xml:space="preserve"> a </w:t>
      </w:r>
      <w:r w:rsidRPr="00E45B46">
        <w:t>lack of demand</w:t>
      </w:r>
      <w:r w:rsidR="00002739" w:rsidRPr="00E45B46">
        <w:t xml:space="preserve">, </w:t>
      </w:r>
      <w:r w:rsidRPr="00E45B46">
        <w:t xml:space="preserve">scepticism about the value of screening </w:t>
      </w:r>
      <w:r w:rsidR="00002739" w:rsidRPr="00E45B46">
        <w:t xml:space="preserve">and </w:t>
      </w:r>
      <w:r w:rsidR="00B17135" w:rsidRPr="00E45B46">
        <w:t xml:space="preserve">a wish to </w:t>
      </w:r>
      <w:r w:rsidR="00002739" w:rsidRPr="00E45B46">
        <w:t>avoid extra paper work</w:t>
      </w:r>
      <w:r w:rsidRPr="00E45B46">
        <w:t xml:space="preserve">. </w:t>
      </w:r>
      <w:r w:rsidR="00B17135" w:rsidRPr="00E45B46">
        <w:t xml:space="preserve"> </w:t>
      </w:r>
      <w:r w:rsidR="00954732">
        <w:t xml:space="preserve">Moreover </w:t>
      </w:r>
      <w:r w:rsidR="00541879" w:rsidRPr="00E45B46">
        <w:t xml:space="preserve"> some GP</w:t>
      </w:r>
      <w:r w:rsidR="00970BE6">
        <w:t>’</w:t>
      </w:r>
      <w:r w:rsidR="00541879" w:rsidRPr="00E45B46">
        <w:t xml:space="preserve">s feel inadequately prepared to provide health checks </w:t>
      </w:r>
      <w:r w:rsidR="00954732">
        <w:t>(Phi</w:t>
      </w:r>
      <w:r w:rsidR="007A67E0">
        <w:t>l</w:t>
      </w:r>
      <w:r w:rsidR="00954732">
        <w:t xml:space="preserve">lips et al, 2004) </w:t>
      </w:r>
      <w:r w:rsidR="00541879" w:rsidRPr="00E45B46">
        <w:t xml:space="preserve">although an earlier study in Northern Ireland had shown an increased willingness </w:t>
      </w:r>
      <w:r w:rsidR="00346770">
        <w:t xml:space="preserve">among GPs </w:t>
      </w:r>
      <w:r w:rsidR="00541879" w:rsidRPr="00E45B46">
        <w:t>to participate in screening this population once they had experience of it (McConkey</w:t>
      </w:r>
      <w:r w:rsidR="00B17135" w:rsidRPr="00E45B46">
        <w:t xml:space="preserve"> et al</w:t>
      </w:r>
      <w:r w:rsidR="00282AB4" w:rsidRPr="00E45B46">
        <w:t>.</w:t>
      </w:r>
      <w:r w:rsidR="00541879" w:rsidRPr="00E45B46">
        <w:t>, 2002).</w:t>
      </w:r>
      <w:r w:rsidR="00DE16F5" w:rsidRPr="00E45B46">
        <w:t xml:space="preserve"> </w:t>
      </w:r>
    </w:p>
    <w:p w:rsidR="00F445F9" w:rsidRDefault="00DE16F5" w:rsidP="00652A44">
      <w:pPr>
        <w:tabs>
          <w:tab w:val="left" w:pos="1560"/>
        </w:tabs>
        <w:spacing w:before="0" w:after="240" w:line="480" w:lineRule="auto"/>
      </w:pPr>
      <w:r w:rsidRPr="00E45B46">
        <w:t>This</w:t>
      </w:r>
      <w:r w:rsidR="008A5E5C">
        <w:t xml:space="preserve"> study also provided</w:t>
      </w:r>
      <w:r w:rsidR="00002739" w:rsidRPr="00E45B46">
        <w:t xml:space="preserve"> details on the likely number of patients per GP practice although this can be inflated </w:t>
      </w:r>
      <w:r w:rsidR="00541879" w:rsidRPr="00E45B46">
        <w:t>in</w:t>
      </w:r>
      <w:r w:rsidR="00002739" w:rsidRPr="00E45B46">
        <w:t xml:space="preserve"> </w:t>
      </w:r>
      <w:r w:rsidR="00346770">
        <w:t xml:space="preserve">certain </w:t>
      </w:r>
      <w:r w:rsidR="00002739" w:rsidRPr="00E45B46">
        <w:t xml:space="preserve">practices that cover residential or </w:t>
      </w:r>
      <w:r w:rsidR="000D02B2" w:rsidRPr="00E45B46">
        <w:t xml:space="preserve">nursing homes for people with </w:t>
      </w:r>
      <w:r w:rsidR="00F13760">
        <w:t>intellectual</w:t>
      </w:r>
      <w:r w:rsidR="000D02B2" w:rsidRPr="00E45B46">
        <w:t xml:space="preserve"> </w:t>
      </w:r>
      <w:r w:rsidR="00002739" w:rsidRPr="00E45B46">
        <w:t xml:space="preserve">disability. </w:t>
      </w:r>
      <w:r w:rsidR="00346770">
        <w:t xml:space="preserve"> </w:t>
      </w:r>
      <w:r w:rsidR="00002739" w:rsidRPr="00E45B46">
        <w:t xml:space="preserve">Across Northern Ireland, each practice </w:t>
      </w:r>
      <w:r w:rsidR="00541879" w:rsidRPr="00E45B46">
        <w:t>has</w:t>
      </w:r>
      <w:r w:rsidR="00002739" w:rsidRPr="00E45B46">
        <w:t xml:space="preserve"> an average of only 19 adult patients which would require less than 10 </w:t>
      </w:r>
      <w:r w:rsidR="00B17135" w:rsidRPr="00E45B46">
        <w:t xml:space="preserve">hours of GP time </w:t>
      </w:r>
      <w:r w:rsidR="00002739" w:rsidRPr="00E45B46">
        <w:t>to undertake the checks per annum.  Against that</w:t>
      </w:r>
      <w:r w:rsidR="00541879" w:rsidRPr="00E45B46">
        <w:t>, the extra income that</w:t>
      </w:r>
      <w:r w:rsidR="00002739" w:rsidRPr="00E45B46">
        <w:t xml:space="preserve"> come</w:t>
      </w:r>
      <w:r w:rsidR="00541879" w:rsidRPr="00E45B46">
        <w:t>s</w:t>
      </w:r>
      <w:r w:rsidR="00002739" w:rsidRPr="00E45B46">
        <w:t xml:space="preserve"> to the practice is also small so the financial inducement is </w:t>
      </w:r>
      <w:r w:rsidR="00992102" w:rsidRPr="00E45B46">
        <w:t>probably not a determining factor i</w:t>
      </w:r>
      <w:r w:rsidR="00541879" w:rsidRPr="00E45B46">
        <w:t>n practices</w:t>
      </w:r>
      <w:r w:rsidR="00992102" w:rsidRPr="00E45B46">
        <w:t xml:space="preserve"> offering checks.  </w:t>
      </w:r>
      <w:r w:rsidR="00541879" w:rsidRPr="00E45B46">
        <w:t>Informal feedback from those practices</w:t>
      </w:r>
      <w:r w:rsidR="00494136">
        <w:t xml:space="preserve"> in Northern Ireland </w:t>
      </w:r>
      <w:r w:rsidR="00541879" w:rsidRPr="00E45B46">
        <w:t xml:space="preserve"> that offered checks </w:t>
      </w:r>
      <w:r w:rsidR="00541879" w:rsidRPr="00E45B46">
        <w:lastRenderedPageBreak/>
        <w:t xml:space="preserve">suggested that the provision of a better service to their patients was </w:t>
      </w:r>
      <w:r w:rsidR="00494136">
        <w:t xml:space="preserve">a </w:t>
      </w:r>
      <w:r w:rsidR="00541879" w:rsidRPr="00E45B46">
        <w:t>dominant concern.</w:t>
      </w:r>
      <w:r w:rsidR="00503C45" w:rsidRPr="00E45B46">
        <w:t xml:space="preserve"> </w:t>
      </w:r>
      <w:r w:rsidR="008A5E5C">
        <w:t xml:space="preserve"> </w:t>
      </w:r>
    </w:p>
    <w:p w:rsidR="000D3B6B" w:rsidRPr="00E45B46" w:rsidRDefault="000D3B6B" w:rsidP="00652A44">
      <w:pPr>
        <w:spacing w:before="0" w:after="240" w:line="480" w:lineRule="auto"/>
      </w:pPr>
      <w:r w:rsidRPr="00E45B46">
        <w:t>Nonetheless it would seem that certain sub</w:t>
      </w:r>
      <w:r w:rsidR="00503C45" w:rsidRPr="00E45B46">
        <w:t>-</w:t>
      </w:r>
      <w:r w:rsidRPr="00E45B46">
        <w:t xml:space="preserve">groups of people </w:t>
      </w:r>
      <w:r w:rsidR="00A10E40" w:rsidRPr="00E45B46">
        <w:t xml:space="preserve">with </w:t>
      </w:r>
      <w:r w:rsidR="00F13760">
        <w:t xml:space="preserve">intellectual </w:t>
      </w:r>
      <w:r w:rsidR="00A10E40" w:rsidRPr="00E45B46">
        <w:t xml:space="preserve"> disability </w:t>
      </w:r>
      <w:r w:rsidRPr="00E45B46">
        <w:t>are missing out on having health checks</w:t>
      </w:r>
      <w:r w:rsidR="00A10E40" w:rsidRPr="00E45B46">
        <w:t>:</w:t>
      </w:r>
      <w:r w:rsidRPr="00E45B46">
        <w:t xml:space="preserve"> namely younger persons, those living with family members or independently and </w:t>
      </w:r>
      <w:r w:rsidR="00541879" w:rsidRPr="00E45B46">
        <w:t xml:space="preserve">persons </w:t>
      </w:r>
      <w:r w:rsidR="00602EFF" w:rsidRPr="00E45B46">
        <w:t>resident</w:t>
      </w:r>
      <w:r w:rsidRPr="00E45B46">
        <w:t xml:space="preserve"> in more socially deprived areas. </w:t>
      </w:r>
      <w:r w:rsidR="00AB6619" w:rsidRPr="00E45B46">
        <w:t xml:space="preserve"> Th</w:t>
      </w:r>
      <w:r w:rsidR="00B17135" w:rsidRPr="00E45B46">
        <w:t xml:space="preserve">e latter </w:t>
      </w:r>
      <w:r w:rsidR="00AB6619" w:rsidRPr="00E45B46">
        <w:t>parallels experiences in other screening programmes (</w:t>
      </w:r>
      <w:r w:rsidR="006911E0" w:rsidRPr="00E45B46">
        <w:t xml:space="preserve">Whynes et al., 2003). </w:t>
      </w:r>
      <w:r w:rsidRPr="00E45B46">
        <w:t xml:space="preserve"> </w:t>
      </w:r>
      <w:r w:rsidR="00A10E40" w:rsidRPr="00E45B46">
        <w:t>Th</w:t>
      </w:r>
      <w:r w:rsidR="00541879" w:rsidRPr="00E45B46">
        <w:t xml:space="preserve">ese factors too </w:t>
      </w:r>
      <w:r w:rsidR="00A10E40" w:rsidRPr="00E45B46">
        <w:t>might also account for some of the regi</w:t>
      </w:r>
      <w:r w:rsidR="000D02B2" w:rsidRPr="00E45B46">
        <w:t>onal variation reported across T</w:t>
      </w:r>
      <w:r w:rsidR="00A10E40" w:rsidRPr="00E45B46">
        <w:t xml:space="preserve">rusts as certain </w:t>
      </w:r>
      <w:r w:rsidR="00494136">
        <w:t>areas</w:t>
      </w:r>
      <w:r w:rsidR="00A10E40" w:rsidRPr="00E45B46">
        <w:t xml:space="preserve"> have higher levels of deprivation (both urban and rural) than other</w:t>
      </w:r>
      <w:r w:rsidR="000D02B2" w:rsidRPr="00E45B46">
        <w:t xml:space="preserve"> T</w:t>
      </w:r>
      <w:r w:rsidR="00B17135" w:rsidRPr="00E45B46">
        <w:t>rust</w:t>
      </w:r>
      <w:r w:rsidR="00A10E40" w:rsidRPr="00E45B46">
        <w:t xml:space="preserve">s.  </w:t>
      </w:r>
      <w:r w:rsidR="00E42233" w:rsidRPr="00E45B46">
        <w:t xml:space="preserve">Nonetheless extra </w:t>
      </w:r>
      <w:r w:rsidR="000D02B2" w:rsidRPr="00E45B46">
        <w:t>efforts might be required from H</w:t>
      </w:r>
      <w:r w:rsidR="00E42233" w:rsidRPr="00E45B46">
        <w:t xml:space="preserve">ealth </w:t>
      </w:r>
      <w:r w:rsidR="000D02B2" w:rsidRPr="00E45B46">
        <w:t>F</w:t>
      </w:r>
      <w:r w:rsidR="00602EFF" w:rsidRPr="00E45B46">
        <w:t>acilitators</w:t>
      </w:r>
      <w:r w:rsidR="00E42233" w:rsidRPr="00E45B46">
        <w:t xml:space="preserve"> and GP practice</w:t>
      </w:r>
      <w:r w:rsidR="00AB6619" w:rsidRPr="00E45B46">
        <w:t>s</w:t>
      </w:r>
      <w:r w:rsidR="00E42233" w:rsidRPr="00E45B46">
        <w:t xml:space="preserve"> to </w:t>
      </w:r>
      <w:r w:rsidR="005A060E" w:rsidRPr="00E45B46">
        <w:t xml:space="preserve">target sub-populations and </w:t>
      </w:r>
      <w:r w:rsidR="00E42233" w:rsidRPr="00E45B46">
        <w:t xml:space="preserve">encourage attendance </w:t>
      </w:r>
      <w:r w:rsidR="00AB6619" w:rsidRPr="00E45B46">
        <w:t>at health checks for persons in these categories</w:t>
      </w:r>
      <w:r w:rsidR="00E72E35" w:rsidRPr="00E45B46">
        <w:t>,</w:t>
      </w:r>
      <w:r w:rsidR="006911E0" w:rsidRPr="00E45B46">
        <w:t xml:space="preserve"> as well as others persons not known to </w:t>
      </w:r>
      <w:r w:rsidR="003936A7">
        <w:t xml:space="preserve">learning </w:t>
      </w:r>
      <w:r w:rsidR="006911E0" w:rsidRPr="00E45B46">
        <w:t xml:space="preserve">disability services who </w:t>
      </w:r>
      <w:r w:rsidR="00A924DC">
        <w:t>may</w:t>
      </w:r>
      <w:r w:rsidR="006911E0" w:rsidRPr="00E45B46">
        <w:t xml:space="preserve"> </w:t>
      </w:r>
      <w:r w:rsidR="00494136">
        <w:t xml:space="preserve">be </w:t>
      </w:r>
      <w:r w:rsidR="006911E0" w:rsidRPr="00E45B46">
        <w:t>at greater risk of experiencing poorer health (Emerson, 2012</w:t>
      </w:r>
      <w:r w:rsidR="005A060E" w:rsidRPr="00E45B46">
        <w:t xml:space="preserve">, Emerson </w:t>
      </w:r>
      <w:r w:rsidR="00FD103D">
        <w:t>and</w:t>
      </w:r>
      <w:r w:rsidR="005A060E" w:rsidRPr="00E45B46">
        <w:t xml:space="preserve"> Hatton, 2013</w:t>
      </w:r>
      <w:r w:rsidR="006911E0" w:rsidRPr="00E45B46">
        <w:t>).</w:t>
      </w:r>
    </w:p>
    <w:p w:rsidR="00602EFF" w:rsidRPr="00E45B46" w:rsidRDefault="00E72E35" w:rsidP="00652A44">
      <w:pPr>
        <w:spacing w:before="0" w:after="240" w:line="480" w:lineRule="auto"/>
      </w:pPr>
      <w:r w:rsidRPr="00E45B46">
        <w:t>This</w:t>
      </w:r>
      <w:r w:rsidR="00602EFF" w:rsidRPr="00E45B46">
        <w:t xml:space="preserve"> study suggests that despite the impressive coverage and uptake figures, </w:t>
      </w:r>
      <w:r w:rsidR="007C1355">
        <w:t xml:space="preserve">fewer than 50% </w:t>
      </w:r>
      <w:r w:rsidR="00602EFF" w:rsidRPr="00E45B46">
        <w:t xml:space="preserve">of people </w:t>
      </w:r>
      <w:r w:rsidR="006911E0" w:rsidRPr="00E45B46">
        <w:t xml:space="preserve">with </w:t>
      </w:r>
      <w:r w:rsidR="00F13760">
        <w:t>intellectual</w:t>
      </w:r>
      <w:r w:rsidR="003936A7">
        <w:t xml:space="preserve"> disability</w:t>
      </w:r>
      <w:r w:rsidR="006911E0" w:rsidRPr="00E45B46">
        <w:t xml:space="preserve"> </w:t>
      </w:r>
      <w:r w:rsidR="00602EFF" w:rsidRPr="00E45B46">
        <w:t xml:space="preserve">are </w:t>
      </w:r>
      <w:r w:rsidR="006911E0" w:rsidRPr="00E45B46">
        <w:t xml:space="preserve">receiving </w:t>
      </w:r>
      <w:r w:rsidR="00602EFF" w:rsidRPr="00E45B46">
        <w:t xml:space="preserve">a health check every year.  This might indeed be clinically appropriate as </w:t>
      </w:r>
      <w:r w:rsidR="006911E0" w:rsidRPr="00E45B46">
        <w:t xml:space="preserve">a </w:t>
      </w:r>
      <w:r w:rsidR="00602EFF" w:rsidRPr="00E45B46">
        <w:t xml:space="preserve">GP may decide that an annual check is not needed for younger patients who present with no problems. Likewise patients themselves may feel there is no need for them to attend </w:t>
      </w:r>
      <w:r w:rsidR="006911E0" w:rsidRPr="00E45B46">
        <w:t xml:space="preserve">another check </w:t>
      </w:r>
      <w:r w:rsidR="00602EFF" w:rsidRPr="00E45B46">
        <w:t xml:space="preserve">as </w:t>
      </w:r>
      <w:r w:rsidR="006911E0" w:rsidRPr="00E45B46">
        <w:t xml:space="preserve">nothing untoward was found </w:t>
      </w:r>
      <w:r w:rsidR="00602EFF" w:rsidRPr="00E45B46">
        <w:t xml:space="preserve">previously.  </w:t>
      </w:r>
      <w:r w:rsidR="00BC6CAC" w:rsidRPr="00E45B46">
        <w:t xml:space="preserve">Similarly many patients </w:t>
      </w:r>
      <w:r w:rsidR="00953569" w:rsidRPr="00E45B46">
        <w:t xml:space="preserve">with a mild intellectual disability </w:t>
      </w:r>
      <w:r w:rsidR="00BC6CAC" w:rsidRPr="00E45B46">
        <w:t xml:space="preserve">may not be known to </w:t>
      </w:r>
      <w:r w:rsidR="00953569" w:rsidRPr="00E45B46">
        <w:t xml:space="preserve">services </w:t>
      </w:r>
      <w:r w:rsidR="00BC6CAC" w:rsidRPr="00E45B46">
        <w:t>and therefore not flagged within the health service system records</w:t>
      </w:r>
      <w:r w:rsidRPr="00E45B46">
        <w:t xml:space="preserve"> (Emerson </w:t>
      </w:r>
      <w:r w:rsidR="00FD103D">
        <w:t>and</w:t>
      </w:r>
      <w:r w:rsidRPr="00E45B46">
        <w:t xml:space="preserve"> Hatton, 2013)</w:t>
      </w:r>
      <w:r w:rsidR="00BC6CAC" w:rsidRPr="00E45B46">
        <w:t xml:space="preserve">. </w:t>
      </w:r>
      <w:r w:rsidR="00602EFF" w:rsidRPr="00E45B46">
        <w:t xml:space="preserve">Hence further research needs to be undertaken </w:t>
      </w:r>
      <w:r w:rsidR="006911E0" w:rsidRPr="00E45B46">
        <w:t xml:space="preserve">to identify </w:t>
      </w:r>
      <w:r w:rsidR="00F342CF" w:rsidRPr="00E45B46">
        <w:lastRenderedPageBreak/>
        <w:t xml:space="preserve">those patients for whom an annual health check is considered essential so that more effective targeting can be undertaken. </w:t>
      </w:r>
    </w:p>
    <w:p w:rsidR="00F342CF" w:rsidRPr="00E45B46" w:rsidRDefault="00F342CF" w:rsidP="00652A44">
      <w:pPr>
        <w:tabs>
          <w:tab w:val="left" w:pos="1560"/>
        </w:tabs>
        <w:spacing w:before="0" w:after="240" w:line="480" w:lineRule="auto"/>
      </w:pPr>
      <w:r w:rsidRPr="00E45B46">
        <w:t>Other significant questions remain regarding health checks</w:t>
      </w:r>
      <w:r w:rsidR="006911E0" w:rsidRPr="00E45B46">
        <w:t xml:space="preserve"> that were beyond the scope of this study</w:t>
      </w:r>
      <w:r w:rsidRPr="00E45B46">
        <w:t>, notably the quality of the checks that are undertaken and their efficacy in identifying health issues</w:t>
      </w:r>
      <w:r w:rsidR="00474C2E" w:rsidRPr="00E45B46">
        <w:t xml:space="preserve"> (Turner, 2013)</w:t>
      </w:r>
      <w:r w:rsidRPr="00E45B46">
        <w:t xml:space="preserve">.  Also the follow-on from health checks could usefully be monitored especially in terms of health gains for </w:t>
      </w:r>
      <w:r w:rsidR="000D02B2" w:rsidRPr="00E45B46">
        <w:t xml:space="preserve">people with </w:t>
      </w:r>
      <w:r w:rsidR="00F51FFF">
        <w:t>disability</w:t>
      </w:r>
      <w:r w:rsidR="006911E0" w:rsidRPr="00E45B46">
        <w:t xml:space="preserve"> (Felce et al., 2008</w:t>
      </w:r>
      <w:r w:rsidR="0071605E">
        <w:t xml:space="preserve">, Emerson </w:t>
      </w:r>
      <w:r w:rsidR="00FD103D">
        <w:t>and</w:t>
      </w:r>
      <w:r w:rsidR="0071605E">
        <w:t xml:space="preserve"> Hatton, 2013</w:t>
      </w:r>
      <w:r w:rsidR="006911E0" w:rsidRPr="00E45B46">
        <w:t>)</w:t>
      </w:r>
      <w:r w:rsidRPr="00E45B46">
        <w:t xml:space="preserve">. This </w:t>
      </w:r>
      <w:r w:rsidR="006911E0" w:rsidRPr="00E45B46">
        <w:t>sh</w:t>
      </w:r>
      <w:r w:rsidRPr="00E45B46">
        <w:t xml:space="preserve">ould embrace </w:t>
      </w:r>
      <w:r w:rsidR="00001515" w:rsidRPr="00E45B46">
        <w:t xml:space="preserve">changes in lifestyle as well as treatment for specific illnesses or ailments. </w:t>
      </w:r>
      <w:r w:rsidR="00F445F9">
        <w:t xml:space="preserve"> </w:t>
      </w:r>
      <w:r w:rsidR="004D008F">
        <w:t xml:space="preserve">As yet </w:t>
      </w:r>
      <w:r w:rsidR="00F445F9" w:rsidRPr="00E45B46">
        <w:t>there is limited evidence for the medium to long-term impact of health checks, therefore future studies will need to examine both the long-term costs and also the financial gain of conducting these checks</w:t>
      </w:r>
      <w:r w:rsidR="00F13760">
        <w:t xml:space="preserve"> (Cooper et al, 2014)</w:t>
      </w:r>
      <w:r w:rsidR="00F445F9" w:rsidRPr="00E45B46">
        <w:t>.</w:t>
      </w:r>
      <w:r w:rsidR="004D008F">
        <w:t xml:space="preserve">  Finally a</w:t>
      </w:r>
      <w:r w:rsidR="000D02B2" w:rsidRPr="00E45B46">
        <w:t xml:space="preserve"> further role for the H</w:t>
      </w:r>
      <w:r w:rsidR="00B17135" w:rsidRPr="00E45B46">
        <w:t>e</w:t>
      </w:r>
      <w:r w:rsidR="000D02B2" w:rsidRPr="00E45B46">
        <w:t>alth F</w:t>
      </w:r>
      <w:r w:rsidR="006911E0" w:rsidRPr="00E45B46">
        <w:t xml:space="preserve">acilitators </w:t>
      </w:r>
      <w:r w:rsidR="00B17135" w:rsidRPr="00E45B46">
        <w:t>is to stimulate</w:t>
      </w:r>
      <w:r w:rsidR="006911E0" w:rsidRPr="00E45B46">
        <w:t xml:space="preserve"> health promotion within </w:t>
      </w:r>
      <w:r w:rsidR="00F13760">
        <w:t>intellectual</w:t>
      </w:r>
      <w:r w:rsidR="003936A7">
        <w:t xml:space="preserve"> </w:t>
      </w:r>
      <w:r w:rsidR="006911E0" w:rsidRPr="00E45B46">
        <w:t>disability services although this requires co-ordinated planning</w:t>
      </w:r>
      <w:r w:rsidR="006C4777" w:rsidRPr="00E45B46">
        <w:t xml:space="preserve"> </w:t>
      </w:r>
      <w:r w:rsidR="00B17135" w:rsidRPr="00E45B46">
        <w:t xml:space="preserve">which to date has proved elusive </w:t>
      </w:r>
      <w:r w:rsidR="004D008F">
        <w:t xml:space="preserve">but it is vital that it occurs if health gains are to be obtained for these patients </w:t>
      </w:r>
      <w:r w:rsidR="006C4777" w:rsidRPr="00E45B46">
        <w:t>(Walsh and McConkey, 2011</w:t>
      </w:r>
      <w:r w:rsidR="004D008F">
        <w:t>).</w:t>
      </w:r>
      <w:r w:rsidR="006911E0" w:rsidRPr="00E45B46">
        <w:t xml:space="preserve"> </w:t>
      </w:r>
    </w:p>
    <w:p w:rsidR="00BC6CAC" w:rsidRPr="00E45B46" w:rsidRDefault="00BC6CAC" w:rsidP="00A56797">
      <w:pPr>
        <w:spacing w:before="0"/>
        <w:ind w:left="357"/>
        <w:rPr>
          <w:b/>
        </w:rPr>
      </w:pPr>
    </w:p>
    <w:p w:rsidR="009113E4" w:rsidRDefault="009113E4">
      <w:pPr>
        <w:spacing w:before="0"/>
        <w:ind w:left="357"/>
        <w:jc w:val="both"/>
        <w:rPr>
          <w:b/>
          <w:sz w:val="28"/>
          <w:szCs w:val="28"/>
        </w:rPr>
      </w:pPr>
      <w:r>
        <w:rPr>
          <w:b/>
          <w:sz w:val="28"/>
          <w:szCs w:val="28"/>
        </w:rPr>
        <w:br w:type="page"/>
      </w:r>
    </w:p>
    <w:p w:rsidR="006F35DD" w:rsidRPr="007C1355" w:rsidRDefault="006F35DD" w:rsidP="00A56797">
      <w:pPr>
        <w:spacing w:before="0"/>
        <w:rPr>
          <w:b/>
          <w:sz w:val="28"/>
          <w:szCs w:val="28"/>
        </w:rPr>
      </w:pPr>
      <w:r w:rsidRPr="007C1355">
        <w:rPr>
          <w:b/>
          <w:sz w:val="28"/>
          <w:szCs w:val="28"/>
        </w:rPr>
        <w:lastRenderedPageBreak/>
        <w:t>Re</w:t>
      </w:r>
      <w:r w:rsidR="00E12DB9" w:rsidRPr="007C1355">
        <w:rPr>
          <w:b/>
          <w:sz w:val="28"/>
          <w:szCs w:val="28"/>
        </w:rPr>
        <w:t xml:space="preserve">ferences </w:t>
      </w:r>
      <w:r w:rsidR="00E12DB9" w:rsidRPr="00E12DB9">
        <w:t xml:space="preserve"> </w:t>
      </w:r>
    </w:p>
    <w:p w:rsidR="009113E4" w:rsidRPr="009113E4" w:rsidRDefault="009113E4" w:rsidP="009113E4">
      <w:pPr>
        <w:autoSpaceDE w:val="0"/>
        <w:autoSpaceDN w:val="0"/>
        <w:adjustRightInd w:val="0"/>
        <w:spacing w:before="0" w:line="240" w:lineRule="auto"/>
        <w:rPr>
          <w:iCs/>
        </w:rPr>
      </w:pPr>
      <w:r w:rsidRPr="009113E4">
        <w:rPr>
          <w:color w:val="333333"/>
          <w:shd w:val="clear" w:color="auto" w:fill="FFFFFF"/>
        </w:rPr>
        <w:t xml:space="preserve">Baxter H, Lowe K, Houston H, Jones G, Felce D, Kerr M (2006) Previously unidentified morbidity in patients with intellectual disability. </w:t>
      </w:r>
      <w:r w:rsidRPr="009113E4">
        <w:rPr>
          <w:i/>
          <w:color w:val="333333"/>
          <w:shd w:val="clear" w:color="auto" w:fill="FFFFFF"/>
        </w:rPr>
        <w:t xml:space="preserve">British Journal of General Practice </w:t>
      </w:r>
      <w:r w:rsidRPr="009113E4">
        <w:rPr>
          <w:color w:val="333333"/>
          <w:shd w:val="clear" w:color="auto" w:fill="FFFFFF"/>
        </w:rPr>
        <w:t>56, 93-98.</w:t>
      </w:r>
    </w:p>
    <w:p w:rsidR="00D71CB3" w:rsidRPr="00D71CB3" w:rsidRDefault="00D71CB3" w:rsidP="00DD42DB">
      <w:pPr>
        <w:autoSpaceDE w:val="0"/>
        <w:autoSpaceDN w:val="0"/>
        <w:adjustRightInd w:val="0"/>
        <w:spacing w:before="0" w:line="240" w:lineRule="auto"/>
        <w:rPr>
          <w:bCs/>
        </w:rPr>
      </w:pPr>
      <w:r>
        <w:rPr>
          <w:iCs/>
        </w:rPr>
        <w:t xml:space="preserve">Buszewicz M, </w:t>
      </w:r>
      <w:r w:rsidRPr="00D71CB3">
        <w:rPr>
          <w:iCs/>
        </w:rPr>
        <w:t>Welch</w:t>
      </w:r>
      <w:r>
        <w:rPr>
          <w:iCs/>
        </w:rPr>
        <w:t xml:space="preserve"> C</w:t>
      </w:r>
      <w:r w:rsidRPr="00D71CB3">
        <w:rPr>
          <w:iCs/>
        </w:rPr>
        <w:t>, Horsfall</w:t>
      </w:r>
      <w:r>
        <w:rPr>
          <w:iCs/>
        </w:rPr>
        <w:t xml:space="preserve"> L</w:t>
      </w:r>
      <w:r w:rsidRPr="00D71CB3">
        <w:rPr>
          <w:iCs/>
        </w:rPr>
        <w:t>, Nazareth</w:t>
      </w:r>
      <w:r>
        <w:rPr>
          <w:iCs/>
        </w:rPr>
        <w:t xml:space="preserve"> L</w:t>
      </w:r>
      <w:r w:rsidRPr="00D71CB3">
        <w:rPr>
          <w:iCs/>
        </w:rPr>
        <w:t>, Osborn</w:t>
      </w:r>
      <w:r>
        <w:rPr>
          <w:iCs/>
        </w:rPr>
        <w:t xml:space="preserve"> D</w:t>
      </w:r>
      <w:r w:rsidRPr="00D71CB3">
        <w:rPr>
          <w:iCs/>
        </w:rPr>
        <w:t>, Hassiotis</w:t>
      </w:r>
      <w:r>
        <w:rPr>
          <w:iCs/>
        </w:rPr>
        <w:t xml:space="preserve"> A</w:t>
      </w:r>
      <w:r w:rsidRPr="00D71CB3">
        <w:rPr>
          <w:iCs/>
        </w:rPr>
        <w:t>, Glover</w:t>
      </w:r>
      <w:r>
        <w:rPr>
          <w:iCs/>
        </w:rPr>
        <w:t xml:space="preserve"> G</w:t>
      </w:r>
      <w:r w:rsidRPr="00D71CB3">
        <w:rPr>
          <w:iCs/>
        </w:rPr>
        <w:t>, Chauhan</w:t>
      </w:r>
      <w:r>
        <w:rPr>
          <w:iCs/>
        </w:rPr>
        <w:t xml:space="preserve"> U</w:t>
      </w:r>
      <w:r w:rsidRPr="00D71CB3">
        <w:rPr>
          <w:iCs/>
        </w:rPr>
        <w:t>, Hoghton</w:t>
      </w:r>
      <w:r>
        <w:rPr>
          <w:iCs/>
        </w:rPr>
        <w:t xml:space="preserve"> M</w:t>
      </w:r>
      <w:r w:rsidRPr="00D71CB3">
        <w:rPr>
          <w:iCs/>
        </w:rPr>
        <w:t>, Cooper</w:t>
      </w:r>
      <w:r>
        <w:rPr>
          <w:iCs/>
        </w:rPr>
        <w:t xml:space="preserve"> S-A</w:t>
      </w:r>
      <w:r w:rsidRPr="00D71CB3">
        <w:rPr>
          <w:iCs/>
        </w:rPr>
        <w:t>, Moulster</w:t>
      </w:r>
      <w:r>
        <w:rPr>
          <w:iCs/>
        </w:rPr>
        <w:t xml:space="preserve"> G</w:t>
      </w:r>
      <w:r w:rsidRPr="00D71CB3">
        <w:rPr>
          <w:iCs/>
        </w:rPr>
        <w:t>, Hithersay</w:t>
      </w:r>
      <w:r>
        <w:rPr>
          <w:iCs/>
        </w:rPr>
        <w:t xml:space="preserve"> R</w:t>
      </w:r>
      <w:r w:rsidRPr="00D71CB3">
        <w:rPr>
          <w:iCs/>
        </w:rPr>
        <w:t>, Hunter</w:t>
      </w:r>
      <w:r>
        <w:rPr>
          <w:iCs/>
        </w:rPr>
        <w:t xml:space="preserve"> R</w:t>
      </w:r>
      <w:r w:rsidRPr="00D71CB3">
        <w:rPr>
          <w:iCs/>
        </w:rPr>
        <w:t>,</w:t>
      </w:r>
      <w:r>
        <w:rPr>
          <w:iCs/>
        </w:rPr>
        <w:t xml:space="preserve"> </w:t>
      </w:r>
      <w:r w:rsidRPr="00D71CB3">
        <w:rPr>
          <w:iCs/>
        </w:rPr>
        <w:t xml:space="preserve"> Heslop</w:t>
      </w:r>
      <w:r>
        <w:rPr>
          <w:iCs/>
        </w:rPr>
        <w:t xml:space="preserve"> P</w:t>
      </w:r>
      <w:r w:rsidRPr="00D71CB3">
        <w:rPr>
          <w:iCs/>
        </w:rPr>
        <w:t>, Courtenay</w:t>
      </w:r>
      <w:r>
        <w:rPr>
          <w:iCs/>
        </w:rPr>
        <w:t xml:space="preserve"> K and </w:t>
      </w:r>
      <w:r w:rsidRPr="00D71CB3">
        <w:rPr>
          <w:iCs/>
        </w:rPr>
        <w:t>Strydom</w:t>
      </w:r>
      <w:r>
        <w:rPr>
          <w:iCs/>
        </w:rPr>
        <w:t xml:space="preserve"> A. (2014) </w:t>
      </w:r>
      <w:r w:rsidRPr="00D71CB3">
        <w:rPr>
          <w:bCs/>
        </w:rPr>
        <w:t>Assessment of an incentivised scheme to provide annual</w:t>
      </w:r>
      <w:r>
        <w:rPr>
          <w:bCs/>
        </w:rPr>
        <w:t xml:space="preserve"> </w:t>
      </w:r>
      <w:r w:rsidRPr="00D71CB3">
        <w:rPr>
          <w:bCs/>
        </w:rPr>
        <w:t>health checks in primary care for adults with intellectual</w:t>
      </w:r>
      <w:r>
        <w:rPr>
          <w:bCs/>
        </w:rPr>
        <w:t xml:space="preserve"> </w:t>
      </w:r>
      <w:r w:rsidRPr="00D71CB3">
        <w:rPr>
          <w:bCs/>
        </w:rPr>
        <w:t>disability: a longitudinal cohort study</w:t>
      </w:r>
      <w:r>
        <w:rPr>
          <w:bCs/>
        </w:rPr>
        <w:t xml:space="preserve">.  </w:t>
      </w:r>
      <w:r w:rsidRPr="00D71CB3">
        <w:rPr>
          <w:bCs/>
          <w:i/>
          <w:iCs/>
        </w:rPr>
        <w:t>Lancet Psychiatry,</w:t>
      </w:r>
      <w:r w:rsidRPr="00D71CB3">
        <w:rPr>
          <w:bCs/>
          <w:iCs/>
        </w:rPr>
        <w:t xml:space="preserve"> </w:t>
      </w:r>
      <w:r w:rsidRPr="00D71CB3">
        <w:rPr>
          <w:bCs/>
        </w:rPr>
        <w:t>1: 522–30</w:t>
      </w:r>
    </w:p>
    <w:p w:rsidR="00E12DB9" w:rsidRDefault="00E12DB9" w:rsidP="00DD42DB">
      <w:pPr>
        <w:autoSpaceDE w:val="0"/>
        <w:autoSpaceDN w:val="0"/>
        <w:adjustRightInd w:val="0"/>
        <w:spacing w:before="0" w:line="240" w:lineRule="auto"/>
        <w:rPr>
          <w:rFonts w:eastAsia="Calibri"/>
        </w:rPr>
      </w:pPr>
      <w:r w:rsidRPr="00E45B46">
        <w:t>Chauhan U, Reeve J, Kontopantelis E, Hinde</w:t>
      </w:r>
      <w:r w:rsidR="00FD103D">
        <w:t xml:space="preserve"> </w:t>
      </w:r>
      <w:r w:rsidR="00633BB2">
        <w:t>R</w:t>
      </w:r>
      <w:r w:rsidR="00FD103D">
        <w:t>S,</w:t>
      </w:r>
      <w:r w:rsidRPr="00E45B46">
        <w:t xml:space="preserve"> Nelson P and Doran T (2012) </w:t>
      </w:r>
      <w:r w:rsidRPr="00633BB2">
        <w:rPr>
          <w:i/>
        </w:rPr>
        <w:t>Impact of the English Directly Enhanced Service (DES) for Learning Disability</w:t>
      </w:r>
      <w:r w:rsidRPr="00E45B46">
        <w:t xml:space="preserve">. </w:t>
      </w:r>
      <w:r w:rsidR="00633BB2">
        <w:t xml:space="preserve">Manchester: </w:t>
      </w:r>
      <w:r w:rsidRPr="00E45B46">
        <w:t>Health Sciences Research Group</w:t>
      </w:r>
      <w:r w:rsidR="00633BB2">
        <w:t xml:space="preserve">, </w:t>
      </w:r>
      <w:r w:rsidRPr="00E45B46">
        <w:t>University of Manchester</w:t>
      </w:r>
      <w:r w:rsidR="00633BB2">
        <w:t>.</w:t>
      </w:r>
    </w:p>
    <w:p w:rsidR="00FF6866" w:rsidRPr="00E23A91" w:rsidRDefault="00FF6866" w:rsidP="00DD42DB">
      <w:pPr>
        <w:shd w:val="clear" w:color="auto" w:fill="FFFFFF" w:themeFill="background1"/>
        <w:spacing w:before="0" w:line="240" w:lineRule="auto"/>
        <w:rPr>
          <w:rFonts w:ascii="Helvetica" w:hAnsi="Helvetica"/>
          <w:vanish/>
          <w:color w:val="333333"/>
          <w:sz w:val="19"/>
          <w:szCs w:val="19"/>
          <w:lang w:eastAsia="en-GB"/>
        </w:rPr>
      </w:pPr>
      <w:r w:rsidRPr="00FF6866">
        <w:rPr>
          <w:rFonts w:eastAsia="Calibri"/>
        </w:rPr>
        <w:t xml:space="preserve">Cooper SA, </w:t>
      </w:r>
      <w:r>
        <w:rPr>
          <w:rFonts w:eastAsia="Calibri"/>
        </w:rPr>
        <w:t xml:space="preserve">Morrison J, Allan LM, McConnachie A, Greenlaw N, Melville C, Baltzer MC, McArthur LA, Lammie C, Martin G, Grieve EAD and Fenwick E. </w:t>
      </w:r>
      <w:r w:rsidRPr="00E23A91">
        <w:rPr>
          <w:rFonts w:ascii="Helvetica" w:hAnsi="Helvetica"/>
          <w:b/>
          <w:bCs/>
          <w:vanish/>
          <w:color w:val="333333"/>
          <w:sz w:val="14"/>
          <w:lang w:eastAsia="en-GB"/>
        </w:rPr>
        <w:t>x</w:t>
      </w:r>
      <w:r w:rsidRPr="00E23A91">
        <w:rPr>
          <w:rFonts w:ascii="Helvetica" w:hAnsi="Helvetica"/>
          <w:vanish/>
          <w:color w:val="333333"/>
          <w:sz w:val="19"/>
          <w:szCs w:val="19"/>
          <w:lang w:eastAsia="en-GB"/>
        </w:rPr>
        <w:t xml:space="preserve"> </w:t>
      </w:r>
    </w:p>
    <w:p w:rsidR="00FF6866" w:rsidRPr="00E23A91" w:rsidRDefault="00FF6866" w:rsidP="00DD42DB">
      <w:pPr>
        <w:shd w:val="clear" w:color="auto" w:fill="FFFFFF"/>
        <w:spacing w:before="0" w:line="240" w:lineRule="auto"/>
        <w:rPr>
          <w:rFonts w:ascii="Helvetica" w:hAnsi="Helvetica"/>
          <w:vanish/>
          <w:color w:val="333333"/>
          <w:sz w:val="19"/>
          <w:szCs w:val="19"/>
          <w:lang w:eastAsia="en-GB"/>
        </w:rPr>
      </w:pPr>
      <w:r w:rsidRPr="00E23A91">
        <w:rPr>
          <w:rFonts w:ascii="Helvetica" w:hAnsi="Helvetica"/>
          <w:vanish/>
          <w:color w:val="333333"/>
          <w:sz w:val="19"/>
          <w:szCs w:val="19"/>
          <w:lang w:eastAsia="en-GB"/>
        </w:rPr>
        <w:t>Jill Morrison</w:t>
      </w:r>
    </w:p>
    <w:p w:rsidR="00FF6866" w:rsidRPr="00E23A91" w:rsidRDefault="00094541" w:rsidP="00DD42DB">
      <w:pPr>
        <w:shd w:val="clear" w:color="auto" w:fill="FFFFFF"/>
        <w:spacing w:before="0" w:line="240" w:lineRule="auto"/>
        <w:rPr>
          <w:rFonts w:ascii="Helvetica" w:hAnsi="Helvetica"/>
          <w:vanish/>
          <w:color w:val="333333"/>
          <w:sz w:val="19"/>
          <w:szCs w:val="19"/>
          <w:lang w:eastAsia="en-GB"/>
        </w:rPr>
      </w:pPr>
      <w:hyperlink r:id="rId10" w:history="1">
        <w:r w:rsidR="00FF6866" w:rsidRPr="00E23A91">
          <w:rPr>
            <w:rFonts w:ascii="Helvetica" w:hAnsi="Helvetica"/>
            <w:vanish/>
            <w:color w:val="004480"/>
            <w:sz w:val="19"/>
            <w:lang w:eastAsia="en-GB"/>
          </w:rPr>
          <w:t>Search for articles by this author</w:t>
        </w:r>
      </w:hyperlink>
      <w:r w:rsidR="00FF6866" w:rsidRPr="00E23A91">
        <w:rPr>
          <w:rFonts w:ascii="Helvetica" w:hAnsi="Helvetica"/>
          <w:vanish/>
          <w:color w:val="333333"/>
          <w:sz w:val="19"/>
          <w:szCs w:val="19"/>
          <w:lang w:eastAsia="en-GB"/>
        </w:rPr>
        <w:t xml:space="preserve"> </w:t>
      </w:r>
    </w:p>
    <w:p w:rsidR="00FF6866" w:rsidRPr="00E23A91" w:rsidRDefault="00FF6866" w:rsidP="00DD42DB">
      <w:pPr>
        <w:shd w:val="clear" w:color="auto" w:fill="FFFFFF"/>
        <w:spacing w:before="0" w:line="240" w:lineRule="auto"/>
        <w:outlineLvl w:val="3"/>
        <w:rPr>
          <w:rFonts w:ascii="Helvetica" w:hAnsi="Helvetica"/>
          <w:b/>
          <w:bCs/>
          <w:vanish/>
          <w:color w:val="666666"/>
          <w:sz w:val="19"/>
          <w:szCs w:val="19"/>
          <w:lang w:eastAsia="en-GB"/>
        </w:rPr>
      </w:pPr>
      <w:r w:rsidRPr="00E23A91">
        <w:rPr>
          <w:rFonts w:ascii="Helvetica" w:hAnsi="Helvetica"/>
          <w:b/>
          <w:bCs/>
          <w:vanish/>
          <w:color w:val="666666"/>
          <w:sz w:val="19"/>
          <w:szCs w:val="19"/>
          <w:lang w:eastAsia="en-GB"/>
        </w:rPr>
        <w:t>Affiliations</w:t>
      </w:r>
    </w:p>
    <w:p w:rsidR="00FF6866" w:rsidRPr="00E23A91" w:rsidRDefault="00FF6866" w:rsidP="0073095A">
      <w:pPr>
        <w:numPr>
          <w:ilvl w:val="0"/>
          <w:numId w:val="1"/>
        </w:numPr>
        <w:shd w:val="clear" w:color="auto" w:fill="FFFFFF"/>
        <w:spacing w:before="0" w:line="240" w:lineRule="auto"/>
        <w:ind w:left="250" w:firstLine="0"/>
        <w:rPr>
          <w:rFonts w:ascii="Helvetica" w:hAnsi="Helvetica"/>
          <w:vanish/>
          <w:color w:val="333333"/>
          <w:sz w:val="19"/>
          <w:szCs w:val="19"/>
          <w:lang w:eastAsia="en-GB"/>
        </w:rPr>
      </w:pPr>
      <w:r w:rsidRPr="00E23A91">
        <w:rPr>
          <w:rFonts w:ascii="Helvetica" w:hAnsi="Helvetica"/>
          <w:vanish/>
          <w:color w:val="333333"/>
          <w:sz w:val="19"/>
          <w:szCs w:val="19"/>
          <w:lang w:eastAsia="en-GB"/>
        </w:rPr>
        <w:t>General Practice and Primary Care group, University of Glasgow, Glasgow, UK</w:t>
      </w:r>
    </w:p>
    <w:p w:rsidR="00FF6866" w:rsidRPr="00FF6866" w:rsidRDefault="00FF6866" w:rsidP="00DD42DB">
      <w:pPr>
        <w:shd w:val="clear" w:color="auto" w:fill="FFFFFF"/>
        <w:spacing w:before="0" w:line="240" w:lineRule="auto"/>
        <w:rPr>
          <w:lang w:eastAsia="en-GB"/>
        </w:rPr>
      </w:pPr>
      <w:r w:rsidRPr="00E23A91">
        <w:rPr>
          <w:rFonts w:ascii="Helvetica" w:hAnsi="Helvetica"/>
          <w:color w:val="333333"/>
          <w:sz w:val="19"/>
          <w:szCs w:val="19"/>
          <w:lang w:eastAsia="en-GB"/>
        </w:rPr>
        <w:t xml:space="preserve"> </w:t>
      </w:r>
      <w:r>
        <w:rPr>
          <w:rFonts w:eastAsia="Calibri"/>
        </w:rPr>
        <w:t xml:space="preserve">(2014) </w:t>
      </w:r>
      <w:r w:rsidRPr="00FF6866">
        <w:rPr>
          <w:bCs/>
          <w:kern w:val="36"/>
          <w:lang w:eastAsia="en-GB"/>
        </w:rPr>
        <w:t>Practice nurse health checks for adults with intellectual disabilities: a cluster-design, randomised controlled trial</w:t>
      </w:r>
      <w:r>
        <w:rPr>
          <w:bCs/>
          <w:kern w:val="36"/>
          <w:lang w:eastAsia="en-GB"/>
        </w:rPr>
        <w:t>.</w:t>
      </w:r>
      <w:r w:rsidRPr="00FF6866">
        <w:rPr>
          <w:bCs/>
          <w:kern w:val="36"/>
          <w:lang w:eastAsia="en-GB"/>
        </w:rPr>
        <w:t xml:space="preserve"> </w:t>
      </w:r>
      <w:r w:rsidRPr="00FF6866">
        <w:rPr>
          <w:bCs/>
          <w:i/>
          <w:kern w:val="36"/>
          <w:lang w:eastAsia="en-GB"/>
        </w:rPr>
        <w:t>The Lancet Psychiatry</w:t>
      </w:r>
      <w:r w:rsidRPr="00FF6866">
        <w:rPr>
          <w:bCs/>
          <w:kern w:val="36"/>
          <w:lang w:eastAsia="en-GB"/>
        </w:rPr>
        <w:t xml:space="preserve">, </w:t>
      </w:r>
      <w:hyperlink r:id="rId11" w:history="1">
        <w:r w:rsidRPr="00FF6866">
          <w:rPr>
            <w:bCs/>
            <w:lang w:eastAsia="en-GB"/>
          </w:rPr>
          <w:t xml:space="preserve"> 1</w:t>
        </w:r>
        <w:r>
          <w:rPr>
            <w:bCs/>
            <w:lang w:eastAsia="en-GB"/>
          </w:rPr>
          <w:t xml:space="preserve"> (7)</w:t>
        </w:r>
      </w:hyperlink>
      <w:r w:rsidRPr="00FF6866">
        <w:rPr>
          <w:lang w:eastAsia="en-GB"/>
        </w:rPr>
        <w:t>, 511–521</w:t>
      </w:r>
      <w:r>
        <w:rPr>
          <w:lang w:eastAsia="en-GB"/>
        </w:rPr>
        <w:t xml:space="preserve">. </w:t>
      </w:r>
    </w:p>
    <w:p w:rsidR="00016D22" w:rsidRPr="0071605E" w:rsidRDefault="00016D22" w:rsidP="00DD42DB">
      <w:pPr>
        <w:autoSpaceDE w:val="0"/>
        <w:autoSpaceDN w:val="0"/>
        <w:adjustRightInd w:val="0"/>
        <w:spacing w:before="0" w:line="240" w:lineRule="auto"/>
        <w:rPr>
          <w:rFonts w:eastAsia="Calibri"/>
          <w:iCs/>
        </w:rPr>
      </w:pPr>
      <w:r w:rsidRPr="0071605E">
        <w:rPr>
          <w:rFonts w:eastAsia="Calibri"/>
        </w:rPr>
        <w:t xml:space="preserve">Disability Rights Commission (2006) </w:t>
      </w:r>
      <w:r w:rsidRPr="00281356">
        <w:rPr>
          <w:rFonts w:eastAsia="Calibri"/>
          <w:i/>
          <w:iCs/>
        </w:rPr>
        <w:t xml:space="preserve">Equal Treatment: Closing the Gap. A </w:t>
      </w:r>
      <w:r w:rsidR="0015731F">
        <w:rPr>
          <w:rFonts w:eastAsia="Calibri"/>
          <w:i/>
          <w:iCs/>
        </w:rPr>
        <w:t>formal investigation into physical health inequalities experienced by people with learning  disabilities and/or mental health p</w:t>
      </w:r>
      <w:r w:rsidRPr="00281356">
        <w:rPr>
          <w:rFonts w:eastAsia="Calibri"/>
          <w:i/>
          <w:iCs/>
        </w:rPr>
        <w:t>roblems</w:t>
      </w:r>
      <w:r w:rsidRPr="0071605E">
        <w:rPr>
          <w:rFonts w:eastAsia="Calibri"/>
        </w:rPr>
        <w:t xml:space="preserve">. </w:t>
      </w:r>
      <w:r w:rsidR="00633BB2" w:rsidRPr="0071605E">
        <w:rPr>
          <w:rFonts w:eastAsia="Calibri"/>
        </w:rPr>
        <w:t>London</w:t>
      </w:r>
      <w:r w:rsidR="00633BB2">
        <w:rPr>
          <w:rFonts w:eastAsia="Calibri"/>
        </w:rPr>
        <w:t>: DRC.</w:t>
      </w:r>
    </w:p>
    <w:p w:rsidR="009113E4" w:rsidRPr="00195D51" w:rsidRDefault="00195D51" w:rsidP="00195D51">
      <w:pPr>
        <w:pStyle w:val="Heading1"/>
        <w:spacing w:before="0" w:line="240" w:lineRule="auto"/>
        <w:textAlignment w:val="baseline"/>
        <w:rPr>
          <w:b w:val="0"/>
          <w:sz w:val="24"/>
          <w:szCs w:val="24"/>
        </w:rPr>
      </w:pPr>
      <w:r w:rsidRPr="00195D51">
        <w:rPr>
          <w:b w:val="0"/>
          <w:sz w:val="24"/>
          <w:szCs w:val="24"/>
        </w:rPr>
        <w:t xml:space="preserve">Emerson E (2012) Deprivation, ethnicity and the prevalence of intellectual and developmental disabilities  </w:t>
      </w:r>
      <w:r w:rsidR="009113E4" w:rsidRPr="00195D51">
        <w:rPr>
          <w:rStyle w:val="HTMLCite"/>
          <w:b w:val="0"/>
          <w:sz w:val="24"/>
          <w:szCs w:val="24"/>
          <w:bdr w:val="none" w:sz="0" w:space="0" w:color="auto" w:frame="1"/>
        </w:rPr>
        <w:t>J</w:t>
      </w:r>
      <w:r w:rsidRPr="00195D51">
        <w:rPr>
          <w:rStyle w:val="HTMLCite"/>
          <w:b w:val="0"/>
          <w:sz w:val="24"/>
          <w:szCs w:val="24"/>
          <w:bdr w:val="none" w:sz="0" w:space="0" w:color="auto" w:frame="1"/>
        </w:rPr>
        <w:t>ournal of</w:t>
      </w:r>
      <w:r w:rsidR="009113E4" w:rsidRPr="00195D51">
        <w:rPr>
          <w:rStyle w:val="HTMLCite"/>
          <w:b w:val="0"/>
          <w:sz w:val="24"/>
          <w:szCs w:val="24"/>
          <w:bdr w:val="none" w:sz="0" w:space="0" w:color="auto" w:frame="1"/>
        </w:rPr>
        <w:t xml:space="preserve"> Epidemiol</w:t>
      </w:r>
      <w:r w:rsidRPr="00195D51">
        <w:rPr>
          <w:rStyle w:val="HTMLCite"/>
          <w:b w:val="0"/>
          <w:sz w:val="24"/>
          <w:szCs w:val="24"/>
          <w:bdr w:val="none" w:sz="0" w:space="0" w:color="auto" w:frame="1"/>
        </w:rPr>
        <w:t>ogy and</w:t>
      </w:r>
      <w:r w:rsidR="009113E4" w:rsidRPr="00195D51">
        <w:rPr>
          <w:rStyle w:val="HTMLCite"/>
          <w:b w:val="0"/>
          <w:sz w:val="24"/>
          <w:szCs w:val="24"/>
          <w:bdr w:val="none" w:sz="0" w:space="0" w:color="auto" w:frame="1"/>
        </w:rPr>
        <w:t xml:space="preserve"> Community Healt</w:t>
      </w:r>
      <w:r w:rsidRPr="00195D51">
        <w:rPr>
          <w:rStyle w:val="HTMLCite"/>
          <w:b w:val="0"/>
          <w:sz w:val="24"/>
          <w:szCs w:val="24"/>
          <w:bdr w:val="none" w:sz="0" w:space="0" w:color="auto" w:frame="1"/>
        </w:rPr>
        <w:t xml:space="preserve">h, </w:t>
      </w:r>
      <w:r w:rsidR="009113E4" w:rsidRPr="00195D51">
        <w:rPr>
          <w:rStyle w:val="slug-vol"/>
          <w:b w:val="0"/>
          <w:bCs w:val="0"/>
          <w:sz w:val="24"/>
          <w:szCs w:val="24"/>
          <w:bdr w:val="none" w:sz="0" w:space="0" w:color="auto" w:frame="1"/>
        </w:rPr>
        <w:t>66</w:t>
      </w:r>
      <w:r w:rsidRPr="00195D51">
        <w:rPr>
          <w:rStyle w:val="slug-vol"/>
          <w:b w:val="0"/>
          <w:bCs w:val="0"/>
          <w:sz w:val="24"/>
          <w:szCs w:val="24"/>
          <w:bdr w:val="none" w:sz="0" w:space="0" w:color="auto" w:frame="1"/>
        </w:rPr>
        <w:t xml:space="preserve">, </w:t>
      </w:r>
      <w:r w:rsidR="009113E4" w:rsidRPr="00195D51">
        <w:rPr>
          <w:rStyle w:val="slug-pages"/>
          <w:b w:val="0"/>
          <w:sz w:val="24"/>
          <w:szCs w:val="24"/>
          <w:bdr w:val="none" w:sz="0" w:space="0" w:color="auto" w:frame="1"/>
        </w:rPr>
        <w:t>218-224</w:t>
      </w:r>
      <w:r w:rsidRPr="00195D51">
        <w:rPr>
          <w:rStyle w:val="slug-pages"/>
          <w:b w:val="0"/>
          <w:sz w:val="24"/>
          <w:szCs w:val="24"/>
          <w:bdr w:val="none" w:sz="0" w:space="0" w:color="auto" w:frame="1"/>
        </w:rPr>
        <w:t>.</w:t>
      </w:r>
      <w:r w:rsidR="009113E4" w:rsidRPr="00195D51">
        <w:rPr>
          <w:rStyle w:val="apple-converted-space"/>
          <w:b w:val="0"/>
          <w:sz w:val="24"/>
          <w:szCs w:val="24"/>
          <w:bdr w:val="none" w:sz="0" w:space="0" w:color="auto" w:frame="1"/>
        </w:rPr>
        <w:t> </w:t>
      </w:r>
    </w:p>
    <w:p w:rsidR="001F0B8A" w:rsidRPr="00E45B46" w:rsidRDefault="001F0B8A" w:rsidP="00DD42DB">
      <w:pPr>
        <w:spacing w:before="0" w:line="240" w:lineRule="auto"/>
        <w:rPr>
          <w:noProof/>
        </w:rPr>
      </w:pPr>
      <w:r w:rsidRPr="00E45B46">
        <w:t>Emerson E and Hatton C (2013</w:t>
      </w:r>
      <w:r w:rsidRPr="00E45B46">
        <w:rPr>
          <w:b/>
        </w:rPr>
        <w:t>)</w:t>
      </w:r>
      <w:r w:rsidRPr="00E45B46">
        <w:t xml:space="preserve"> </w:t>
      </w:r>
      <w:r w:rsidR="0015731F">
        <w:rPr>
          <w:rStyle w:val="a-size-large"/>
          <w:i/>
        </w:rPr>
        <w:t>Health inequalities and p</w:t>
      </w:r>
      <w:r w:rsidRPr="00281356">
        <w:rPr>
          <w:rStyle w:val="a-size-large"/>
          <w:i/>
        </w:rPr>
        <w:t xml:space="preserve">eople with </w:t>
      </w:r>
      <w:r w:rsidR="0015731F">
        <w:rPr>
          <w:rStyle w:val="a-size-large"/>
          <w:i/>
        </w:rPr>
        <w:t>intellectual d</w:t>
      </w:r>
      <w:r w:rsidRPr="00281356">
        <w:rPr>
          <w:rStyle w:val="a-size-large"/>
          <w:i/>
        </w:rPr>
        <w:t>isabilities</w:t>
      </w:r>
      <w:r w:rsidRPr="00E45B46">
        <w:rPr>
          <w:rStyle w:val="a-size-large"/>
        </w:rPr>
        <w:t>.  Cambridge: Cambridge University Press.</w:t>
      </w:r>
    </w:p>
    <w:p w:rsidR="001F0B8A" w:rsidRPr="00E45B46" w:rsidRDefault="001F0B8A" w:rsidP="00DD42DB">
      <w:pPr>
        <w:pStyle w:val="Heading2"/>
        <w:spacing w:before="0" w:after="120" w:line="240" w:lineRule="auto"/>
        <w:rPr>
          <w:rFonts w:ascii="Arial" w:hAnsi="Arial" w:cs="Arial"/>
          <w:b w:val="0"/>
          <w:color w:val="auto"/>
          <w:sz w:val="24"/>
          <w:szCs w:val="24"/>
        </w:rPr>
      </w:pPr>
      <w:r w:rsidRPr="00E45B46">
        <w:rPr>
          <w:rFonts w:ascii="Arial" w:hAnsi="Arial" w:cs="Arial"/>
          <w:b w:val="0"/>
          <w:color w:val="auto"/>
          <w:sz w:val="24"/>
          <w:szCs w:val="24"/>
        </w:rPr>
        <w:t>Felce D, Baxter H, Lowe K, Dunstan F, Houston H, Jones G, Grey</w:t>
      </w:r>
      <w:r w:rsidR="00E45B46" w:rsidRPr="00E45B46">
        <w:rPr>
          <w:rFonts w:ascii="Arial" w:hAnsi="Arial" w:cs="Arial"/>
          <w:b w:val="0"/>
          <w:color w:val="auto"/>
          <w:sz w:val="24"/>
          <w:szCs w:val="24"/>
        </w:rPr>
        <w:t xml:space="preserve"> </w:t>
      </w:r>
      <w:r w:rsidRPr="00E45B46">
        <w:rPr>
          <w:rFonts w:ascii="Arial" w:hAnsi="Arial" w:cs="Arial"/>
          <w:b w:val="0"/>
          <w:color w:val="auto"/>
          <w:sz w:val="24"/>
          <w:szCs w:val="24"/>
        </w:rPr>
        <w:t>J, Felce J and Kerr M (2008)</w:t>
      </w:r>
      <w:r w:rsidR="0071605E">
        <w:rPr>
          <w:rFonts w:ascii="Arial" w:hAnsi="Arial" w:cs="Arial"/>
          <w:b w:val="0"/>
          <w:color w:val="auto"/>
          <w:sz w:val="24"/>
          <w:szCs w:val="24"/>
        </w:rPr>
        <w:t xml:space="preserve"> </w:t>
      </w:r>
      <w:r w:rsidR="0015731F">
        <w:rPr>
          <w:rFonts w:ascii="Arial" w:hAnsi="Arial" w:cs="Arial"/>
          <w:b w:val="0"/>
          <w:color w:val="auto"/>
          <w:sz w:val="24"/>
          <w:szCs w:val="24"/>
        </w:rPr>
        <w:t>T</w:t>
      </w:r>
      <w:r w:rsidR="0015731F" w:rsidRPr="00E45B46">
        <w:rPr>
          <w:rFonts w:ascii="Arial" w:hAnsi="Arial" w:cs="Arial"/>
          <w:b w:val="0"/>
          <w:color w:val="auto"/>
          <w:sz w:val="24"/>
          <w:szCs w:val="24"/>
        </w:rPr>
        <w:t>he impact of checking the health of adults with intellectual disabilities on primary care consultation rates, health promotion and contact with specialists</w:t>
      </w:r>
      <w:r w:rsidRPr="00E45B46">
        <w:rPr>
          <w:rFonts w:ascii="Arial" w:hAnsi="Arial" w:cs="Arial"/>
          <w:b w:val="0"/>
          <w:color w:val="auto"/>
          <w:sz w:val="24"/>
          <w:szCs w:val="24"/>
        </w:rPr>
        <w:t xml:space="preserve">. </w:t>
      </w:r>
      <w:r w:rsidRPr="00281356">
        <w:rPr>
          <w:rFonts w:ascii="Arial" w:hAnsi="Arial" w:cs="Arial"/>
          <w:b w:val="0"/>
          <w:i/>
          <w:color w:val="auto"/>
          <w:sz w:val="24"/>
          <w:szCs w:val="24"/>
        </w:rPr>
        <w:t>Journal of Applied Research in Intellectual Disabilities</w:t>
      </w:r>
      <w:r w:rsidRPr="00E45B46">
        <w:rPr>
          <w:rFonts w:ascii="Arial" w:hAnsi="Arial" w:cs="Arial"/>
          <w:b w:val="0"/>
          <w:color w:val="auto"/>
          <w:sz w:val="24"/>
          <w:szCs w:val="24"/>
        </w:rPr>
        <w:t>, 21, 597–602</w:t>
      </w:r>
      <w:bookmarkStart w:id="1" w:name="_ENREF_23"/>
      <w:r w:rsidR="00E45B46" w:rsidRPr="00E45B46">
        <w:rPr>
          <w:rFonts w:ascii="Arial" w:hAnsi="Arial" w:cs="Arial"/>
          <w:b w:val="0"/>
          <w:color w:val="auto"/>
          <w:sz w:val="24"/>
          <w:szCs w:val="24"/>
        </w:rPr>
        <w:t>.</w:t>
      </w:r>
    </w:p>
    <w:bookmarkEnd w:id="1"/>
    <w:p w:rsidR="00DD42DB" w:rsidRPr="00DD42DB" w:rsidRDefault="00DD42DB" w:rsidP="00DD42DB">
      <w:pPr>
        <w:pStyle w:val="Heading1"/>
        <w:spacing w:before="0" w:line="240" w:lineRule="auto"/>
        <w:ind w:right="482"/>
        <w:textAlignment w:val="baseline"/>
        <w:rPr>
          <w:b w:val="0"/>
          <w:sz w:val="24"/>
          <w:szCs w:val="24"/>
        </w:rPr>
      </w:pPr>
      <w:r w:rsidRPr="00DD42DB">
        <w:rPr>
          <w:rStyle w:val="maintitle"/>
          <w:b w:val="0"/>
          <w:sz w:val="24"/>
          <w:szCs w:val="24"/>
          <w:bdr w:val="none" w:sz="0" w:space="0" w:color="auto" w:frame="1"/>
        </w:rPr>
        <w:t xml:space="preserve">Lennox NG, Diggens JN and Ugoni AM (1997) The general practice care of people with intellectual disability: barriers and solutions.  </w:t>
      </w:r>
      <w:r w:rsidRPr="00DD42DB">
        <w:rPr>
          <w:b w:val="0"/>
          <w:i/>
          <w:sz w:val="24"/>
          <w:szCs w:val="24"/>
        </w:rPr>
        <w:t>Journal of Intellectual Disability Research</w:t>
      </w:r>
      <w:r>
        <w:rPr>
          <w:b w:val="0"/>
          <w:sz w:val="24"/>
          <w:szCs w:val="24"/>
        </w:rPr>
        <w:t xml:space="preserve">, 41(5), </w:t>
      </w:r>
      <w:r w:rsidRPr="00DD42DB">
        <w:rPr>
          <w:b w:val="0"/>
          <w:bCs w:val="0"/>
          <w:sz w:val="24"/>
          <w:szCs w:val="24"/>
          <w:bdr w:val="none" w:sz="0" w:space="0" w:color="auto" w:frame="1"/>
        </w:rPr>
        <w:t>380–390</w:t>
      </w:r>
      <w:r>
        <w:rPr>
          <w:b w:val="0"/>
          <w:bCs w:val="0"/>
          <w:sz w:val="24"/>
          <w:szCs w:val="24"/>
          <w:bdr w:val="none" w:sz="0" w:space="0" w:color="auto" w:frame="1"/>
        </w:rPr>
        <w:t xml:space="preserve">. </w:t>
      </w:r>
    </w:p>
    <w:p w:rsidR="001F0B8A" w:rsidRPr="00E45B46" w:rsidRDefault="001F0B8A" w:rsidP="00DD42DB">
      <w:pPr>
        <w:spacing w:before="0" w:line="240" w:lineRule="auto"/>
        <w:rPr>
          <w:rFonts w:eastAsia="Calibri"/>
        </w:rPr>
      </w:pPr>
      <w:r w:rsidRPr="00E45B46">
        <w:rPr>
          <w:rFonts w:eastAsia="Calibri"/>
        </w:rPr>
        <w:t xml:space="preserve">Marshall D, Moore G and McConkey R (2003) Integration and the health check 2000 experience:  Breaking through to better health for people with learning disabilities in association with primary care.  In M Brown (ed.) </w:t>
      </w:r>
      <w:r w:rsidRPr="00020E1D">
        <w:rPr>
          <w:rFonts w:eastAsia="Calibri"/>
          <w:i/>
          <w:iCs/>
        </w:rPr>
        <w:t>Learning Disability: A handbook for integrated care</w:t>
      </w:r>
      <w:bookmarkStart w:id="2" w:name="_ENREF_33"/>
      <w:r w:rsidRPr="00E45B46">
        <w:rPr>
          <w:rFonts w:eastAsia="Calibri"/>
        </w:rPr>
        <w:t xml:space="preserve">.  Salisbury: APS Publishing. </w:t>
      </w:r>
    </w:p>
    <w:bookmarkEnd w:id="2"/>
    <w:p w:rsidR="001F0B8A" w:rsidRPr="00E45B46" w:rsidRDefault="0071605E" w:rsidP="00DD42DB">
      <w:pPr>
        <w:spacing w:before="0" w:line="240" w:lineRule="auto"/>
        <w:rPr>
          <w:rFonts w:eastAsia="Calibri"/>
        </w:rPr>
      </w:pPr>
      <w:r>
        <w:rPr>
          <w:rFonts w:eastAsia="Calibri"/>
        </w:rPr>
        <w:t>McConkey R,</w:t>
      </w:r>
      <w:r w:rsidR="001F0B8A" w:rsidRPr="00E45B46">
        <w:rPr>
          <w:rFonts w:eastAsia="Calibri"/>
        </w:rPr>
        <w:t xml:space="preserve"> Mulvany F and Barron S (2006)  Adult persons with an intellectual disability on the island of Ireland.   </w:t>
      </w:r>
      <w:r w:rsidR="001F0B8A" w:rsidRPr="00020E1D">
        <w:rPr>
          <w:rFonts w:eastAsia="Calibri"/>
          <w:i/>
          <w:iCs/>
        </w:rPr>
        <w:t>Journal of Intellectual Disability Research</w:t>
      </w:r>
      <w:r w:rsidR="001F0B8A" w:rsidRPr="00E45B46">
        <w:rPr>
          <w:rFonts w:eastAsia="Calibri"/>
          <w:iCs/>
        </w:rPr>
        <w:t xml:space="preserve">, </w:t>
      </w:r>
      <w:r w:rsidR="001F0B8A" w:rsidRPr="00E45B46">
        <w:rPr>
          <w:rFonts w:eastAsia="Calibri"/>
        </w:rPr>
        <w:t>50, 227-236</w:t>
      </w:r>
      <w:r w:rsidR="00633BB2">
        <w:rPr>
          <w:rFonts w:eastAsia="Calibri"/>
        </w:rPr>
        <w:t>.</w:t>
      </w:r>
      <w:r w:rsidR="001F0B8A" w:rsidRPr="00E45B46">
        <w:rPr>
          <w:rFonts w:eastAsia="Calibri"/>
        </w:rPr>
        <w:t xml:space="preserve"> </w:t>
      </w:r>
    </w:p>
    <w:p w:rsidR="001F0B8A" w:rsidRPr="00E45B46" w:rsidRDefault="001F0B8A" w:rsidP="00DD42DB">
      <w:pPr>
        <w:spacing w:before="0" w:line="240" w:lineRule="auto"/>
        <w:rPr>
          <w:rFonts w:eastAsia="Calibri"/>
        </w:rPr>
      </w:pPr>
      <w:r w:rsidRPr="00E45B46">
        <w:lastRenderedPageBreak/>
        <w:t xml:space="preserve">McConkey R, Marshall D and Moore G (2002) Changes in the attitudes of GPs to health screening of patients with learning disabilities. </w:t>
      </w:r>
      <w:r w:rsidRPr="00020E1D">
        <w:rPr>
          <w:i/>
        </w:rPr>
        <w:t>Journal of Learning Disabilities</w:t>
      </w:r>
      <w:r w:rsidRPr="00E45B46">
        <w:t>, 6, 373-384.</w:t>
      </w:r>
    </w:p>
    <w:p w:rsidR="00016D22" w:rsidRPr="00E45B46" w:rsidRDefault="001F0B8A" w:rsidP="00DD42DB">
      <w:pPr>
        <w:spacing w:before="0" w:line="240" w:lineRule="auto"/>
        <w:rPr>
          <w:b/>
          <w:noProof/>
        </w:rPr>
      </w:pPr>
      <w:r w:rsidRPr="00E45B46">
        <w:t>McDonald G and Mackay</w:t>
      </w:r>
      <w:r w:rsidR="00633BB2">
        <w:t xml:space="preserve"> </w:t>
      </w:r>
      <w:r w:rsidRPr="00E45B46">
        <w:t xml:space="preserve">D (1994) The prevalence of learning disability in a Health and Social Services Board in N. Ireland.  </w:t>
      </w:r>
      <w:r w:rsidRPr="00020E1D">
        <w:rPr>
          <w:i/>
        </w:rPr>
        <w:t>Journal of Intellectual Disability Research</w:t>
      </w:r>
      <w:r w:rsidRPr="00E45B46">
        <w:t>, 40, 550-556</w:t>
      </w:r>
      <w:r w:rsidR="00020E1D">
        <w:t>.</w:t>
      </w:r>
      <w:bookmarkStart w:id="3" w:name="_ENREF_36"/>
    </w:p>
    <w:bookmarkEnd w:id="3"/>
    <w:p w:rsidR="001F0B8A" w:rsidRPr="00E45B46" w:rsidRDefault="001F0B8A" w:rsidP="00DD42DB">
      <w:pPr>
        <w:pStyle w:val="Heading2"/>
        <w:spacing w:before="0" w:after="120" w:line="240" w:lineRule="auto"/>
        <w:rPr>
          <w:rFonts w:ascii="Arial" w:hAnsi="Arial" w:cs="Arial"/>
          <w:b w:val="0"/>
          <w:noProof/>
          <w:color w:val="auto"/>
          <w:sz w:val="24"/>
          <w:szCs w:val="24"/>
        </w:rPr>
      </w:pPr>
      <w:r w:rsidRPr="00E45B46">
        <w:rPr>
          <w:rFonts w:ascii="Arial" w:hAnsi="Arial" w:cs="Arial"/>
          <w:b w:val="0"/>
          <w:color w:val="auto"/>
          <w:sz w:val="24"/>
          <w:szCs w:val="24"/>
        </w:rPr>
        <w:t xml:space="preserve">Perry J, Kerr M, Felce D, Bartley S </w:t>
      </w:r>
      <w:r w:rsidR="00633BB2">
        <w:rPr>
          <w:rFonts w:ascii="Arial" w:hAnsi="Arial" w:cs="Arial"/>
          <w:b w:val="0"/>
          <w:color w:val="auto"/>
          <w:sz w:val="24"/>
          <w:szCs w:val="24"/>
        </w:rPr>
        <w:t>and</w:t>
      </w:r>
      <w:r w:rsidRPr="00E45B46">
        <w:rPr>
          <w:rFonts w:ascii="Arial" w:hAnsi="Arial" w:cs="Arial"/>
          <w:b w:val="0"/>
          <w:color w:val="auto"/>
          <w:sz w:val="24"/>
          <w:szCs w:val="24"/>
        </w:rPr>
        <w:t xml:space="preserve"> Tomlinson J (2010)  </w:t>
      </w:r>
      <w:r w:rsidRPr="00AF4D0E">
        <w:rPr>
          <w:rFonts w:ascii="Arial" w:hAnsi="Arial" w:cs="Arial"/>
          <w:b w:val="0"/>
          <w:bCs w:val="0"/>
          <w:i/>
          <w:color w:val="auto"/>
          <w:sz w:val="24"/>
          <w:szCs w:val="24"/>
        </w:rPr>
        <w:t xml:space="preserve">Monitoring the public health impact of health checks for adults with a learning disability in Wales: </w:t>
      </w:r>
      <w:r w:rsidRPr="00AF4D0E">
        <w:rPr>
          <w:rFonts w:ascii="Arial" w:hAnsi="Arial" w:cs="Arial"/>
          <w:b w:val="0"/>
          <w:i/>
          <w:color w:val="auto"/>
          <w:sz w:val="24"/>
          <w:szCs w:val="24"/>
        </w:rPr>
        <w:t>Final report of the joint Public Health Wales /WCLD project group.</w:t>
      </w:r>
      <w:r w:rsidRPr="00E45B46">
        <w:rPr>
          <w:rFonts w:ascii="Arial" w:hAnsi="Arial" w:cs="Arial"/>
          <w:b w:val="0"/>
          <w:color w:val="auto"/>
          <w:sz w:val="24"/>
          <w:szCs w:val="24"/>
        </w:rPr>
        <w:t xml:space="preserve"> Cardiff: Welsh Centre for Learning Disability. </w:t>
      </w:r>
    </w:p>
    <w:p w:rsidR="007A67E0" w:rsidRPr="007A67E0" w:rsidRDefault="007A67E0" w:rsidP="007A67E0">
      <w:pPr>
        <w:pStyle w:val="Heading2"/>
        <w:spacing w:before="0" w:after="55" w:line="288" w:lineRule="atLeast"/>
        <w:textAlignment w:val="baseline"/>
        <w:rPr>
          <w:rFonts w:ascii="Arial" w:hAnsi="Arial" w:cs="Arial"/>
          <w:color w:val="5D5D5D"/>
          <w:sz w:val="14"/>
          <w:szCs w:val="14"/>
        </w:rPr>
      </w:pPr>
      <w:r w:rsidRPr="007A67E0">
        <w:rPr>
          <w:rStyle w:val="maintitle"/>
          <w:rFonts w:ascii="Arial" w:hAnsi="Arial" w:cs="Arial"/>
          <w:b w:val="0"/>
          <w:color w:val="000000"/>
          <w:sz w:val="24"/>
          <w:szCs w:val="24"/>
          <w:bdr w:val="none" w:sz="0" w:space="0" w:color="auto" w:frame="1"/>
        </w:rPr>
        <w:t xml:space="preserve">Phillips A, Morrison J and Davis RW (2004) General practitioners’ educational needs in intellectual disability health. </w:t>
      </w:r>
      <w:r w:rsidRPr="007A67E0">
        <w:rPr>
          <w:rFonts w:ascii="Arial" w:hAnsi="Arial" w:cs="Arial"/>
          <w:b w:val="0"/>
          <w:i/>
          <w:color w:val="auto"/>
          <w:sz w:val="24"/>
          <w:szCs w:val="24"/>
        </w:rPr>
        <w:t xml:space="preserve">Journal of Intellectual Disability Research, </w:t>
      </w:r>
      <w:r w:rsidRPr="007A67E0">
        <w:rPr>
          <w:rFonts w:ascii="Arial" w:hAnsi="Arial" w:cs="Arial"/>
          <w:b w:val="0"/>
          <w:color w:val="auto"/>
          <w:sz w:val="24"/>
          <w:szCs w:val="24"/>
        </w:rPr>
        <w:t>48 (2), 142-149.</w:t>
      </w:r>
    </w:p>
    <w:p w:rsidR="001F0B8A" w:rsidRPr="0071605E" w:rsidRDefault="001F0B8A" w:rsidP="00DD42DB">
      <w:pPr>
        <w:pStyle w:val="Heading2"/>
        <w:spacing w:before="0" w:after="120" w:line="240" w:lineRule="auto"/>
        <w:rPr>
          <w:rFonts w:ascii="Arial" w:hAnsi="Arial" w:cs="Arial"/>
          <w:b w:val="0"/>
          <w:noProof/>
          <w:color w:val="auto"/>
          <w:sz w:val="24"/>
          <w:szCs w:val="24"/>
        </w:rPr>
      </w:pPr>
      <w:r w:rsidRPr="0071605E">
        <w:rPr>
          <w:rFonts w:ascii="Arial" w:hAnsi="Arial" w:cs="Arial"/>
          <w:b w:val="0"/>
          <w:color w:val="auto"/>
          <w:sz w:val="24"/>
          <w:szCs w:val="24"/>
        </w:rPr>
        <w:t xml:space="preserve">Public Health England (2013) </w:t>
      </w:r>
      <w:r w:rsidR="0015731F">
        <w:rPr>
          <w:rFonts w:ascii="Arial" w:hAnsi="Arial" w:cs="Arial"/>
          <w:b w:val="0"/>
          <w:bCs w:val="0"/>
          <w:i/>
          <w:color w:val="auto"/>
          <w:sz w:val="24"/>
          <w:szCs w:val="24"/>
        </w:rPr>
        <w:t>T</w:t>
      </w:r>
      <w:r w:rsidR="0015731F" w:rsidRPr="00C904C1">
        <w:rPr>
          <w:rFonts w:ascii="Arial" w:hAnsi="Arial" w:cs="Arial"/>
          <w:b w:val="0"/>
          <w:bCs w:val="0"/>
          <w:i/>
          <w:color w:val="auto"/>
          <w:sz w:val="24"/>
          <w:szCs w:val="24"/>
        </w:rPr>
        <w:t>he uptake of health checks for adults with learning disabilities 2008/9 to 2012/13</w:t>
      </w:r>
      <w:r w:rsidRPr="00C904C1">
        <w:rPr>
          <w:rFonts w:ascii="Arial" w:hAnsi="Arial" w:cs="Arial"/>
          <w:b w:val="0"/>
          <w:bCs w:val="0"/>
          <w:i/>
          <w:color w:val="auto"/>
          <w:sz w:val="24"/>
          <w:szCs w:val="24"/>
        </w:rPr>
        <w:t>.</w:t>
      </w:r>
      <w:r w:rsidRPr="0071605E">
        <w:rPr>
          <w:rFonts w:ascii="Arial" w:hAnsi="Arial" w:cs="Arial"/>
          <w:b w:val="0"/>
          <w:bCs w:val="0"/>
          <w:color w:val="auto"/>
          <w:sz w:val="24"/>
          <w:szCs w:val="24"/>
        </w:rPr>
        <w:t xml:space="preserve">  London: Public Health England. </w:t>
      </w:r>
    </w:p>
    <w:p w:rsidR="00E817FE" w:rsidRDefault="00E817FE" w:rsidP="00DD42DB">
      <w:pPr>
        <w:pStyle w:val="Default"/>
        <w:spacing w:after="120"/>
        <w:rPr>
          <w:rFonts w:ascii="Arial" w:hAnsi="Arial" w:cs="Arial"/>
          <w:color w:val="auto"/>
        </w:rPr>
      </w:pPr>
      <w:r w:rsidRPr="00E45B46">
        <w:rPr>
          <w:rFonts w:ascii="Arial" w:hAnsi="Arial" w:cs="Arial"/>
          <w:color w:val="auto"/>
        </w:rPr>
        <w:t>Robertson J, Roberts</w:t>
      </w:r>
      <w:r>
        <w:rPr>
          <w:rFonts w:ascii="Arial" w:hAnsi="Arial" w:cs="Arial"/>
          <w:color w:val="auto"/>
        </w:rPr>
        <w:t xml:space="preserve"> H, Emerson E (2010)  </w:t>
      </w:r>
      <w:r w:rsidRPr="00E817FE">
        <w:rPr>
          <w:rFonts w:ascii="Arial" w:hAnsi="Arial" w:cs="Arial"/>
          <w:i/>
          <w:color w:val="auto"/>
        </w:rPr>
        <w:t>Health Checks for People with Learning Disabilities: A Systematic Review of Evidence</w:t>
      </w:r>
      <w:r>
        <w:rPr>
          <w:rFonts w:ascii="Arial" w:hAnsi="Arial" w:cs="Arial"/>
          <w:color w:val="auto"/>
        </w:rPr>
        <w:t xml:space="preserve">. </w:t>
      </w:r>
      <w:r w:rsidRPr="00E45B46">
        <w:rPr>
          <w:rFonts w:ascii="Arial" w:hAnsi="Arial" w:cs="Arial"/>
          <w:color w:val="auto"/>
        </w:rPr>
        <w:t>Lancaster: Improving Health and Lives -Learning Disability Observatory</w:t>
      </w:r>
      <w:r>
        <w:rPr>
          <w:rFonts w:ascii="Arial" w:hAnsi="Arial" w:cs="Arial"/>
          <w:color w:val="auto"/>
        </w:rPr>
        <w:t>.</w:t>
      </w:r>
    </w:p>
    <w:p w:rsidR="001F0B8A" w:rsidRPr="00E45B46" w:rsidRDefault="001F0B8A" w:rsidP="00DD42DB">
      <w:pPr>
        <w:pStyle w:val="Default"/>
        <w:spacing w:after="120"/>
        <w:rPr>
          <w:rFonts w:ascii="Arial" w:hAnsi="Arial" w:cs="Arial"/>
          <w:color w:val="auto"/>
        </w:rPr>
      </w:pPr>
      <w:r w:rsidRPr="00E45B46">
        <w:rPr>
          <w:rFonts w:ascii="Arial" w:hAnsi="Arial" w:cs="Arial"/>
          <w:color w:val="auto"/>
        </w:rPr>
        <w:t xml:space="preserve">Royal College of General Practitioners (2010) </w:t>
      </w:r>
      <w:r w:rsidR="0015731F">
        <w:rPr>
          <w:rFonts w:ascii="Arial" w:hAnsi="Arial" w:cs="Arial"/>
          <w:i/>
          <w:color w:val="auto"/>
        </w:rPr>
        <w:t>A</w:t>
      </w:r>
      <w:r w:rsidR="0015731F" w:rsidRPr="00C904C1">
        <w:rPr>
          <w:rFonts w:ascii="Arial" w:hAnsi="Arial" w:cs="Arial"/>
          <w:i/>
          <w:color w:val="auto"/>
        </w:rPr>
        <w:t xml:space="preserve"> step by step guide for </w:t>
      </w:r>
      <w:r w:rsidR="0015731F">
        <w:rPr>
          <w:rFonts w:ascii="Arial" w:hAnsi="Arial" w:cs="Arial"/>
          <w:i/>
          <w:color w:val="auto"/>
        </w:rPr>
        <w:t>GP</w:t>
      </w:r>
      <w:r w:rsidR="0015731F" w:rsidRPr="00C904C1">
        <w:rPr>
          <w:rFonts w:ascii="Arial" w:hAnsi="Arial" w:cs="Arial"/>
          <w:i/>
          <w:color w:val="auto"/>
        </w:rPr>
        <w:t xml:space="preserve"> practices: annual health checks for people with a learning disability</w:t>
      </w:r>
      <w:r w:rsidRPr="00E45B46">
        <w:rPr>
          <w:rFonts w:ascii="Arial" w:hAnsi="Arial" w:cs="Arial"/>
          <w:color w:val="auto"/>
        </w:rPr>
        <w:t>.  London: Royal College of General Practitioners.</w:t>
      </w:r>
    </w:p>
    <w:p w:rsidR="001F0B8A" w:rsidRPr="00E45B46" w:rsidRDefault="001F0B8A" w:rsidP="00DD42DB">
      <w:pPr>
        <w:spacing w:before="0" w:line="240" w:lineRule="auto"/>
      </w:pPr>
      <w:r w:rsidRPr="00E45B46">
        <w:t>Taggart L</w:t>
      </w:r>
      <w:r w:rsidR="00633BB2">
        <w:t xml:space="preserve"> and </w:t>
      </w:r>
      <w:r w:rsidRPr="00E45B46">
        <w:t xml:space="preserve">Cousins W (Eds) (2014) </w:t>
      </w:r>
      <w:r w:rsidR="0015731F">
        <w:rPr>
          <w:i/>
        </w:rPr>
        <w:t>H</w:t>
      </w:r>
      <w:r w:rsidR="0015731F" w:rsidRPr="00C904C1">
        <w:rPr>
          <w:i/>
        </w:rPr>
        <w:t>ealth promotion for people with intellectual disabilities</w:t>
      </w:r>
      <w:r w:rsidRPr="00C904C1">
        <w:rPr>
          <w:i/>
        </w:rPr>
        <w:t>.</w:t>
      </w:r>
      <w:r w:rsidRPr="00E45B46">
        <w:t xml:space="preserve"> Open University Press/McGraw-Hill Publishers: Maidenhead, England.</w:t>
      </w:r>
      <w:r w:rsidRPr="00E45B46">
        <w:rPr>
          <w:bCs/>
        </w:rPr>
        <w:t xml:space="preserve"> </w:t>
      </w:r>
    </w:p>
    <w:p w:rsidR="001F0B8A" w:rsidRPr="00E45B46" w:rsidRDefault="001F0B8A" w:rsidP="00DD42DB">
      <w:pPr>
        <w:pStyle w:val="Default"/>
        <w:spacing w:after="120"/>
        <w:rPr>
          <w:rFonts w:ascii="Arial" w:hAnsi="Arial" w:cs="Arial"/>
          <w:color w:val="auto"/>
        </w:rPr>
      </w:pPr>
      <w:r w:rsidRPr="00E45B46">
        <w:rPr>
          <w:rFonts w:ascii="Arial" w:hAnsi="Arial" w:cs="Arial"/>
          <w:color w:val="auto"/>
        </w:rPr>
        <w:t>Turne</w:t>
      </w:r>
      <w:r w:rsidR="00633BB2">
        <w:rPr>
          <w:rFonts w:ascii="Arial" w:hAnsi="Arial" w:cs="Arial"/>
          <w:color w:val="auto"/>
        </w:rPr>
        <w:t>r</w:t>
      </w:r>
      <w:r w:rsidRPr="00E45B46">
        <w:rPr>
          <w:rFonts w:ascii="Arial" w:hAnsi="Arial" w:cs="Arial"/>
          <w:color w:val="auto"/>
        </w:rPr>
        <w:t xml:space="preserve"> S (2013) </w:t>
      </w:r>
      <w:r w:rsidR="0015731F">
        <w:rPr>
          <w:rFonts w:ascii="Arial" w:hAnsi="Arial" w:cs="Arial"/>
          <w:i/>
          <w:color w:val="auto"/>
        </w:rPr>
        <w:t>I</w:t>
      </w:r>
      <w:r w:rsidR="0015731F" w:rsidRPr="00AF4D0E">
        <w:rPr>
          <w:rFonts w:ascii="Arial" w:hAnsi="Arial" w:cs="Arial"/>
          <w:i/>
          <w:color w:val="auto"/>
        </w:rPr>
        <w:t>mproving the uptake of health checks for adults with learning disabilities</w:t>
      </w:r>
      <w:r w:rsidR="0015731F">
        <w:rPr>
          <w:rFonts w:ascii="Arial" w:hAnsi="Arial" w:cs="Arial"/>
          <w:i/>
          <w:color w:val="auto"/>
        </w:rPr>
        <w:t>: evidence into practice report</w:t>
      </w:r>
      <w:r w:rsidRPr="00AF4D0E">
        <w:rPr>
          <w:rFonts w:ascii="Arial" w:hAnsi="Arial" w:cs="Arial"/>
          <w:i/>
          <w:color w:val="auto"/>
        </w:rPr>
        <w:t>.</w:t>
      </w:r>
      <w:r w:rsidRPr="00E45B46">
        <w:rPr>
          <w:rFonts w:ascii="Arial" w:hAnsi="Arial" w:cs="Arial"/>
          <w:color w:val="auto"/>
        </w:rPr>
        <w:t xml:space="preserve"> Lancaster: Improving Health and Lives -Learning Disability Observatory. </w:t>
      </w:r>
    </w:p>
    <w:p w:rsidR="00E45B46" w:rsidRPr="00E45B46" w:rsidRDefault="00E45B46" w:rsidP="00DD42DB">
      <w:pPr>
        <w:pStyle w:val="Default"/>
        <w:spacing w:after="120"/>
        <w:rPr>
          <w:rFonts w:ascii="Arial" w:hAnsi="Arial" w:cs="Arial"/>
          <w:color w:val="auto"/>
        </w:rPr>
      </w:pPr>
      <w:r w:rsidRPr="00E45B46">
        <w:rPr>
          <w:rFonts w:ascii="Arial" w:hAnsi="Arial" w:cs="Arial"/>
          <w:color w:val="auto"/>
        </w:rPr>
        <w:t>Turner S</w:t>
      </w:r>
      <w:r w:rsidR="00633BB2">
        <w:rPr>
          <w:rFonts w:ascii="Arial" w:hAnsi="Arial" w:cs="Arial"/>
          <w:color w:val="auto"/>
        </w:rPr>
        <w:t xml:space="preserve"> and</w:t>
      </w:r>
      <w:r w:rsidRPr="00E45B46">
        <w:rPr>
          <w:rFonts w:ascii="Arial" w:hAnsi="Arial" w:cs="Arial"/>
          <w:color w:val="auto"/>
        </w:rPr>
        <w:t xml:space="preserve"> Robertson J (2010) </w:t>
      </w:r>
      <w:r w:rsidRPr="00C904C1">
        <w:rPr>
          <w:rFonts w:ascii="Arial" w:hAnsi="Arial" w:cs="Arial"/>
          <w:i/>
          <w:color w:val="auto"/>
        </w:rPr>
        <w:t>Health checks for people with learning disabilities, implications and actions for commissioners</w:t>
      </w:r>
      <w:r w:rsidRPr="00E45B46">
        <w:rPr>
          <w:rFonts w:ascii="Arial" w:hAnsi="Arial" w:cs="Arial"/>
          <w:color w:val="auto"/>
        </w:rPr>
        <w:t xml:space="preserve">. </w:t>
      </w:r>
      <w:r w:rsidR="00E12DB9">
        <w:rPr>
          <w:rFonts w:ascii="Arial" w:hAnsi="Arial" w:cs="Arial"/>
          <w:color w:val="auto"/>
        </w:rPr>
        <w:t xml:space="preserve"> Lancaster:</w:t>
      </w:r>
      <w:r w:rsidRPr="00E45B46">
        <w:rPr>
          <w:rFonts w:ascii="Arial" w:hAnsi="Arial" w:cs="Arial"/>
          <w:color w:val="auto"/>
        </w:rPr>
        <w:t xml:space="preserve"> Improving Health and Lives: Learning Disabilities Observatory. </w:t>
      </w:r>
    </w:p>
    <w:p w:rsidR="001F0B8A" w:rsidRPr="00E45B46" w:rsidRDefault="001F0B8A" w:rsidP="00DD42DB">
      <w:pPr>
        <w:pStyle w:val="Default"/>
        <w:spacing w:after="120"/>
        <w:rPr>
          <w:rFonts w:ascii="Arial" w:hAnsi="Arial" w:cs="Arial"/>
          <w:color w:val="auto"/>
        </w:rPr>
      </w:pPr>
      <w:r w:rsidRPr="00E45B46">
        <w:rPr>
          <w:rFonts w:ascii="Arial" w:hAnsi="Arial" w:cs="Arial"/>
          <w:color w:val="auto"/>
        </w:rPr>
        <w:t>Walsh PN</w:t>
      </w:r>
      <w:r w:rsidR="00633BB2">
        <w:rPr>
          <w:rFonts w:ascii="Arial" w:hAnsi="Arial" w:cs="Arial"/>
          <w:color w:val="auto"/>
        </w:rPr>
        <w:t xml:space="preserve"> and </w:t>
      </w:r>
      <w:r w:rsidRPr="00E45B46">
        <w:rPr>
          <w:rFonts w:ascii="Arial" w:hAnsi="Arial" w:cs="Arial"/>
          <w:color w:val="auto"/>
        </w:rPr>
        <w:t>McConkey R (2009) Inclusive health for people with intellectual disabilities. In R</w:t>
      </w:r>
      <w:r w:rsidR="0071605E">
        <w:rPr>
          <w:rFonts w:ascii="Arial" w:hAnsi="Arial" w:cs="Arial"/>
          <w:color w:val="auto"/>
        </w:rPr>
        <w:t xml:space="preserve"> </w:t>
      </w:r>
      <w:r w:rsidRPr="00E45B46">
        <w:rPr>
          <w:rFonts w:ascii="Arial" w:hAnsi="Arial" w:cs="Arial"/>
          <w:color w:val="auto"/>
        </w:rPr>
        <w:t xml:space="preserve">Hodapp (ed) </w:t>
      </w:r>
      <w:r w:rsidRPr="0015731F">
        <w:rPr>
          <w:rFonts w:ascii="Arial" w:hAnsi="Arial" w:cs="Arial"/>
          <w:i/>
          <w:color w:val="auto"/>
        </w:rPr>
        <w:t>International Review of Research in Mental Retardation</w:t>
      </w:r>
      <w:r w:rsidRPr="00E45B46">
        <w:rPr>
          <w:rFonts w:ascii="Arial" w:hAnsi="Arial" w:cs="Arial"/>
          <w:color w:val="auto"/>
        </w:rPr>
        <w:t xml:space="preserve">, </w:t>
      </w:r>
      <w:r w:rsidRPr="0015731F">
        <w:rPr>
          <w:rFonts w:ascii="Arial" w:hAnsi="Arial" w:cs="Arial"/>
          <w:i/>
          <w:color w:val="auto"/>
        </w:rPr>
        <w:t>Vol 38</w:t>
      </w:r>
      <w:r w:rsidRPr="00E45B46">
        <w:rPr>
          <w:rFonts w:ascii="Arial" w:hAnsi="Arial" w:cs="Arial"/>
          <w:color w:val="auto"/>
        </w:rPr>
        <w:t xml:space="preserve">.  New York: Academic Press. </w:t>
      </w:r>
    </w:p>
    <w:p w:rsidR="001F0B8A" w:rsidRPr="00E45B46" w:rsidRDefault="001F0B8A" w:rsidP="00DD42DB">
      <w:pPr>
        <w:pStyle w:val="Default"/>
        <w:spacing w:after="120"/>
        <w:rPr>
          <w:rFonts w:ascii="Arial" w:hAnsi="Arial" w:cs="Arial"/>
          <w:color w:val="auto"/>
        </w:rPr>
      </w:pPr>
      <w:r w:rsidRPr="00E45B46">
        <w:rPr>
          <w:rFonts w:ascii="Arial" w:hAnsi="Arial" w:cs="Arial"/>
          <w:color w:val="auto"/>
        </w:rPr>
        <w:t>Whynes</w:t>
      </w:r>
      <w:r w:rsidRPr="00E45B46">
        <w:rPr>
          <w:rStyle w:val="apple-converted-space"/>
          <w:rFonts w:ascii="Arial" w:hAnsi="Arial" w:cs="Arial"/>
          <w:color w:val="auto"/>
        </w:rPr>
        <w:t> DK, Frew EK</w:t>
      </w:r>
      <w:r w:rsidR="00633BB2">
        <w:rPr>
          <w:rStyle w:val="apple-converted-space"/>
          <w:rFonts w:ascii="Arial" w:hAnsi="Arial" w:cs="Arial"/>
          <w:color w:val="auto"/>
        </w:rPr>
        <w:t>,</w:t>
      </w:r>
      <w:r w:rsidRPr="00E45B46">
        <w:rPr>
          <w:rStyle w:val="apple-converted-space"/>
          <w:rFonts w:ascii="Arial" w:hAnsi="Arial" w:cs="Arial"/>
          <w:color w:val="auto"/>
        </w:rPr>
        <w:t xml:space="preserve"> </w:t>
      </w:r>
      <w:r w:rsidRPr="00E45B46">
        <w:rPr>
          <w:rFonts w:ascii="Arial" w:hAnsi="Arial" w:cs="Arial"/>
          <w:color w:val="auto"/>
        </w:rPr>
        <w:t>Manghan CM and Scholefield JH</w:t>
      </w:r>
      <w:r w:rsidRPr="00E45B46">
        <w:rPr>
          <w:rFonts w:ascii="Arial" w:hAnsi="Arial" w:cs="Arial"/>
          <w:bCs/>
          <w:color w:val="auto"/>
        </w:rPr>
        <w:t xml:space="preserve"> (2003) </w:t>
      </w:r>
      <w:hyperlink r:id="rId12" w:history="1">
        <w:r w:rsidRPr="00E45B46">
          <w:rPr>
            <w:rStyle w:val="Hyperlink"/>
            <w:rFonts w:ascii="Arial" w:hAnsi="Arial" w:cs="Arial"/>
            <w:bCs/>
            <w:color w:val="auto"/>
            <w:u w:val="none"/>
          </w:rPr>
          <w:t>Colorectal cancer, screening and survival: the influence of socio-economic deprivation</w:t>
        </w:r>
      </w:hyperlink>
      <w:r w:rsidRPr="00E45B46">
        <w:rPr>
          <w:rFonts w:ascii="Arial" w:hAnsi="Arial" w:cs="Arial"/>
          <w:bCs/>
          <w:color w:val="auto"/>
        </w:rPr>
        <w:t xml:space="preserve">, </w:t>
      </w:r>
      <w:r w:rsidRPr="00E45B46">
        <w:rPr>
          <w:rFonts w:ascii="Arial" w:hAnsi="Arial" w:cs="Arial"/>
          <w:color w:val="auto"/>
        </w:rPr>
        <w:t xml:space="preserve"> </w:t>
      </w:r>
      <w:r w:rsidR="00421478">
        <w:rPr>
          <w:rFonts w:ascii="Arial" w:hAnsi="Arial" w:cs="Arial"/>
          <w:i/>
          <w:color w:val="auto"/>
        </w:rPr>
        <w:t>Public H</w:t>
      </w:r>
      <w:r w:rsidRPr="00421478">
        <w:rPr>
          <w:rFonts w:ascii="Arial" w:hAnsi="Arial" w:cs="Arial"/>
          <w:i/>
          <w:color w:val="auto"/>
        </w:rPr>
        <w:t>ealth</w:t>
      </w:r>
      <w:r w:rsidRPr="00E45B46">
        <w:rPr>
          <w:rFonts w:ascii="Arial" w:hAnsi="Arial" w:cs="Arial"/>
          <w:color w:val="auto"/>
        </w:rPr>
        <w:t>, 117 (6), 389-395</w:t>
      </w:r>
      <w:r w:rsidR="00633BB2">
        <w:rPr>
          <w:rFonts w:ascii="Arial" w:hAnsi="Arial" w:cs="Arial"/>
          <w:color w:val="auto"/>
        </w:rPr>
        <w:t>.</w:t>
      </w:r>
    </w:p>
    <w:p w:rsidR="00DE16F5" w:rsidRPr="00E45B46" w:rsidRDefault="00DE16F5" w:rsidP="00A56797">
      <w:pPr>
        <w:spacing w:before="0"/>
        <w:ind w:left="357"/>
        <w:rPr>
          <w:rFonts w:eastAsiaTheme="majorEastAsia"/>
          <w:b/>
          <w:bCs/>
          <w:i/>
        </w:rPr>
      </w:pPr>
    </w:p>
    <w:p w:rsidR="00421478" w:rsidRDefault="00421478" w:rsidP="00A56797">
      <w:pPr>
        <w:spacing w:before="0"/>
        <w:ind w:left="357"/>
        <w:jc w:val="both"/>
        <w:rPr>
          <w:b/>
        </w:rPr>
      </w:pPr>
      <w:r>
        <w:rPr>
          <w:b/>
        </w:rPr>
        <w:br w:type="page"/>
      </w:r>
    </w:p>
    <w:p w:rsidR="00255C38" w:rsidRPr="006236C9" w:rsidRDefault="00255C38" w:rsidP="00255C38">
      <w:pPr>
        <w:spacing w:before="0" w:line="240" w:lineRule="auto"/>
        <w:jc w:val="center"/>
        <w:rPr>
          <w:b/>
        </w:rPr>
      </w:pPr>
    </w:p>
    <w:p w:rsidR="006236C9" w:rsidRPr="006236C9" w:rsidRDefault="006236C9" w:rsidP="00A56797">
      <w:pPr>
        <w:spacing w:before="0"/>
        <w:rPr>
          <w:b/>
        </w:rPr>
      </w:pPr>
      <w:r w:rsidRPr="006236C9">
        <w:rPr>
          <w:b/>
          <w:noProof/>
          <w:lang w:eastAsia="en-GB"/>
        </w:rPr>
        <w:drawing>
          <wp:inline distT="0" distB="0" distL="0" distR="0">
            <wp:extent cx="5951201" cy="3057099"/>
            <wp:effectExtent l="19050" t="0" r="11449"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36C9" w:rsidRPr="00255C38" w:rsidRDefault="006236C9" w:rsidP="00A56797">
      <w:pPr>
        <w:spacing w:before="0"/>
        <w:jc w:val="center"/>
        <w:rPr>
          <w:b/>
          <w:i/>
          <w:sz w:val="20"/>
          <w:szCs w:val="20"/>
        </w:rPr>
      </w:pPr>
      <w:r w:rsidRPr="00255C38">
        <w:rPr>
          <w:b/>
          <w:i/>
          <w:sz w:val="20"/>
          <w:szCs w:val="20"/>
        </w:rPr>
        <w:t>Note: * 85 practices in 2013/14: ~ 351 practices in 2013/14</w:t>
      </w:r>
    </w:p>
    <w:p w:rsidR="00255C38" w:rsidRDefault="00255C38" w:rsidP="00255C38">
      <w:pPr>
        <w:spacing w:before="0" w:line="240" w:lineRule="auto"/>
        <w:jc w:val="center"/>
        <w:rPr>
          <w:b/>
        </w:rPr>
      </w:pPr>
      <w:r w:rsidRPr="006236C9">
        <w:rPr>
          <w:b/>
        </w:rPr>
        <w:t xml:space="preserve">Figure 1: Percentage of practices providing </w:t>
      </w:r>
      <w:r>
        <w:rPr>
          <w:b/>
        </w:rPr>
        <w:t>the Learning</w:t>
      </w:r>
      <w:r w:rsidRPr="006236C9">
        <w:rPr>
          <w:b/>
        </w:rPr>
        <w:t xml:space="preserve"> Disability DES</w:t>
      </w:r>
      <w:r>
        <w:rPr>
          <w:b/>
        </w:rPr>
        <w:t xml:space="preserve"> </w:t>
      </w:r>
      <w:r w:rsidRPr="006236C9">
        <w:rPr>
          <w:b/>
        </w:rPr>
        <w:t xml:space="preserve">over three years by </w:t>
      </w:r>
      <w:r>
        <w:rPr>
          <w:b/>
        </w:rPr>
        <w:t xml:space="preserve">each </w:t>
      </w:r>
      <w:r w:rsidRPr="006236C9">
        <w:rPr>
          <w:b/>
        </w:rPr>
        <w:t>Health and Social Care Trust</w:t>
      </w:r>
      <w:r>
        <w:rPr>
          <w:b/>
        </w:rPr>
        <w:t xml:space="preserve">  in Northern Ireland.</w:t>
      </w:r>
    </w:p>
    <w:p w:rsidR="006F651E" w:rsidRPr="006F651E" w:rsidRDefault="006236C9" w:rsidP="00A56797">
      <w:pPr>
        <w:spacing w:before="0"/>
        <w:ind w:left="357"/>
        <w:jc w:val="center"/>
        <w:rPr>
          <w:b/>
        </w:rPr>
      </w:pPr>
      <w:r>
        <w:rPr>
          <w:b/>
        </w:rPr>
        <w:br w:type="page"/>
      </w:r>
    </w:p>
    <w:p w:rsidR="006F651E" w:rsidRPr="006F651E" w:rsidRDefault="00F13760" w:rsidP="00A56797">
      <w:pPr>
        <w:spacing w:before="0"/>
        <w:ind w:left="357"/>
        <w:jc w:val="both"/>
        <w:rPr>
          <w:b/>
        </w:rPr>
      </w:pPr>
      <w:r w:rsidRPr="006F651E">
        <w:rPr>
          <w:b/>
          <w:noProof/>
          <w:lang w:eastAsia="en-GB"/>
        </w:rPr>
        <w:lastRenderedPageBreak/>
        <w:drawing>
          <wp:inline distT="0" distB="0" distL="0" distR="0">
            <wp:extent cx="5827369" cy="2801721"/>
            <wp:effectExtent l="19050" t="0" r="20981"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651E" w:rsidRPr="006F651E" w:rsidRDefault="006F651E" w:rsidP="00A56797">
      <w:pPr>
        <w:spacing w:before="0"/>
        <w:ind w:left="357"/>
        <w:jc w:val="both"/>
        <w:rPr>
          <w:b/>
        </w:rPr>
      </w:pPr>
    </w:p>
    <w:p w:rsidR="006F651E" w:rsidRPr="006F651E" w:rsidRDefault="00255C38" w:rsidP="00255C38">
      <w:pPr>
        <w:tabs>
          <w:tab w:val="left" w:pos="3053"/>
        </w:tabs>
        <w:spacing w:before="0"/>
        <w:ind w:left="357"/>
        <w:jc w:val="both"/>
        <w:rPr>
          <w:b/>
        </w:rPr>
      </w:pPr>
      <w:r>
        <w:rPr>
          <w:b/>
        </w:rPr>
        <w:tab/>
      </w:r>
    </w:p>
    <w:p w:rsidR="006F651E" w:rsidRDefault="00255C38" w:rsidP="00255C38">
      <w:pPr>
        <w:spacing w:before="0" w:line="240" w:lineRule="auto"/>
        <w:ind w:left="357"/>
        <w:jc w:val="both"/>
        <w:rPr>
          <w:b/>
        </w:rPr>
      </w:pPr>
      <w:r w:rsidRPr="006F651E">
        <w:rPr>
          <w:b/>
        </w:rPr>
        <w:t xml:space="preserve">Figure 2: The proportion of people with intellectual disabilities who had a health check over three years by </w:t>
      </w:r>
      <w:r>
        <w:rPr>
          <w:b/>
        </w:rPr>
        <w:t xml:space="preserve">each </w:t>
      </w:r>
      <w:r w:rsidRPr="006F651E">
        <w:rPr>
          <w:b/>
        </w:rPr>
        <w:t>Health and Social Care Trust</w:t>
      </w:r>
      <w:r>
        <w:rPr>
          <w:b/>
        </w:rPr>
        <w:t xml:space="preserve"> in Northern Ireland</w:t>
      </w:r>
    </w:p>
    <w:p w:rsidR="006236C9" w:rsidRDefault="006236C9" w:rsidP="00A56797">
      <w:pPr>
        <w:spacing w:before="0"/>
        <w:ind w:left="357"/>
        <w:jc w:val="both"/>
        <w:rPr>
          <w:b/>
        </w:rPr>
      </w:pPr>
    </w:p>
    <w:p w:rsidR="006A7E68" w:rsidRDefault="006A7E68" w:rsidP="00A56797">
      <w:pPr>
        <w:spacing w:before="0"/>
        <w:ind w:left="357"/>
        <w:jc w:val="both"/>
        <w:rPr>
          <w:b/>
        </w:rPr>
      </w:pPr>
      <w:r>
        <w:rPr>
          <w:b/>
        </w:rPr>
        <w:br w:type="page"/>
      </w:r>
    </w:p>
    <w:p w:rsidR="006236C9" w:rsidRPr="006236C9" w:rsidRDefault="006236C9" w:rsidP="00255C38">
      <w:pPr>
        <w:spacing w:before="0" w:line="240" w:lineRule="auto"/>
        <w:jc w:val="center"/>
        <w:rPr>
          <w:b/>
        </w:rPr>
      </w:pPr>
      <w:r w:rsidRPr="006236C9">
        <w:rPr>
          <w:b/>
        </w:rPr>
        <w:lastRenderedPageBreak/>
        <w:t xml:space="preserve">Table 1: The number of people with </w:t>
      </w:r>
      <w:r w:rsidR="00F13760">
        <w:rPr>
          <w:b/>
        </w:rPr>
        <w:t>intellectual</w:t>
      </w:r>
      <w:r w:rsidR="00255C38">
        <w:rPr>
          <w:b/>
        </w:rPr>
        <w:t xml:space="preserve"> </w:t>
      </w:r>
      <w:r w:rsidRPr="006236C9">
        <w:rPr>
          <w:b/>
        </w:rPr>
        <w:t xml:space="preserve">disability </w:t>
      </w:r>
      <w:r w:rsidR="00EC4208">
        <w:rPr>
          <w:b/>
        </w:rPr>
        <w:t>(ID) i</w:t>
      </w:r>
      <w:r w:rsidRPr="006236C9">
        <w:rPr>
          <w:b/>
        </w:rPr>
        <w:t xml:space="preserve">n participating practice lists across </w:t>
      </w:r>
      <w:r w:rsidR="00A56797">
        <w:rPr>
          <w:b/>
        </w:rPr>
        <w:t xml:space="preserve">the five HSC </w:t>
      </w:r>
      <w:r w:rsidRPr="006236C9">
        <w:rPr>
          <w:b/>
        </w:rPr>
        <w:t xml:space="preserve">Trusts </w:t>
      </w:r>
      <w:r w:rsidR="00983107">
        <w:rPr>
          <w:b/>
        </w:rPr>
        <w:t xml:space="preserve">and for N. Ireland </w:t>
      </w:r>
      <w:r w:rsidRPr="006236C9">
        <w:rPr>
          <w:b/>
        </w:rPr>
        <w:t>in 2013/14</w:t>
      </w:r>
    </w:p>
    <w:tbl>
      <w:tblPr>
        <w:tblpPr w:leftFromText="180" w:rightFromText="180" w:vertAnchor="text" w:horzAnchor="margin" w:tblpXSpec="center" w:tblpY="4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1276"/>
        <w:gridCol w:w="1134"/>
        <w:gridCol w:w="1134"/>
        <w:gridCol w:w="1417"/>
      </w:tblGrid>
      <w:tr w:rsidR="006236C9" w:rsidRPr="006236C9" w:rsidTr="006236C9">
        <w:trPr>
          <w:trHeight w:val="330"/>
        </w:trPr>
        <w:tc>
          <w:tcPr>
            <w:tcW w:w="2518" w:type="dxa"/>
            <w:shd w:val="clear" w:color="auto" w:fill="D9D9D9" w:themeFill="background1" w:themeFillShade="D9"/>
          </w:tcPr>
          <w:p w:rsidR="006236C9" w:rsidRPr="006236C9" w:rsidRDefault="006236C9" w:rsidP="00A56797">
            <w:pPr>
              <w:spacing w:before="0"/>
              <w:rPr>
                <w:b/>
                <w:bCs/>
                <w:sz w:val="20"/>
                <w:szCs w:val="20"/>
              </w:rPr>
            </w:pPr>
          </w:p>
        </w:tc>
        <w:tc>
          <w:tcPr>
            <w:tcW w:w="1276" w:type="dxa"/>
            <w:shd w:val="clear" w:color="auto" w:fill="D9D9D9" w:themeFill="background1" w:themeFillShade="D9"/>
            <w:noWrap/>
            <w:hideMark/>
          </w:tcPr>
          <w:p w:rsidR="006236C9" w:rsidRPr="006F651E" w:rsidRDefault="006236C9" w:rsidP="00255C38">
            <w:pPr>
              <w:spacing w:line="240" w:lineRule="auto"/>
              <w:jc w:val="center"/>
              <w:rPr>
                <w:b/>
                <w:bCs/>
                <w:sz w:val="20"/>
                <w:szCs w:val="20"/>
              </w:rPr>
            </w:pPr>
            <w:r w:rsidRPr="006F651E">
              <w:rPr>
                <w:b/>
                <w:bCs/>
                <w:sz w:val="20"/>
                <w:szCs w:val="20"/>
              </w:rPr>
              <w:t>Belfast Trust</w:t>
            </w:r>
          </w:p>
        </w:tc>
        <w:tc>
          <w:tcPr>
            <w:tcW w:w="1134" w:type="dxa"/>
            <w:shd w:val="clear" w:color="auto" w:fill="D9D9D9" w:themeFill="background1" w:themeFillShade="D9"/>
            <w:noWrap/>
            <w:hideMark/>
          </w:tcPr>
          <w:p w:rsidR="006236C9" w:rsidRPr="006F651E" w:rsidRDefault="006236C9" w:rsidP="00255C38">
            <w:pPr>
              <w:spacing w:line="240" w:lineRule="auto"/>
              <w:jc w:val="center"/>
              <w:rPr>
                <w:b/>
                <w:bCs/>
                <w:sz w:val="20"/>
                <w:szCs w:val="20"/>
              </w:rPr>
            </w:pPr>
            <w:r w:rsidRPr="006F651E">
              <w:rPr>
                <w:b/>
                <w:bCs/>
                <w:sz w:val="20"/>
                <w:szCs w:val="20"/>
              </w:rPr>
              <w:t>Northern Trust</w:t>
            </w:r>
          </w:p>
        </w:tc>
        <w:tc>
          <w:tcPr>
            <w:tcW w:w="1276" w:type="dxa"/>
            <w:shd w:val="clear" w:color="auto" w:fill="D9D9D9" w:themeFill="background1" w:themeFillShade="D9"/>
            <w:noWrap/>
            <w:hideMark/>
          </w:tcPr>
          <w:p w:rsidR="006236C9" w:rsidRPr="006F651E" w:rsidRDefault="006236C9" w:rsidP="00255C38">
            <w:pPr>
              <w:spacing w:line="240" w:lineRule="auto"/>
              <w:jc w:val="center"/>
              <w:rPr>
                <w:b/>
                <w:bCs/>
                <w:sz w:val="20"/>
                <w:szCs w:val="20"/>
              </w:rPr>
            </w:pPr>
            <w:r w:rsidRPr="006F651E">
              <w:rPr>
                <w:b/>
                <w:bCs/>
                <w:sz w:val="20"/>
                <w:szCs w:val="20"/>
              </w:rPr>
              <w:t>South Eastern Trust</w:t>
            </w:r>
          </w:p>
        </w:tc>
        <w:tc>
          <w:tcPr>
            <w:tcW w:w="1134" w:type="dxa"/>
            <w:shd w:val="clear" w:color="auto" w:fill="D9D9D9" w:themeFill="background1" w:themeFillShade="D9"/>
            <w:noWrap/>
            <w:hideMark/>
          </w:tcPr>
          <w:p w:rsidR="006236C9" w:rsidRPr="006F651E" w:rsidRDefault="006236C9" w:rsidP="00255C38">
            <w:pPr>
              <w:spacing w:line="240" w:lineRule="auto"/>
              <w:jc w:val="center"/>
              <w:rPr>
                <w:b/>
                <w:bCs/>
                <w:sz w:val="20"/>
                <w:szCs w:val="20"/>
              </w:rPr>
            </w:pPr>
            <w:r w:rsidRPr="006F651E">
              <w:rPr>
                <w:b/>
                <w:bCs/>
                <w:sz w:val="20"/>
                <w:szCs w:val="20"/>
              </w:rPr>
              <w:t>Southern Trust</w:t>
            </w:r>
          </w:p>
        </w:tc>
        <w:tc>
          <w:tcPr>
            <w:tcW w:w="1134" w:type="dxa"/>
            <w:shd w:val="clear" w:color="auto" w:fill="D9D9D9" w:themeFill="background1" w:themeFillShade="D9"/>
            <w:noWrap/>
            <w:hideMark/>
          </w:tcPr>
          <w:p w:rsidR="006236C9" w:rsidRPr="006F651E" w:rsidRDefault="006236C9" w:rsidP="00255C38">
            <w:pPr>
              <w:spacing w:line="240" w:lineRule="auto"/>
              <w:jc w:val="center"/>
              <w:rPr>
                <w:b/>
                <w:bCs/>
                <w:sz w:val="20"/>
                <w:szCs w:val="20"/>
              </w:rPr>
            </w:pPr>
            <w:r w:rsidRPr="006F651E">
              <w:rPr>
                <w:b/>
                <w:bCs/>
                <w:sz w:val="20"/>
                <w:szCs w:val="20"/>
              </w:rPr>
              <w:t>Western Trust</w:t>
            </w:r>
          </w:p>
        </w:tc>
        <w:tc>
          <w:tcPr>
            <w:tcW w:w="1417" w:type="dxa"/>
            <w:shd w:val="clear" w:color="auto" w:fill="D9D9D9" w:themeFill="background1" w:themeFillShade="D9"/>
          </w:tcPr>
          <w:p w:rsidR="006236C9" w:rsidRPr="006F651E" w:rsidRDefault="006236C9" w:rsidP="00255C38">
            <w:pPr>
              <w:spacing w:line="240" w:lineRule="auto"/>
              <w:jc w:val="center"/>
              <w:rPr>
                <w:b/>
                <w:bCs/>
                <w:sz w:val="20"/>
                <w:szCs w:val="20"/>
              </w:rPr>
            </w:pPr>
            <w:r w:rsidRPr="006F651E">
              <w:rPr>
                <w:b/>
                <w:bCs/>
                <w:sz w:val="20"/>
                <w:szCs w:val="20"/>
              </w:rPr>
              <w:t>NI Total</w:t>
            </w:r>
          </w:p>
        </w:tc>
      </w:tr>
      <w:tr w:rsidR="006236C9" w:rsidRPr="006236C9" w:rsidTr="006236C9">
        <w:trPr>
          <w:trHeight w:val="330"/>
        </w:trPr>
        <w:tc>
          <w:tcPr>
            <w:tcW w:w="2518" w:type="dxa"/>
          </w:tcPr>
          <w:p w:rsidR="006236C9" w:rsidRPr="006236C9" w:rsidRDefault="006236C9" w:rsidP="00255C38">
            <w:pPr>
              <w:spacing w:line="240" w:lineRule="auto"/>
              <w:rPr>
                <w:b/>
                <w:sz w:val="20"/>
                <w:szCs w:val="20"/>
              </w:rPr>
            </w:pPr>
            <w:r w:rsidRPr="006236C9">
              <w:rPr>
                <w:b/>
                <w:sz w:val="20"/>
                <w:szCs w:val="20"/>
              </w:rPr>
              <w:t>1.Adult population of Trust</w:t>
            </w:r>
          </w:p>
        </w:tc>
        <w:tc>
          <w:tcPr>
            <w:tcW w:w="1276" w:type="dxa"/>
            <w:noWrap/>
            <w:hideMark/>
          </w:tcPr>
          <w:p w:rsidR="006236C9" w:rsidRPr="00255C38" w:rsidRDefault="006236C9" w:rsidP="00255C38">
            <w:pPr>
              <w:spacing w:line="240" w:lineRule="auto"/>
              <w:jc w:val="center"/>
            </w:pPr>
            <w:r w:rsidRPr="00255C38">
              <w:rPr>
                <w:sz w:val="22"/>
                <w:szCs w:val="22"/>
              </w:rPr>
              <w:t>263,588</w:t>
            </w:r>
          </w:p>
        </w:tc>
        <w:tc>
          <w:tcPr>
            <w:tcW w:w="1134" w:type="dxa"/>
            <w:noWrap/>
            <w:hideMark/>
          </w:tcPr>
          <w:p w:rsidR="006236C9" w:rsidRPr="00255C38" w:rsidRDefault="006236C9" w:rsidP="00255C38">
            <w:pPr>
              <w:spacing w:line="240" w:lineRule="auto"/>
              <w:jc w:val="center"/>
            </w:pPr>
            <w:r w:rsidRPr="00255C38">
              <w:rPr>
                <w:sz w:val="22"/>
                <w:szCs w:val="22"/>
              </w:rPr>
              <w:t>345,751</w:t>
            </w:r>
          </w:p>
        </w:tc>
        <w:tc>
          <w:tcPr>
            <w:tcW w:w="1276" w:type="dxa"/>
            <w:noWrap/>
            <w:hideMark/>
          </w:tcPr>
          <w:p w:rsidR="006236C9" w:rsidRPr="00255C38" w:rsidRDefault="006236C9" w:rsidP="00255C38">
            <w:pPr>
              <w:spacing w:line="240" w:lineRule="auto"/>
              <w:jc w:val="center"/>
            </w:pPr>
            <w:r w:rsidRPr="00255C38">
              <w:rPr>
                <w:sz w:val="22"/>
                <w:szCs w:val="22"/>
              </w:rPr>
              <w:t>261,479</w:t>
            </w:r>
          </w:p>
        </w:tc>
        <w:tc>
          <w:tcPr>
            <w:tcW w:w="1134" w:type="dxa"/>
            <w:noWrap/>
            <w:hideMark/>
          </w:tcPr>
          <w:p w:rsidR="006236C9" w:rsidRPr="00255C38" w:rsidRDefault="006236C9" w:rsidP="00255C38">
            <w:pPr>
              <w:spacing w:line="240" w:lineRule="auto"/>
              <w:jc w:val="center"/>
            </w:pPr>
            <w:r w:rsidRPr="00255C38">
              <w:rPr>
                <w:sz w:val="22"/>
                <w:szCs w:val="22"/>
              </w:rPr>
              <w:t>262,859</w:t>
            </w:r>
          </w:p>
        </w:tc>
        <w:tc>
          <w:tcPr>
            <w:tcW w:w="1134" w:type="dxa"/>
            <w:noWrap/>
            <w:hideMark/>
          </w:tcPr>
          <w:p w:rsidR="006236C9" w:rsidRPr="00255C38" w:rsidRDefault="006236C9" w:rsidP="00255C38">
            <w:pPr>
              <w:spacing w:line="240" w:lineRule="auto"/>
              <w:jc w:val="center"/>
              <w:rPr>
                <w:bCs/>
              </w:rPr>
            </w:pPr>
            <w:r w:rsidRPr="00255C38">
              <w:rPr>
                <w:bCs/>
                <w:sz w:val="22"/>
                <w:szCs w:val="22"/>
              </w:rPr>
              <w:t>214,877</w:t>
            </w:r>
          </w:p>
        </w:tc>
        <w:tc>
          <w:tcPr>
            <w:tcW w:w="1417" w:type="dxa"/>
            <w:shd w:val="clear" w:color="auto" w:fill="auto"/>
          </w:tcPr>
          <w:p w:rsidR="006236C9" w:rsidRPr="00255C38" w:rsidRDefault="006236C9" w:rsidP="00255C38">
            <w:pPr>
              <w:spacing w:line="240" w:lineRule="auto"/>
              <w:jc w:val="center"/>
            </w:pPr>
            <w:r w:rsidRPr="00255C38">
              <w:rPr>
                <w:sz w:val="22"/>
                <w:szCs w:val="22"/>
              </w:rPr>
              <w:t>1,348,554</w:t>
            </w:r>
          </w:p>
        </w:tc>
      </w:tr>
      <w:tr w:rsidR="006236C9" w:rsidRPr="006236C9" w:rsidTr="006236C9">
        <w:trPr>
          <w:trHeight w:val="330"/>
        </w:trPr>
        <w:tc>
          <w:tcPr>
            <w:tcW w:w="2518" w:type="dxa"/>
          </w:tcPr>
          <w:p w:rsidR="006236C9" w:rsidRPr="006236C9" w:rsidRDefault="006236C9" w:rsidP="00983107">
            <w:pPr>
              <w:spacing w:line="240" w:lineRule="auto"/>
              <w:rPr>
                <w:b/>
                <w:sz w:val="20"/>
                <w:szCs w:val="20"/>
              </w:rPr>
            </w:pPr>
            <w:r w:rsidRPr="006236C9">
              <w:rPr>
                <w:b/>
                <w:sz w:val="20"/>
                <w:szCs w:val="20"/>
              </w:rPr>
              <w:t xml:space="preserve">2. </w:t>
            </w:r>
            <w:r w:rsidR="00983107">
              <w:rPr>
                <w:b/>
                <w:sz w:val="20"/>
                <w:szCs w:val="20"/>
              </w:rPr>
              <w:t>N</w:t>
            </w:r>
            <w:r w:rsidRPr="006236C9">
              <w:rPr>
                <w:b/>
                <w:sz w:val="20"/>
                <w:szCs w:val="20"/>
              </w:rPr>
              <w:t xml:space="preserve">umber of people </w:t>
            </w:r>
            <w:r w:rsidR="00EC4208">
              <w:rPr>
                <w:b/>
                <w:sz w:val="20"/>
                <w:szCs w:val="20"/>
              </w:rPr>
              <w:t xml:space="preserve">with </w:t>
            </w:r>
            <w:r w:rsidRPr="006236C9">
              <w:rPr>
                <w:b/>
                <w:sz w:val="20"/>
                <w:szCs w:val="20"/>
              </w:rPr>
              <w:t xml:space="preserve">ID </w:t>
            </w:r>
            <w:r w:rsidR="00983107">
              <w:rPr>
                <w:b/>
                <w:sz w:val="20"/>
                <w:szCs w:val="20"/>
              </w:rPr>
              <w:t xml:space="preserve">identified </w:t>
            </w:r>
            <w:r w:rsidRPr="006236C9">
              <w:rPr>
                <w:b/>
                <w:sz w:val="20"/>
                <w:szCs w:val="20"/>
              </w:rPr>
              <w:t>in Trust area</w:t>
            </w:r>
          </w:p>
        </w:tc>
        <w:tc>
          <w:tcPr>
            <w:tcW w:w="1276" w:type="dxa"/>
            <w:noWrap/>
            <w:vAlign w:val="center"/>
            <w:hideMark/>
          </w:tcPr>
          <w:p w:rsidR="006236C9" w:rsidRPr="00255C38" w:rsidRDefault="006236C9" w:rsidP="00255C38">
            <w:pPr>
              <w:spacing w:line="240" w:lineRule="auto"/>
              <w:jc w:val="center"/>
            </w:pPr>
            <w:r w:rsidRPr="00255C38">
              <w:rPr>
                <w:sz w:val="22"/>
                <w:szCs w:val="22"/>
              </w:rPr>
              <w:t>1,860</w:t>
            </w:r>
          </w:p>
        </w:tc>
        <w:tc>
          <w:tcPr>
            <w:tcW w:w="1134" w:type="dxa"/>
            <w:noWrap/>
            <w:vAlign w:val="center"/>
            <w:hideMark/>
          </w:tcPr>
          <w:p w:rsidR="006236C9" w:rsidRPr="00255C38" w:rsidRDefault="006236C9" w:rsidP="00255C38">
            <w:pPr>
              <w:spacing w:line="240" w:lineRule="auto"/>
              <w:jc w:val="center"/>
            </w:pPr>
            <w:r w:rsidRPr="00255C38">
              <w:rPr>
                <w:sz w:val="22"/>
                <w:szCs w:val="22"/>
              </w:rPr>
              <w:t>2,103</w:t>
            </w:r>
          </w:p>
        </w:tc>
        <w:tc>
          <w:tcPr>
            <w:tcW w:w="1276" w:type="dxa"/>
            <w:noWrap/>
            <w:vAlign w:val="center"/>
            <w:hideMark/>
          </w:tcPr>
          <w:p w:rsidR="006236C9" w:rsidRPr="00255C38" w:rsidRDefault="006236C9" w:rsidP="00255C38">
            <w:pPr>
              <w:spacing w:line="240" w:lineRule="auto"/>
              <w:jc w:val="center"/>
            </w:pPr>
            <w:r w:rsidRPr="00255C38">
              <w:rPr>
                <w:sz w:val="22"/>
                <w:szCs w:val="22"/>
              </w:rPr>
              <w:t>1,663</w:t>
            </w:r>
          </w:p>
        </w:tc>
        <w:tc>
          <w:tcPr>
            <w:tcW w:w="1134" w:type="dxa"/>
            <w:noWrap/>
            <w:vAlign w:val="center"/>
            <w:hideMark/>
          </w:tcPr>
          <w:p w:rsidR="006236C9" w:rsidRPr="00255C38" w:rsidRDefault="006236C9" w:rsidP="00255C38">
            <w:pPr>
              <w:spacing w:line="240" w:lineRule="auto"/>
              <w:jc w:val="center"/>
            </w:pPr>
            <w:r w:rsidRPr="00255C38">
              <w:rPr>
                <w:sz w:val="22"/>
                <w:szCs w:val="22"/>
              </w:rPr>
              <w:t>2,155</w:t>
            </w:r>
          </w:p>
        </w:tc>
        <w:tc>
          <w:tcPr>
            <w:tcW w:w="1134" w:type="dxa"/>
            <w:noWrap/>
            <w:vAlign w:val="center"/>
            <w:hideMark/>
          </w:tcPr>
          <w:p w:rsidR="006236C9" w:rsidRPr="00255C38" w:rsidRDefault="006236C9" w:rsidP="00255C38">
            <w:pPr>
              <w:spacing w:line="240" w:lineRule="auto"/>
              <w:jc w:val="center"/>
            </w:pPr>
            <w:r w:rsidRPr="00255C38">
              <w:rPr>
                <w:sz w:val="22"/>
                <w:szCs w:val="22"/>
              </w:rPr>
              <w:t>1,859</w:t>
            </w:r>
          </w:p>
        </w:tc>
        <w:tc>
          <w:tcPr>
            <w:tcW w:w="1417" w:type="dxa"/>
            <w:shd w:val="clear" w:color="auto" w:fill="auto"/>
            <w:vAlign w:val="center"/>
          </w:tcPr>
          <w:p w:rsidR="006236C9" w:rsidRPr="00255C38" w:rsidRDefault="006236C9" w:rsidP="00255C38">
            <w:pPr>
              <w:spacing w:line="240" w:lineRule="auto"/>
              <w:jc w:val="center"/>
            </w:pPr>
            <w:r w:rsidRPr="00255C38">
              <w:rPr>
                <w:sz w:val="22"/>
                <w:szCs w:val="22"/>
              </w:rPr>
              <w:t>9,651</w:t>
            </w:r>
          </w:p>
        </w:tc>
      </w:tr>
      <w:tr w:rsidR="006236C9" w:rsidRPr="006236C9" w:rsidTr="006236C9">
        <w:trPr>
          <w:trHeight w:val="330"/>
        </w:trPr>
        <w:tc>
          <w:tcPr>
            <w:tcW w:w="2518" w:type="dxa"/>
          </w:tcPr>
          <w:p w:rsidR="006236C9" w:rsidRPr="006236C9" w:rsidRDefault="006236C9" w:rsidP="00255C38">
            <w:pPr>
              <w:spacing w:line="240" w:lineRule="auto"/>
              <w:rPr>
                <w:b/>
                <w:sz w:val="20"/>
                <w:szCs w:val="20"/>
              </w:rPr>
            </w:pPr>
            <w:r w:rsidRPr="006236C9">
              <w:rPr>
                <w:b/>
                <w:sz w:val="20"/>
                <w:szCs w:val="20"/>
              </w:rPr>
              <w:t>3. Prevalence rate ID per 1,000</w:t>
            </w:r>
          </w:p>
        </w:tc>
        <w:tc>
          <w:tcPr>
            <w:tcW w:w="1276" w:type="dxa"/>
            <w:noWrap/>
            <w:vAlign w:val="center"/>
            <w:hideMark/>
          </w:tcPr>
          <w:p w:rsidR="006236C9" w:rsidRPr="00255C38" w:rsidRDefault="006236C9" w:rsidP="00255C38">
            <w:pPr>
              <w:spacing w:line="240" w:lineRule="auto"/>
              <w:jc w:val="center"/>
            </w:pPr>
            <w:r w:rsidRPr="00255C38">
              <w:rPr>
                <w:sz w:val="22"/>
                <w:szCs w:val="22"/>
              </w:rPr>
              <w:t>7.06</w:t>
            </w:r>
          </w:p>
        </w:tc>
        <w:tc>
          <w:tcPr>
            <w:tcW w:w="1134" w:type="dxa"/>
            <w:noWrap/>
            <w:vAlign w:val="center"/>
            <w:hideMark/>
          </w:tcPr>
          <w:p w:rsidR="006236C9" w:rsidRPr="00255C38" w:rsidRDefault="006236C9" w:rsidP="00255C38">
            <w:pPr>
              <w:spacing w:line="240" w:lineRule="auto"/>
              <w:jc w:val="center"/>
            </w:pPr>
            <w:r w:rsidRPr="00255C38">
              <w:rPr>
                <w:sz w:val="22"/>
                <w:szCs w:val="22"/>
              </w:rPr>
              <w:t>6.08</w:t>
            </w:r>
          </w:p>
        </w:tc>
        <w:tc>
          <w:tcPr>
            <w:tcW w:w="1276" w:type="dxa"/>
            <w:noWrap/>
            <w:vAlign w:val="center"/>
            <w:hideMark/>
          </w:tcPr>
          <w:p w:rsidR="006236C9" w:rsidRPr="00255C38" w:rsidRDefault="006236C9" w:rsidP="00255C38">
            <w:pPr>
              <w:spacing w:line="240" w:lineRule="auto"/>
              <w:jc w:val="center"/>
            </w:pPr>
            <w:r w:rsidRPr="00255C38">
              <w:rPr>
                <w:sz w:val="22"/>
                <w:szCs w:val="22"/>
              </w:rPr>
              <w:t>6.36</w:t>
            </w:r>
          </w:p>
        </w:tc>
        <w:tc>
          <w:tcPr>
            <w:tcW w:w="1134" w:type="dxa"/>
            <w:noWrap/>
            <w:vAlign w:val="center"/>
            <w:hideMark/>
          </w:tcPr>
          <w:p w:rsidR="006236C9" w:rsidRPr="00255C38" w:rsidRDefault="006236C9" w:rsidP="00255C38">
            <w:pPr>
              <w:spacing w:line="240" w:lineRule="auto"/>
              <w:jc w:val="center"/>
            </w:pPr>
            <w:r w:rsidRPr="00255C38">
              <w:rPr>
                <w:sz w:val="22"/>
                <w:szCs w:val="22"/>
              </w:rPr>
              <w:t>8.20</w:t>
            </w:r>
          </w:p>
        </w:tc>
        <w:tc>
          <w:tcPr>
            <w:tcW w:w="1134" w:type="dxa"/>
            <w:noWrap/>
            <w:vAlign w:val="center"/>
            <w:hideMark/>
          </w:tcPr>
          <w:p w:rsidR="006236C9" w:rsidRPr="00255C38" w:rsidRDefault="006236C9" w:rsidP="00255C38">
            <w:pPr>
              <w:spacing w:line="240" w:lineRule="auto"/>
              <w:jc w:val="center"/>
              <w:rPr>
                <w:bCs/>
              </w:rPr>
            </w:pPr>
            <w:r w:rsidRPr="00255C38">
              <w:rPr>
                <w:bCs/>
                <w:sz w:val="22"/>
                <w:szCs w:val="22"/>
              </w:rPr>
              <w:t>8.65</w:t>
            </w:r>
          </w:p>
        </w:tc>
        <w:tc>
          <w:tcPr>
            <w:tcW w:w="1417" w:type="dxa"/>
            <w:shd w:val="clear" w:color="auto" w:fill="auto"/>
            <w:vAlign w:val="center"/>
          </w:tcPr>
          <w:p w:rsidR="006236C9" w:rsidRPr="00255C38" w:rsidRDefault="006236C9" w:rsidP="00255C38">
            <w:pPr>
              <w:spacing w:line="240" w:lineRule="auto"/>
              <w:jc w:val="center"/>
            </w:pPr>
            <w:r w:rsidRPr="00255C38">
              <w:rPr>
                <w:sz w:val="22"/>
                <w:szCs w:val="22"/>
              </w:rPr>
              <w:t>7.16</w:t>
            </w:r>
          </w:p>
        </w:tc>
      </w:tr>
      <w:tr w:rsidR="006236C9" w:rsidRPr="006236C9" w:rsidTr="006236C9">
        <w:trPr>
          <w:trHeight w:val="330"/>
        </w:trPr>
        <w:tc>
          <w:tcPr>
            <w:tcW w:w="2518" w:type="dxa"/>
          </w:tcPr>
          <w:p w:rsidR="006236C9" w:rsidRPr="006236C9" w:rsidRDefault="006236C9" w:rsidP="00983107">
            <w:pPr>
              <w:spacing w:line="240" w:lineRule="auto"/>
              <w:rPr>
                <w:b/>
                <w:sz w:val="20"/>
                <w:szCs w:val="20"/>
              </w:rPr>
            </w:pPr>
            <w:r w:rsidRPr="006236C9">
              <w:rPr>
                <w:b/>
                <w:sz w:val="20"/>
                <w:szCs w:val="20"/>
              </w:rPr>
              <w:t xml:space="preserve">4. Total number of patients with ID from GP returns in 2013/14 and percentage of </w:t>
            </w:r>
            <w:r w:rsidR="00983107">
              <w:rPr>
                <w:b/>
                <w:sz w:val="20"/>
                <w:szCs w:val="20"/>
              </w:rPr>
              <w:t>identified</w:t>
            </w:r>
            <w:r w:rsidRPr="006236C9">
              <w:rPr>
                <w:b/>
                <w:sz w:val="20"/>
                <w:szCs w:val="20"/>
              </w:rPr>
              <w:t xml:space="preserve"> number of persons with an ID</w:t>
            </w:r>
            <w:r w:rsidR="00C6517A">
              <w:rPr>
                <w:b/>
                <w:sz w:val="20"/>
                <w:szCs w:val="20"/>
              </w:rPr>
              <w:t xml:space="preserve"> as shown in row 2.</w:t>
            </w:r>
          </w:p>
        </w:tc>
        <w:tc>
          <w:tcPr>
            <w:tcW w:w="1276" w:type="dxa"/>
            <w:noWrap/>
            <w:vAlign w:val="center"/>
            <w:hideMark/>
          </w:tcPr>
          <w:p w:rsidR="006236C9" w:rsidRPr="00255C38" w:rsidRDefault="006236C9" w:rsidP="00255C38">
            <w:pPr>
              <w:spacing w:line="240" w:lineRule="auto"/>
              <w:jc w:val="center"/>
            </w:pPr>
            <w:r w:rsidRPr="00255C38">
              <w:rPr>
                <w:sz w:val="22"/>
                <w:szCs w:val="22"/>
              </w:rPr>
              <w:t>1,535</w:t>
            </w:r>
          </w:p>
          <w:p w:rsidR="006236C9" w:rsidRPr="00255C38" w:rsidRDefault="006236C9" w:rsidP="00255C38">
            <w:pPr>
              <w:spacing w:line="240" w:lineRule="auto"/>
              <w:jc w:val="center"/>
            </w:pPr>
            <w:r w:rsidRPr="00255C38">
              <w:rPr>
                <w:sz w:val="22"/>
                <w:szCs w:val="22"/>
              </w:rPr>
              <w:t>(83%)</w:t>
            </w:r>
          </w:p>
        </w:tc>
        <w:tc>
          <w:tcPr>
            <w:tcW w:w="1134" w:type="dxa"/>
            <w:noWrap/>
            <w:vAlign w:val="center"/>
            <w:hideMark/>
          </w:tcPr>
          <w:p w:rsidR="006236C9" w:rsidRPr="00255C38" w:rsidRDefault="006236C9" w:rsidP="00255C38">
            <w:pPr>
              <w:spacing w:line="240" w:lineRule="auto"/>
              <w:jc w:val="center"/>
            </w:pPr>
            <w:r w:rsidRPr="00255C38">
              <w:rPr>
                <w:sz w:val="22"/>
                <w:szCs w:val="22"/>
              </w:rPr>
              <w:t>2,022</w:t>
            </w:r>
          </w:p>
          <w:p w:rsidR="006236C9" w:rsidRPr="00255C38" w:rsidRDefault="006236C9" w:rsidP="00255C38">
            <w:pPr>
              <w:spacing w:line="240" w:lineRule="auto"/>
              <w:jc w:val="center"/>
            </w:pPr>
            <w:r w:rsidRPr="00255C38">
              <w:rPr>
                <w:sz w:val="22"/>
                <w:szCs w:val="22"/>
              </w:rPr>
              <w:t>(96%)</w:t>
            </w:r>
          </w:p>
        </w:tc>
        <w:tc>
          <w:tcPr>
            <w:tcW w:w="1276" w:type="dxa"/>
            <w:noWrap/>
            <w:vAlign w:val="center"/>
            <w:hideMark/>
          </w:tcPr>
          <w:p w:rsidR="006236C9" w:rsidRPr="00255C38" w:rsidRDefault="006236C9" w:rsidP="00255C38">
            <w:pPr>
              <w:spacing w:line="240" w:lineRule="auto"/>
              <w:jc w:val="center"/>
            </w:pPr>
            <w:r w:rsidRPr="00255C38">
              <w:rPr>
                <w:sz w:val="22"/>
                <w:szCs w:val="22"/>
              </w:rPr>
              <w:t>1,386</w:t>
            </w:r>
          </w:p>
          <w:p w:rsidR="006236C9" w:rsidRPr="00255C38" w:rsidRDefault="006236C9" w:rsidP="00255C38">
            <w:pPr>
              <w:spacing w:line="240" w:lineRule="auto"/>
              <w:jc w:val="center"/>
            </w:pPr>
            <w:r w:rsidRPr="00255C38">
              <w:rPr>
                <w:sz w:val="22"/>
                <w:szCs w:val="22"/>
              </w:rPr>
              <w:t>(83%)</w:t>
            </w:r>
          </w:p>
        </w:tc>
        <w:tc>
          <w:tcPr>
            <w:tcW w:w="1134" w:type="dxa"/>
            <w:noWrap/>
            <w:vAlign w:val="center"/>
            <w:hideMark/>
          </w:tcPr>
          <w:p w:rsidR="006236C9" w:rsidRPr="00255C38" w:rsidRDefault="006236C9" w:rsidP="00255C38">
            <w:pPr>
              <w:spacing w:line="240" w:lineRule="auto"/>
              <w:jc w:val="center"/>
            </w:pPr>
            <w:r w:rsidRPr="00255C38">
              <w:rPr>
                <w:sz w:val="22"/>
                <w:szCs w:val="22"/>
              </w:rPr>
              <w:t>1,707</w:t>
            </w:r>
          </w:p>
          <w:p w:rsidR="006236C9" w:rsidRPr="00255C38" w:rsidRDefault="006236C9" w:rsidP="00255C38">
            <w:pPr>
              <w:spacing w:line="240" w:lineRule="auto"/>
              <w:jc w:val="center"/>
            </w:pPr>
            <w:r w:rsidRPr="00255C38">
              <w:rPr>
                <w:sz w:val="22"/>
                <w:szCs w:val="22"/>
              </w:rPr>
              <w:t>(79%)</w:t>
            </w:r>
          </w:p>
        </w:tc>
        <w:tc>
          <w:tcPr>
            <w:tcW w:w="1134" w:type="dxa"/>
            <w:noWrap/>
            <w:vAlign w:val="center"/>
            <w:hideMark/>
          </w:tcPr>
          <w:p w:rsidR="006236C9" w:rsidRPr="00255C38" w:rsidRDefault="006236C9" w:rsidP="00255C38">
            <w:pPr>
              <w:spacing w:line="240" w:lineRule="auto"/>
              <w:jc w:val="center"/>
            </w:pPr>
            <w:r w:rsidRPr="00255C38">
              <w:rPr>
                <w:sz w:val="22"/>
                <w:szCs w:val="22"/>
              </w:rPr>
              <w:t>1696</w:t>
            </w:r>
          </w:p>
          <w:p w:rsidR="006236C9" w:rsidRPr="00255C38" w:rsidRDefault="006236C9" w:rsidP="00255C38">
            <w:pPr>
              <w:spacing w:line="240" w:lineRule="auto"/>
              <w:jc w:val="center"/>
            </w:pPr>
            <w:r w:rsidRPr="00255C38">
              <w:rPr>
                <w:sz w:val="22"/>
                <w:szCs w:val="22"/>
              </w:rPr>
              <w:t>(91%)</w:t>
            </w:r>
          </w:p>
        </w:tc>
        <w:tc>
          <w:tcPr>
            <w:tcW w:w="1417" w:type="dxa"/>
            <w:shd w:val="clear" w:color="auto" w:fill="auto"/>
            <w:vAlign w:val="center"/>
          </w:tcPr>
          <w:p w:rsidR="006236C9" w:rsidRPr="00255C38" w:rsidRDefault="006236C9" w:rsidP="00255C38">
            <w:pPr>
              <w:spacing w:line="240" w:lineRule="auto"/>
              <w:jc w:val="center"/>
            </w:pPr>
            <w:r w:rsidRPr="00255C38">
              <w:rPr>
                <w:sz w:val="22"/>
                <w:szCs w:val="22"/>
              </w:rPr>
              <w:t>8,386</w:t>
            </w:r>
          </w:p>
          <w:p w:rsidR="006236C9" w:rsidRPr="00255C38" w:rsidRDefault="006236C9" w:rsidP="00255C38">
            <w:pPr>
              <w:spacing w:line="240" w:lineRule="auto"/>
              <w:jc w:val="center"/>
            </w:pPr>
            <w:r w:rsidRPr="00255C38">
              <w:rPr>
                <w:sz w:val="22"/>
                <w:szCs w:val="22"/>
              </w:rPr>
              <w:t>(87%)</w:t>
            </w:r>
          </w:p>
        </w:tc>
      </w:tr>
      <w:tr w:rsidR="006236C9" w:rsidRPr="006236C9" w:rsidTr="006236C9">
        <w:trPr>
          <w:trHeight w:val="330"/>
        </w:trPr>
        <w:tc>
          <w:tcPr>
            <w:tcW w:w="2518" w:type="dxa"/>
          </w:tcPr>
          <w:p w:rsidR="006236C9" w:rsidRPr="006236C9" w:rsidRDefault="006236C9" w:rsidP="00983107">
            <w:pPr>
              <w:spacing w:line="240" w:lineRule="auto"/>
              <w:rPr>
                <w:b/>
                <w:sz w:val="20"/>
                <w:szCs w:val="20"/>
              </w:rPr>
            </w:pPr>
            <w:r w:rsidRPr="006236C9">
              <w:rPr>
                <w:b/>
                <w:sz w:val="20"/>
                <w:szCs w:val="20"/>
              </w:rPr>
              <w:t>5. Mean number (and range) of patients</w:t>
            </w:r>
            <w:r w:rsidR="00983107">
              <w:rPr>
                <w:b/>
                <w:sz w:val="20"/>
                <w:szCs w:val="20"/>
              </w:rPr>
              <w:t xml:space="preserve"> with ID </w:t>
            </w:r>
            <w:r w:rsidRPr="006236C9">
              <w:rPr>
                <w:b/>
                <w:sz w:val="20"/>
                <w:szCs w:val="20"/>
              </w:rPr>
              <w:t>per practice providing checks</w:t>
            </w:r>
          </w:p>
        </w:tc>
        <w:tc>
          <w:tcPr>
            <w:tcW w:w="1276" w:type="dxa"/>
            <w:noWrap/>
            <w:vAlign w:val="center"/>
            <w:hideMark/>
          </w:tcPr>
          <w:p w:rsidR="006236C9" w:rsidRPr="00255C38" w:rsidRDefault="006236C9" w:rsidP="00255C38">
            <w:pPr>
              <w:spacing w:line="240" w:lineRule="auto"/>
              <w:jc w:val="center"/>
            </w:pPr>
            <w:r w:rsidRPr="00255C38">
              <w:rPr>
                <w:sz w:val="22"/>
                <w:szCs w:val="22"/>
              </w:rPr>
              <w:t>13.1</w:t>
            </w:r>
          </w:p>
          <w:p w:rsidR="006236C9" w:rsidRPr="00255C38" w:rsidRDefault="006236C9" w:rsidP="00255C38">
            <w:pPr>
              <w:spacing w:line="240" w:lineRule="auto"/>
              <w:jc w:val="center"/>
            </w:pPr>
            <w:r w:rsidRPr="00255C38">
              <w:rPr>
                <w:sz w:val="22"/>
                <w:szCs w:val="22"/>
              </w:rPr>
              <w:t>(1-40)</w:t>
            </w:r>
          </w:p>
        </w:tc>
        <w:tc>
          <w:tcPr>
            <w:tcW w:w="1134" w:type="dxa"/>
            <w:noWrap/>
            <w:vAlign w:val="center"/>
            <w:hideMark/>
          </w:tcPr>
          <w:p w:rsidR="006236C9" w:rsidRPr="00255C38" w:rsidRDefault="006236C9" w:rsidP="00255C38">
            <w:pPr>
              <w:spacing w:line="240" w:lineRule="auto"/>
              <w:jc w:val="center"/>
            </w:pPr>
            <w:r w:rsidRPr="00255C38">
              <w:rPr>
                <w:sz w:val="22"/>
                <w:szCs w:val="22"/>
              </w:rPr>
              <w:t>17.9</w:t>
            </w:r>
          </w:p>
          <w:p w:rsidR="006236C9" w:rsidRPr="00255C38" w:rsidRDefault="006236C9" w:rsidP="00255C38">
            <w:pPr>
              <w:spacing w:line="240" w:lineRule="auto"/>
              <w:jc w:val="center"/>
            </w:pPr>
            <w:r w:rsidRPr="00255C38">
              <w:rPr>
                <w:sz w:val="22"/>
                <w:szCs w:val="22"/>
              </w:rPr>
              <w:t>(1-61)</w:t>
            </w:r>
          </w:p>
        </w:tc>
        <w:tc>
          <w:tcPr>
            <w:tcW w:w="1276" w:type="dxa"/>
            <w:noWrap/>
            <w:vAlign w:val="center"/>
            <w:hideMark/>
          </w:tcPr>
          <w:p w:rsidR="006236C9" w:rsidRPr="00255C38" w:rsidRDefault="006236C9" w:rsidP="00255C38">
            <w:pPr>
              <w:spacing w:line="240" w:lineRule="auto"/>
              <w:jc w:val="center"/>
            </w:pPr>
            <w:r w:rsidRPr="00255C38">
              <w:rPr>
                <w:sz w:val="22"/>
                <w:szCs w:val="22"/>
              </w:rPr>
              <w:t>21.9</w:t>
            </w:r>
          </w:p>
          <w:p w:rsidR="006236C9" w:rsidRPr="00255C38" w:rsidRDefault="006236C9" w:rsidP="00255C38">
            <w:pPr>
              <w:spacing w:line="240" w:lineRule="auto"/>
              <w:jc w:val="center"/>
            </w:pPr>
            <w:r w:rsidRPr="00255C38">
              <w:rPr>
                <w:sz w:val="22"/>
                <w:szCs w:val="22"/>
              </w:rPr>
              <w:t>(1-77)</w:t>
            </w:r>
          </w:p>
        </w:tc>
        <w:tc>
          <w:tcPr>
            <w:tcW w:w="1134" w:type="dxa"/>
            <w:noWrap/>
            <w:vAlign w:val="center"/>
            <w:hideMark/>
          </w:tcPr>
          <w:p w:rsidR="006236C9" w:rsidRPr="00255C38" w:rsidRDefault="006236C9" w:rsidP="00255C38">
            <w:pPr>
              <w:spacing w:line="240" w:lineRule="auto"/>
              <w:jc w:val="center"/>
            </w:pPr>
            <w:r w:rsidRPr="00255C38">
              <w:rPr>
                <w:sz w:val="22"/>
                <w:szCs w:val="22"/>
              </w:rPr>
              <w:t>21.2</w:t>
            </w:r>
          </w:p>
          <w:p w:rsidR="006236C9" w:rsidRPr="00255C38" w:rsidRDefault="006236C9" w:rsidP="00255C38">
            <w:pPr>
              <w:spacing w:line="240" w:lineRule="auto"/>
              <w:jc w:val="center"/>
            </w:pPr>
            <w:r w:rsidRPr="00255C38">
              <w:rPr>
                <w:sz w:val="22"/>
                <w:szCs w:val="22"/>
              </w:rPr>
              <w:t>(2-59)</w:t>
            </w:r>
          </w:p>
        </w:tc>
        <w:tc>
          <w:tcPr>
            <w:tcW w:w="1134" w:type="dxa"/>
            <w:noWrap/>
            <w:vAlign w:val="center"/>
            <w:hideMark/>
          </w:tcPr>
          <w:p w:rsidR="006236C9" w:rsidRPr="00255C38" w:rsidRDefault="006236C9" w:rsidP="00255C38">
            <w:pPr>
              <w:spacing w:line="240" w:lineRule="auto"/>
              <w:jc w:val="center"/>
              <w:rPr>
                <w:bCs/>
              </w:rPr>
            </w:pPr>
            <w:r w:rsidRPr="00255C38">
              <w:rPr>
                <w:bCs/>
                <w:sz w:val="22"/>
                <w:szCs w:val="22"/>
              </w:rPr>
              <w:t>21.5</w:t>
            </w:r>
          </w:p>
          <w:p w:rsidR="006236C9" w:rsidRPr="00255C38" w:rsidRDefault="006236C9" w:rsidP="00255C38">
            <w:pPr>
              <w:spacing w:line="240" w:lineRule="auto"/>
              <w:jc w:val="center"/>
              <w:rPr>
                <w:bCs/>
              </w:rPr>
            </w:pPr>
            <w:r w:rsidRPr="00255C38">
              <w:rPr>
                <w:bCs/>
                <w:sz w:val="22"/>
                <w:szCs w:val="22"/>
              </w:rPr>
              <w:t>(6-91)</w:t>
            </w:r>
          </w:p>
        </w:tc>
        <w:tc>
          <w:tcPr>
            <w:tcW w:w="1417" w:type="dxa"/>
            <w:shd w:val="clear" w:color="auto" w:fill="auto"/>
            <w:vAlign w:val="center"/>
          </w:tcPr>
          <w:p w:rsidR="006236C9" w:rsidRPr="00255C38" w:rsidRDefault="006236C9" w:rsidP="00255C38">
            <w:pPr>
              <w:spacing w:line="240" w:lineRule="auto"/>
              <w:jc w:val="center"/>
            </w:pPr>
            <w:r w:rsidRPr="00255C38">
              <w:rPr>
                <w:sz w:val="22"/>
                <w:szCs w:val="22"/>
              </w:rPr>
              <w:t>18.6</w:t>
            </w:r>
          </w:p>
          <w:p w:rsidR="006236C9" w:rsidRPr="00255C38" w:rsidRDefault="006236C9" w:rsidP="00255C38">
            <w:pPr>
              <w:spacing w:line="240" w:lineRule="auto"/>
              <w:jc w:val="center"/>
            </w:pPr>
            <w:r w:rsidRPr="00255C38">
              <w:rPr>
                <w:sz w:val="22"/>
                <w:szCs w:val="22"/>
              </w:rPr>
              <w:t>(1-91)</w:t>
            </w:r>
          </w:p>
        </w:tc>
      </w:tr>
    </w:tbl>
    <w:p w:rsidR="006236C9" w:rsidRPr="006236C9" w:rsidRDefault="006236C9" w:rsidP="00A56797">
      <w:pPr>
        <w:spacing w:before="0"/>
        <w:rPr>
          <w:b/>
        </w:rPr>
      </w:pPr>
    </w:p>
    <w:p w:rsidR="003C6B05" w:rsidRPr="00E45B46" w:rsidRDefault="003C6B05" w:rsidP="00A56797">
      <w:pPr>
        <w:spacing w:before="0"/>
        <w:rPr>
          <w:b/>
        </w:rPr>
      </w:pPr>
    </w:p>
    <w:p w:rsidR="00A56797" w:rsidRPr="00E45B46" w:rsidRDefault="00A56797">
      <w:pPr>
        <w:spacing w:before="0"/>
        <w:rPr>
          <w:b/>
        </w:rPr>
      </w:pPr>
    </w:p>
    <w:sectPr w:rsidR="00A56797" w:rsidRPr="00E45B46" w:rsidSect="00652A44">
      <w:headerReference w:type="default" r:id="rId15"/>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05" w:rsidRDefault="00DE4D05" w:rsidP="00C6607D">
      <w:r>
        <w:separator/>
      </w:r>
    </w:p>
  </w:endnote>
  <w:endnote w:type="continuationSeparator" w:id="0">
    <w:p w:rsidR="00DE4D05" w:rsidRDefault="00DE4D05" w:rsidP="00C6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05" w:rsidRDefault="00DE4D05" w:rsidP="00C6607D">
      <w:r>
        <w:separator/>
      </w:r>
    </w:p>
  </w:footnote>
  <w:footnote w:type="continuationSeparator" w:id="0">
    <w:p w:rsidR="00DE4D05" w:rsidRDefault="00DE4D05" w:rsidP="00C6607D">
      <w:r>
        <w:continuationSeparator/>
      </w:r>
    </w:p>
  </w:footnote>
  <w:footnote w:id="1">
    <w:p w:rsidR="001E647B" w:rsidRDefault="001E647B">
      <w:pPr>
        <w:pStyle w:val="FootnoteText"/>
      </w:pPr>
      <w:r>
        <w:rPr>
          <w:rStyle w:val="FootnoteReference"/>
        </w:rPr>
        <w:footnoteRef/>
      </w:r>
      <w:r>
        <w:t xml:space="preserve"> The term intellectual disability is used to refer generally to this population and the term ‘learning disability’ when referring to </w:t>
      </w:r>
      <w:r w:rsidR="001739D2">
        <w:t xml:space="preserve">the </w:t>
      </w:r>
      <w:r>
        <w:t xml:space="preserve">health services for this population.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369"/>
      <w:docPartObj>
        <w:docPartGallery w:val="Page Numbers (Top of Page)"/>
        <w:docPartUnique/>
      </w:docPartObj>
    </w:sdtPr>
    <w:sdtEndPr/>
    <w:sdtContent>
      <w:p w:rsidR="001E647B" w:rsidRDefault="00094541" w:rsidP="00652A44">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1E647B" w:rsidRPr="001748A5" w:rsidRDefault="001E647B" w:rsidP="00C66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FDC"/>
    <w:multiLevelType w:val="multilevel"/>
    <w:tmpl w:val="355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61"/>
    <w:rsid w:val="00001515"/>
    <w:rsid w:val="00002739"/>
    <w:rsid w:val="00002940"/>
    <w:rsid w:val="000059AF"/>
    <w:rsid w:val="000078EB"/>
    <w:rsid w:val="000136A4"/>
    <w:rsid w:val="00016D22"/>
    <w:rsid w:val="00020E1D"/>
    <w:rsid w:val="000231E4"/>
    <w:rsid w:val="00023C84"/>
    <w:rsid w:val="0002428F"/>
    <w:rsid w:val="00031C2B"/>
    <w:rsid w:val="0003476E"/>
    <w:rsid w:val="00034C64"/>
    <w:rsid w:val="00040792"/>
    <w:rsid w:val="000425DB"/>
    <w:rsid w:val="00050CC0"/>
    <w:rsid w:val="0006170E"/>
    <w:rsid w:val="000632C5"/>
    <w:rsid w:val="00064626"/>
    <w:rsid w:val="0007138F"/>
    <w:rsid w:val="00077C13"/>
    <w:rsid w:val="00077F28"/>
    <w:rsid w:val="00087F6E"/>
    <w:rsid w:val="00094199"/>
    <w:rsid w:val="00094541"/>
    <w:rsid w:val="00094B7A"/>
    <w:rsid w:val="00096D47"/>
    <w:rsid w:val="000971A2"/>
    <w:rsid w:val="000A11F1"/>
    <w:rsid w:val="000B2438"/>
    <w:rsid w:val="000C4E75"/>
    <w:rsid w:val="000C50CA"/>
    <w:rsid w:val="000D02B2"/>
    <w:rsid w:val="000D36BB"/>
    <w:rsid w:val="000D3B6B"/>
    <w:rsid w:val="000D426F"/>
    <w:rsid w:val="000E0349"/>
    <w:rsid w:val="000E4750"/>
    <w:rsid w:val="000E5438"/>
    <w:rsid w:val="000E6A73"/>
    <w:rsid w:val="000F108D"/>
    <w:rsid w:val="000F19E4"/>
    <w:rsid w:val="000F36FF"/>
    <w:rsid w:val="000F4613"/>
    <w:rsid w:val="000F4C14"/>
    <w:rsid w:val="000F56DF"/>
    <w:rsid w:val="000F682D"/>
    <w:rsid w:val="0010607C"/>
    <w:rsid w:val="00121EC7"/>
    <w:rsid w:val="00130C71"/>
    <w:rsid w:val="00132581"/>
    <w:rsid w:val="00140FB0"/>
    <w:rsid w:val="0014475C"/>
    <w:rsid w:val="00151722"/>
    <w:rsid w:val="001561E0"/>
    <w:rsid w:val="001562D3"/>
    <w:rsid w:val="001566BE"/>
    <w:rsid w:val="0015731F"/>
    <w:rsid w:val="001574F1"/>
    <w:rsid w:val="0016197A"/>
    <w:rsid w:val="00167278"/>
    <w:rsid w:val="00170DF8"/>
    <w:rsid w:val="00172200"/>
    <w:rsid w:val="001739D2"/>
    <w:rsid w:val="001748A5"/>
    <w:rsid w:val="0017663E"/>
    <w:rsid w:val="0019545E"/>
    <w:rsid w:val="00195D51"/>
    <w:rsid w:val="001A3337"/>
    <w:rsid w:val="001B0A0C"/>
    <w:rsid w:val="001B75DD"/>
    <w:rsid w:val="001D2E5C"/>
    <w:rsid w:val="001D3DC5"/>
    <w:rsid w:val="001D4161"/>
    <w:rsid w:val="001D4B0A"/>
    <w:rsid w:val="001E06DF"/>
    <w:rsid w:val="001E647B"/>
    <w:rsid w:val="001E681A"/>
    <w:rsid w:val="001E775E"/>
    <w:rsid w:val="001F0B8A"/>
    <w:rsid w:val="001F50C9"/>
    <w:rsid w:val="001F6584"/>
    <w:rsid w:val="002047E2"/>
    <w:rsid w:val="00206D29"/>
    <w:rsid w:val="00214006"/>
    <w:rsid w:val="00221D2E"/>
    <w:rsid w:val="0022530A"/>
    <w:rsid w:val="002278A5"/>
    <w:rsid w:val="00231E05"/>
    <w:rsid w:val="00232FA1"/>
    <w:rsid w:val="00235134"/>
    <w:rsid w:val="00255548"/>
    <w:rsid w:val="00255C38"/>
    <w:rsid w:val="00277854"/>
    <w:rsid w:val="00281356"/>
    <w:rsid w:val="00282AB4"/>
    <w:rsid w:val="00283F21"/>
    <w:rsid w:val="002A05EC"/>
    <w:rsid w:val="002A2334"/>
    <w:rsid w:val="002A4604"/>
    <w:rsid w:val="002A533E"/>
    <w:rsid w:val="002B65C0"/>
    <w:rsid w:val="002C6DD4"/>
    <w:rsid w:val="002D766D"/>
    <w:rsid w:val="002E1A11"/>
    <w:rsid w:val="002E3603"/>
    <w:rsid w:val="002E43E4"/>
    <w:rsid w:val="002F1761"/>
    <w:rsid w:val="002F386B"/>
    <w:rsid w:val="003028B5"/>
    <w:rsid w:val="00307901"/>
    <w:rsid w:val="00307B31"/>
    <w:rsid w:val="003108A3"/>
    <w:rsid w:val="003171BC"/>
    <w:rsid w:val="00320F99"/>
    <w:rsid w:val="00321470"/>
    <w:rsid w:val="00336CBB"/>
    <w:rsid w:val="003427C0"/>
    <w:rsid w:val="00344930"/>
    <w:rsid w:val="00346162"/>
    <w:rsid w:val="00346770"/>
    <w:rsid w:val="00347C97"/>
    <w:rsid w:val="00350207"/>
    <w:rsid w:val="00350B68"/>
    <w:rsid w:val="003554C3"/>
    <w:rsid w:val="00357359"/>
    <w:rsid w:val="00357EFC"/>
    <w:rsid w:val="0036427A"/>
    <w:rsid w:val="0036498E"/>
    <w:rsid w:val="003653A0"/>
    <w:rsid w:val="003673E4"/>
    <w:rsid w:val="003675F5"/>
    <w:rsid w:val="00367B21"/>
    <w:rsid w:val="003702D8"/>
    <w:rsid w:val="00376D4B"/>
    <w:rsid w:val="003777B7"/>
    <w:rsid w:val="00381935"/>
    <w:rsid w:val="00383142"/>
    <w:rsid w:val="00384F5E"/>
    <w:rsid w:val="003936A7"/>
    <w:rsid w:val="00396CCC"/>
    <w:rsid w:val="003A17BB"/>
    <w:rsid w:val="003A3305"/>
    <w:rsid w:val="003A4D2E"/>
    <w:rsid w:val="003A7F20"/>
    <w:rsid w:val="003B5524"/>
    <w:rsid w:val="003B6D3D"/>
    <w:rsid w:val="003C168B"/>
    <w:rsid w:val="003C30FC"/>
    <w:rsid w:val="003C61E6"/>
    <w:rsid w:val="003C6B05"/>
    <w:rsid w:val="003D16B0"/>
    <w:rsid w:val="003D4D98"/>
    <w:rsid w:val="003E69C2"/>
    <w:rsid w:val="003E77B7"/>
    <w:rsid w:val="003F57B3"/>
    <w:rsid w:val="003F6CF2"/>
    <w:rsid w:val="003F7915"/>
    <w:rsid w:val="00401AB1"/>
    <w:rsid w:val="004070E3"/>
    <w:rsid w:val="0041557F"/>
    <w:rsid w:val="00416004"/>
    <w:rsid w:val="00417186"/>
    <w:rsid w:val="00421478"/>
    <w:rsid w:val="004249B5"/>
    <w:rsid w:val="00425C87"/>
    <w:rsid w:val="00427107"/>
    <w:rsid w:val="004277F6"/>
    <w:rsid w:val="00434C3D"/>
    <w:rsid w:val="00435014"/>
    <w:rsid w:val="004350C0"/>
    <w:rsid w:val="00435CB5"/>
    <w:rsid w:val="004408B9"/>
    <w:rsid w:val="00446BA8"/>
    <w:rsid w:val="00462E10"/>
    <w:rsid w:val="0046621B"/>
    <w:rsid w:val="00466456"/>
    <w:rsid w:val="00467C26"/>
    <w:rsid w:val="004712B0"/>
    <w:rsid w:val="004721B6"/>
    <w:rsid w:val="0047220E"/>
    <w:rsid w:val="00474C2E"/>
    <w:rsid w:val="00477045"/>
    <w:rsid w:val="0047748E"/>
    <w:rsid w:val="00480F08"/>
    <w:rsid w:val="0048511D"/>
    <w:rsid w:val="0048539C"/>
    <w:rsid w:val="00492C88"/>
    <w:rsid w:val="00494136"/>
    <w:rsid w:val="00495132"/>
    <w:rsid w:val="004A6529"/>
    <w:rsid w:val="004A7AD0"/>
    <w:rsid w:val="004A7B2C"/>
    <w:rsid w:val="004B1037"/>
    <w:rsid w:val="004B20FD"/>
    <w:rsid w:val="004B2A8E"/>
    <w:rsid w:val="004C6F06"/>
    <w:rsid w:val="004D008F"/>
    <w:rsid w:val="004E4040"/>
    <w:rsid w:val="0050144F"/>
    <w:rsid w:val="005020F8"/>
    <w:rsid w:val="00503C45"/>
    <w:rsid w:val="00503D31"/>
    <w:rsid w:val="005076AF"/>
    <w:rsid w:val="00510706"/>
    <w:rsid w:val="00510DF4"/>
    <w:rsid w:val="00511E53"/>
    <w:rsid w:val="00512733"/>
    <w:rsid w:val="005139DE"/>
    <w:rsid w:val="00515065"/>
    <w:rsid w:val="00521527"/>
    <w:rsid w:val="00532E71"/>
    <w:rsid w:val="005341B5"/>
    <w:rsid w:val="00535730"/>
    <w:rsid w:val="005409B7"/>
    <w:rsid w:val="00541879"/>
    <w:rsid w:val="00543DDF"/>
    <w:rsid w:val="00545149"/>
    <w:rsid w:val="005518C6"/>
    <w:rsid w:val="00551C77"/>
    <w:rsid w:val="00563342"/>
    <w:rsid w:val="005659CD"/>
    <w:rsid w:val="005663F1"/>
    <w:rsid w:val="0057210F"/>
    <w:rsid w:val="005732B4"/>
    <w:rsid w:val="00574DC5"/>
    <w:rsid w:val="00576EDE"/>
    <w:rsid w:val="00582D1A"/>
    <w:rsid w:val="00584554"/>
    <w:rsid w:val="00590E25"/>
    <w:rsid w:val="005A060E"/>
    <w:rsid w:val="005A145D"/>
    <w:rsid w:val="005C366B"/>
    <w:rsid w:val="005C5DA8"/>
    <w:rsid w:val="005C747D"/>
    <w:rsid w:val="005D1C35"/>
    <w:rsid w:val="005D295B"/>
    <w:rsid w:val="005D4E65"/>
    <w:rsid w:val="005E7011"/>
    <w:rsid w:val="005F728A"/>
    <w:rsid w:val="005F7E01"/>
    <w:rsid w:val="00602EFF"/>
    <w:rsid w:val="006101E3"/>
    <w:rsid w:val="006224FE"/>
    <w:rsid w:val="006236C9"/>
    <w:rsid w:val="00631249"/>
    <w:rsid w:val="00633BB2"/>
    <w:rsid w:val="006344E9"/>
    <w:rsid w:val="00637F87"/>
    <w:rsid w:val="006507F1"/>
    <w:rsid w:val="00652A44"/>
    <w:rsid w:val="00654031"/>
    <w:rsid w:val="006646E5"/>
    <w:rsid w:val="00666CDB"/>
    <w:rsid w:val="00666FB8"/>
    <w:rsid w:val="00670888"/>
    <w:rsid w:val="00672D70"/>
    <w:rsid w:val="00673C41"/>
    <w:rsid w:val="0067533D"/>
    <w:rsid w:val="00680AD3"/>
    <w:rsid w:val="006843F0"/>
    <w:rsid w:val="00685F3A"/>
    <w:rsid w:val="00687DDD"/>
    <w:rsid w:val="00690B18"/>
    <w:rsid w:val="006911E0"/>
    <w:rsid w:val="00691E4B"/>
    <w:rsid w:val="006A04EB"/>
    <w:rsid w:val="006A2EAC"/>
    <w:rsid w:val="006A7E68"/>
    <w:rsid w:val="006B001B"/>
    <w:rsid w:val="006B39D1"/>
    <w:rsid w:val="006B3A29"/>
    <w:rsid w:val="006B75D0"/>
    <w:rsid w:val="006C0995"/>
    <w:rsid w:val="006C0EB8"/>
    <w:rsid w:val="006C4777"/>
    <w:rsid w:val="006C4FA8"/>
    <w:rsid w:val="006D2721"/>
    <w:rsid w:val="006D6AEB"/>
    <w:rsid w:val="006E4388"/>
    <w:rsid w:val="006E6924"/>
    <w:rsid w:val="006E6E4C"/>
    <w:rsid w:val="006F0470"/>
    <w:rsid w:val="006F1B5B"/>
    <w:rsid w:val="006F35DD"/>
    <w:rsid w:val="006F3B41"/>
    <w:rsid w:val="006F651E"/>
    <w:rsid w:val="0070048D"/>
    <w:rsid w:val="00702896"/>
    <w:rsid w:val="007119B4"/>
    <w:rsid w:val="007155C8"/>
    <w:rsid w:val="0071605E"/>
    <w:rsid w:val="0073095A"/>
    <w:rsid w:val="00731E29"/>
    <w:rsid w:val="0073304C"/>
    <w:rsid w:val="007363FA"/>
    <w:rsid w:val="00736833"/>
    <w:rsid w:val="0073691D"/>
    <w:rsid w:val="00745372"/>
    <w:rsid w:val="0074686C"/>
    <w:rsid w:val="007524B1"/>
    <w:rsid w:val="007569A8"/>
    <w:rsid w:val="00761117"/>
    <w:rsid w:val="00766F6E"/>
    <w:rsid w:val="00772F5E"/>
    <w:rsid w:val="007772BD"/>
    <w:rsid w:val="007818D6"/>
    <w:rsid w:val="007872A1"/>
    <w:rsid w:val="007912E8"/>
    <w:rsid w:val="00792A7F"/>
    <w:rsid w:val="007964AF"/>
    <w:rsid w:val="00797AF6"/>
    <w:rsid w:val="007A1828"/>
    <w:rsid w:val="007A34B8"/>
    <w:rsid w:val="007A3F2D"/>
    <w:rsid w:val="007A67E0"/>
    <w:rsid w:val="007B43A2"/>
    <w:rsid w:val="007B6902"/>
    <w:rsid w:val="007C1355"/>
    <w:rsid w:val="007C1BAC"/>
    <w:rsid w:val="007D3FE2"/>
    <w:rsid w:val="007D79CE"/>
    <w:rsid w:val="007D7E05"/>
    <w:rsid w:val="007E09C3"/>
    <w:rsid w:val="007E0E7C"/>
    <w:rsid w:val="007E5818"/>
    <w:rsid w:val="007E6F54"/>
    <w:rsid w:val="007F0F42"/>
    <w:rsid w:val="007F3DA0"/>
    <w:rsid w:val="008013A2"/>
    <w:rsid w:val="00810280"/>
    <w:rsid w:val="008173AF"/>
    <w:rsid w:val="008202BF"/>
    <w:rsid w:val="00836531"/>
    <w:rsid w:val="00862FE7"/>
    <w:rsid w:val="00864206"/>
    <w:rsid w:val="008665F2"/>
    <w:rsid w:val="00867319"/>
    <w:rsid w:val="0087133A"/>
    <w:rsid w:val="008767B9"/>
    <w:rsid w:val="0088239F"/>
    <w:rsid w:val="008A591F"/>
    <w:rsid w:val="008A5E5C"/>
    <w:rsid w:val="008A6268"/>
    <w:rsid w:val="008B193D"/>
    <w:rsid w:val="008C223D"/>
    <w:rsid w:val="008C22E5"/>
    <w:rsid w:val="008D2926"/>
    <w:rsid w:val="008E73ED"/>
    <w:rsid w:val="008F21FF"/>
    <w:rsid w:val="008F3C4F"/>
    <w:rsid w:val="008F65C3"/>
    <w:rsid w:val="00906E7B"/>
    <w:rsid w:val="00907C24"/>
    <w:rsid w:val="00910BA6"/>
    <w:rsid w:val="00910EE5"/>
    <w:rsid w:val="009113E4"/>
    <w:rsid w:val="00911A99"/>
    <w:rsid w:val="0092400C"/>
    <w:rsid w:val="00924D28"/>
    <w:rsid w:val="00925D54"/>
    <w:rsid w:val="009304FD"/>
    <w:rsid w:val="009319DE"/>
    <w:rsid w:val="00933619"/>
    <w:rsid w:val="0093443E"/>
    <w:rsid w:val="00953569"/>
    <w:rsid w:val="00954732"/>
    <w:rsid w:val="00957DF7"/>
    <w:rsid w:val="00961E12"/>
    <w:rsid w:val="00970BE6"/>
    <w:rsid w:val="009728A0"/>
    <w:rsid w:val="00973C11"/>
    <w:rsid w:val="00974FD0"/>
    <w:rsid w:val="009756D0"/>
    <w:rsid w:val="00976C4F"/>
    <w:rsid w:val="00977004"/>
    <w:rsid w:val="00980787"/>
    <w:rsid w:val="00981E34"/>
    <w:rsid w:val="00983107"/>
    <w:rsid w:val="00992102"/>
    <w:rsid w:val="00997462"/>
    <w:rsid w:val="009A0F25"/>
    <w:rsid w:val="009B0348"/>
    <w:rsid w:val="009B0CB0"/>
    <w:rsid w:val="009B281B"/>
    <w:rsid w:val="009B4D35"/>
    <w:rsid w:val="009B786F"/>
    <w:rsid w:val="009C2086"/>
    <w:rsid w:val="009D427F"/>
    <w:rsid w:val="009D5D7D"/>
    <w:rsid w:val="009E34E0"/>
    <w:rsid w:val="009F2E92"/>
    <w:rsid w:val="009F3846"/>
    <w:rsid w:val="009F7805"/>
    <w:rsid w:val="00A01291"/>
    <w:rsid w:val="00A01429"/>
    <w:rsid w:val="00A07867"/>
    <w:rsid w:val="00A10E40"/>
    <w:rsid w:val="00A12745"/>
    <w:rsid w:val="00A14D2E"/>
    <w:rsid w:val="00A151C1"/>
    <w:rsid w:val="00A15E28"/>
    <w:rsid w:val="00A1702E"/>
    <w:rsid w:val="00A208E0"/>
    <w:rsid w:val="00A20F8D"/>
    <w:rsid w:val="00A335D6"/>
    <w:rsid w:val="00A377DF"/>
    <w:rsid w:val="00A4169A"/>
    <w:rsid w:val="00A434C4"/>
    <w:rsid w:val="00A45247"/>
    <w:rsid w:val="00A47781"/>
    <w:rsid w:val="00A53366"/>
    <w:rsid w:val="00A55105"/>
    <w:rsid w:val="00A56625"/>
    <w:rsid w:val="00A56797"/>
    <w:rsid w:val="00A56DC7"/>
    <w:rsid w:val="00A706F7"/>
    <w:rsid w:val="00A861C9"/>
    <w:rsid w:val="00A869A5"/>
    <w:rsid w:val="00A86F6D"/>
    <w:rsid w:val="00A91353"/>
    <w:rsid w:val="00A924DC"/>
    <w:rsid w:val="00A9314B"/>
    <w:rsid w:val="00A94881"/>
    <w:rsid w:val="00A97A5F"/>
    <w:rsid w:val="00AA4C85"/>
    <w:rsid w:val="00AA52E7"/>
    <w:rsid w:val="00AA5CA9"/>
    <w:rsid w:val="00AB0F8C"/>
    <w:rsid w:val="00AB260D"/>
    <w:rsid w:val="00AB6183"/>
    <w:rsid w:val="00AB6619"/>
    <w:rsid w:val="00AB6D92"/>
    <w:rsid w:val="00AB78AC"/>
    <w:rsid w:val="00AD07C9"/>
    <w:rsid w:val="00AD5AE1"/>
    <w:rsid w:val="00AE0D0A"/>
    <w:rsid w:val="00AE38CD"/>
    <w:rsid w:val="00AE4BF9"/>
    <w:rsid w:val="00AE58B1"/>
    <w:rsid w:val="00AE5D18"/>
    <w:rsid w:val="00AE6233"/>
    <w:rsid w:val="00AF4D0E"/>
    <w:rsid w:val="00B02738"/>
    <w:rsid w:val="00B0459F"/>
    <w:rsid w:val="00B05AB7"/>
    <w:rsid w:val="00B07DBB"/>
    <w:rsid w:val="00B15E53"/>
    <w:rsid w:val="00B17135"/>
    <w:rsid w:val="00B22A71"/>
    <w:rsid w:val="00B23CDC"/>
    <w:rsid w:val="00B25574"/>
    <w:rsid w:val="00B34F6F"/>
    <w:rsid w:val="00B35410"/>
    <w:rsid w:val="00B55584"/>
    <w:rsid w:val="00B62590"/>
    <w:rsid w:val="00B62D66"/>
    <w:rsid w:val="00B63D19"/>
    <w:rsid w:val="00B64BF4"/>
    <w:rsid w:val="00B6624F"/>
    <w:rsid w:val="00B670C0"/>
    <w:rsid w:val="00B72133"/>
    <w:rsid w:val="00B749B9"/>
    <w:rsid w:val="00B81D62"/>
    <w:rsid w:val="00B91D9E"/>
    <w:rsid w:val="00B922D6"/>
    <w:rsid w:val="00B94AC0"/>
    <w:rsid w:val="00BB0FDD"/>
    <w:rsid w:val="00BB27D5"/>
    <w:rsid w:val="00BC6CAC"/>
    <w:rsid w:val="00BE02B5"/>
    <w:rsid w:val="00BE0460"/>
    <w:rsid w:val="00BE1D7B"/>
    <w:rsid w:val="00BE4D2B"/>
    <w:rsid w:val="00BE6EE1"/>
    <w:rsid w:val="00BF041B"/>
    <w:rsid w:val="00BF1FF2"/>
    <w:rsid w:val="00C023C9"/>
    <w:rsid w:val="00C10622"/>
    <w:rsid w:val="00C13A4A"/>
    <w:rsid w:val="00C1691C"/>
    <w:rsid w:val="00C2144F"/>
    <w:rsid w:val="00C21EEB"/>
    <w:rsid w:val="00C224CF"/>
    <w:rsid w:val="00C23BE0"/>
    <w:rsid w:val="00C2519D"/>
    <w:rsid w:val="00C27D60"/>
    <w:rsid w:val="00C37C09"/>
    <w:rsid w:val="00C512D0"/>
    <w:rsid w:val="00C51CF3"/>
    <w:rsid w:val="00C52F55"/>
    <w:rsid w:val="00C56374"/>
    <w:rsid w:val="00C63FFC"/>
    <w:rsid w:val="00C645AF"/>
    <w:rsid w:val="00C6517A"/>
    <w:rsid w:val="00C6607D"/>
    <w:rsid w:val="00C674BC"/>
    <w:rsid w:val="00C7279F"/>
    <w:rsid w:val="00C7344E"/>
    <w:rsid w:val="00C76BB1"/>
    <w:rsid w:val="00C83DE3"/>
    <w:rsid w:val="00C84CF7"/>
    <w:rsid w:val="00C84D1D"/>
    <w:rsid w:val="00C87A9B"/>
    <w:rsid w:val="00C904C1"/>
    <w:rsid w:val="00C92194"/>
    <w:rsid w:val="00C924C7"/>
    <w:rsid w:val="00C9382A"/>
    <w:rsid w:val="00CA01DD"/>
    <w:rsid w:val="00CA30AF"/>
    <w:rsid w:val="00CA3934"/>
    <w:rsid w:val="00CA77B1"/>
    <w:rsid w:val="00CB6226"/>
    <w:rsid w:val="00CB7508"/>
    <w:rsid w:val="00CD1510"/>
    <w:rsid w:val="00CD188B"/>
    <w:rsid w:val="00CD6AB1"/>
    <w:rsid w:val="00CE0BB4"/>
    <w:rsid w:val="00CE159D"/>
    <w:rsid w:val="00CE18E3"/>
    <w:rsid w:val="00CF0C2C"/>
    <w:rsid w:val="00D039C6"/>
    <w:rsid w:val="00D06A80"/>
    <w:rsid w:val="00D15855"/>
    <w:rsid w:val="00D2145B"/>
    <w:rsid w:val="00D27B12"/>
    <w:rsid w:val="00D325A2"/>
    <w:rsid w:val="00D3744E"/>
    <w:rsid w:val="00D4002F"/>
    <w:rsid w:val="00D53B05"/>
    <w:rsid w:val="00D622CE"/>
    <w:rsid w:val="00D64B51"/>
    <w:rsid w:val="00D671F3"/>
    <w:rsid w:val="00D71CB3"/>
    <w:rsid w:val="00D74078"/>
    <w:rsid w:val="00D75129"/>
    <w:rsid w:val="00D80873"/>
    <w:rsid w:val="00D80A1E"/>
    <w:rsid w:val="00D81D4B"/>
    <w:rsid w:val="00D948D7"/>
    <w:rsid w:val="00D95692"/>
    <w:rsid w:val="00D97DB5"/>
    <w:rsid w:val="00DA1078"/>
    <w:rsid w:val="00DA445C"/>
    <w:rsid w:val="00DA7E31"/>
    <w:rsid w:val="00DB49F0"/>
    <w:rsid w:val="00DC16D6"/>
    <w:rsid w:val="00DC2A9F"/>
    <w:rsid w:val="00DC4BA9"/>
    <w:rsid w:val="00DD3D71"/>
    <w:rsid w:val="00DD42DB"/>
    <w:rsid w:val="00DD6E1B"/>
    <w:rsid w:val="00DE157C"/>
    <w:rsid w:val="00DE16F5"/>
    <w:rsid w:val="00DE49AE"/>
    <w:rsid w:val="00DE4D05"/>
    <w:rsid w:val="00DE7710"/>
    <w:rsid w:val="00DE79E1"/>
    <w:rsid w:val="00E119D6"/>
    <w:rsid w:val="00E12DB9"/>
    <w:rsid w:val="00E15BD2"/>
    <w:rsid w:val="00E15C6F"/>
    <w:rsid w:val="00E1699D"/>
    <w:rsid w:val="00E25F46"/>
    <w:rsid w:val="00E273D9"/>
    <w:rsid w:val="00E4007E"/>
    <w:rsid w:val="00E42233"/>
    <w:rsid w:val="00E43403"/>
    <w:rsid w:val="00E45B46"/>
    <w:rsid w:val="00E52100"/>
    <w:rsid w:val="00E54D1A"/>
    <w:rsid w:val="00E55518"/>
    <w:rsid w:val="00E556F0"/>
    <w:rsid w:val="00E60FEC"/>
    <w:rsid w:val="00E64730"/>
    <w:rsid w:val="00E657AE"/>
    <w:rsid w:val="00E674C7"/>
    <w:rsid w:val="00E703C6"/>
    <w:rsid w:val="00E70E60"/>
    <w:rsid w:val="00E72E35"/>
    <w:rsid w:val="00E767F8"/>
    <w:rsid w:val="00E80351"/>
    <w:rsid w:val="00E817FE"/>
    <w:rsid w:val="00EA00F6"/>
    <w:rsid w:val="00EA457E"/>
    <w:rsid w:val="00EA59D6"/>
    <w:rsid w:val="00EB08C8"/>
    <w:rsid w:val="00EB0BF3"/>
    <w:rsid w:val="00EC0FFC"/>
    <w:rsid w:val="00EC4208"/>
    <w:rsid w:val="00EE1D11"/>
    <w:rsid w:val="00EE4840"/>
    <w:rsid w:val="00EE5BEF"/>
    <w:rsid w:val="00EE78BB"/>
    <w:rsid w:val="00EF3652"/>
    <w:rsid w:val="00F0217A"/>
    <w:rsid w:val="00F06814"/>
    <w:rsid w:val="00F13760"/>
    <w:rsid w:val="00F161DD"/>
    <w:rsid w:val="00F2148B"/>
    <w:rsid w:val="00F2500E"/>
    <w:rsid w:val="00F342CF"/>
    <w:rsid w:val="00F445F9"/>
    <w:rsid w:val="00F4670B"/>
    <w:rsid w:val="00F51B9D"/>
    <w:rsid w:val="00F51FFF"/>
    <w:rsid w:val="00F547B5"/>
    <w:rsid w:val="00F57F81"/>
    <w:rsid w:val="00F67146"/>
    <w:rsid w:val="00F732BA"/>
    <w:rsid w:val="00F76FAA"/>
    <w:rsid w:val="00F92E9F"/>
    <w:rsid w:val="00F93384"/>
    <w:rsid w:val="00F96E70"/>
    <w:rsid w:val="00FA4882"/>
    <w:rsid w:val="00FA6C92"/>
    <w:rsid w:val="00FB5F5E"/>
    <w:rsid w:val="00FB779F"/>
    <w:rsid w:val="00FC2A5F"/>
    <w:rsid w:val="00FC5593"/>
    <w:rsid w:val="00FC5FAB"/>
    <w:rsid w:val="00FC6382"/>
    <w:rsid w:val="00FC7550"/>
    <w:rsid w:val="00FD103D"/>
    <w:rsid w:val="00FD2F4F"/>
    <w:rsid w:val="00FE103C"/>
    <w:rsid w:val="00FE6F11"/>
    <w:rsid w:val="00FF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7D"/>
    <w:pPr>
      <w:spacing w:before="120"/>
      <w:ind w:left="0"/>
      <w:jc w:val="left"/>
    </w:pPr>
    <w:rPr>
      <w:rFonts w:ascii="Arial" w:hAnsi="Arial" w:cs="Arial"/>
      <w:sz w:val="24"/>
      <w:szCs w:val="24"/>
    </w:rPr>
  </w:style>
  <w:style w:type="paragraph" w:styleId="Heading1">
    <w:name w:val="heading 1"/>
    <w:basedOn w:val="Normal"/>
    <w:next w:val="Normal"/>
    <w:link w:val="Heading1Char"/>
    <w:uiPriority w:val="9"/>
    <w:qFormat/>
    <w:rsid w:val="00C6607D"/>
    <w:pPr>
      <w:keepNext/>
      <w:keepLines/>
      <w:spacing w:before="24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B2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12"/>
    <w:rPr>
      <w:rFonts w:ascii="Tahoma" w:hAnsi="Tahoma" w:cs="Tahoma"/>
      <w:sz w:val="16"/>
      <w:szCs w:val="16"/>
    </w:rPr>
  </w:style>
  <w:style w:type="table" w:styleId="TableGrid">
    <w:name w:val="Table Grid"/>
    <w:basedOn w:val="TableNormal"/>
    <w:uiPriority w:val="59"/>
    <w:rsid w:val="00A20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E12"/>
  </w:style>
  <w:style w:type="paragraph" w:styleId="Footer">
    <w:name w:val="footer"/>
    <w:basedOn w:val="Normal"/>
    <w:link w:val="FooterChar"/>
    <w:uiPriority w:val="99"/>
    <w:unhideWhenUsed/>
    <w:rsid w:val="00961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E12"/>
  </w:style>
  <w:style w:type="paragraph" w:styleId="ListParagraph">
    <w:name w:val="List Paragraph"/>
    <w:basedOn w:val="Normal"/>
    <w:uiPriority w:val="34"/>
    <w:qFormat/>
    <w:rsid w:val="003108A3"/>
    <w:pPr>
      <w:ind w:left="720"/>
      <w:contextualSpacing/>
    </w:pPr>
  </w:style>
  <w:style w:type="paragraph" w:styleId="FootnoteText">
    <w:name w:val="footnote text"/>
    <w:basedOn w:val="Normal"/>
    <w:link w:val="FootnoteTextChar"/>
    <w:unhideWhenUsed/>
    <w:rsid w:val="00A12745"/>
    <w:pPr>
      <w:spacing w:after="0" w:line="240" w:lineRule="auto"/>
    </w:pPr>
    <w:rPr>
      <w:sz w:val="20"/>
      <w:szCs w:val="20"/>
    </w:rPr>
  </w:style>
  <w:style w:type="character" w:customStyle="1" w:styleId="FootnoteTextChar">
    <w:name w:val="Footnote Text Char"/>
    <w:basedOn w:val="DefaultParagraphFont"/>
    <w:link w:val="FootnoteText"/>
    <w:uiPriority w:val="99"/>
    <w:rsid w:val="00A12745"/>
    <w:rPr>
      <w:sz w:val="20"/>
      <w:szCs w:val="20"/>
    </w:rPr>
  </w:style>
  <w:style w:type="character" w:styleId="FootnoteReference">
    <w:name w:val="footnote reference"/>
    <w:basedOn w:val="DefaultParagraphFont"/>
    <w:semiHidden/>
    <w:unhideWhenUsed/>
    <w:rsid w:val="00A12745"/>
    <w:rPr>
      <w:vertAlign w:val="superscript"/>
    </w:rPr>
  </w:style>
  <w:style w:type="table" w:customStyle="1" w:styleId="LightShading1">
    <w:name w:val="Light Shading1"/>
    <w:basedOn w:val="TableNormal"/>
    <w:uiPriority w:val="60"/>
    <w:rsid w:val="00CE0B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23CDC"/>
    <w:pPr>
      <w:spacing w:after="0"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002F"/>
    <w:pPr>
      <w:spacing w:after="0" w:line="240" w:lineRule="auto"/>
    </w:pPr>
    <w:rPr>
      <w:rFonts w:eastAsia="Times New Roman" w:cs="Times New Roman"/>
      <w:i/>
      <w:color w:val="000000"/>
      <w:szCs w:val="20"/>
    </w:rPr>
  </w:style>
  <w:style w:type="character" w:customStyle="1" w:styleId="BodyTextChar">
    <w:name w:val="Body Text Char"/>
    <w:basedOn w:val="DefaultParagraphFont"/>
    <w:link w:val="BodyText"/>
    <w:rsid w:val="00D4002F"/>
    <w:rPr>
      <w:rFonts w:ascii="Arial" w:eastAsia="Times New Roman" w:hAnsi="Arial" w:cs="Times New Roman"/>
      <w:i/>
      <w:color w:val="000000"/>
      <w:szCs w:val="20"/>
    </w:rPr>
  </w:style>
  <w:style w:type="paragraph" w:styleId="BodyText2">
    <w:name w:val="Body Text 2"/>
    <w:basedOn w:val="Normal"/>
    <w:link w:val="BodyText2Char"/>
    <w:uiPriority w:val="99"/>
    <w:unhideWhenUsed/>
    <w:rsid w:val="00D4002F"/>
    <w:pPr>
      <w:spacing w:line="480" w:lineRule="auto"/>
    </w:pPr>
  </w:style>
  <w:style w:type="character" w:customStyle="1" w:styleId="BodyText2Char">
    <w:name w:val="Body Text 2 Char"/>
    <w:basedOn w:val="DefaultParagraphFont"/>
    <w:link w:val="BodyText2"/>
    <w:uiPriority w:val="99"/>
    <w:rsid w:val="00D4002F"/>
  </w:style>
  <w:style w:type="character" w:styleId="Hyperlink">
    <w:name w:val="Hyperlink"/>
    <w:basedOn w:val="DefaultParagraphFont"/>
    <w:uiPriority w:val="99"/>
    <w:unhideWhenUsed/>
    <w:rsid w:val="00FB5F5E"/>
    <w:rPr>
      <w:color w:val="0000FF" w:themeColor="hyperlink"/>
      <w:u w:val="single"/>
    </w:rPr>
  </w:style>
  <w:style w:type="character" w:customStyle="1" w:styleId="slug-pages3">
    <w:name w:val="slug-pages3"/>
    <w:basedOn w:val="DefaultParagraphFont"/>
    <w:rsid w:val="00FB5F5E"/>
  </w:style>
  <w:style w:type="paragraph" w:customStyle="1" w:styleId="Default">
    <w:name w:val="Default"/>
    <w:uiPriority w:val="99"/>
    <w:rsid w:val="00FB5F5E"/>
    <w:pPr>
      <w:autoSpaceDE w:val="0"/>
      <w:autoSpaceDN w:val="0"/>
      <w:adjustRightInd w:val="0"/>
      <w:spacing w:after="0" w:line="240" w:lineRule="auto"/>
      <w:ind w:left="0"/>
      <w:jc w:val="left"/>
    </w:pPr>
    <w:rPr>
      <w:rFonts w:ascii="Cambria" w:eastAsia="Times New Roman" w:hAnsi="Cambria" w:cs="Cambria"/>
      <w:color w:val="000000"/>
      <w:sz w:val="24"/>
      <w:szCs w:val="24"/>
      <w:lang w:val="en-US"/>
    </w:rPr>
  </w:style>
  <w:style w:type="paragraph" w:customStyle="1" w:styleId="HeadingBase">
    <w:name w:val="Heading Base"/>
    <w:basedOn w:val="Normal"/>
    <w:next w:val="BodyText"/>
    <w:rsid w:val="00A97A5F"/>
    <w:pPr>
      <w:keepNext/>
      <w:keepLines/>
      <w:spacing w:after="0" w:line="220" w:lineRule="atLeast"/>
    </w:pPr>
    <w:rPr>
      <w:rFonts w:ascii="Arial Black" w:eastAsia="Times New Roman" w:hAnsi="Arial Black" w:cs="Times New Roman"/>
      <w:spacing w:val="-10"/>
      <w:kern w:val="20"/>
      <w:szCs w:val="20"/>
    </w:rPr>
  </w:style>
  <w:style w:type="paragraph" w:styleId="NormalWeb">
    <w:name w:val="Normal (Web)"/>
    <w:basedOn w:val="Normal"/>
    <w:uiPriority w:val="99"/>
    <w:rsid w:val="00A97A5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QuotesforPart2">
    <w:name w:val="Quotes for Part 2"/>
    <w:basedOn w:val="Normal"/>
    <w:link w:val="QuotesforPart2Char"/>
    <w:qFormat/>
    <w:rsid w:val="00A97A5F"/>
    <w:pPr>
      <w:autoSpaceDE w:val="0"/>
      <w:autoSpaceDN w:val="0"/>
      <w:adjustRightInd w:val="0"/>
      <w:spacing w:after="0" w:line="240" w:lineRule="auto"/>
      <w:ind w:left="284" w:right="284"/>
      <w:jc w:val="center"/>
    </w:pPr>
    <w:rPr>
      <w:rFonts w:ascii="Times New Roman" w:hAnsi="Times New Roman" w:cs="Times New Roman"/>
      <w:i/>
    </w:rPr>
  </w:style>
  <w:style w:type="character" w:customStyle="1" w:styleId="QuotesforPart2Char">
    <w:name w:val="Quotes for Part 2 Char"/>
    <w:basedOn w:val="DefaultParagraphFont"/>
    <w:link w:val="QuotesforPart2"/>
    <w:rsid w:val="00A97A5F"/>
    <w:rPr>
      <w:rFonts w:ascii="Times New Roman" w:hAnsi="Times New Roman" w:cs="Times New Roman"/>
      <w:i/>
      <w:sz w:val="24"/>
      <w:szCs w:val="24"/>
    </w:rPr>
  </w:style>
  <w:style w:type="paragraph" w:styleId="PlainText">
    <w:name w:val="Plain Text"/>
    <w:basedOn w:val="Normal"/>
    <w:link w:val="PlainTextChar"/>
    <w:uiPriority w:val="99"/>
    <w:unhideWhenUsed/>
    <w:rsid w:val="001566BE"/>
    <w:pPr>
      <w:spacing w:after="0" w:line="240" w:lineRule="auto"/>
    </w:pPr>
    <w:rPr>
      <w:rFonts w:ascii="Calibri" w:hAnsi="Calibri"/>
      <w:szCs w:val="21"/>
      <w:lang w:val="en-IE"/>
    </w:rPr>
  </w:style>
  <w:style w:type="character" w:customStyle="1" w:styleId="PlainTextChar">
    <w:name w:val="Plain Text Char"/>
    <w:basedOn w:val="DefaultParagraphFont"/>
    <w:link w:val="PlainText"/>
    <w:uiPriority w:val="99"/>
    <w:rsid w:val="001566BE"/>
    <w:rPr>
      <w:rFonts w:ascii="Calibri" w:hAnsi="Calibri"/>
      <w:szCs w:val="21"/>
      <w:lang w:val="en-IE"/>
    </w:rPr>
  </w:style>
  <w:style w:type="character" w:styleId="CommentReference">
    <w:name w:val="annotation reference"/>
    <w:basedOn w:val="DefaultParagraphFont"/>
    <w:uiPriority w:val="99"/>
    <w:semiHidden/>
    <w:unhideWhenUsed/>
    <w:rsid w:val="001566BE"/>
    <w:rPr>
      <w:sz w:val="18"/>
      <w:szCs w:val="18"/>
    </w:rPr>
  </w:style>
  <w:style w:type="paragraph" w:styleId="CommentText">
    <w:name w:val="annotation text"/>
    <w:basedOn w:val="Normal"/>
    <w:link w:val="CommentTextChar"/>
    <w:uiPriority w:val="99"/>
    <w:semiHidden/>
    <w:unhideWhenUsed/>
    <w:rsid w:val="001566BE"/>
    <w:pPr>
      <w:spacing w:after="200" w:line="240" w:lineRule="auto"/>
    </w:pPr>
    <w:rPr>
      <w:rFonts w:eastAsiaTheme="minorEastAsia"/>
      <w:lang w:val="en-IE" w:eastAsia="zh-CN" w:bidi="he-IL"/>
    </w:rPr>
  </w:style>
  <w:style w:type="character" w:customStyle="1" w:styleId="CommentTextChar">
    <w:name w:val="Comment Text Char"/>
    <w:basedOn w:val="DefaultParagraphFont"/>
    <w:link w:val="CommentText"/>
    <w:uiPriority w:val="99"/>
    <w:semiHidden/>
    <w:rsid w:val="001566BE"/>
    <w:rPr>
      <w:rFonts w:eastAsiaTheme="minorEastAsia"/>
      <w:sz w:val="24"/>
      <w:szCs w:val="24"/>
      <w:lang w:val="en-IE" w:eastAsia="zh-CN" w:bidi="he-IL"/>
    </w:rPr>
  </w:style>
  <w:style w:type="paragraph" w:customStyle="1" w:styleId="QuoteGenio">
    <w:name w:val="Quote Genio"/>
    <w:basedOn w:val="Normal"/>
    <w:link w:val="QuoteGenioChar"/>
    <w:qFormat/>
    <w:rsid w:val="001566BE"/>
    <w:pPr>
      <w:spacing w:line="240" w:lineRule="auto"/>
      <w:ind w:left="284" w:right="284"/>
    </w:pPr>
    <w:rPr>
      <w:rFonts w:ascii="Arial Narrow" w:hAnsi="Arial Narrow"/>
    </w:rPr>
  </w:style>
  <w:style w:type="paragraph" w:customStyle="1" w:styleId="Geniomaintext">
    <w:name w:val="Genio main text"/>
    <w:basedOn w:val="Normal"/>
    <w:link w:val="GeniomaintextChar"/>
    <w:qFormat/>
    <w:rsid w:val="001566BE"/>
    <w:pPr>
      <w:spacing w:line="240" w:lineRule="auto"/>
    </w:pPr>
  </w:style>
  <w:style w:type="character" w:customStyle="1" w:styleId="QuoteGenioChar">
    <w:name w:val="Quote Genio Char"/>
    <w:basedOn w:val="DefaultParagraphFont"/>
    <w:link w:val="QuoteGenio"/>
    <w:rsid w:val="001566BE"/>
    <w:rPr>
      <w:rFonts w:ascii="Arial Narrow" w:hAnsi="Arial Narrow" w:cs="Arial"/>
      <w:sz w:val="24"/>
      <w:szCs w:val="24"/>
    </w:rPr>
  </w:style>
  <w:style w:type="character" w:customStyle="1" w:styleId="GeniomaintextChar">
    <w:name w:val="Genio main text Char"/>
    <w:basedOn w:val="DefaultParagraphFont"/>
    <w:link w:val="Geniomaintext"/>
    <w:rsid w:val="001566BE"/>
    <w:rPr>
      <w:rFonts w:ascii="Arial" w:hAnsi="Arial" w:cs="Arial"/>
      <w:sz w:val="24"/>
      <w:szCs w:val="24"/>
    </w:rPr>
  </w:style>
  <w:style w:type="paragraph" w:customStyle="1" w:styleId="Quoteforcostings">
    <w:name w:val="Quote for costings"/>
    <w:basedOn w:val="Normal"/>
    <w:link w:val="QuoteforcostingsChar"/>
    <w:qFormat/>
    <w:rsid w:val="00C6607D"/>
    <w:pPr>
      <w:spacing w:after="240" w:line="240" w:lineRule="auto"/>
      <w:ind w:left="284" w:right="284"/>
    </w:pPr>
    <w:rPr>
      <w:rFonts w:ascii="Arial Narrow" w:hAnsi="Arial Narrow"/>
    </w:rPr>
  </w:style>
  <w:style w:type="character" w:customStyle="1" w:styleId="QuoteforcostingsChar">
    <w:name w:val="Quote for costings Char"/>
    <w:basedOn w:val="DefaultParagraphFont"/>
    <w:link w:val="Quoteforcostings"/>
    <w:rsid w:val="00C6607D"/>
    <w:rPr>
      <w:rFonts w:ascii="Arial Narrow" w:hAnsi="Arial Narrow" w:cs="Arial"/>
      <w:sz w:val="24"/>
      <w:szCs w:val="24"/>
    </w:rPr>
  </w:style>
  <w:style w:type="paragraph" w:customStyle="1" w:styleId="Quoteforrelatives">
    <w:name w:val="Quote for relatives"/>
    <w:basedOn w:val="Normal"/>
    <w:link w:val="QuoteforrelativesChar"/>
    <w:qFormat/>
    <w:rsid w:val="00FA6C92"/>
    <w:pPr>
      <w:spacing w:line="240" w:lineRule="auto"/>
      <w:ind w:left="284" w:right="284"/>
    </w:pPr>
    <w:rPr>
      <w:rFonts w:ascii="Arial Narrow" w:hAnsi="Arial Narrow"/>
    </w:rPr>
  </w:style>
  <w:style w:type="character" w:customStyle="1" w:styleId="QuoteforrelativesChar">
    <w:name w:val="Quote for relatives Char"/>
    <w:basedOn w:val="DefaultParagraphFont"/>
    <w:link w:val="Quoteforrelatives"/>
    <w:rsid w:val="00FA6C92"/>
    <w:rPr>
      <w:rFonts w:ascii="Arial Narrow" w:hAnsi="Arial Narrow"/>
    </w:rPr>
  </w:style>
  <w:style w:type="paragraph" w:styleId="Title">
    <w:name w:val="Title"/>
    <w:basedOn w:val="Default"/>
    <w:next w:val="Default"/>
    <w:link w:val="TitleChar"/>
    <w:uiPriority w:val="99"/>
    <w:qFormat/>
    <w:rsid w:val="00997462"/>
    <w:rPr>
      <w:rFonts w:ascii="Arial" w:eastAsiaTheme="minorHAnsi" w:hAnsi="Arial" w:cs="Arial"/>
      <w:color w:val="auto"/>
      <w:lang w:val="en-GB"/>
    </w:rPr>
  </w:style>
  <w:style w:type="character" w:customStyle="1" w:styleId="TitleChar">
    <w:name w:val="Title Char"/>
    <w:basedOn w:val="DefaultParagraphFont"/>
    <w:link w:val="Title"/>
    <w:uiPriority w:val="99"/>
    <w:rsid w:val="00997462"/>
    <w:rPr>
      <w:rFonts w:ascii="Arial" w:hAnsi="Arial" w:cs="Arial"/>
      <w:sz w:val="24"/>
      <w:szCs w:val="24"/>
    </w:rPr>
  </w:style>
  <w:style w:type="character" w:customStyle="1" w:styleId="Heading1Char">
    <w:name w:val="Heading 1 Char"/>
    <w:basedOn w:val="DefaultParagraphFont"/>
    <w:link w:val="Heading1"/>
    <w:uiPriority w:val="9"/>
    <w:rsid w:val="00C6607D"/>
    <w:rPr>
      <w:rFonts w:ascii="Arial" w:eastAsiaTheme="majorEastAsia" w:hAnsi="Arial" w:cs="Arial"/>
      <w:b/>
      <w:bCs/>
      <w:sz w:val="28"/>
      <w:szCs w:val="28"/>
    </w:rPr>
  </w:style>
  <w:style w:type="character" w:customStyle="1" w:styleId="a-size-large">
    <w:name w:val="a-size-large"/>
    <w:basedOn w:val="DefaultParagraphFont"/>
    <w:rsid w:val="00AB260D"/>
  </w:style>
  <w:style w:type="character" w:customStyle="1" w:styleId="maintitle">
    <w:name w:val="maintitle"/>
    <w:basedOn w:val="DefaultParagraphFont"/>
    <w:rsid w:val="00AB260D"/>
  </w:style>
  <w:style w:type="character" w:customStyle="1" w:styleId="apple-converted-space">
    <w:name w:val="apple-converted-space"/>
    <w:basedOn w:val="DefaultParagraphFont"/>
    <w:rsid w:val="00AB260D"/>
  </w:style>
  <w:style w:type="character" w:customStyle="1" w:styleId="Heading2Char">
    <w:name w:val="Heading 2 Char"/>
    <w:basedOn w:val="DefaultParagraphFont"/>
    <w:link w:val="Heading2"/>
    <w:uiPriority w:val="9"/>
    <w:rsid w:val="00AB260D"/>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AB260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AB6619"/>
    <w:rPr>
      <w:rFonts w:asciiTheme="majorHAnsi" w:eastAsiaTheme="majorEastAsia" w:hAnsiTheme="majorHAnsi" w:cstheme="majorBidi"/>
      <w:b/>
      <w:bCs/>
      <w:color w:val="4F81BD" w:themeColor="accent1"/>
      <w:sz w:val="24"/>
      <w:szCs w:val="24"/>
    </w:rPr>
  </w:style>
  <w:style w:type="table" w:customStyle="1" w:styleId="Calendar1">
    <w:name w:val="Calendar 1"/>
    <w:basedOn w:val="TableNormal"/>
    <w:uiPriority w:val="99"/>
    <w:qFormat/>
    <w:rsid w:val="00FF6866"/>
    <w:pPr>
      <w:spacing w:after="0" w:line="240" w:lineRule="auto"/>
      <w:ind w:left="0"/>
      <w:jc w:val="left"/>
    </w:pPr>
    <w:rPr>
      <w:rFonts w:eastAsiaTheme="minorEastAsia"/>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articlecategory">
    <w:name w:val="articlecategory"/>
    <w:basedOn w:val="Normal"/>
    <w:rsid w:val="007A67E0"/>
    <w:pPr>
      <w:spacing w:before="100" w:beforeAutospacing="1" w:after="100" w:afterAutospacing="1" w:line="240" w:lineRule="auto"/>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9113E4"/>
    <w:rPr>
      <w:i/>
      <w:iCs/>
    </w:rPr>
  </w:style>
  <w:style w:type="character" w:customStyle="1" w:styleId="slug-pub-date">
    <w:name w:val="slug-pub-date"/>
    <w:basedOn w:val="DefaultParagraphFont"/>
    <w:rsid w:val="009113E4"/>
  </w:style>
  <w:style w:type="character" w:customStyle="1" w:styleId="slug-vol">
    <w:name w:val="slug-vol"/>
    <w:basedOn w:val="DefaultParagraphFont"/>
    <w:rsid w:val="009113E4"/>
  </w:style>
  <w:style w:type="character" w:customStyle="1" w:styleId="cit-sep">
    <w:name w:val="cit-sep"/>
    <w:basedOn w:val="DefaultParagraphFont"/>
    <w:rsid w:val="009113E4"/>
  </w:style>
  <w:style w:type="character" w:customStyle="1" w:styleId="slug-pages">
    <w:name w:val="slug-pages"/>
    <w:basedOn w:val="DefaultParagraphFont"/>
    <w:rsid w:val="009113E4"/>
  </w:style>
  <w:style w:type="character" w:customStyle="1" w:styleId="slug-doi">
    <w:name w:val="slug-doi"/>
    <w:basedOn w:val="DefaultParagraphFont"/>
    <w:rsid w:val="009113E4"/>
  </w:style>
  <w:style w:type="character" w:customStyle="1" w:styleId="name">
    <w:name w:val="name"/>
    <w:basedOn w:val="DefaultParagraphFont"/>
    <w:rsid w:val="0091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7D"/>
    <w:pPr>
      <w:spacing w:before="120"/>
      <w:ind w:left="0"/>
      <w:jc w:val="left"/>
    </w:pPr>
    <w:rPr>
      <w:rFonts w:ascii="Arial" w:hAnsi="Arial" w:cs="Arial"/>
      <w:sz w:val="24"/>
      <w:szCs w:val="24"/>
    </w:rPr>
  </w:style>
  <w:style w:type="paragraph" w:styleId="Heading1">
    <w:name w:val="heading 1"/>
    <w:basedOn w:val="Normal"/>
    <w:next w:val="Normal"/>
    <w:link w:val="Heading1Char"/>
    <w:uiPriority w:val="9"/>
    <w:qFormat/>
    <w:rsid w:val="00C6607D"/>
    <w:pPr>
      <w:keepNext/>
      <w:keepLines/>
      <w:spacing w:before="24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B2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12"/>
    <w:rPr>
      <w:rFonts w:ascii="Tahoma" w:hAnsi="Tahoma" w:cs="Tahoma"/>
      <w:sz w:val="16"/>
      <w:szCs w:val="16"/>
    </w:rPr>
  </w:style>
  <w:style w:type="table" w:styleId="TableGrid">
    <w:name w:val="Table Grid"/>
    <w:basedOn w:val="TableNormal"/>
    <w:uiPriority w:val="59"/>
    <w:rsid w:val="00A20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E12"/>
  </w:style>
  <w:style w:type="paragraph" w:styleId="Footer">
    <w:name w:val="footer"/>
    <w:basedOn w:val="Normal"/>
    <w:link w:val="FooterChar"/>
    <w:uiPriority w:val="99"/>
    <w:unhideWhenUsed/>
    <w:rsid w:val="00961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E12"/>
  </w:style>
  <w:style w:type="paragraph" w:styleId="ListParagraph">
    <w:name w:val="List Paragraph"/>
    <w:basedOn w:val="Normal"/>
    <w:uiPriority w:val="34"/>
    <w:qFormat/>
    <w:rsid w:val="003108A3"/>
    <w:pPr>
      <w:ind w:left="720"/>
      <w:contextualSpacing/>
    </w:pPr>
  </w:style>
  <w:style w:type="paragraph" w:styleId="FootnoteText">
    <w:name w:val="footnote text"/>
    <w:basedOn w:val="Normal"/>
    <w:link w:val="FootnoteTextChar"/>
    <w:unhideWhenUsed/>
    <w:rsid w:val="00A12745"/>
    <w:pPr>
      <w:spacing w:after="0" w:line="240" w:lineRule="auto"/>
    </w:pPr>
    <w:rPr>
      <w:sz w:val="20"/>
      <w:szCs w:val="20"/>
    </w:rPr>
  </w:style>
  <w:style w:type="character" w:customStyle="1" w:styleId="FootnoteTextChar">
    <w:name w:val="Footnote Text Char"/>
    <w:basedOn w:val="DefaultParagraphFont"/>
    <w:link w:val="FootnoteText"/>
    <w:uiPriority w:val="99"/>
    <w:rsid w:val="00A12745"/>
    <w:rPr>
      <w:sz w:val="20"/>
      <w:szCs w:val="20"/>
    </w:rPr>
  </w:style>
  <w:style w:type="character" w:styleId="FootnoteReference">
    <w:name w:val="footnote reference"/>
    <w:basedOn w:val="DefaultParagraphFont"/>
    <w:semiHidden/>
    <w:unhideWhenUsed/>
    <w:rsid w:val="00A12745"/>
    <w:rPr>
      <w:vertAlign w:val="superscript"/>
    </w:rPr>
  </w:style>
  <w:style w:type="table" w:customStyle="1" w:styleId="LightShading1">
    <w:name w:val="Light Shading1"/>
    <w:basedOn w:val="TableNormal"/>
    <w:uiPriority w:val="60"/>
    <w:rsid w:val="00CE0B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23CDC"/>
    <w:pPr>
      <w:spacing w:after="0"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002F"/>
    <w:pPr>
      <w:spacing w:after="0" w:line="240" w:lineRule="auto"/>
    </w:pPr>
    <w:rPr>
      <w:rFonts w:eastAsia="Times New Roman" w:cs="Times New Roman"/>
      <w:i/>
      <w:color w:val="000000"/>
      <w:szCs w:val="20"/>
    </w:rPr>
  </w:style>
  <w:style w:type="character" w:customStyle="1" w:styleId="BodyTextChar">
    <w:name w:val="Body Text Char"/>
    <w:basedOn w:val="DefaultParagraphFont"/>
    <w:link w:val="BodyText"/>
    <w:rsid w:val="00D4002F"/>
    <w:rPr>
      <w:rFonts w:ascii="Arial" w:eastAsia="Times New Roman" w:hAnsi="Arial" w:cs="Times New Roman"/>
      <w:i/>
      <w:color w:val="000000"/>
      <w:szCs w:val="20"/>
    </w:rPr>
  </w:style>
  <w:style w:type="paragraph" w:styleId="BodyText2">
    <w:name w:val="Body Text 2"/>
    <w:basedOn w:val="Normal"/>
    <w:link w:val="BodyText2Char"/>
    <w:uiPriority w:val="99"/>
    <w:unhideWhenUsed/>
    <w:rsid w:val="00D4002F"/>
    <w:pPr>
      <w:spacing w:line="480" w:lineRule="auto"/>
    </w:pPr>
  </w:style>
  <w:style w:type="character" w:customStyle="1" w:styleId="BodyText2Char">
    <w:name w:val="Body Text 2 Char"/>
    <w:basedOn w:val="DefaultParagraphFont"/>
    <w:link w:val="BodyText2"/>
    <w:uiPriority w:val="99"/>
    <w:rsid w:val="00D4002F"/>
  </w:style>
  <w:style w:type="character" w:styleId="Hyperlink">
    <w:name w:val="Hyperlink"/>
    <w:basedOn w:val="DefaultParagraphFont"/>
    <w:uiPriority w:val="99"/>
    <w:unhideWhenUsed/>
    <w:rsid w:val="00FB5F5E"/>
    <w:rPr>
      <w:color w:val="0000FF" w:themeColor="hyperlink"/>
      <w:u w:val="single"/>
    </w:rPr>
  </w:style>
  <w:style w:type="character" w:customStyle="1" w:styleId="slug-pages3">
    <w:name w:val="slug-pages3"/>
    <w:basedOn w:val="DefaultParagraphFont"/>
    <w:rsid w:val="00FB5F5E"/>
  </w:style>
  <w:style w:type="paragraph" w:customStyle="1" w:styleId="Default">
    <w:name w:val="Default"/>
    <w:uiPriority w:val="99"/>
    <w:rsid w:val="00FB5F5E"/>
    <w:pPr>
      <w:autoSpaceDE w:val="0"/>
      <w:autoSpaceDN w:val="0"/>
      <w:adjustRightInd w:val="0"/>
      <w:spacing w:after="0" w:line="240" w:lineRule="auto"/>
      <w:ind w:left="0"/>
      <w:jc w:val="left"/>
    </w:pPr>
    <w:rPr>
      <w:rFonts w:ascii="Cambria" w:eastAsia="Times New Roman" w:hAnsi="Cambria" w:cs="Cambria"/>
      <w:color w:val="000000"/>
      <w:sz w:val="24"/>
      <w:szCs w:val="24"/>
      <w:lang w:val="en-US"/>
    </w:rPr>
  </w:style>
  <w:style w:type="paragraph" w:customStyle="1" w:styleId="HeadingBase">
    <w:name w:val="Heading Base"/>
    <w:basedOn w:val="Normal"/>
    <w:next w:val="BodyText"/>
    <w:rsid w:val="00A97A5F"/>
    <w:pPr>
      <w:keepNext/>
      <w:keepLines/>
      <w:spacing w:after="0" w:line="220" w:lineRule="atLeast"/>
    </w:pPr>
    <w:rPr>
      <w:rFonts w:ascii="Arial Black" w:eastAsia="Times New Roman" w:hAnsi="Arial Black" w:cs="Times New Roman"/>
      <w:spacing w:val="-10"/>
      <w:kern w:val="20"/>
      <w:szCs w:val="20"/>
    </w:rPr>
  </w:style>
  <w:style w:type="paragraph" w:styleId="NormalWeb">
    <w:name w:val="Normal (Web)"/>
    <w:basedOn w:val="Normal"/>
    <w:uiPriority w:val="99"/>
    <w:rsid w:val="00A97A5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QuotesforPart2">
    <w:name w:val="Quotes for Part 2"/>
    <w:basedOn w:val="Normal"/>
    <w:link w:val="QuotesforPart2Char"/>
    <w:qFormat/>
    <w:rsid w:val="00A97A5F"/>
    <w:pPr>
      <w:autoSpaceDE w:val="0"/>
      <w:autoSpaceDN w:val="0"/>
      <w:adjustRightInd w:val="0"/>
      <w:spacing w:after="0" w:line="240" w:lineRule="auto"/>
      <w:ind w:left="284" w:right="284"/>
      <w:jc w:val="center"/>
    </w:pPr>
    <w:rPr>
      <w:rFonts w:ascii="Times New Roman" w:hAnsi="Times New Roman" w:cs="Times New Roman"/>
      <w:i/>
    </w:rPr>
  </w:style>
  <w:style w:type="character" w:customStyle="1" w:styleId="QuotesforPart2Char">
    <w:name w:val="Quotes for Part 2 Char"/>
    <w:basedOn w:val="DefaultParagraphFont"/>
    <w:link w:val="QuotesforPart2"/>
    <w:rsid w:val="00A97A5F"/>
    <w:rPr>
      <w:rFonts w:ascii="Times New Roman" w:hAnsi="Times New Roman" w:cs="Times New Roman"/>
      <w:i/>
      <w:sz w:val="24"/>
      <w:szCs w:val="24"/>
    </w:rPr>
  </w:style>
  <w:style w:type="paragraph" w:styleId="PlainText">
    <w:name w:val="Plain Text"/>
    <w:basedOn w:val="Normal"/>
    <w:link w:val="PlainTextChar"/>
    <w:uiPriority w:val="99"/>
    <w:unhideWhenUsed/>
    <w:rsid w:val="001566BE"/>
    <w:pPr>
      <w:spacing w:after="0" w:line="240" w:lineRule="auto"/>
    </w:pPr>
    <w:rPr>
      <w:rFonts w:ascii="Calibri" w:hAnsi="Calibri"/>
      <w:szCs w:val="21"/>
      <w:lang w:val="en-IE"/>
    </w:rPr>
  </w:style>
  <w:style w:type="character" w:customStyle="1" w:styleId="PlainTextChar">
    <w:name w:val="Plain Text Char"/>
    <w:basedOn w:val="DefaultParagraphFont"/>
    <w:link w:val="PlainText"/>
    <w:uiPriority w:val="99"/>
    <w:rsid w:val="001566BE"/>
    <w:rPr>
      <w:rFonts w:ascii="Calibri" w:hAnsi="Calibri"/>
      <w:szCs w:val="21"/>
      <w:lang w:val="en-IE"/>
    </w:rPr>
  </w:style>
  <w:style w:type="character" w:styleId="CommentReference">
    <w:name w:val="annotation reference"/>
    <w:basedOn w:val="DefaultParagraphFont"/>
    <w:uiPriority w:val="99"/>
    <w:semiHidden/>
    <w:unhideWhenUsed/>
    <w:rsid w:val="001566BE"/>
    <w:rPr>
      <w:sz w:val="18"/>
      <w:szCs w:val="18"/>
    </w:rPr>
  </w:style>
  <w:style w:type="paragraph" w:styleId="CommentText">
    <w:name w:val="annotation text"/>
    <w:basedOn w:val="Normal"/>
    <w:link w:val="CommentTextChar"/>
    <w:uiPriority w:val="99"/>
    <w:semiHidden/>
    <w:unhideWhenUsed/>
    <w:rsid w:val="001566BE"/>
    <w:pPr>
      <w:spacing w:after="200" w:line="240" w:lineRule="auto"/>
    </w:pPr>
    <w:rPr>
      <w:rFonts w:eastAsiaTheme="minorEastAsia"/>
      <w:lang w:val="en-IE" w:eastAsia="zh-CN" w:bidi="he-IL"/>
    </w:rPr>
  </w:style>
  <w:style w:type="character" w:customStyle="1" w:styleId="CommentTextChar">
    <w:name w:val="Comment Text Char"/>
    <w:basedOn w:val="DefaultParagraphFont"/>
    <w:link w:val="CommentText"/>
    <w:uiPriority w:val="99"/>
    <w:semiHidden/>
    <w:rsid w:val="001566BE"/>
    <w:rPr>
      <w:rFonts w:eastAsiaTheme="minorEastAsia"/>
      <w:sz w:val="24"/>
      <w:szCs w:val="24"/>
      <w:lang w:val="en-IE" w:eastAsia="zh-CN" w:bidi="he-IL"/>
    </w:rPr>
  </w:style>
  <w:style w:type="paragraph" w:customStyle="1" w:styleId="QuoteGenio">
    <w:name w:val="Quote Genio"/>
    <w:basedOn w:val="Normal"/>
    <w:link w:val="QuoteGenioChar"/>
    <w:qFormat/>
    <w:rsid w:val="001566BE"/>
    <w:pPr>
      <w:spacing w:line="240" w:lineRule="auto"/>
      <w:ind w:left="284" w:right="284"/>
    </w:pPr>
    <w:rPr>
      <w:rFonts w:ascii="Arial Narrow" w:hAnsi="Arial Narrow"/>
    </w:rPr>
  </w:style>
  <w:style w:type="paragraph" w:customStyle="1" w:styleId="Geniomaintext">
    <w:name w:val="Genio main text"/>
    <w:basedOn w:val="Normal"/>
    <w:link w:val="GeniomaintextChar"/>
    <w:qFormat/>
    <w:rsid w:val="001566BE"/>
    <w:pPr>
      <w:spacing w:line="240" w:lineRule="auto"/>
    </w:pPr>
  </w:style>
  <w:style w:type="character" w:customStyle="1" w:styleId="QuoteGenioChar">
    <w:name w:val="Quote Genio Char"/>
    <w:basedOn w:val="DefaultParagraphFont"/>
    <w:link w:val="QuoteGenio"/>
    <w:rsid w:val="001566BE"/>
    <w:rPr>
      <w:rFonts w:ascii="Arial Narrow" w:hAnsi="Arial Narrow" w:cs="Arial"/>
      <w:sz w:val="24"/>
      <w:szCs w:val="24"/>
    </w:rPr>
  </w:style>
  <w:style w:type="character" w:customStyle="1" w:styleId="GeniomaintextChar">
    <w:name w:val="Genio main text Char"/>
    <w:basedOn w:val="DefaultParagraphFont"/>
    <w:link w:val="Geniomaintext"/>
    <w:rsid w:val="001566BE"/>
    <w:rPr>
      <w:rFonts w:ascii="Arial" w:hAnsi="Arial" w:cs="Arial"/>
      <w:sz w:val="24"/>
      <w:szCs w:val="24"/>
    </w:rPr>
  </w:style>
  <w:style w:type="paragraph" w:customStyle="1" w:styleId="Quoteforcostings">
    <w:name w:val="Quote for costings"/>
    <w:basedOn w:val="Normal"/>
    <w:link w:val="QuoteforcostingsChar"/>
    <w:qFormat/>
    <w:rsid w:val="00C6607D"/>
    <w:pPr>
      <w:spacing w:after="240" w:line="240" w:lineRule="auto"/>
      <w:ind w:left="284" w:right="284"/>
    </w:pPr>
    <w:rPr>
      <w:rFonts w:ascii="Arial Narrow" w:hAnsi="Arial Narrow"/>
    </w:rPr>
  </w:style>
  <w:style w:type="character" w:customStyle="1" w:styleId="QuoteforcostingsChar">
    <w:name w:val="Quote for costings Char"/>
    <w:basedOn w:val="DefaultParagraphFont"/>
    <w:link w:val="Quoteforcostings"/>
    <w:rsid w:val="00C6607D"/>
    <w:rPr>
      <w:rFonts w:ascii="Arial Narrow" w:hAnsi="Arial Narrow" w:cs="Arial"/>
      <w:sz w:val="24"/>
      <w:szCs w:val="24"/>
    </w:rPr>
  </w:style>
  <w:style w:type="paragraph" w:customStyle="1" w:styleId="Quoteforrelatives">
    <w:name w:val="Quote for relatives"/>
    <w:basedOn w:val="Normal"/>
    <w:link w:val="QuoteforrelativesChar"/>
    <w:qFormat/>
    <w:rsid w:val="00FA6C92"/>
    <w:pPr>
      <w:spacing w:line="240" w:lineRule="auto"/>
      <w:ind w:left="284" w:right="284"/>
    </w:pPr>
    <w:rPr>
      <w:rFonts w:ascii="Arial Narrow" w:hAnsi="Arial Narrow"/>
    </w:rPr>
  </w:style>
  <w:style w:type="character" w:customStyle="1" w:styleId="QuoteforrelativesChar">
    <w:name w:val="Quote for relatives Char"/>
    <w:basedOn w:val="DefaultParagraphFont"/>
    <w:link w:val="Quoteforrelatives"/>
    <w:rsid w:val="00FA6C92"/>
    <w:rPr>
      <w:rFonts w:ascii="Arial Narrow" w:hAnsi="Arial Narrow"/>
    </w:rPr>
  </w:style>
  <w:style w:type="paragraph" w:styleId="Title">
    <w:name w:val="Title"/>
    <w:basedOn w:val="Default"/>
    <w:next w:val="Default"/>
    <w:link w:val="TitleChar"/>
    <w:uiPriority w:val="99"/>
    <w:qFormat/>
    <w:rsid w:val="00997462"/>
    <w:rPr>
      <w:rFonts w:ascii="Arial" w:eastAsiaTheme="minorHAnsi" w:hAnsi="Arial" w:cs="Arial"/>
      <w:color w:val="auto"/>
      <w:lang w:val="en-GB"/>
    </w:rPr>
  </w:style>
  <w:style w:type="character" w:customStyle="1" w:styleId="TitleChar">
    <w:name w:val="Title Char"/>
    <w:basedOn w:val="DefaultParagraphFont"/>
    <w:link w:val="Title"/>
    <w:uiPriority w:val="99"/>
    <w:rsid w:val="00997462"/>
    <w:rPr>
      <w:rFonts w:ascii="Arial" w:hAnsi="Arial" w:cs="Arial"/>
      <w:sz w:val="24"/>
      <w:szCs w:val="24"/>
    </w:rPr>
  </w:style>
  <w:style w:type="character" w:customStyle="1" w:styleId="Heading1Char">
    <w:name w:val="Heading 1 Char"/>
    <w:basedOn w:val="DefaultParagraphFont"/>
    <w:link w:val="Heading1"/>
    <w:uiPriority w:val="9"/>
    <w:rsid w:val="00C6607D"/>
    <w:rPr>
      <w:rFonts w:ascii="Arial" w:eastAsiaTheme="majorEastAsia" w:hAnsi="Arial" w:cs="Arial"/>
      <w:b/>
      <w:bCs/>
      <w:sz w:val="28"/>
      <w:szCs w:val="28"/>
    </w:rPr>
  </w:style>
  <w:style w:type="character" w:customStyle="1" w:styleId="a-size-large">
    <w:name w:val="a-size-large"/>
    <w:basedOn w:val="DefaultParagraphFont"/>
    <w:rsid w:val="00AB260D"/>
  </w:style>
  <w:style w:type="character" w:customStyle="1" w:styleId="maintitle">
    <w:name w:val="maintitle"/>
    <w:basedOn w:val="DefaultParagraphFont"/>
    <w:rsid w:val="00AB260D"/>
  </w:style>
  <w:style w:type="character" w:customStyle="1" w:styleId="apple-converted-space">
    <w:name w:val="apple-converted-space"/>
    <w:basedOn w:val="DefaultParagraphFont"/>
    <w:rsid w:val="00AB260D"/>
  </w:style>
  <w:style w:type="character" w:customStyle="1" w:styleId="Heading2Char">
    <w:name w:val="Heading 2 Char"/>
    <w:basedOn w:val="DefaultParagraphFont"/>
    <w:link w:val="Heading2"/>
    <w:uiPriority w:val="9"/>
    <w:rsid w:val="00AB260D"/>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AB260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AB6619"/>
    <w:rPr>
      <w:rFonts w:asciiTheme="majorHAnsi" w:eastAsiaTheme="majorEastAsia" w:hAnsiTheme="majorHAnsi" w:cstheme="majorBidi"/>
      <w:b/>
      <w:bCs/>
      <w:color w:val="4F81BD" w:themeColor="accent1"/>
      <w:sz w:val="24"/>
      <w:szCs w:val="24"/>
    </w:rPr>
  </w:style>
  <w:style w:type="table" w:customStyle="1" w:styleId="Calendar1">
    <w:name w:val="Calendar 1"/>
    <w:basedOn w:val="TableNormal"/>
    <w:uiPriority w:val="99"/>
    <w:qFormat/>
    <w:rsid w:val="00FF6866"/>
    <w:pPr>
      <w:spacing w:after="0" w:line="240" w:lineRule="auto"/>
      <w:ind w:left="0"/>
      <w:jc w:val="left"/>
    </w:pPr>
    <w:rPr>
      <w:rFonts w:eastAsiaTheme="minorEastAsia"/>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articlecategory">
    <w:name w:val="articlecategory"/>
    <w:basedOn w:val="Normal"/>
    <w:rsid w:val="007A67E0"/>
    <w:pPr>
      <w:spacing w:before="100" w:beforeAutospacing="1" w:after="100" w:afterAutospacing="1" w:line="240" w:lineRule="auto"/>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9113E4"/>
    <w:rPr>
      <w:i/>
      <w:iCs/>
    </w:rPr>
  </w:style>
  <w:style w:type="character" w:customStyle="1" w:styleId="slug-pub-date">
    <w:name w:val="slug-pub-date"/>
    <w:basedOn w:val="DefaultParagraphFont"/>
    <w:rsid w:val="009113E4"/>
  </w:style>
  <w:style w:type="character" w:customStyle="1" w:styleId="slug-vol">
    <w:name w:val="slug-vol"/>
    <w:basedOn w:val="DefaultParagraphFont"/>
    <w:rsid w:val="009113E4"/>
  </w:style>
  <w:style w:type="character" w:customStyle="1" w:styleId="cit-sep">
    <w:name w:val="cit-sep"/>
    <w:basedOn w:val="DefaultParagraphFont"/>
    <w:rsid w:val="009113E4"/>
  </w:style>
  <w:style w:type="character" w:customStyle="1" w:styleId="slug-pages">
    <w:name w:val="slug-pages"/>
    <w:basedOn w:val="DefaultParagraphFont"/>
    <w:rsid w:val="009113E4"/>
  </w:style>
  <w:style w:type="character" w:customStyle="1" w:styleId="slug-doi">
    <w:name w:val="slug-doi"/>
    <w:basedOn w:val="DefaultParagraphFont"/>
    <w:rsid w:val="009113E4"/>
  </w:style>
  <w:style w:type="character" w:customStyle="1" w:styleId="name">
    <w:name w:val="name"/>
    <w:basedOn w:val="DefaultParagraphFont"/>
    <w:rsid w:val="0091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646">
      <w:bodyDiv w:val="1"/>
      <w:marLeft w:val="0"/>
      <w:marRight w:val="0"/>
      <w:marTop w:val="0"/>
      <w:marBottom w:val="0"/>
      <w:divBdr>
        <w:top w:val="none" w:sz="0" w:space="0" w:color="auto"/>
        <w:left w:val="none" w:sz="0" w:space="0" w:color="auto"/>
        <w:bottom w:val="none" w:sz="0" w:space="0" w:color="auto"/>
        <w:right w:val="none" w:sz="0" w:space="0" w:color="auto"/>
      </w:divBdr>
      <w:divsChild>
        <w:div w:id="967586620">
          <w:marLeft w:val="0"/>
          <w:marRight w:val="0"/>
          <w:marTop w:val="0"/>
          <w:marBottom w:val="240"/>
          <w:divBdr>
            <w:top w:val="none" w:sz="0" w:space="0" w:color="auto"/>
            <w:left w:val="none" w:sz="0" w:space="0" w:color="auto"/>
            <w:bottom w:val="none" w:sz="0" w:space="0" w:color="auto"/>
            <w:right w:val="none" w:sz="0" w:space="0" w:color="auto"/>
          </w:divBdr>
        </w:div>
      </w:divsChild>
    </w:div>
    <w:div w:id="455099229">
      <w:bodyDiv w:val="1"/>
      <w:marLeft w:val="0"/>
      <w:marRight w:val="0"/>
      <w:marTop w:val="0"/>
      <w:marBottom w:val="0"/>
      <w:divBdr>
        <w:top w:val="none" w:sz="0" w:space="0" w:color="auto"/>
        <w:left w:val="none" w:sz="0" w:space="0" w:color="auto"/>
        <w:bottom w:val="none" w:sz="0" w:space="0" w:color="auto"/>
        <w:right w:val="none" w:sz="0" w:space="0" w:color="auto"/>
      </w:divBdr>
      <w:divsChild>
        <w:div w:id="989210964">
          <w:marLeft w:val="0"/>
          <w:marRight w:val="0"/>
          <w:marTop w:val="0"/>
          <w:marBottom w:val="240"/>
          <w:divBdr>
            <w:top w:val="none" w:sz="0" w:space="0" w:color="auto"/>
            <w:left w:val="none" w:sz="0" w:space="0" w:color="auto"/>
            <w:bottom w:val="none" w:sz="0" w:space="0" w:color="auto"/>
            <w:right w:val="none" w:sz="0" w:space="0" w:color="auto"/>
          </w:divBdr>
        </w:div>
      </w:divsChild>
    </w:div>
    <w:div w:id="510608864">
      <w:bodyDiv w:val="1"/>
      <w:marLeft w:val="0"/>
      <w:marRight w:val="0"/>
      <w:marTop w:val="0"/>
      <w:marBottom w:val="0"/>
      <w:divBdr>
        <w:top w:val="none" w:sz="0" w:space="0" w:color="auto"/>
        <w:left w:val="none" w:sz="0" w:space="0" w:color="auto"/>
        <w:bottom w:val="none" w:sz="0" w:space="0" w:color="auto"/>
        <w:right w:val="none" w:sz="0" w:space="0" w:color="auto"/>
      </w:divBdr>
      <w:divsChild>
        <w:div w:id="630865386">
          <w:marLeft w:val="446"/>
          <w:marRight w:val="0"/>
          <w:marTop w:val="0"/>
          <w:marBottom w:val="86"/>
          <w:divBdr>
            <w:top w:val="none" w:sz="0" w:space="0" w:color="auto"/>
            <w:left w:val="none" w:sz="0" w:space="0" w:color="auto"/>
            <w:bottom w:val="none" w:sz="0" w:space="0" w:color="auto"/>
            <w:right w:val="none" w:sz="0" w:space="0" w:color="auto"/>
          </w:divBdr>
        </w:div>
        <w:div w:id="1802579550">
          <w:marLeft w:val="446"/>
          <w:marRight w:val="0"/>
          <w:marTop w:val="0"/>
          <w:marBottom w:val="86"/>
          <w:divBdr>
            <w:top w:val="none" w:sz="0" w:space="0" w:color="auto"/>
            <w:left w:val="none" w:sz="0" w:space="0" w:color="auto"/>
            <w:bottom w:val="none" w:sz="0" w:space="0" w:color="auto"/>
            <w:right w:val="none" w:sz="0" w:space="0" w:color="auto"/>
          </w:divBdr>
        </w:div>
        <w:div w:id="1540315724">
          <w:marLeft w:val="446"/>
          <w:marRight w:val="0"/>
          <w:marTop w:val="0"/>
          <w:marBottom w:val="86"/>
          <w:divBdr>
            <w:top w:val="none" w:sz="0" w:space="0" w:color="auto"/>
            <w:left w:val="none" w:sz="0" w:space="0" w:color="auto"/>
            <w:bottom w:val="none" w:sz="0" w:space="0" w:color="auto"/>
            <w:right w:val="none" w:sz="0" w:space="0" w:color="auto"/>
          </w:divBdr>
        </w:div>
        <w:div w:id="1030035255">
          <w:marLeft w:val="446"/>
          <w:marRight w:val="0"/>
          <w:marTop w:val="0"/>
          <w:marBottom w:val="86"/>
          <w:divBdr>
            <w:top w:val="none" w:sz="0" w:space="0" w:color="auto"/>
            <w:left w:val="none" w:sz="0" w:space="0" w:color="auto"/>
            <w:bottom w:val="none" w:sz="0" w:space="0" w:color="auto"/>
            <w:right w:val="none" w:sz="0" w:space="0" w:color="auto"/>
          </w:divBdr>
        </w:div>
        <w:div w:id="35203643">
          <w:marLeft w:val="446"/>
          <w:marRight w:val="0"/>
          <w:marTop w:val="0"/>
          <w:marBottom w:val="86"/>
          <w:divBdr>
            <w:top w:val="none" w:sz="0" w:space="0" w:color="auto"/>
            <w:left w:val="none" w:sz="0" w:space="0" w:color="auto"/>
            <w:bottom w:val="none" w:sz="0" w:space="0" w:color="auto"/>
            <w:right w:val="none" w:sz="0" w:space="0" w:color="auto"/>
          </w:divBdr>
        </w:div>
      </w:divsChild>
    </w:div>
    <w:div w:id="542133200">
      <w:bodyDiv w:val="1"/>
      <w:marLeft w:val="0"/>
      <w:marRight w:val="0"/>
      <w:marTop w:val="0"/>
      <w:marBottom w:val="0"/>
      <w:divBdr>
        <w:top w:val="none" w:sz="0" w:space="0" w:color="auto"/>
        <w:left w:val="none" w:sz="0" w:space="0" w:color="auto"/>
        <w:bottom w:val="none" w:sz="0" w:space="0" w:color="auto"/>
        <w:right w:val="none" w:sz="0" w:space="0" w:color="auto"/>
      </w:divBdr>
      <w:divsChild>
        <w:div w:id="2092964349">
          <w:marLeft w:val="0"/>
          <w:marRight w:val="0"/>
          <w:marTop w:val="0"/>
          <w:marBottom w:val="0"/>
          <w:divBdr>
            <w:top w:val="none" w:sz="0" w:space="0" w:color="auto"/>
            <w:left w:val="none" w:sz="0" w:space="0" w:color="auto"/>
            <w:bottom w:val="none" w:sz="0" w:space="0" w:color="auto"/>
            <w:right w:val="none" w:sz="0" w:space="0" w:color="auto"/>
          </w:divBdr>
        </w:div>
      </w:divsChild>
    </w:div>
    <w:div w:id="573052234">
      <w:bodyDiv w:val="1"/>
      <w:marLeft w:val="0"/>
      <w:marRight w:val="0"/>
      <w:marTop w:val="0"/>
      <w:marBottom w:val="0"/>
      <w:divBdr>
        <w:top w:val="none" w:sz="0" w:space="0" w:color="auto"/>
        <w:left w:val="none" w:sz="0" w:space="0" w:color="auto"/>
        <w:bottom w:val="none" w:sz="0" w:space="0" w:color="auto"/>
        <w:right w:val="none" w:sz="0" w:space="0" w:color="auto"/>
      </w:divBdr>
    </w:div>
    <w:div w:id="590817603">
      <w:bodyDiv w:val="1"/>
      <w:marLeft w:val="0"/>
      <w:marRight w:val="0"/>
      <w:marTop w:val="0"/>
      <w:marBottom w:val="0"/>
      <w:divBdr>
        <w:top w:val="none" w:sz="0" w:space="0" w:color="auto"/>
        <w:left w:val="none" w:sz="0" w:space="0" w:color="auto"/>
        <w:bottom w:val="none" w:sz="0" w:space="0" w:color="auto"/>
        <w:right w:val="none" w:sz="0" w:space="0" w:color="auto"/>
      </w:divBdr>
    </w:div>
    <w:div w:id="887568340">
      <w:bodyDiv w:val="1"/>
      <w:marLeft w:val="0"/>
      <w:marRight w:val="0"/>
      <w:marTop w:val="0"/>
      <w:marBottom w:val="0"/>
      <w:divBdr>
        <w:top w:val="none" w:sz="0" w:space="0" w:color="auto"/>
        <w:left w:val="none" w:sz="0" w:space="0" w:color="auto"/>
        <w:bottom w:val="none" w:sz="0" w:space="0" w:color="auto"/>
        <w:right w:val="none" w:sz="0" w:space="0" w:color="auto"/>
      </w:divBdr>
      <w:divsChild>
        <w:div w:id="343212967">
          <w:marLeft w:val="0"/>
          <w:marRight w:val="0"/>
          <w:marTop w:val="0"/>
          <w:marBottom w:val="0"/>
          <w:divBdr>
            <w:top w:val="none" w:sz="0" w:space="0" w:color="auto"/>
            <w:left w:val="none" w:sz="0" w:space="0" w:color="auto"/>
            <w:bottom w:val="none" w:sz="0" w:space="0" w:color="auto"/>
            <w:right w:val="none" w:sz="0" w:space="0" w:color="auto"/>
          </w:divBdr>
          <w:divsChild>
            <w:div w:id="982782177">
              <w:marLeft w:val="0"/>
              <w:marRight w:val="0"/>
              <w:marTop w:val="0"/>
              <w:marBottom w:val="0"/>
              <w:divBdr>
                <w:top w:val="none" w:sz="0" w:space="0" w:color="auto"/>
                <w:left w:val="none" w:sz="0" w:space="0" w:color="auto"/>
                <w:bottom w:val="none" w:sz="0" w:space="0" w:color="auto"/>
                <w:right w:val="none" w:sz="0" w:space="0" w:color="auto"/>
              </w:divBdr>
              <w:divsChild>
                <w:div w:id="1504005604">
                  <w:marLeft w:val="0"/>
                  <w:marRight w:val="0"/>
                  <w:marTop w:val="0"/>
                  <w:marBottom w:val="0"/>
                  <w:divBdr>
                    <w:top w:val="none" w:sz="0" w:space="0" w:color="auto"/>
                    <w:left w:val="none" w:sz="0" w:space="0" w:color="auto"/>
                    <w:bottom w:val="none" w:sz="0" w:space="0" w:color="auto"/>
                    <w:right w:val="none" w:sz="0" w:space="0" w:color="auto"/>
                  </w:divBdr>
                  <w:divsChild>
                    <w:div w:id="674767513">
                      <w:marLeft w:val="0"/>
                      <w:marRight w:val="0"/>
                      <w:marTop w:val="0"/>
                      <w:marBottom w:val="0"/>
                      <w:divBdr>
                        <w:top w:val="none" w:sz="0" w:space="0" w:color="auto"/>
                        <w:left w:val="none" w:sz="0" w:space="0" w:color="auto"/>
                        <w:bottom w:val="none" w:sz="0" w:space="0" w:color="auto"/>
                        <w:right w:val="none" w:sz="0" w:space="0" w:color="auto"/>
                      </w:divBdr>
                      <w:divsChild>
                        <w:div w:id="1350526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03584014">
      <w:bodyDiv w:val="1"/>
      <w:marLeft w:val="0"/>
      <w:marRight w:val="0"/>
      <w:marTop w:val="0"/>
      <w:marBottom w:val="0"/>
      <w:divBdr>
        <w:top w:val="none" w:sz="0" w:space="0" w:color="auto"/>
        <w:left w:val="none" w:sz="0" w:space="0" w:color="auto"/>
        <w:bottom w:val="none" w:sz="0" w:space="0" w:color="auto"/>
        <w:right w:val="none" w:sz="0" w:space="0" w:color="auto"/>
      </w:divBdr>
    </w:div>
    <w:div w:id="1312439726">
      <w:bodyDiv w:val="1"/>
      <w:marLeft w:val="0"/>
      <w:marRight w:val="0"/>
      <w:marTop w:val="0"/>
      <w:marBottom w:val="0"/>
      <w:divBdr>
        <w:top w:val="none" w:sz="0" w:space="0" w:color="auto"/>
        <w:left w:val="none" w:sz="0" w:space="0" w:color="auto"/>
        <w:bottom w:val="none" w:sz="0" w:space="0" w:color="auto"/>
        <w:right w:val="none" w:sz="0" w:space="0" w:color="auto"/>
      </w:divBdr>
    </w:div>
    <w:div w:id="1336685648">
      <w:bodyDiv w:val="1"/>
      <w:marLeft w:val="0"/>
      <w:marRight w:val="0"/>
      <w:marTop w:val="0"/>
      <w:marBottom w:val="0"/>
      <w:divBdr>
        <w:top w:val="none" w:sz="0" w:space="0" w:color="auto"/>
        <w:left w:val="none" w:sz="0" w:space="0" w:color="auto"/>
        <w:bottom w:val="none" w:sz="0" w:space="0" w:color="auto"/>
        <w:right w:val="none" w:sz="0" w:space="0" w:color="auto"/>
      </w:divBdr>
      <w:divsChild>
        <w:div w:id="1808008244">
          <w:marLeft w:val="446"/>
          <w:marRight w:val="0"/>
          <w:marTop w:val="0"/>
          <w:marBottom w:val="86"/>
          <w:divBdr>
            <w:top w:val="none" w:sz="0" w:space="0" w:color="auto"/>
            <w:left w:val="none" w:sz="0" w:space="0" w:color="auto"/>
            <w:bottom w:val="none" w:sz="0" w:space="0" w:color="auto"/>
            <w:right w:val="none" w:sz="0" w:space="0" w:color="auto"/>
          </w:divBdr>
        </w:div>
        <w:div w:id="745304740">
          <w:marLeft w:val="446"/>
          <w:marRight w:val="0"/>
          <w:marTop w:val="0"/>
          <w:marBottom w:val="86"/>
          <w:divBdr>
            <w:top w:val="none" w:sz="0" w:space="0" w:color="auto"/>
            <w:left w:val="none" w:sz="0" w:space="0" w:color="auto"/>
            <w:bottom w:val="none" w:sz="0" w:space="0" w:color="auto"/>
            <w:right w:val="none" w:sz="0" w:space="0" w:color="auto"/>
          </w:divBdr>
        </w:div>
        <w:div w:id="1637760032">
          <w:marLeft w:val="446"/>
          <w:marRight w:val="0"/>
          <w:marTop w:val="0"/>
          <w:marBottom w:val="86"/>
          <w:divBdr>
            <w:top w:val="none" w:sz="0" w:space="0" w:color="auto"/>
            <w:left w:val="none" w:sz="0" w:space="0" w:color="auto"/>
            <w:bottom w:val="none" w:sz="0" w:space="0" w:color="auto"/>
            <w:right w:val="none" w:sz="0" w:space="0" w:color="auto"/>
          </w:divBdr>
        </w:div>
        <w:div w:id="1983657892">
          <w:marLeft w:val="446"/>
          <w:marRight w:val="0"/>
          <w:marTop w:val="0"/>
          <w:marBottom w:val="86"/>
          <w:divBdr>
            <w:top w:val="none" w:sz="0" w:space="0" w:color="auto"/>
            <w:left w:val="none" w:sz="0" w:space="0" w:color="auto"/>
            <w:bottom w:val="none" w:sz="0" w:space="0" w:color="auto"/>
            <w:right w:val="none" w:sz="0" w:space="0" w:color="auto"/>
          </w:divBdr>
        </w:div>
        <w:div w:id="2000183325">
          <w:marLeft w:val="446"/>
          <w:marRight w:val="0"/>
          <w:marTop w:val="0"/>
          <w:marBottom w:val="86"/>
          <w:divBdr>
            <w:top w:val="none" w:sz="0" w:space="0" w:color="auto"/>
            <w:left w:val="none" w:sz="0" w:space="0" w:color="auto"/>
            <w:bottom w:val="none" w:sz="0" w:space="0" w:color="auto"/>
            <w:right w:val="none" w:sz="0" w:space="0" w:color="auto"/>
          </w:divBdr>
        </w:div>
      </w:divsChild>
    </w:div>
    <w:div w:id="1402017418">
      <w:bodyDiv w:val="1"/>
      <w:marLeft w:val="0"/>
      <w:marRight w:val="0"/>
      <w:marTop w:val="0"/>
      <w:marBottom w:val="0"/>
      <w:divBdr>
        <w:top w:val="none" w:sz="0" w:space="0" w:color="auto"/>
        <w:left w:val="none" w:sz="0" w:space="0" w:color="auto"/>
        <w:bottom w:val="none" w:sz="0" w:space="0" w:color="auto"/>
        <w:right w:val="none" w:sz="0" w:space="0" w:color="auto"/>
      </w:divBdr>
    </w:div>
    <w:div w:id="1480422937">
      <w:bodyDiv w:val="1"/>
      <w:marLeft w:val="0"/>
      <w:marRight w:val="0"/>
      <w:marTop w:val="0"/>
      <w:marBottom w:val="0"/>
      <w:divBdr>
        <w:top w:val="none" w:sz="0" w:space="0" w:color="auto"/>
        <w:left w:val="none" w:sz="0" w:space="0" w:color="auto"/>
        <w:bottom w:val="none" w:sz="0" w:space="0" w:color="auto"/>
        <w:right w:val="none" w:sz="0" w:space="0" w:color="auto"/>
      </w:divBdr>
    </w:div>
    <w:div w:id="1606188696">
      <w:bodyDiv w:val="1"/>
      <w:marLeft w:val="0"/>
      <w:marRight w:val="0"/>
      <w:marTop w:val="0"/>
      <w:marBottom w:val="0"/>
      <w:divBdr>
        <w:top w:val="none" w:sz="0" w:space="0" w:color="auto"/>
        <w:left w:val="none" w:sz="0" w:space="0" w:color="auto"/>
        <w:bottom w:val="none" w:sz="0" w:space="0" w:color="auto"/>
        <w:right w:val="none" w:sz="0" w:space="0" w:color="auto"/>
      </w:divBdr>
      <w:divsChild>
        <w:div w:id="1274480463">
          <w:marLeft w:val="547"/>
          <w:marRight w:val="0"/>
          <w:marTop w:val="0"/>
          <w:marBottom w:val="0"/>
          <w:divBdr>
            <w:top w:val="none" w:sz="0" w:space="0" w:color="auto"/>
            <w:left w:val="none" w:sz="0" w:space="0" w:color="auto"/>
            <w:bottom w:val="none" w:sz="0" w:space="0" w:color="auto"/>
            <w:right w:val="none" w:sz="0" w:space="0" w:color="auto"/>
          </w:divBdr>
        </w:div>
      </w:divsChild>
    </w:div>
    <w:div w:id="1680231770">
      <w:bodyDiv w:val="1"/>
      <w:marLeft w:val="0"/>
      <w:marRight w:val="0"/>
      <w:marTop w:val="0"/>
      <w:marBottom w:val="0"/>
      <w:divBdr>
        <w:top w:val="none" w:sz="0" w:space="0" w:color="auto"/>
        <w:left w:val="none" w:sz="0" w:space="0" w:color="auto"/>
        <w:bottom w:val="none" w:sz="0" w:space="0" w:color="auto"/>
        <w:right w:val="none" w:sz="0" w:space="0" w:color="auto"/>
      </w:divBdr>
      <w:divsChild>
        <w:div w:id="27806166">
          <w:marLeft w:val="0"/>
          <w:marRight w:val="0"/>
          <w:marTop w:val="0"/>
          <w:marBottom w:val="0"/>
          <w:divBdr>
            <w:top w:val="single" w:sz="18" w:space="6" w:color="E1E9EB"/>
            <w:left w:val="none" w:sz="0" w:space="0" w:color="auto"/>
            <w:bottom w:val="none" w:sz="0" w:space="0" w:color="auto"/>
            <w:right w:val="none" w:sz="0" w:space="0" w:color="auto"/>
          </w:divBdr>
        </w:div>
        <w:div w:id="1881428627">
          <w:marLeft w:val="0"/>
          <w:marRight w:val="0"/>
          <w:marTop w:val="120"/>
          <w:marBottom w:val="0"/>
          <w:divBdr>
            <w:top w:val="none" w:sz="0" w:space="0" w:color="auto"/>
            <w:left w:val="none" w:sz="0" w:space="0" w:color="auto"/>
            <w:bottom w:val="none" w:sz="0" w:space="0" w:color="auto"/>
            <w:right w:val="none" w:sz="0" w:space="0" w:color="auto"/>
          </w:divBdr>
        </w:div>
      </w:divsChild>
    </w:div>
    <w:div w:id="1833830380">
      <w:bodyDiv w:val="1"/>
      <w:marLeft w:val="0"/>
      <w:marRight w:val="0"/>
      <w:marTop w:val="0"/>
      <w:marBottom w:val="0"/>
      <w:divBdr>
        <w:top w:val="none" w:sz="0" w:space="0" w:color="auto"/>
        <w:left w:val="none" w:sz="0" w:space="0" w:color="auto"/>
        <w:bottom w:val="none" w:sz="0" w:space="0" w:color="auto"/>
        <w:right w:val="none" w:sz="0" w:space="0" w:color="auto"/>
      </w:divBdr>
      <w:divsChild>
        <w:div w:id="109862437">
          <w:marLeft w:val="0"/>
          <w:marRight w:val="0"/>
          <w:marTop w:val="0"/>
          <w:marBottom w:val="0"/>
          <w:divBdr>
            <w:top w:val="single" w:sz="18" w:space="6" w:color="E1E9EB"/>
            <w:left w:val="none" w:sz="0" w:space="0" w:color="auto"/>
            <w:bottom w:val="none" w:sz="0" w:space="0" w:color="auto"/>
            <w:right w:val="none" w:sz="0" w:space="0" w:color="auto"/>
          </w:divBdr>
        </w:div>
        <w:div w:id="272903940">
          <w:marLeft w:val="0"/>
          <w:marRight w:val="0"/>
          <w:marTop w:val="120"/>
          <w:marBottom w:val="0"/>
          <w:divBdr>
            <w:top w:val="none" w:sz="0" w:space="0" w:color="auto"/>
            <w:left w:val="none" w:sz="0" w:space="0" w:color="auto"/>
            <w:bottom w:val="none" w:sz="0" w:space="0" w:color="auto"/>
            <w:right w:val="none" w:sz="0" w:space="0" w:color="auto"/>
          </w:divBdr>
        </w:div>
        <w:div w:id="216815975">
          <w:marLeft w:val="240"/>
          <w:marRight w:val="0"/>
          <w:marTop w:val="288"/>
          <w:marBottom w:val="0"/>
          <w:divBdr>
            <w:top w:val="single" w:sz="18" w:space="6" w:color="E1E9EB"/>
            <w:left w:val="none" w:sz="0" w:space="0" w:color="auto"/>
            <w:bottom w:val="none" w:sz="0" w:space="0" w:color="auto"/>
            <w:right w:val="none" w:sz="0" w:space="0" w:color="auto"/>
          </w:divBdr>
          <w:divsChild>
            <w:div w:id="1184827781">
              <w:marLeft w:val="0"/>
              <w:marRight w:val="240"/>
              <w:marTop w:val="120"/>
              <w:marBottom w:val="0"/>
              <w:divBdr>
                <w:top w:val="none" w:sz="0" w:space="0" w:color="auto"/>
                <w:left w:val="none" w:sz="0" w:space="0" w:color="auto"/>
                <w:bottom w:val="none" w:sz="0" w:space="0" w:color="auto"/>
                <w:right w:val="none" w:sz="0" w:space="0" w:color="auto"/>
              </w:divBdr>
              <w:divsChild>
                <w:div w:id="951010671">
                  <w:marLeft w:val="58"/>
                  <w:marRight w:val="0"/>
                  <w:marTop w:val="58"/>
                  <w:marBottom w:val="360"/>
                  <w:divBdr>
                    <w:top w:val="none" w:sz="0" w:space="0" w:color="auto"/>
                    <w:left w:val="none" w:sz="0" w:space="0" w:color="auto"/>
                    <w:bottom w:val="none" w:sz="0" w:space="0" w:color="auto"/>
                    <w:right w:val="none" w:sz="0" w:space="0" w:color="auto"/>
                  </w:divBdr>
                </w:div>
              </w:divsChild>
            </w:div>
            <w:div w:id="870915431">
              <w:marLeft w:val="0"/>
              <w:marRight w:val="0"/>
              <w:marTop w:val="120"/>
              <w:marBottom w:val="0"/>
              <w:divBdr>
                <w:top w:val="none" w:sz="0" w:space="0" w:color="auto"/>
                <w:left w:val="none" w:sz="0" w:space="0" w:color="auto"/>
                <w:bottom w:val="none" w:sz="0" w:space="0" w:color="auto"/>
                <w:right w:val="none" w:sz="0" w:space="0" w:color="auto"/>
              </w:divBdr>
              <w:divsChild>
                <w:div w:id="881787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8911744">
      <w:bodyDiv w:val="1"/>
      <w:marLeft w:val="0"/>
      <w:marRight w:val="0"/>
      <w:marTop w:val="0"/>
      <w:marBottom w:val="0"/>
      <w:divBdr>
        <w:top w:val="none" w:sz="0" w:space="0" w:color="auto"/>
        <w:left w:val="none" w:sz="0" w:space="0" w:color="auto"/>
        <w:bottom w:val="none" w:sz="0" w:space="0" w:color="auto"/>
        <w:right w:val="none" w:sz="0" w:space="0" w:color="auto"/>
      </w:divBdr>
      <w:divsChild>
        <w:div w:id="1012295840">
          <w:marLeft w:val="0"/>
          <w:marRight w:val="0"/>
          <w:marTop w:val="0"/>
          <w:marBottom w:val="0"/>
          <w:divBdr>
            <w:top w:val="single" w:sz="18" w:space="6" w:color="E1E9EB"/>
            <w:left w:val="none" w:sz="0" w:space="0" w:color="auto"/>
            <w:bottom w:val="none" w:sz="0" w:space="0" w:color="auto"/>
            <w:right w:val="none" w:sz="0" w:space="0" w:color="auto"/>
          </w:divBdr>
        </w:div>
        <w:div w:id="432555713">
          <w:marLeft w:val="0"/>
          <w:marRight w:val="0"/>
          <w:marTop w:val="120"/>
          <w:marBottom w:val="0"/>
          <w:divBdr>
            <w:top w:val="none" w:sz="0" w:space="0" w:color="auto"/>
            <w:left w:val="none" w:sz="0" w:space="0" w:color="auto"/>
            <w:bottom w:val="none" w:sz="0" w:space="0" w:color="auto"/>
            <w:right w:val="none" w:sz="0" w:space="0" w:color="auto"/>
          </w:divBdr>
        </w:div>
      </w:divsChild>
    </w:div>
    <w:div w:id="1899394419">
      <w:bodyDiv w:val="1"/>
      <w:marLeft w:val="0"/>
      <w:marRight w:val="0"/>
      <w:marTop w:val="0"/>
      <w:marBottom w:val="0"/>
      <w:divBdr>
        <w:top w:val="none" w:sz="0" w:space="0" w:color="auto"/>
        <w:left w:val="none" w:sz="0" w:space="0" w:color="auto"/>
        <w:bottom w:val="none" w:sz="0" w:space="0" w:color="auto"/>
        <w:right w:val="none" w:sz="0" w:space="0" w:color="auto"/>
      </w:divBdr>
      <w:divsChild>
        <w:div w:id="837844393">
          <w:marLeft w:val="446"/>
          <w:marRight w:val="0"/>
          <w:marTop w:val="0"/>
          <w:marBottom w:val="86"/>
          <w:divBdr>
            <w:top w:val="none" w:sz="0" w:space="0" w:color="auto"/>
            <w:left w:val="none" w:sz="0" w:space="0" w:color="auto"/>
            <w:bottom w:val="none" w:sz="0" w:space="0" w:color="auto"/>
            <w:right w:val="none" w:sz="0" w:space="0" w:color="auto"/>
          </w:divBdr>
        </w:div>
      </w:divsChild>
    </w:div>
    <w:div w:id="2023968946">
      <w:bodyDiv w:val="1"/>
      <w:marLeft w:val="0"/>
      <w:marRight w:val="0"/>
      <w:marTop w:val="0"/>
      <w:marBottom w:val="0"/>
      <w:divBdr>
        <w:top w:val="none" w:sz="0" w:space="0" w:color="auto"/>
        <w:left w:val="none" w:sz="0" w:space="0" w:color="auto"/>
        <w:bottom w:val="none" w:sz="0" w:space="0" w:color="auto"/>
        <w:right w:val="none" w:sz="0" w:space="0" w:color="auto"/>
      </w:divBdr>
      <w:divsChild>
        <w:div w:id="550117477">
          <w:marLeft w:val="0"/>
          <w:marRight w:val="0"/>
          <w:marTop w:val="0"/>
          <w:marBottom w:val="86"/>
          <w:divBdr>
            <w:top w:val="none" w:sz="0" w:space="0" w:color="auto"/>
            <w:left w:val="none" w:sz="0" w:space="0" w:color="auto"/>
            <w:bottom w:val="none" w:sz="0" w:space="0" w:color="auto"/>
            <w:right w:val="none" w:sz="0" w:space="0" w:color="auto"/>
          </w:divBdr>
        </w:div>
        <w:div w:id="1233391051">
          <w:marLeft w:val="0"/>
          <w:marRight w:val="0"/>
          <w:marTop w:val="0"/>
          <w:marBottom w:val="86"/>
          <w:divBdr>
            <w:top w:val="none" w:sz="0" w:space="0" w:color="auto"/>
            <w:left w:val="none" w:sz="0" w:space="0" w:color="auto"/>
            <w:bottom w:val="none" w:sz="0" w:space="0" w:color="auto"/>
            <w:right w:val="none" w:sz="0" w:space="0" w:color="auto"/>
          </w:divBdr>
        </w:div>
        <w:div w:id="804203741">
          <w:marLeft w:val="0"/>
          <w:marRight w:val="0"/>
          <w:marTop w:val="0"/>
          <w:marBottom w:val="86"/>
          <w:divBdr>
            <w:top w:val="none" w:sz="0" w:space="0" w:color="auto"/>
            <w:left w:val="none" w:sz="0" w:space="0" w:color="auto"/>
            <w:bottom w:val="none" w:sz="0" w:space="0" w:color="auto"/>
            <w:right w:val="none" w:sz="0" w:space="0" w:color="auto"/>
          </w:divBdr>
        </w:div>
        <w:div w:id="148055741">
          <w:marLeft w:val="0"/>
          <w:marRight w:val="0"/>
          <w:marTop w:val="0"/>
          <w:marBottom w:val="86"/>
          <w:divBdr>
            <w:top w:val="none" w:sz="0" w:space="0" w:color="auto"/>
            <w:left w:val="none" w:sz="0" w:space="0" w:color="auto"/>
            <w:bottom w:val="none" w:sz="0" w:space="0" w:color="auto"/>
            <w:right w:val="none" w:sz="0" w:space="0" w:color="auto"/>
          </w:divBdr>
        </w:div>
        <w:div w:id="538204896">
          <w:marLeft w:val="0"/>
          <w:marRight w:val="0"/>
          <w:marTop w:val="0"/>
          <w:marBottom w:val="86"/>
          <w:divBdr>
            <w:top w:val="none" w:sz="0" w:space="0" w:color="auto"/>
            <w:left w:val="none" w:sz="0" w:space="0" w:color="auto"/>
            <w:bottom w:val="none" w:sz="0" w:space="0" w:color="auto"/>
            <w:right w:val="none" w:sz="0" w:space="0" w:color="auto"/>
          </w:divBdr>
        </w:div>
      </w:divsChild>
    </w:div>
    <w:div w:id="2027251220">
      <w:bodyDiv w:val="1"/>
      <w:marLeft w:val="0"/>
      <w:marRight w:val="0"/>
      <w:marTop w:val="0"/>
      <w:marBottom w:val="0"/>
      <w:divBdr>
        <w:top w:val="none" w:sz="0" w:space="0" w:color="auto"/>
        <w:left w:val="none" w:sz="0" w:space="0" w:color="auto"/>
        <w:bottom w:val="none" w:sz="0" w:space="0" w:color="auto"/>
        <w:right w:val="none" w:sz="0" w:space="0" w:color="auto"/>
      </w:divBdr>
    </w:div>
    <w:div w:id="2137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article/pii/S003335060300146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ancet.com/journals/lanpsy/issue/vol1no7/PIIS2215-0366(14)X0003-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helancet.com/action/doSearch?searchType=authorLookUp&amp;author=Morrison,%20Jill&amp;prod=LN" TargetMode="External"/><Relationship Id="rId4" Type="http://schemas.microsoft.com/office/2007/relationships/stylesWithEffects" Target="stylesWithEffects.xml"/><Relationship Id="rId9" Type="http://schemas.openxmlformats.org/officeDocument/2006/relationships/hyperlink" Target="mailto:r.mcconkey@ulster.ac.uk"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Health%20Facilitation\Final%20report\Figures%20for%20powerpoi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ealth%20Facilitation\Final%20report\Figures%20for%20powerpoi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1785954640285305E-2"/>
          <c:y val="3.6419615171525074E-2"/>
          <c:w val="0.91123864324651804"/>
          <c:h val="0.88140340092390856"/>
        </c:manualLayout>
      </c:layout>
      <c:bar3DChart>
        <c:barDir val="col"/>
        <c:grouping val="clustered"/>
        <c:varyColors val="0"/>
        <c:ser>
          <c:idx val="0"/>
          <c:order val="0"/>
          <c:tx>
            <c:strRef>
              <c:f>Sheet1!$A$20</c:f>
              <c:strCache>
                <c:ptCount val="1"/>
                <c:pt idx="0">
                  <c:v>2011/12</c:v>
                </c:pt>
              </c:strCache>
            </c:strRef>
          </c:tx>
          <c:invertIfNegative val="0"/>
          <c:cat>
            <c:strRef>
              <c:f>Sheet1!$B$19:$G$19</c:f>
              <c:strCache>
                <c:ptCount val="6"/>
                <c:pt idx="0">
                  <c:v>Belfast (n=87*)</c:v>
                </c:pt>
                <c:pt idx="1">
                  <c:v>Northern (n=78)</c:v>
                </c:pt>
                <c:pt idx="2">
                  <c:v>South-East (n=54)</c:v>
                </c:pt>
                <c:pt idx="3">
                  <c:v>Southern (n=77)</c:v>
                </c:pt>
                <c:pt idx="4">
                  <c:v>Western (n=57)</c:v>
                </c:pt>
                <c:pt idx="5">
                  <c:v>N Ireland (N=353~)</c:v>
                </c:pt>
              </c:strCache>
            </c:strRef>
          </c:cat>
          <c:val>
            <c:numRef>
              <c:f>Sheet1!$B$20:$G$20</c:f>
              <c:numCache>
                <c:formatCode>0%</c:formatCode>
                <c:ptCount val="6"/>
                <c:pt idx="0">
                  <c:v>0.60000000000000164</c:v>
                </c:pt>
                <c:pt idx="1">
                  <c:v>0.94000000000000095</c:v>
                </c:pt>
                <c:pt idx="2">
                  <c:v>0.8</c:v>
                </c:pt>
                <c:pt idx="3">
                  <c:v>0.83000000000000163</c:v>
                </c:pt>
                <c:pt idx="4">
                  <c:v>0.67000000000000193</c:v>
                </c:pt>
                <c:pt idx="5">
                  <c:v>0.77000000000000046</c:v>
                </c:pt>
              </c:numCache>
            </c:numRef>
          </c:val>
        </c:ser>
        <c:ser>
          <c:idx val="1"/>
          <c:order val="1"/>
          <c:tx>
            <c:strRef>
              <c:f>Sheet1!$A$21</c:f>
              <c:strCache>
                <c:ptCount val="1"/>
                <c:pt idx="0">
                  <c:v>2012/13</c:v>
                </c:pt>
              </c:strCache>
            </c:strRef>
          </c:tx>
          <c:invertIfNegative val="0"/>
          <c:cat>
            <c:strRef>
              <c:f>Sheet1!$B$19:$G$19</c:f>
              <c:strCache>
                <c:ptCount val="6"/>
                <c:pt idx="0">
                  <c:v>Belfast (n=87*)</c:v>
                </c:pt>
                <c:pt idx="1">
                  <c:v>Northern (n=78)</c:v>
                </c:pt>
                <c:pt idx="2">
                  <c:v>South-East (n=54)</c:v>
                </c:pt>
                <c:pt idx="3">
                  <c:v>Southern (n=77)</c:v>
                </c:pt>
                <c:pt idx="4">
                  <c:v>Western (n=57)</c:v>
                </c:pt>
                <c:pt idx="5">
                  <c:v>N Ireland (N=353~)</c:v>
                </c:pt>
              </c:strCache>
            </c:strRef>
          </c:cat>
          <c:val>
            <c:numRef>
              <c:f>Sheet1!$B$21:$G$21</c:f>
              <c:numCache>
                <c:formatCode>0%</c:formatCode>
                <c:ptCount val="6"/>
                <c:pt idx="0">
                  <c:v>0.6800000000000016</c:v>
                </c:pt>
                <c:pt idx="1">
                  <c:v>0.87000000000000166</c:v>
                </c:pt>
                <c:pt idx="2">
                  <c:v>0.72000000000000164</c:v>
                </c:pt>
                <c:pt idx="3">
                  <c:v>0.70000000000000095</c:v>
                </c:pt>
                <c:pt idx="4">
                  <c:v>0.84000000000000163</c:v>
                </c:pt>
                <c:pt idx="5">
                  <c:v>0.76000000000000179</c:v>
                </c:pt>
              </c:numCache>
            </c:numRef>
          </c:val>
        </c:ser>
        <c:ser>
          <c:idx val="2"/>
          <c:order val="2"/>
          <c:tx>
            <c:strRef>
              <c:f>Sheet1!$A$22</c:f>
              <c:strCache>
                <c:ptCount val="1"/>
                <c:pt idx="0">
                  <c:v>2013/14</c:v>
                </c:pt>
              </c:strCache>
            </c:strRef>
          </c:tx>
          <c:invertIfNegative val="0"/>
          <c:cat>
            <c:strRef>
              <c:f>Sheet1!$B$19:$G$19</c:f>
              <c:strCache>
                <c:ptCount val="6"/>
                <c:pt idx="0">
                  <c:v>Belfast (n=87*)</c:v>
                </c:pt>
                <c:pt idx="1">
                  <c:v>Northern (n=78)</c:v>
                </c:pt>
                <c:pt idx="2">
                  <c:v>South-East (n=54)</c:v>
                </c:pt>
                <c:pt idx="3">
                  <c:v>Southern (n=77)</c:v>
                </c:pt>
                <c:pt idx="4">
                  <c:v>Western (n=57)</c:v>
                </c:pt>
                <c:pt idx="5">
                  <c:v>N Ireland (N=353~)</c:v>
                </c:pt>
              </c:strCache>
            </c:strRef>
          </c:cat>
          <c:val>
            <c:numRef>
              <c:f>Sheet1!$B$22:$G$22</c:f>
              <c:numCache>
                <c:formatCode>0%</c:formatCode>
                <c:ptCount val="6"/>
                <c:pt idx="0">
                  <c:v>0.8</c:v>
                </c:pt>
                <c:pt idx="1">
                  <c:v>0.94000000000000095</c:v>
                </c:pt>
                <c:pt idx="2">
                  <c:v>0.87000000000000166</c:v>
                </c:pt>
                <c:pt idx="3">
                  <c:v>0.73000000000000165</c:v>
                </c:pt>
                <c:pt idx="4">
                  <c:v>0.84000000000000163</c:v>
                </c:pt>
                <c:pt idx="5">
                  <c:v>0.84000000000000163</c:v>
                </c:pt>
              </c:numCache>
            </c:numRef>
          </c:val>
        </c:ser>
        <c:dLbls>
          <c:showLegendKey val="0"/>
          <c:showVal val="0"/>
          <c:showCatName val="0"/>
          <c:showSerName val="0"/>
          <c:showPercent val="0"/>
          <c:showBubbleSize val="0"/>
        </c:dLbls>
        <c:gapWidth val="150"/>
        <c:shape val="box"/>
        <c:axId val="64842752"/>
        <c:axId val="23532288"/>
        <c:axId val="0"/>
      </c:bar3DChart>
      <c:catAx>
        <c:axId val="64842752"/>
        <c:scaling>
          <c:orientation val="minMax"/>
        </c:scaling>
        <c:delete val="0"/>
        <c:axPos val="b"/>
        <c:majorTickMark val="out"/>
        <c:minorTickMark val="none"/>
        <c:tickLblPos val="nextTo"/>
        <c:txPr>
          <a:bodyPr/>
          <a:lstStyle/>
          <a:p>
            <a:pPr>
              <a:defRPr b="1"/>
            </a:pPr>
            <a:endParaRPr lang="en-US"/>
          </a:p>
        </c:txPr>
        <c:crossAx val="23532288"/>
        <c:crosses val="autoZero"/>
        <c:auto val="1"/>
        <c:lblAlgn val="ctr"/>
        <c:lblOffset val="100"/>
        <c:noMultiLvlLbl val="0"/>
      </c:catAx>
      <c:valAx>
        <c:axId val="23532288"/>
        <c:scaling>
          <c:orientation val="minMax"/>
          <c:min val="0.5"/>
        </c:scaling>
        <c:delete val="0"/>
        <c:axPos val="l"/>
        <c:majorGridlines/>
        <c:numFmt formatCode="0%" sourceLinked="1"/>
        <c:majorTickMark val="out"/>
        <c:minorTickMark val="none"/>
        <c:tickLblPos val="nextTo"/>
        <c:txPr>
          <a:bodyPr/>
          <a:lstStyle/>
          <a:p>
            <a:pPr>
              <a:defRPr b="1"/>
            </a:pPr>
            <a:endParaRPr lang="en-US"/>
          </a:p>
        </c:txPr>
        <c:crossAx val="64842752"/>
        <c:crosses val="autoZero"/>
        <c:crossBetween val="between"/>
        <c:majorUnit val="0.1"/>
      </c:valAx>
    </c:plotArea>
    <c:legend>
      <c:legendPos val="r"/>
      <c:layout>
        <c:manualLayout>
          <c:xMode val="edge"/>
          <c:yMode val="edge"/>
          <c:x val="0.44739888283195445"/>
          <c:y val="6.0865530817852384E-2"/>
          <c:w val="0.37605844942459132"/>
          <c:h val="9.3144186694641098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525053270089206E-2"/>
          <c:y val="3.0093962962172219E-2"/>
          <c:w val="0.95148347232006603"/>
          <c:h val="0.91627976113709197"/>
        </c:manualLayout>
      </c:layout>
      <c:bar3DChart>
        <c:barDir val="col"/>
        <c:grouping val="clustered"/>
        <c:varyColors val="0"/>
        <c:ser>
          <c:idx val="0"/>
          <c:order val="0"/>
          <c:tx>
            <c:strRef>
              <c:f>Sheet1!$A$31</c:f>
              <c:strCache>
                <c:ptCount val="1"/>
                <c:pt idx="0">
                  <c:v>2011/12</c:v>
                </c:pt>
              </c:strCache>
            </c:strRef>
          </c:tx>
          <c:invertIfNegative val="0"/>
          <c:cat>
            <c:strRef>
              <c:f>Sheet1!$B$30:$G$30</c:f>
              <c:strCache>
                <c:ptCount val="6"/>
                <c:pt idx="0">
                  <c:v>Belfast </c:v>
                </c:pt>
                <c:pt idx="1">
                  <c:v>Northern </c:v>
                </c:pt>
                <c:pt idx="2">
                  <c:v>South-East </c:v>
                </c:pt>
                <c:pt idx="3">
                  <c:v>Southern </c:v>
                </c:pt>
                <c:pt idx="4">
                  <c:v>Western </c:v>
                </c:pt>
                <c:pt idx="5">
                  <c:v>N Ireland </c:v>
                </c:pt>
              </c:strCache>
            </c:strRef>
          </c:cat>
          <c:val>
            <c:numRef>
              <c:f>Sheet1!$B$31:$G$31</c:f>
              <c:numCache>
                <c:formatCode>0%</c:formatCode>
                <c:ptCount val="6"/>
                <c:pt idx="0">
                  <c:v>0.60000000000000164</c:v>
                </c:pt>
                <c:pt idx="1">
                  <c:v>0.67000000000000215</c:v>
                </c:pt>
                <c:pt idx="2">
                  <c:v>0.76000000000000201</c:v>
                </c:pt>
                <c:pt idx="3">
                  <c:v>0.71000000000000163</c:v>
                </c:pt>
                <c:pt idx="4">
                  <c:v>0.45</c:v>
                </c:pt>
                <c:pt idx="5">
                  <c:v>0.64000000000000201</c:v>
                </c:pt>
              </c:numCache>
            </c:numRef>
          </c:val>
        </c:ser>
        <c:ser>
          <c:idx val="1"/>
          <c:order val="1"/>
          <c:tx>
            <c:strRef>
              <c:f>Sheet1!$A$32</c:f>
              <c:strCache>
                <c:ptCount val="1"/>
                <c:pt idx="0">
                  <c:v>2012/13</c:v>
                </c:pt>
              </c:strCache>
            </c:strRef>
          </c:tx>
          <c:invertIfNegative val="0"/>
          <c:cat>
            <c:strRef>
              <c:f>Sheet1!$B$30:$G$30</c:f>
              <c:strCache>
                <c:ptCount val="6"/>
                <c:pt idx="0">
                  <c:v>Belfast </c:v>
                </c:pt>
                <c:pt idx="1">
                  <c:v>Northern </c:v>
                </c:pt>
                <c:pt idx="2">
                  <c:v>South-East </c:v>
                </c:pt>
                <c:pt idx="3">
                  <c:v>Southern </c:v>
                </c:pt>
                <c:pt idx="4">
                  <c:v>Western </c:v>
                </c:pt>
                <c:pt idx="5">
                  <c:v>N Ireland </c:v>
                </c:pt>
              </c:strCache>
            </c:strRef>
          </c:cat>
          <c:val>
            <c:numRef>
              <c:f>Sheet1!$B$32:$G$32</c:f>
              <c:numCache>
                <c:formatCode>0%</c:formatCode>
                <c:ptCount val="6"/>
                <c:pt idx="0">
                  <c:v>0.61000000000000165</c:v>
                </c:pt>
                <c:pt idx="1">
                  <c:v>0.70000000000000095</c:v>
                </c:pt>
                <c:pt idx="2">
                  <c:v>0.8</c:v>
                </c:pt>
                <c:pt idx="3">
                  <c:v>0.71000000000000163</c:v>
                </c:pt>
                <c:pt idx="4">
                  <c:v>0.71000000000000163</c:v>
                </c:pt>
                <c:pt idx="5">
                  <c:v>0.71000000000000163</c:v>
                </c:pt>
              </c:numCache>
            </c:numRef>
          </c:val>
        </c:ser>
        <c:ser>
          <c:idx val="2"/>
          <c:order val="2"/>
          <c:tx>
            <c:strRef>
              <c:f>Sheet1!$A$33</c:f>
              <c:strCache>
                <c:ptCount val="1"/>
                <c:pt idx="0">
                  <c:v>2013/14</c:v>
                </c:pt>
              </c:strCache>
            </c:strRef>
          </c:tx>
          <c:invertIfNegative val="0"/>
          <c:cat>
            <c:strRef>
              <c:f>Sheet1!$B$30:$G$30</c:f>
              <c:strCache>
                <c:ptCount val="6"/>
                <c:pt idx="0">
                  <c:v>Belfast </c:v>
                </c:pt>
                <c:pt idx="1">
                  <c:v>Northern </c:v>
                </c:pt>
                <c:pt idx="2">
                  <c:v>South-East </c:v>
                </c:pt>
                <c:pt idx="3">
                  <c:v>Southern </c:v>
                </c:pt>
                <c:pt idx="4">
                  <c:v>Western </c:v>
                </c:pt>
                <c:pt idx="5">
                  <c:v>N Ireland </c:v>
                </c:pt>
              </c:strCache>
            </c:strRef>
          </c:cat>
          <c:val>
            <c:numRef>
              <c:f>Sheet1!$B$33:$G$33</c:f>
              <c:numCache>
                <c:formatCode>0%</c:formatCode>
                <c:ptCount val="6"/>
                <c:pt idx="0">
                  <c:v>0.56000000000000005</c:v>
                </c:pt>
                <c:pt idx="1">
                  <c:v>0.65000000000000202</c:v>
                </c:pt>
                <c:pt idx="2">
                  <c:v>0.69000000000000095</c:v>
                </c:pt>
                <c:pt idx="3">
                  <c:v>0.70000000000000095</c:v>
                </c:pt>
                <c:pt idx="4">
                  <c:v>0.61000000000000165</c:v>
                </c:pt>
                <c:pt idx="5">
                  <c:v>0.64000000000000201</c:v>
                </c:pt>
              </c:numCache>
            </c:numRef>
          </c:val>
        </c:ser>
        <c:dLbls>
          <c:showLegendKey val="0"/>
          <c:showVal val="0"/>
          <c:showCatName val="0"/>
          <c:showSerName val="0"/>
          <c:showPercent val="0"/>
          <c:showBubbleSize val="0"/>
        </c:dLbls>
        <c:gapWidth val="150"/>
        <c:shape val="box"/>
        <c:axId val="23566592"/>
        <c:axId val="23568384"/>
        <c:axId val="0"/>
      </c:bar3DChart>
      <c:catAx>
        <c:axId val="23566592"/>
        <c:scaling>
          <c:orientation val="minMax"/>
        </c:scaling>
        <c:delete val="0"/>
        <c:axPos val="b"/>
        <c:majorTickMark val="out"/>
        <c:minorTickMark val="none"/>
        <c:tickLblPos val="nextTo"/>
        <c:txPr>
          <a:bodyPr/>
          <a:lstStyle/>
          <a:p>
            <a:pPr>
              <a:defRPr sz="1200" b="1"/>
            </a:pPr>
            <a:endParaRPr lang="en-US"/>
          </a:p>
        </c:txPr>
        <c:crossAx val="23568384"/>
        <c:crosses val="autoZero"/>
        <c:auto val="1"/>
        <c:lblAlgn val="ctr"/>
        <c:lblOffset val="100"/>
        <c:noMultiLvlLbl val="0"/>
      </c:catAx>
      <c:valAx>
        <c:axId val="23568384"/>
        <c:scaling>
          <c:orientation val="minMax"/>
          <c:min val="0.4"/>
        </c:scaling>
        <c:delete val="0"/>
        <c:axPos val="l"/>
        <c:majorGridlines/>
        <c:numFmt formatCode="0%" sourceLinked="1"/>
        <c:majorTickMark val="out"/>
        <c:minorTickMark val="none"/>
        <c:tickLblPos val="nextTo"/>
        <c:txPr>
          <a:bodyPr/>
          <a:lstStyle/>
          <a:p>
            <a:pPr>
              <a:defRPr sz="1200" b="1"/>
            </a:pPr>
            <a:endParaRPr lang="en-US"/>
          </a:p>
        </c:txPr>
        <c:crossAx val="23566592"/>
        <c:crosses val="autoZero"/>
        <c:crossBetween val="between"/>
        <c:majorUnit val="0.1"/>
      </c:valAx>
    </c:plotArea>
    <c:legend>
      <c:legendPos val="r"/>
      <c:layout>
        <c:manualLayout>
          <c:xMode val="edge"/>
          <c:yMode val="edge"/>
          <c:x val="0.50996350110646549"/>
          <c:y val="3.1467324339929298E-2"/>
          <c:w val="0.37240513911830808"/>
          <c:h val="0.11391540459405688"/>
        </c:manualLayout>
      </c:layout>
      <c:overlay val="0"/>
      <c:txPr>
        <a:bodyPr/>
        <a:lstStyle/>
        <a:p>
          <a:pPr>
            <a:defRPr sz="12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53546-49F1-481F-A4FB-5D04965C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4686</Words>
  <Characters>26714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31338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MC CONKEY</dc:creator>
  <cp:lastModifiedBy>Laurence</cp:lastModifiedBy>
  <cp:revision>2</cp:revision>
  <cp:lastPrinted>2014-12-18T09:09:00Z</cp:lastPrinted>
  <dcterms:created xsi:type="dcterms:W3CDTF">2014-12-18T11:31:00Z</dcterms:created>
  <dcterms:modified xsi:type="dcterms:W3CDTF">2014-12-18T11:31:00Z</dcterms:modified>
</cp:coreProperties>
</file>