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F0A" w:rsidRPr="00A14A0B" w:rsidRDefault="001B534F" w:rsidP="00840393">
      <w:pPr>
        <w:jc w:val="left"/>
        <w:rPr>
          <w:b/>
          <w:sz w:val="28"/>
          <w:szCs w:val="28"/>
        </w:rPr>
      </w:pPr>
      <w:r w:rsidRPr="00A14A0B">
        <w:rPr>
          <w:b/>
          <w:sz w:val="28"/>
          <w:szCs w:val="28"/>
        </w:rPr>
        <w:t>Mode</w:t>
      </w:r>
      <w:r w:rsidR="00E6285C" w:rsidRPr="00A14A0B">
        <w:rPr>
          <w:b/>
          <w:sz w:val="28"/>
          <w:szCs w:val="28"/>
        </w:rPr>
        <w:t>l</w:t>
      </w:r>
      <w:r w:rsidRPr="00A14A0B">
        <w:rPr>
          <w:b/>
          <w:sz w:val="28"/>
          <w:szCs w:val="28"/>
        </w:rPr>
        <w:t xml:space="preserve">ling and experimental validation for the thermal performance </w:t>
      </w:r>
    </w:p>
    <w:p w:rsidR="005F0166" w:rsidRPr="00A14A0B" w:rsidRDefault="001B534F" w:rsidP="00840393">
      <w:pPr>
        <w:jc w:val="left"/>
        <w:rPr>
          <w:b/>
          <w:sz w:val="28"/>
          <w:szCs w:val="28"/>
        </w:rPr>
      </w:pPr>
      <w:r w:rsidRPr="009B298A">
        <w:rPr>
          <w:b/>
          <w:sz w:val="28"/>
          <w:szCs w:val="28"/>
          <w:lang w:val="en-GB"/>
        </w:rPr>
        <w:t xml:space="preserve">of a </w:t>
      </w:r>
      <w:r w:rsidR="001B6A55" w:rsidRPr="009B298A">
        <w:rPr>
          <w:b/>
          <w:sz w:val="28"/>
          <w:szCs w:val="28"/>
          <w:lang w:val="en-GB"/>
        </w:rPr>
        <w:t>h</w:t>
      </w:r>
      <w:r w:rsidRPr="009B298A">
        <w:rPr>
          <w:b/>
          <w:sz w:val="28"/>
          <w:szCs w:val="28"/>
          <w:lang w:val="en-GB"/>
        </w:rPr>
        <w:t xml:space="preserve">ybrid </w:t>
      </w:r>
      <w:r w:rsidR="001B6A55" w:rsidRPr="009B298A">
        <w:rPr>
          <w:b/>
          <w:sz w:val="28"/>
          <w:szCs w:val="28"/>
          <w:lang w:val="en-GB"/>
        </w:rPr>
        <w:t>vacuum g</w:t>
      </w:r>
      <w:r w:rsidRPr="009B298A">
        <w:rPr>
          <w:b/>
          <w:sz w:val="28"/>
          <w:szCs w:val="28"/>
          <w:lang w:val="en-GB"/>
        </w:rPr>
        <w:t>lazing</w:t>
      </w:r>
    </w:p>
    <w:p w:rsidR="005F0166" w:rsidRPr="00840393" w:rsidRDefault="005F0166" w:rsidP="00840393">
      <w:pPr>
        <w:jc w:val="left"/>
        <w:rPr>
          <w:b/>
        </w:rPr>
      </w:pPr>
    </w:p>
    <w:p w:rsidR="005F0166" w:rsidRPr="00840393" w:rsidRDefault="005F0166" w:rsidP="00840393">
      <w:pPr>
        <w:jc w:val="left"/>
        <w:rPr>
          <w:b/>
        </w:rPr>
      </w:pPr>
      <w:r w:rsidRPr="00840393">
        <w:rPr>
          <w:b/>
        </w:rPr>
        <w:t>Y. Fang</w:t>
      </w:r>
      <w:r w:rsidR="00092B5C">
        <w:rPr>
          <w:b/>
        </w:rPr>
        <w:t>*</w:t>
      </w:r>
      <w:r w:rsidRPr="00840393">
        <w:rPr>
          <w:b/>
        </w:rPr>
        <w:t>, T. J. Hyde, F. Arya, N. Hewitt</w:t>
      </w:r>
    </w:p>
    <w:p w:rsidR="005F0166" w:rsidRPr="00500501" w:rsidRDefault="005F0166" w:rsidP="00840393">
      <w:pPr>
        <w:jc w:val="left"/>
        <w:rPr>
          <w:sz w:val="18"/>
          <w:szCs w:val="18"/>
        </w:rPr>
      </w:pPr>
      <w:r w:rsidRPr="00500501">
        <w:rPr>
          <w:sz w:val="18"/>
          <w:szCs w:val="18"/>
        </w:rPr>
        <w:t>School of the built environment, University of Ulster, Newtownabbey BT37 0QB, Northern Ireland UK</w:t>
      </w:r>
    </w:p>
    <w:p w:rsidR="00092B5C" w:rsidRPr="00500501" w:rsidRDefault="00092B5C" w:rsidP="00840393">
      <w:pPr>
        <w:jc w:val="left"/>
        <w:rPr>
          <w:sz w:val="18"/>
          <w:szCs w:val="18"/>
        </w:rPr>
      </w:pPr>
      <w:r w:rsidRPr="00500501">
        <w:rPr>
          <w:sz w:val="18"/>
          <w:szCs w:val="18"/>
        </w:rPr>
        <w:t xml:space="preserve">*Corresponding author: e-mail: </w:t>
      </w:r>
      <w:hyperlink r:id="rId7" w:history="1">
        <w:r w:rsidRPr="00500501">
          <w:rPr>
            <w:rStyle w:val="Hyperlink"/>
            <w:sz w:val="18"/>
            <w:szCs w:val="18"/>
          </w:rPr>
          <w:t>fangyueping@yahoo.com</w:t>
        </w:r>
      </w:hyperlink>
      <w:r w:rsidRPr="00500501">
        <w:rPr>
          <w:sz w:val="18"/>
          <w:szCs w:val="18"/>
        </w:rPr>
        <w:t>, Phone: +44 28 90368227</w:t>
      </w:r>
    </w:p>
    <w:tbl>
      <w:tblPr>
        <w:tblW w:w="6480" w:type="dxa"/>
        <w:tblInd w:w="1728" w:type="dxa"/>
        <w:tblLayout w:type="fixed"/>
        <w:tblLook w:val="0000"/>
      </w:tblPr>
      <w:tblGrid>
        <w:gridCol w:w="6480"/>
      </w:tblGrid>
      <w:tr w:rsidR="001B534F" w:rsidRPr="00840393" w:rsidTr="00926B1F">
        <w:tc>
          <w:tcPr>
            <w:tcW w:w="6480" w:type="dxa"/>
          </w:tcPr>
          <w:p w:rsidR="001B534F" w:rsidRPr="00840393" w:rsidRDefault="001B534F" w:rsidP="00840393">
            <w:pPr>
              <w:pStyle w:val="Author"/>
              <w:jc w:val="left"/>
              <w:rPr>
                <w:rFonts w:ascii="Times New Roman" w:hAnsi="Times New Roman"/>
              </w:rPr>
            </w:pPr>
          </w:p>
        </w:tc>
      </w:tr>
    </w:tbl>
    <w:p w:rsidR="00913459" w:rsidRPr="00092B5C" w:rsidRDefault="00913459" w:rsidP="00840393">
      <w:r w:rsidRPr="00092B5C">
        <w:rPr>
          <w:b/>
          <w:sz w:val="18"/>
        </w:rPr>
        <w:t>Abstract</w:t>
      </w:r>
    </w:p>
    <w:p w:rsidR="00A968DD" w:rsidRPr="00092B5C" w:rsidRDefault="003B75DE" w:rsidP="00840393">
      <w:pPr>
        <w:rPr>
          <w:sz w:val="18"/>
        </w:rPr>
      </w:pPr>
      <w:r w:rsidRPr="00092B5C">
        <w:rPr>
          <w:sz w:val="18"/>
        </w:rPr>
        <w:t xml:space="preserve">     </w:t>
      </w:r>
      <w:r w:rsidR="008E1752" w:rsidRPr="00092B5C">
        <w:rPr>
          <w:sz w:val="18"/>
        </w:rPr>
        <w:t>The thermal performance of a</w:t>
      </w:r>
      <w:r w:rsidR="00A968DD" w:rsidRPr="00092B5C">
        <w:rPr>
          <w:sz w:val="18"/>
        </w:rPr>
        <w:t xml:space="preserve"> </w:t>
      </w:r>
      <w:r w:rsidR="00345CF0" w:rsidRPr="00092B5C">
        <w:rPr>
          <w:sz w:val="18"/>
        </w:rPr>
        <w:t>hybrid vacuum glazing (</w:t>
      </w:r>
      <w:r w:rsidR="00BB0BAB" w:rsidRPr="00092B5C">
        <w:rPr>
          <w:sz w:val="18"/>
        </w:rPr>
        <w:t>HVG</w:t>
      </w:r>
      <w:r w:rsidR="00345CF0" w:rsidRPr="00092B5C">
        <w:rPr>
          <w:sz w:val="18"/>
        </w:rPr>
        <w:t>)</w:t>
      </w:r>
      <w:r w:rsidR="00A968DD" w:rsidRPr="00092B5C">
        <w:rPr>
          <w:sz w:val="18"/>
        </w:rPr>
        <w:t xml:space="preserve"> with dimensions of 0.4 m by 0.4 m was model</w:t>
      </w:r>
      <w:r w:rsidR="00E6285C" w:rsidRPr="00092B5C">
        <w:rPr>
          <w:sz w:val="18"/>
        </w:rPr>
        <w:t>l</w:t>
      </w:r>
      <w:r w:rsidR="00A968DD" w:rsidRPr="00092B5C">
        <w:rPr>
          <w:sz w:val="18"/>
        </w:rPr>
        <w:t xml:space="preserve">ed </w:t>
      </w:r>
      <w:r w:rsidR="00EF6A32" w:rsidRPr="00092B5C">
        <w:rPr>
          <w:sz w:val="18"/>
        </w:rPr>
        <w:t>using a finite volume model (FV</w:t>
      </w:r>
      <w:r w:rsidR="00A968DD" w:rsidRPr="00092B5C">
        <w:rPr>
          <w:sz w:val="18"/>
        </w:rPr>
        <w:t xml:space="preserve">M). </w:t>
      </w:r>
      <w:r w:rsidR="00345CF0" w:rsidRPr="00092B5C">
        <w:rPr>
          <w:sz w:val="18"/>
        </w:rPr>
        <w:t xml:space="preserve">The HVG is the combination of a conventional double vacuum glazing </w:t>
      </w:r>
      <w:r w:rsidR="00913459" w:rsidRPr="00092B5C">
        <w:rPr>
          <w:sz w:val="18"/>
        </w:rPr>
        <w:t xml:space="preserve">(DVG) </w:t>
      </w:r>
      <w:r w:rsidR="00D45F7E" w:rsidRPr="00092B5C">
        <w:rPr>
          <w:sz w:val="18"/>
        </w:rPr>
        <w:t xml:space="preserve">and a third glass sheet </w:t>
      </w:r>
      <w:r w:rsidR="00345CF0" w:rsidRPr="00092B5C">
        <w:rPr>
          <w:sz w:val="18"/>
        </w:rPr>
        <w:t xml:space="preserve">separated </w:t>
      </w:r>
      <w:r w:rsidR="00D45F7E" w:rsidRPr="00092B5C">
        <w:rPr>
          <w:sz w:val="18"/>
        </w:rPr>
        <w:t>a gas filled cavity</w:t>
      </w:r>
      <w:r w:rsidR="008E1752" w:rsidRPr="00092B5C">
        <w:rPr>
          <w:sz w:val="18"/>
        </w:rPr>
        <w:t>.</w:t>
      </w:r>
      <w:r w:rsidR="00345CF0" w:rsidRPr="00092B5C">
        <w:rPr>
          <w:sz w:val="18"/>
        </w:rPr>
        <w:t xml:space="preserve"> The DVG </w:t>
      </w:r>
      <w:r w:rsidR="008C6AFA" w:rsidRPr="00092B5C">
        <w:rPr>
          <w:sz w:val="18"/>
        </w:rPr>
        <w:t xml:space="preserve">integrated within the HVG </w:t>
      </w:r>
      <w:r w:rsidR="00345CF0" w:rsidRPr="00092B5C">
        <w:rPr>
          <w:sz w:val="18"/>
        </w:rPr>
        <w:t xml:space="preserve">comprises two 4 mm thick glass sheets </w:t>
      </w:r>
      <w:r w:rsidR="00913459" w:rsidRPr="00092B5C">
        <w:rPr>
          <w:sz w:val="18"/>
        </w:rPr>
        <w:t xml:space="preserve">both </w:t>
      </w:r>
      <w:r w:rsidR="00345CF0" w:rsidRPr="00092B5C">
        <w:rPr>
          <w:sz w:val="18"/>
        </w:rPr>
        <w:t xml:space="preserve">coated with </w:t>
      </w:r>
      <w:r w:rsidR="008E1752" w:rsidRPr="00092B5C">
        <w:rPr>
          <w:sz w:val="18"/>
        </w:rPr>
        <w:t xml:space="preserve">a </w:t>
      </w:r>
      <w:r w:rsidR="00913459" w:rsidRPr="00092B5C">
        <w:rPr>
          <w:sz w:val="18"/>
        </w:rPr>
        <w:t>low-</w:t>
      </w:r>
      <w:proofErr w:type="spellStart"/>
      <w:r w:rsidR="00913459" w:rsidRPr="00092B5C">
        <w:rPr>
          <w:sz w:val="18"/>
        </w:rPr>
        <w:t>emittance</w:t>
      </w:r>
      <w:proofErr w:type="spellEnd"/>
      <w:r w:rsidR="00913459" w:rsidRPr="00092B5C">
        <w:rPr>
          <w:sz w:val="18"/>
        </w:rPr>
        <w:t xml:space="preserve"> (low-e) coating</w:t>
      </w:r>
      <w:r w:rsidR="00345CF0" w:rsidRPr="00092B5C">
        <w:rPr>
          <w:sz w:val="18"/>
        </w:rPr>
        <w:t xml:space="preserve"> with emittance of 0.16, separated by an array of stainless steel support pillars with a diamete</w:t>
      </w:r>
      <w:r w:rsidR="008C6AFA" w:rsidRPr="00092B5C">
        <w:rPr>
          <w:sz w:val="18"/>
        </w:rPr>
        <w:t>r of 0.4 mm and a height of 0.2</w:t>
      </w:r>
      <w:r w:rsidR="00345CF0" w:rsidRPr="00092B5C">
        <w:rPr>
          <w:sz w:val="18"/>
        </w:rPr>
        <w:t xml:space="preserve"> mm, spaced at 25 mm within the vacuum gap</w:t>
      </w:r>
      <w:r w:rsidR="00F77C79" w:rsidRPr="00092B5C">
        <w:rPr>
          <w:sz w:val="18"/>
        </w:rPr>
        <w:t>, sealed</w:t>
      </w:r>
      <w:r w:rsidR="008E1752" w:rsidRPr="00092B5C">
        <w:rPr>
          <w:sz w:val="18"/>
        </w:rPr>
        <w:t xml:space="preserve"> around their periphery</w:t>
      </w:r>
      <w:r w:rsidR="00D45F7E" w:rsidRPr="00092B5C">
        <w:rPr>
          <w:sz w:val="18"/>
        </w:rPr>
        <w:t xml:space="preserve"> by a 6 mm wide indium based sealant</w:t>
      </w:r>
      <w:r w:rsidR="00345CF0" w:rsidRPr="00092B5C">
        <w:rPr>
          <w:sz w:val="18"/>
        </w:rPr>
        <w:t xml:space="preserve">. </w:t>
      </w:r>
      <w:r w:rsidR="00F77C79" w:rsidRPr="00092B5C">
        <w:rPr>
          <w:sz w:val="18"/>
        </w:rPr>
        <w:t>The thermal performance of both DVG and HVG were</w:t>
      </w:r>
      <w:r w:rsidR="00A968DD" w:rsidRPr="00092B5C">
        <w:rPr>
          <w:sz w:val="18"/>
          <w:lang w:val="en-GB"/>
        </w:rPr>
        <w:t xml:space="preserve"> </w:t>
      </w:r>
      <w:r w:rsidR="008C6AFA" w:rsidRPr="00092B5C">
        <w:rPr>
          <w:sz w:val="18"/>
          <w:lang w:val="en-GB"/>
        </w:rPr>
        <w:t>characterised</w:t>
      </w:r>
      <w:r w:rsidR="00A968DD" w:rsidRPr="00092B5C">
        <w:rPr>
          <w:sz w:val="18"/>
        </w:rPr>
        <w:t xml:space="preserve"> using </w:t>
      </w:r>
      <w:r w:rsidR="00E6285C" w:rsidRPr="00092B5C">
        <w:rPr>
          <w:sz w:val="18"/>
        </w:rPr>
        <w:t>a</w:t>
      </w:r>
      <w:r w:rsidR="00A968DD" w:rsidRPr="00092B5C">
        <w:rPr>
          <w:sz w:val="18"/>
        </w:rPr>
        <w:t xml:space="preserve"> guarded hot box calorimeter </w:t>
      </w:r>
      <w:r w:rsidR="006455D1">
        <w:rPr>
          <w:sz w:val="18"/>
        </w:rPr>
        <w:t>(GHBC).</w:t>
      </w:r>
    </w:p>
    <w:p w:rsidR="001B534F" w:rsidRPr="00092B5C" w:rsidRDefault="003B75DE" w:rsidP="00840393">
      <w:pPr>
        <w:rPr>
          <w:sz w:val="18"/>
        </w:rPr>
      </w:pPr>
      <w:r w:rsidRPr="00092B5C">
        <w:rPr>
          <w:sz w:val="18"/>
        </w:rPr>
        <w:t xml:space="preserve">     </w:t>
      </w:r>
      <w:r w:rsidR="001B534F" w:rsidRPr="00092B5C">
        <w:rPr>
          <w:sz w:val="18"/>
        </w:rPr>
        <w:t>The simulation results show</w:t>
      </w:r>
      <w:r w:rsidR="00DD0852" w:rsidRPr="00092B5C">
        <w:rPr>
          <w:sz w:val="18"/>
        </w:rPr>
        <w:t>ed</w:t>
      </w:r>
      <w:r w:rsidR="001B534F" w:rsidRPr="00092B5C">
        <w:rPr>
          <w:sz w:val="18"/>
        </w:rPr>
        <w:t xml:space="preserve"> that </w:t>
      </w:r>
      <w:r w:rsidR="00DD0852" w:rsidRPr="00092B5C">
        <w:rPr>
          <w:sz w:val="18"/>
        </w:rPr>
        <w:t xml:space="preserve">for </w:t>
      </w:r>
      <w:r w:rsidR="007D2E8D" w:rsidRPr="00092B5C">
        <w:rPr>
          <w:sz w:val="18"/>
        </w:rPr>
        <w:t xml:space="preserve">the </w:t>
      </w:r>
      <w:r w:rsidR="00DD0852" w:rsidRPr="00092B5C">
        <w:rPr>
          <w:sz w:val="18"/>
        </w:rPr>
        <w:t>0.4 m by 0.4</w:t>
      </w:r>
      <w:r w:rsidR="001B534F" w:rsidRPr="00092B5C">
        <w:rPr>
          <w:sz w:val="18"/>
        </w:rPr>
        <w:t xml:space="preserve"> m </w:t>
      </w:r>
      <w:r w:rsidR="00DD0852" w:rsidRPr="00092B5C">
        <w:rPr>
          <w:sz w:val="18"/>
        </w:rPr>
        <w:t>HVG</w:t>
      </w:r>
      <w:r w:rsidR="007D2E8D" w:rsidRPr="00092B5C">
        <w:rPr>
          <w:sz w:val="18"/>
        </w:rPr>
        <w:t xml:space="preserve"> with </w:t>
      </w:r>
      <w:r w:rsidR="008E1752" w:rsidRPr="00092B5C">
        <w:rPr>
          <w:sz w:val="18"/>
        </w:rPr>
        <w:t xml:space="preserve">the </w:t>
      </w:r>
      <w:r w:rsidR="007D2E8D" w:rsidRPr="00092B5C">
        <w:rPr>
          <w:sz w:val="18"/>
        </w:rPr>
        <w:t xml:space="preserve">configuration parameters </w:t>
      </w:r>
      <w:r w:rsidR="00981AF7" w:rsidRPr="00092B5C">
        <w:rPr>
          <w:sz w:val="18"/>
        </w:rPr>
        <w:t>listed</w:t>
      </w:r>
      <w:r w:rsidR="007D2E8D" w:rsidRPr="00092B5C">
        <w:rPr>
          <w:sz w:val="18"/>
        </w:rPr>
        <w:t xml:space="preserve"> above</w:t>
      </w:r>
      <w:r w:rsidR="001B534F" w:rsidRPr="00092B5C">
        <w:rPr>
          <w:sz w:val="18"/>
        </w:rPr>
        <w:t xml:space="preserve">, </w:t>
      </w:r>
      <w:r w:rsidR="00DD0852" w:rsidRPr="00092B5C">
        <w:rPr>
          <w:sz w:val="18"/>
        </w:rPr>
        <w:t>the thermal transmission</w:t>
      </w:r>
      <w:r w:rsidR="00C03928" w:rsidRPr="00092B5C">
        <w:rPr>
          <w:sz w:val="18"/>
        </w:rPr>
        <w:t xml:space="preserve"> U-value</w:t>
      </w:r>
      <w:r w:rsidR="00DD0852" w:rsidRPr="00092B5C">
        <w:rPr>
          <w:sz w:val="18"/>
        </w:rPr>
        <w:t xml:space="preserve"> </w:t>
      </w:r>
      <w:r w:rsidR="00064D6E" w:rsidRPr="00092B5C">
        <w:rPr>
          <w:sz w:val="18"/>
        </w:rPr>
        <w:t>of</w:t>
      </w:r>
      <w:r w:rsidR="00F77C79" w:rsidRPr="00092B5C">
        <w:rPr>
          <w:sz w:val="18"/>
        </w:rPr>
        <w:t xml:space="preserve"> the centre-of-glazing</w:t>
      </w:r>
      <w:r w:rsidR="00064D6E" w:rsidRPr="00092B5C">
        <w:rPr>
          <w:sz w:val="18"/>
        </w:rPr>
        <w:t xml:space="preserve"> area</w:t>
      </w:r>
      <w:r w:rsidR="00F77C79" w:rsidRPr="00092B5C">
        <w:rPr>
          <w:sz w:val="18"/>
        </w:rPr>
        <w:t xml:space="preserve"> </w:t>
      </w:r>
      <w:r w:rsidR="00E6285C" w:rsidRPr="00092B5C">
        <w:rPr>
          <w:sz w:val="18"/>
        </w:rPr>
        <w:t xml:space="preserve">was </w:t>
      </w:r>
      <w:r w:rsidR="00981AF7" w:rsidRPr="00092B5C">
        <w:rPr>
          <w:sz w:val="18"/>
        </w:rPr>
        <w:t>0.64</w:t>
      </w:r>
      <w:r w:rsidR="00C03928" w:rsidRPr="00092B5C">
        <w:rPr>
          <w:sz w:val="18"/>
        </w:rPr>
        <w:t xml:space="preserve"> W</w:t>
      </w:r>
      <w:r w:rsidR="00981AF7" w:rsidRPr="00092B5C">
        <w:rPr>
          <w:sz w:val="18"/>
        </w:rPr>
        <w:t>.</w:t>
      </w:r>
      <w:r w:rsidR="00C03928" w:rsidRPr="00092B5C">
        <w:rPr>
          <w:sz w:val="18"/>
        </w:rPr>
        <w:t>m</w:t>
      </w:r>
      <w:r w:rsidR="00C03928" w:rsidRPr="00092B5C">
        <w:rPr>
          <w:sz w:val="18"/>
          <w:vertAlign w:val="superscript"/>
        </w:rPr>
        <w:t>-2</w:t>
      </w:r>
      <w:r w:rsidR="00981AF7" w:rsidRPr="00092B5C">
        <w:rPr>
          <w:sz w:val="18"/>
        </w:rPr>
        <w:t>.K</w:t>
      </w:r>
      <w:r w:rsidR="00C03928" w:rsidRPr="00092B5C">
        <w:rPr>
          <w:sz w:val="18"/>
          <w:vertAlign w:val="superscript"/>
        </w:rPr>
        <w:t>-1</w:t>
      </w:r>
      <w:r w:rsidR="00947046" w:rsidRPr="00092B5C">
        <w:rPr>
          <w:sz w:val="18"/>
        </w:rPr>
        <w:t>.</w:t>
      </w:r>
      <w:r w:rsidR="00C03928" w:rsidRPr="00092B5C">
        <w:rPr>
          <w:sz w:val="18"/>
        </w:rPr>
        <w:t xml:space="preserve"> </w:t>
      </w:r>
      <w:r w:rsidR="008E1752" w:rsidRPr="00092B5C">
        <w:rPr>
          <w:sz w:val="18"/>
        </w:rPr>
        <w:t>Before integration</w:t>
      </w:r>
      <w:r w:rsidR="008C6556" w:rsidRPr="00092B5C">
        <w:rPr>
          <w:sz w:val="18"/>
        </w:rPr>
        <w:t xml:space="preserve"> with the third glass sheet, the U-value </w:t>
      </w:r>
      <w:r w:rsidR="00981AF7" w:rsidRPr="00092B5C">
        <w:rPr>
          <w:sz w:val="18"/>
        </w:rPr>
        <w:t xml:space="preserve">of </w:t>
      </w:r>
      <w:r w:rsidR="00947046" w:rsidRPr="00092B5C">
        <w:rPr>
          <w:sz w:val="18"/>
        </w:rPr>
        <w:t xml:space="preserve">the centre-of-glazing area </w:t>
      </w:r>
      <w:r w:rsidR="008C6556" w:rsidRPr="00092B5C">
        <w:rPr>
          <w:sz w:val="18"/>
        </w:rPr>
        <w:t xml:space="preserve">of the </w:t>
      </w:r>
      <w:r w:rsidR="00981AF7" w:rsidRPr="00092B5C">
        <w:rPr>
          <w:sz w:val="18"/>
        </w:rPr>
        <w:t>DVG</w:t>
      </w:r>
      <w:r w:rsidR="00C03928" w:rsidRPr="00092B5C">
        <w:rPr>
          <w:sz w:val="18"/>
        </w:rPr>
        <w:t xml:space="preserve"> </w:t>
      </w:r>
      <w:r w:rsidR="00F56B41" w:rsidRPr="00092B5C">
        <w:rPr>
          <w:sz w:val="18"/>
        </w:rPr>
        <w:t>with dimen</w:t>
      </w:r>
      <w:r w:rsidR="00947046" w:rsidRPr="00092B5C">
        <w:rPr>
          <w:sz w:val="18"/>
        </w:rPr>
        <w:t>sions of 0.4 m by 0.4 m was 0.85</w:t>
      </w:r>
      <w:r w:rsidR="00F56B41" w:rsidRPr="00092B5C">
        <w:rPr>
          <w:sz w:val="18"/>
        </w:rPr>
        <w:t xml:space="preserve"> W</w:t>
      </w:r>
      <w:r w:rsidR="00766C1B" w:rsidRPr="00092B5C">
        <w:rPr>
          <w:sz w:val="18"/>
        </w:rPr>
        <w:t>.</w:t>
      </w:r>
      <w:r w:rsidR="00F56B41" w:rsidRPr="00092B5C">
        <w:rPr>
          <w:sz w:val="18"/>
        </w:rPr>
        <w:t>m</w:t>
      </w:r>
      <w:r w:rsidR="00F56B41" w:rsidRPr="00092B5C">
        <w:rPr>
          <w:sz w:val="18"/>
          <w:vertAlign w:val="superscript"/>
        </w:rPr>
        <w:t>-2</w:t>
      </w:r>
      <w:r w:rsidR="00766C1B" w:rsidRPr="00092B5C">
        <w:rPr>
          <w:sz w:val="18"/>
        </w:rPr>
        <w:t>.</w:t>
      </w:r>
      <w:r w:rsidR="00F56B41" w:rsidRPr="00092B5C">
        <w:rPr>
          <w:sz w:val="18"/>
        </w:rPr>
        <w:t>K</w:t>
      </w:r>
      <w:r w:rsidR="00F56B41" w:rsidRPr="00092B5C">
        <w:rPr>
          <w:sz w:val="18"/>
          <w:vertAlign w:val="superscript"/>
        </w:rPr>
        <w:t>-1</w:t>
      </w:r>
      <w:r w:rsidR="009F0BF1" w:rsidRPr="00092B5C">
        <w:rPr>
          <w:sz w:val="18"/>
        </w:rPr>
        <w:t>.</w:t>
      </w:r>
      <w:r w:rsidR="00F56B41" w:rsidRPr="00092B5C">
        <w:rPr>
          <w:sz w:val="18"/>
        </w:rPr>
        <w:t xml:space="preserve"> </w:t>
      </w:r>
      <w:r w:rsidR="00A968DD" w:rsidRPr="00092B5C">
        <w:rPr>
          <w:sz w:val="18"/>
        </w:rPr>
        <w:t>N</w:t>
      </w:r>
      <w:r w:rsidR="00EA6270" w:rsidRPr="00092B5C">
        <w:rPr>
          <w:sz w:val="18"/>
        </w:rPr>
        <w:t xml:space="preserve">o low-e coating </w:t>
      </w:r>
      <w:r w:rsidR="00A968DD" w:rsidRPr="00092B5C">
        <w:rPr>
          <w:sz w:val="18"/>
        </w:rPr>
        <w:t xml:space="preserve">was </w:t>
      </w:r>
      <w:r w:rsidR="009F0BF1" w:rsidRPr="00092B5C">
        <w:rPr>
          <w:sz w:val="18"/>
        </w:rPr>
        <w:t xml:space="preserve">employed </w:t>
      </w:r>
      <w:r w:rsidR="00EA6270" w:rsidRPr="00092B5C">
        <w:rPr>
          <w:sz w:val="18"/>
        </w:rPr>
        <w:t xml:space="preserve">on the </w:t>
      </w:r>
      <w:r w:rsidR="00A968DD" w:rsidRPr="00092B5C">
        <w:rPr>
          <w:sz w:val="18"/>
        </w:rPr>
        <w:t>third</w:t>
      </w:r>
      <w:r w:rsidR="00EA6270" w:rsidRPr="00092B5C">
        <w:rPr>
          <w:sz w:val="18"/>
        </w:rPr>
        <w:t xml:space="preserve"> glass </w:t>
      </w:r>
      <w:r w:rsidR="00E6285C" w:rsidRPr="00092B5C">
        <w:rPr>
          <w:sz w:val="18"/>
        </w:rPr>
        <w:t xml:space="preserve">sheet. </w:t>
      </w:r>
      <w:r w:rsidR="00F56B41" w:rsidRPr="00092B5C">
        <w:rPr>
          <w:sz w:val="18"/>
        </w:rPr>
        <w:t>The U-value of the HVG calculated using the analytic model was i</w:t>
      </w:r>
      <w:r w:rsidR="008C6AFA" w:rsidRPr="00092B5C">
        <w:rPr>
          <w:sz w:val="18"/>
        </w:rPr>
        <w:t>n good agreement with that</w:t>
      </w:r>
      <w:r w:rsidR="004C33B6" w:rsidRPr="00092B5C">
        <w:rPr>
          <w:sz w:val="18"/>
        </w:rPr>
        <w:t xml:space="preserve"> </w:t>
      </w:r>
      <w:r w:rsidR="00BB0BAB" w:rsidRPr="00092B5C">
        <w:rPr>
          <w:sz w:val="18"/>
        </w:rPr>
        <w:t xml:space="preserve">predicted </w:t>
      </w:r>
      <w:r w:rsidR="00626644" w:rsidRPr="00092B5C">
        <w:rPr>
          <w:sz w:val="18"/>
        </w:rPr>
        <w:t>using the FV</w:t>
      </w:r>
      <w:r w:rsidR="00F56B41" w:rsidRPr="00092B5C">
        <w:rPr>
          <w:sz w:val="18"/>
        </w:rPr>
        <w:t>M</w:t>
      </w:r>
      <w:r w:rsidR="008C6AFA" w:rsidRPr="00092B5C">
        <w:rPr>
          <w:sz w:val="18"/>
        </w:rPr>
        <w:t xml:space="preserve"> with </w:t>
      </w:r>
      <w:r w:rsidR="008E1752" w:rsidRPr="00092B5C">
        <w:rPr>
          <w:sz w:val="18"/>
        </w:rPr>
        <w:t xml:space="preserve">a </w:t>
      </w:r>
      <w:r w:rsidR="008C6AFA" w:rsidRPr="00092B5C">
        <w:rPr>
          <w:sz w:val="18"/>
        </w:rPr>
        <w:t xml:space="preserve">deviation </w:t>
      </w:r>
      <w:r w:rsidR="008E1752" w:rsidRPr="00092B5C">
        <w:rPr>
          <w:sz w:val="18"/>
        </w:rPr>
        <w:t xml:space="preserve">of </w:t>
      </w:r>
      <w:r w:rsidR="008C6AFA" w:rsidRPr="00092B5C">
        <w:rPr>
          <w:sz w:val="18"/>
        </w:rPr>
        <w:t>less than 1%</w:t>
      </w:r>
      <w:r w:rsidR="00F56B41" w:rsidRPr="00092B5C">
        <w:rPr>
          <w:sz w:val="18"/>
        </w:rPr>
        <w:t xml:space="preserve">. </w:t>
      </w:r>
      <w:r w:rsidR="00766C1B" w:rsidRPr="00092B5C">
        <w:rPr>
          <w:sz w:val="18"/>
        </w:rPr>
        <w:t xml:space="preserve">Using the </w:t>
      </w:r>
      <w:r w:rsidR="008C6AFA" w:rsidRPr="00092B5C">
        <w:rPr>
          <w:sz w:val="18"/>
        </w:rPr>
        <w:t>GHBC</w:t>
      </w:r>
      <w:r w:rsidR="00766C1B" w:rsidRPr="00092B5C">
        <w:rPr>
          <w:sz w:val="18"/>
        </w:rPr>
        <w:t>, t</w:t>
      </w:r>
      <w:r w:rsidR="001349DE" w:rsidRPr="00092B5C">
        <w:rPr>
          <w:sz w:val="18"/>
        </w:rPr>
        <w:t>he experimentally determ</w:t>
      </w:r>
      <w:r w:rsidR="00766C1B" w:rsidRPr="00092B5C">
        <w:rPr>
          <w:sz w:val="18"/>
        </w:rPr>
        <w:t xml:space="preserve">ined U-value of the </w:t>
      </w:r>
      <w:r w:rsidR="00350536" w:rsidRPr="00092B5C">
        <w:rPr>
          <w:sz w:val="18"/>
        </w:rPr>
        <w:t xml:space="preserve">centre-of-glazing area of the </w:t>
      </w:r>
      <w:r w:rsidR="00766C1B" w:rsidRPr="00092B5C">
        <w:rPr>
          <w:sz w:val="18"/>
        </w:rPr>
        <w:t>HVG was 0.66</w:t>
      </w:r>
      <w:r w:rsidR="001349DE" w:rsidRPr="00092B5C">
        <w:rPr>
          <w:sz w:val="18"/>
        </w:rPr>
        <w:t xml:space="preserve"> W</w:t>
      </w:r>
      <w:r w:rsidR="00994475" w:rsidRPr="00092B5C">
        <w:rPr>
          <w:sz w:val="18"/>
        </w:rPr>
        <w:t>.</w:t>
      </w:r>
      <w:r w:rsidR="001349DE" w:rsidRPr="00092B5C">
        <w:rPr>
          <w:sz w:val="18"/>
        </w:rPr>
        <w:t>m</w:t>
      </w:r>
      <w:r w:rsidR="001349DE" w:rsidRPr="00092B5C">
        <w:rPr>
          <w:sz w:val="18"/>
          <w:vertAlign w:val="superscript"/>
        </w:rPr>
        <w:t>-2</w:t>
      </w:r>
      <w:r w:rsidR="00994475" w:rsidRPr="00092B5C">
        <w:rPr>
          <w:sz w:val="18"/>
        </w:rPr>
        <w:t>.K</w:t>
      </w:r>
      <w:r w:rsidR="001349DE" w:rsidRPr="00092B5C">
        <w:rPr>
          <w:sz w:val="18"/>
          <w:vertAlign w:val="superscript"/>
        </w:rPr>
        <w:t>-1</w:t>
      </w:r>
      <w:r w:rsidR="008C6AFA" w:rsidRPr="00092B5C">
        <w:rPr>
          <w:sz w:val="18"/>
        </w:rPr>
        <w:t xml:space="preserve"> which</w:t>
      </w:r>
      <w:r w:rsidR="00BB0BAB" w:rsidRPr="00092B5C">
        <w:rPr>
          <w:sz w:val="18"/>
        </w:rPr>
        <w:t xml:space="preserve"> was</w:t>
      </w:r>
      <w:r w:rsidR="001349DE" w:rsidRPr="00092B5C">
        <w:rPr>
          <w:sz w:val="18"/>
        </w:rPr>
        <w:t xml:space="preserve"> in very good agreement with the prediction</w:t>
      </w:r>
      <w:r w:rsidR="00064D6E" w:rsidRPr="00092B5C">
        <w:rPr>
          <w:sz w:val="18"/>
        </w:rPr>
        <w:t xml:space="preserve"> by the FVM</w:t>
      </w:r>
      <w:r w:rsidR="001349DE" w:rsidRPr="00092B5C">
        <w:rPr>
          <w:sz w:val="18"/>
        </w:rPr>
        <w:t xml:space="preserve"> with </w:t>
      </w:r>
      <w:r w:rsidR="004C33B6" w:rsidRPr="00092B5C">
        <w:rPr>
          <w:sz w:val="18"/>
        </w:rPr>
        <w:t xml:space="preserve">a </w:t>
      </w:r>
      <w:r w:rsidR="00766C1B" w:rsidRPr="00092B5C">
        <w:rPr>
          <w:sz w:val="18"/>
        </w:rPr>
        <w:t>deviation of 3.1</w:t>
      </w:r>
      <w:r w:rsidR="001349DE" w:rsidRPr="00092B5C">
        <w:rPr>
          <w:sz w:val="18"/>
        </w:rPr>
        <w:t>%.</w:t>
      </w:r>
      <w:r w:rsidR="00F56B41" w:rsidRPr="00092B5C">
        <w:rPr>
          <w:sz w:val="18"/>
        </w:rPr>
        <w:t xml:space="preserve"> </w:t>
      </w:r>
    </w:p>
    <w:p w:rsidR="00926B1F" w:rsidRPr="00092B5C" w:rsidRDefault="00926B1F" w:rsidP="00840393">
      <w:pPr>
        <w:rPr>
          <w:sz w:val="18"/>
        </w:rPr>
      </w:pPr>
    </w:p>
    <w:p w:rsidR="005F0166" w:rsidRPr="00092B5C" w:rsidRDefault="005F0166" w:rsidP="00840393">
      <w:pPr>
        <w:rPr>
          <w:sz w:val="18"/>
        </w:rPr>
      </w:pPr>
      <w:r w:rsidRPr="00092B5C">
        <w:rPr>
          <w:b/>
          <w:sz w:val="18"/>
        </w:rPr>
        <w:t>Key words:</w:t>
      </w:r>
      <w:r w:rsidRPr="00092B5C">
        <w:rPr>
          <w:sz w:val="18"/>
        </w:rPr>
        <w:t xml:space="preserve"> hybrid vacuum glazing (HVG), </w:t>
      </w:r>
      <w:r w:rsidR="00766C1B" w:rsidRPr="00092B5C">
        <w:rPr>
          <w:sz w:val="18"/>
        </w:rPr>
        <w:t xml:space="preserve">double vacuum glazing (DVG), </w:t>
      </w:r>
      <w:r w:rsidRPr="00092B5C">
        <w:rPr>
          <w:sz w:val="18"/>
        </w:rPr>
        <w:t>U</w:t>
      </w:r>
      <w:r w:rsidR="008E1752" w:rsidRPr="00092B5C">
        <w:rPr>
          <w:sz w:val="18"/>
        </w:rPr>
        <w:t>-value, finite volume</w:t>
      </w:r>
      <w:r w:rsidR="00F06702" w:rsidRPr="00092B5C">
        <w:rPr>
          <w:sz w:val="18"/>
        </w:rPr>
        <w:t xml:space="preserve"> model (FV</w:t>
      </w:r>
      <w:r w:rsidR="00092B5C">
        <w:rPr>
          <w:sz w:val="18"/>
        </w:rPr>
        <w:t>M)</w:t>
      </w:r>
    </w:p>
    <w:p w:rsidR="00947046" w:rsidRPr="00840393" w:rsidRDefault="00947046" w:rsidP="00840393"/>
    <w:p w:rsidR="00840393" w:rsidRPr="00840393" w:rsidRDefault="00840393" w:rsidP="00840393">
      <w:pPr>
        <w:pStyle w:val="BodyTextIndent"/>
        <w:ind w:firstLine="0"/>
        <w:rPr>
          <w:b/>
        </w:rPr>
        <w:sectPr w:rsidR="00840393" w:rsidRPr="00840393" w:rsidSect="006455D1">
          <w:footerReference w:type="default" r:id="rId8"/>
          <w:pgSz w:w="12240" w:h="15840"/>
          <w:pgMar w:top="1134" w:right="1440" w:bottom="1134" w:left="1440" w:header="720" w:footer="720" w:gutter="0"/>
          <w:cols w:space="720"/>
          <w:docGrid w:linePitch="360"/>
        </w:sectPr>
      </w:pPr>
    </w:p>
    <w:p w:rsidR="00563FF5" w:rsidRPr="00840393" w:rsidRDefault="00605838" w:rsidP="00840393">
      <w:pPr>
        <w:pStyle w:val="BodyTextIndent"/>
        <w:ind w:firstLine="0"/>
        <w:rPr>
          <w:b/>
        </w:rPr>
      </w:pPr>
      <w:r w:rsidRPr="00840393">
        <w:rPr>
          <w:b/>
        </w:rPr>
        <w:lastRenderedPageBreak/>
        <w:t xml:space="preserve">1. </w:t>
      </w:r>
      <w:r w:rsidR="00563FF5" w:rsidRPr="00840393">
        <w:rPr>
          <w:b/>
        </w:rPr>
        <w:t>Introduction</w:t>
      </w:r>
    </w:p>
    <w:p w:rsidR="00563FF5" w:rsidRDefault="006455D1" w:rsidP="00840393">
      <w:pPr>
        <w:pStyle w:val="BodyTextIndent"/>
        <w:ind w:firstLine="0"/>
      </w:pPr>
      <w:r>
        <w:t xml:space="preserve">      </w:t>
      </w:r>
      <w:r w:rsidR="006B7302" w:rsidRPr="00840393">
        <w:t xml:space="preserve">Due to </w:t>
      </w:r>
      <w:r w:rsidR="00563FF5" w:rsidRPr="00840393">
        <w:t xml:space="preserve">gaseous </w:t>
      </w:r>
      <w:r w:rsidR="005B2300" w:rsidRPr="00840393">
        <w:t xml:space="preserve">heat </w:t>
      </w:r>
      <w:r w:rsidR="00563FF5" w:rsidRPr="00840393">
        <w:t xml:space="preserve">conduction and convection </w:t>
      </w:r>
      <w:r w:rsidR="006B7302" w:rsidRPr="00840393">
        <w:t xml:space="preserve">within the double glazing, the heat transmission U-value </w:t>
      </w:r>
      <w:r w:rsidR="005B2300" w:rsidRPr="00840393">
        <w:t xml:space="preserve">of a double glazing </w:t>
      </w:r>
      <w:r w:rsidR="006B7302" w:rsidRPr="00840393">
        <w:t xml:space="preserve">cannot be reduced </w:t>
      </w:r>
      <w:r w:rsidR="0001651E">
        <w:t xml:space="preserve">further. </w:t>
      </w:r>
      <w:proofErr w:type="spellStart"/>
      <w:r w:rsidR="006B7302" w:rsidRPr="00840393">
        <w:t>Zoller</w:t>
      </w:r>
      <w:proofErr w:type="spellEnd"/>
      <w:r w:rsidR="006B7302" w:rsidRPr="00840393">
        <w:t xml:space="preserve"> </w:t>
      </w:r>
      <w:r w:rsidR="00A93EA7">
        <w:t>[1]</w:t>
      </w:r>
      <w:r w:rsidR="006B7302" w:rsidRPr="00840393">
        <w:t xml:space="preserve"> first presented the concept of double vacuum glazing</w:t>
      </w:r>
      <w:r w:rsidR="00EB33BA">
        <w:t xml:space="preserve"> (DV</w:t>
      </w:r>
      <w:r w:rsidR="006D66C4" w:rsidRPr="00840393">
        <w:t>G)</w:t>
      </w:r>
      <w:r w:rsidR="006B7302" w:rsidRPr="00840393">
        <w:t xml:space="preserve"> with two glass sheets, which </w:t>
      </w:r>
      <w:r w:rsidR="00563FF5" w:rsidRPr="00840393">
        <w:t>eliminate</w:t>
      </w:r>
      <w:r w:rsidR="006B7302" w:rsidRPr="00840393">
        <w:t>s</w:t>
      </w:r>
      <w:r w:rsidR="00563FF5" w:rsidRPr="00840393">
        <w:t xml:space="preserve"> </w:t>
      </w:r>
      <w:r w:rsidR="006D66C4" w:rsidRPr="00840393">
        <w:t xml:space="preserve">gaseous </w:t>
      </w:r>
      <w:r w:rsidR="006B7302" w:rsidRPr="00840393">
        <w:t>heat conduction and convection</w:t>
      </w:r>
      <w:r w:rsidR="00563FF5" w:rsidRPr="00840393">
        <w:t>.</w:t>
      </w:r>
      <w:r w:rsidR="006B7302" w:rsidRPr="00840393">
        <w:t xml:space="preserve"> </w:t>
      </w:r>
      <w:r w:rsidR="00641CA6" w:rsidRPr="00840393">
        <w:t>Although</w:t>
      </w:r>
      <w:r w:rsidR="00563FF5" w:rsidRPr="00840393">
        <w:t xml:space="preserve"> many </w:t>
      </w:r>
      <w:r w:rsidR="00EB33BA">
        <w:t xml:space="preserve">concepts </w:t>
      </w:r>
      <w:r w:rsidR="00641CA6" w:rsidRPr="00840393">
        <w:t>for fabricating vacuum glazing were</w:t>
      </w:r>
      <w:r w:rsidR="00563FF5" w:rsidRPr="00840393">
        <w:t xml:space="preserve"> </w:t>
      </w:r>
      <w:r w:rsidR="006D66C4" w:rsidRPr="00840393">
        <w:t xml:space="preserve">subsequently patented, the first DVG was successfully fabricated by a team </w:t>
      </w:r>
      <w:r w:rsidR="00EB33BA">
        <w:t>at</w:t>
      </w:r>
      <w:r w:rsidR="006D66C4" w:rsidRPr="00840393">
        <w:t xml:space="preserve"> the University of Sydney in 1989 </w:t>
      </w:r>
      <w:r w:rsidR="00A93EA7">
        <w:t>[2]</w:t>
      </w:r>
      <w:r w:rsidR="006D66C4" w:rsidRPr="00840393">
        <w:t>, which used</w:t>
      </w:r>
      <w:r w:rsidR="00563FF5" w:rsidRPr="00840393">
        <w:t xml:space="preserve"> solder glass as the edge seal</w:t>
      </w:r>
      <w:r w:rsidR="00F644F0" w:rsidRPr="00840393">
        <w:t>ant</w:t>
      </w:r>
      <w:r w:rsidR="00563FF5" w:rsidRPr="00840393">
        <w:t xml:space="preserve"> with a melting point of 500 °C</w:t>
      </w:r>
      <w:r w:rsidR="006D66C4" w:rsidRPr="00840393">
        <w:t>.</w:t>
      </w:r>
      <w:r w:rsidR="00563FF5" w:rsidRPr="00840393">
        <w:t xml:space="preserve"> </w:t>
      </w:r>
      <w:r w:rsidR="00EB33BA">
        <w:t>A</w:t>
      </w:r>
      <w:r w:rsidR="006D66C4" w:rsidRPr="00840393">
        <w:t xml:space="preserve"> U-value </w:t>
      </w:r>
      <w:r w:rsidR="00563FF5" w:rsidRPr="00840393">
        <w:t>of 0.80 W.m</w:t>
      </w:r>
      <w:r w:rsidR="00563FF5" w:rsidRPr="00840393">
        <w:rPr>
          <w:vertAlign w:val="superscript"/>
        </w:rPr>
        <w:t>-2</w:t>
      </w:r>
      <w:r w:rsidR="00563FF5" w:rsidRPr="00840393">
        <w:t>.K</w:t>
      </w:r>
      <w:r w:rsidR="00563FF5" w:rsidRPr="00840393">
        <w:rPr>
          <w:vertAlign w:val="superscript"/>
        </w:rPr>
        <w:t>-1</w:t>
      </w:r>
      <w:r w:rsidR="00563FF5" w:rsidRPr="00840393">
        <w:t xml:space="preserve"> in the centre-of-glazing area</w:t>
      </w:r>
      <w:r w:rsidR="006D66C4" w:rsidRPr="00840393">
        <w:t xml:space="preserve"> of the DVG</w:t>
      </w:r>
      <w:r w:rsidR="00563FF5" w:rsidRPr="00840393">
        <w:t xml:space="preserve"> </w:t>
      </w:r>
      <w:r w:rsidR="00F644F0" w:rsidRPr="00840393">
        <w:t xml:space="preserve">with </w:t>
      </w:r>
      <w:r w:rsidR="00EB33BA">
        <w:t xml:space="preserve">0.25 mm diameter </w:t>
      </w:r>
      <w:r w:rsidR="00F644F0" w:rsidRPr="00840393">
        <w:t>support pillar</w:t>
      </w:r>
      <w:r w:rsidR="00EB33BA">
        <w:t>s</w:t>
      </w:r>
      <w:r w:rsidR="00F644F0" w:rsidRPr="00840393">
        <w:t xml:space="preserve"> </w:t>
      </w:r>
      <w:r w:rsidR="00563FF5" w:rsidRPr="00840393">
        <w:t xml:space="preserve">has been achieved </w:t>
      </w:r>
      <w:r w:rsidR="006D66C4" w:rsidRPr="00840393">
        <w:t xml:space="preserve">for samples </w:t>
      </w:r>
      <w:r w:rsidR="00563FF5" w:rsidRPr="00840393">
        <w:t>up to 1</w:t>
      </w:r>
      <w:r w:rsidR="0000550E">
        <w:t xml:space="preserve"> </w:t>
      </w:r>
      <w:r w:rsidR="00563FF5" w:rsidRPr="00840393">
        <w:t>m by 1</w:t>
      </w:r>
      <w:r w:rsidR="0000550E">
        <w:t xml:space="preserve"> </w:t>
      </w:r>
      <w:r w:rsidR="00563FF5" w:rsidRPr="00840393">
        <w:t xml:space="preserve">m fabricated in the laboratory </w:t>
      </w:r>
      <w:r w:rsidR="00A93EA7">
        <w:t>[3]</w:t>
      </w:r>
      <w:r w:rsidR="00563FF5" w:rsidRPr="00840393">
        <w:t xml:space="preserve">. </w:t>
      </w:r>
      <w:r w:rsidR="00792606" w:rsidRPr="00840393">
        <w:t xml:space="preserve">Using </w:t>
      </w:r>
      <w:r w:rsidR="00563FF5" w:rsidRPr="00840393">
        <w:t>an indium based alloy with a melting temperature of less than 200 °C as an edge seal</w:t>
      </w:r>
      <w:r w:rsidR="00792606" w:rsidRPr="00840393">
        <w:t xml:space="preserve">, DVG was successfully fabricated </w:t>
      </w:r>
      <w:r w:rsidR="00563FF5" w:rsidRPr="00840393">
        <w:t xml:space="preserve">by </w:t>
      </w:r>
      <w:r w:rsidR="00792606" w:rsidRPr="00840393">
        <w:t xml:space="preserve">a team </w:t>
      </w:r>
      <w:r w:rsidR="00EB33BA">
        <w:t>at</w:t>
      </w:r>
      <w:r w:rsidR="00792606" w:rsidRPr="00840393">
        <w:t xml:space="preserve"> </w:t>
      </w:r>
      <w:r w:rsidR="00563FF5" w:rsidRPr="00840393">
        <w:t xml:space="preserve">the University of Ulster </w:t>
      </w:r>
      <w:r w:rsidR="00A93EA7">
        <w:t>[4]</w:t>
      </w:r>
      <w:r w:rsidR="00792606" w:rsidRPr="00840393">
        <w:t xml:space="preserve">. Due to </w:t>
      </w:r>
      <w:r w:rsidR="00EB33BA">
        <w:t>the</w:t>
      </w:r>
      <w:r w:rsidR="00792606" w:rsidRPr="00840393">
        <w:t xml:space="preserve"> low temperature for forming the edge seal, </w:t>
      </w:r>
      <w:r w:rsidR="00563FF5" w:rsidRPr="00840393">
        <w:t>tempered glass</w:t>
      </w:r>
      <w:r w:rsidR="008534BC">
        <w:t xml:space="preserve"> can be used in the DVG,</w:t>
      </w:r>
      <w:r w:rsidR="008E1974" w:rsidRPr="00840393">
        <w:t xml:space="preserve"> </w:t>
      </w:r>
      <w:r w:rsidR="008534BC">
        <w:t>s</w:t>
      </w:r>
      <w:r w:rsidR="00994475">
        <w:t>ince</w:t>
      </w:r>
      <w:r w:rsidR="008E1974" w:rsidRPr="00840393">
        <w:t xml:space="preserve"> </w:t>
      </w:r>
      <w:r w:rsidR="00EB33BA">
        <w:t xml:space="preserve">high temperature above 350°C would cause the </w:t>
      </w:r>
      <w:r w:rsidR="007D702C" w:rsidRPr="00840393">
        <w:t>glass</w:t>
      </w:r>
      <w:r w:rsidR="008534BC">
        <w:t xml:space="preserve"> to</w:t>
      </w:r>
      <w:r w:rsidR="007D702C" w:rsidRPr="00840393">
        <w:t xml:space="preserve"> lose temper. </w:t>
      </w:r>
      <w:r w:rsidR="00563FF5" w:rsidRPr="00840393">
        <w:t xml:space="preserve">A </w:t>
      </w:r>
      <w:r w:rsidR="007D702C" w:rsidRPr="00840393">
        <w:t>U-value of 0.86</w:t>
      </w:r>
      <w:r w:rsidR="00563FF5" w:rsidRPr="00840393">
        <w:t xml:space="preserve"> W.m</w:t>
      </w:r>
      <w:r w:rsidR="00563FF5" w:rsidRPr="00840393">
        <w:rPr>
          <w:vertAlign w:val="superscript"/>
        </w:rPr>
        <w:t>-2</w:t>
      </w:r>
      <w:r w:rsidR="00563FF5" w:rsidRPr="00840393">
        <w:t>.K</w:t>
      </w:r>
      <w:r w:rsidR="00563FF5" w:rsidRPr="00840393">
        <w:rPr>
          <w:vertAlign w:val="superscript"/>
        </w:rPr>
        <w:t>-1</w:t>
      </w:r>
      <w:r w:rsidR="007D702C" w:rsidRPr="00840393">
        <w:t xml:space="preserve"> at</w:t>
      </w:r>
      <w:r w:rsidR="00563FF5" w:rsidRPr="00840393">
        <w:t xml:space="preserve"> the centre-of-glazing area </w:t>
      </w:r>
      <w:r w:rsidR="00F644F0" w:rsidRPr="00840393">
        <w:t xml:space="preserve">of the DVG with 0.4 mm diameter support pillars </w:t>
      </w:r>
      <w:r w:rsidR="00563FF5" w:rsidRPr="00840393">
        <w:t>has been achieved e</w:t>
      </w:r>
      <w:r w:rsidR="007D702C" w:rsidRPr="00840393">
        <w:t>xperimentally</w:t>
      </w:r>
      <w:r w:rsidR="00A93EA7">
        <w:t xml:space="preserve"> [5]</w:t>
      </w:r>
      <w:r w:rsidR="00563FF5" w:rsidRPr="00840393">
        <w:t xml:space="preserve">. </w:t>
      </w:r>
      <w:r w:rsidR="00EB33BA">
        <w:t xml:space="preserve">Irrespective of the </w:t>
      </w:r>
      <w:r w:rsidR="008E1974" w:rsidRPr="00840393">
        <w:t>sealing technique used</w:t>
      </w:r>
      <w:r w:rsidR="00994475">
        <w:t xml:space="preserve">, the core </w:t>
      </w:r>
      <w:r w:rsidR="00994475" w:rsidRPr="00840393">
        <w:t xml:space="preserve">principle </w:t>
      </w:r>
      <w:r w:rsidR="00994475">
        <w:t>for designing a</w:t>
      </w:r>
      <w:r w:rsidR="00994475" w:rsidRPr="00840393">
        <w:t xml:space="preserve"> vacuum glazing</w:t>
      </w:r>
      <w:r w:rsidR="00563FF5" w:rsidRPr="00840393">
        <w:t xml:space="preserve"> is</w:t>
      </w:r>
      <w:r w:rsidR="008E1974" w:rsidRPr="00840393">
        <w:t xml:space="preserve"> </w:t>
      </w:r>
      <w:r w:rsidR="00563FF5" w:rsidRPr="00840393">
        <w:t>the</w:t>
      </w:r>
      <w:r w:rsidR="00563FF5" w:rsidRPr="009B298A">
        <w:rPr>
          <w:lang w:val="en-GB"/>
        </w:rPr>
        <w:t xml:space="preserve"> optimisation</w:t>
      </w:r>
      <w:r w:rsidR="00563FF5" w:rsidRPr="00840393">
        <w:t xml:space="preserve"> of the minimal </w:t>
      </w:r>
      <w:r w:rsidR="00EB33BA">
        <w:t xml:space="preserve">number of </w:t>
      </w:r>
      <w:r w:rsidR="00DF5847">
        <w:t>pillar</w:t>
      </w:r>
      <w:r w:rsidR="00EB33BA">
        <w:t>s</w:t>
      </w:r>
      <w:r w:rsidR="00563FF5" w:rsidRPr="00840393">
        <w:t xml:space="preserve"> and </w:t>
      </w:r>
      <w:r w:rsidR="00B2566F">
        <w:t xml:space="preserve">the </w:t>
      </w:r>
      <w:r w:rsidR="00563FF5" w:rsidRPr="00840393">
        <w:t xml:space="preserve">smallest </w:t>
      </w:r>
      <w:r w:rsidR="00DF5847">
        <w:t xml:space="preserve">pillar </w:t>
      </w:r>
      <w:r w:rsidR="00563FF5" w:rsidRPr="00840393">
        <w:t xml:space="preserve">diameter </w:t>
      </w:r>
      <w:r w:rsidR="00DF5847">
        <w:t xml:space="preserve">which </w:t>
      </w:r>
      <w:r w:rsidR="00B2566F">
        <w:t>leads to a</w:t>
      </w:r>
      <w:r w:rsidR="00DF5847">
        <w:t xml:space="preserve"> </w:t>
      </w:r>
      <w:r w:rsidR="00563FF5" w:rsidRPr="00840393">
        <w:t>bear</w:t>
      </w:r>
      <w:r w:rsidR="008534BC">
        <w:t>able</w:t>
      </w:r>
      <w:r w:rsidR="00DF5847">
        <w:t xml:space="preserve"> </w:t>
      </w:r>
      <w:r w:rsidR="00B2566F">
        <w:t>tensile and shea</w:t>
      </w:r>
      <w:r w:rsidR="00732DB2" w:rsidRPr="00840393">
        <w:t xml:space="preserve">r </w:t>
      </w:r>
      <w:r w:rsidR="00563FF5" w:rsidRPr="00840393">
        <w:t>stress</w:t>
      </w:r>
      <w:r w:rsidR="008E1974" w:rsidRPr="00840393">
        <w:t xml:space="preserve"> </w:t>
      </w:r>
      <w:r w:rsidR="00732DB2" w:rsidRPr="00840393">
        <w:t>within the glass sheets</w:t>
      </w:r>
      <w:r w:rsidR="008E1974" w:rsidRPr="00840393">
        <w:t xml:space="preserve"> </w:t>
      </w:r>
      <w:r w:rsidR="00B2566F">
        <w:t>due to</w:t>
      </w:r>
      <w:r w:rsidR="00DF5847">
        <w:t xml:space="preserve"> </w:t>
      </w:r>
      <w:r w:rsidR="00563FF5" w:rsidRPr="00840393">
        <w:t xml:space="preserve">atmospheric pressure </w:t>
      </w:r>
      <w:r w:rsidR="00B2566F">
        <w:t>acting</w:t>
      </w:r>
      <w:r w:rsidR="008E1974" w:rsidRPr="00840393">
        <w:t xml:space="preserve"> </w:t>
      </w:r>
      <w:r w:rsidR="00563FF5" w:rsidRPr="00840393">
        <w:t xml:space="preserve">on the glazing </w:t>
      </w:r>
      <w:r w:rsidR="008E1974" w:rsidRPr="00840393">
        <w:t>surfaces</w:t>
      </w:r>
      <w:r w:rsidR="00563FF5" w:rsidRPr="00840393">
        <w:t>.</w:t>
      </w:r>
    </w:p>
    <w:p w:rsidR="00563FF5" w:rsidRPr="00840393" w:rsidRDefault="00A14A0B" w:rsidP="00840393">
      <w:pPr>
        <w:pStyle w:val="BodyText"/>
        <w:spacing w:after="0"/>
        <w:ind w:right="27"/>
        <w:rPr>
          <w:u w:val="single"/>
        </w:rPr>
      </w:pPr>
      <w:r>
        <w:t xml:space="preserve">     </w:t>
      </w:r>
      <w:r w:rsidR="005B3BA4" w:rsidRPr="00840393">
        <w:t xml:space="preserve">Since </w:t>
      </w:r>
      <w:r w:rsidR="0086215D">
        <w:t>the emittance of low-e coating</w:t>
      </w:r>
      <w:r w:rsidR="000843AD">
        <w:t>s</w:t>
      </w:r>
      <w:r w:rsidR="0086215D">
        <w:t xml:space="preserve"> </w:t>
      </w:r>
      <w:r w:rsidR="009B298A">
        <w:t>cannot</w:t>
      </w:r>
      <w:r w:rsidR="0086215D">
        <w:t xml:space="preserve"> be reduced to zero, the </w:t>
      </w:r>
      <w:proofErr w:type="spellStart"/>
      <w:r w:rsidR="005B3BA4" w:rsidRPr="00840393">
        <w:t>radiative</w:t>
      </w:r>
      <w:proofErr w:type="spellEnd"/>
      <w:r w:rsidR="005B3BA4" w:rsidRPr="00840393">
        <w:t xml:space="preserve"> heat flow across the vacuum glazing cannot be reduced to zero</w:t>
      </w:r>
      <w:r w:rsidR="0086215D">
        <w:t xml:space="preserve">. </w:t>
      </w:r>
      <w:r w:rsidR="00876FD8">
        <w:t>Additionally</w:t>
      </w:r>
      <w:r w:rsidR="000843AD">
        <w:t>,</w:t>
      </w:r>
      <w:r w:rsidR="005B3BA4" w:rsidRPr="00840393">
        <w:t xml:space="preserve"> </w:t>
      </w:r>
      <w:r w:rsidR="00732DB2" w:rsidRPr="00840393">
        <w:t xml:space="preserve">the </w:t>
      </w:r>
      <w:r w:rsidR="005B3BA4" w:rsidRPr="00840393">
        <w:t>he</w:t>
      </w:r>
      <w:r w:rsidR="007F1799" w:rsidRPr="00840393">
        <w:t>at con</w:t>
      </w:r>
      <w:r w:rsidR="000843AD">
        <w:t>duction through the edge seal</w:t>
      </w:r>
      <w:r w:rsidR="007F1799" w:rsidRPr="00840393">
        <w:t xml:space="preserve"> and support pillars </w:t>
      </w:r>
      <w:r w:rsidR="00732DB2" w:rsidRPr="00840393">
        <w:t xml:space="preserve">within the vacuum glazing </w:t>
      </w:r>
      <w:r w:rsidR="007F1799" w:rsidRPr="00840393">
        <w:t>still exist</w:t>
      </w:r>
      <w:r w:rsidR="000843AD">
        <w:t>s</w:t>
      </w:r>
      <w:r w:rsidR="008534BC">
        <w:t>, thereby limiting the U-value achievable for DVG</w:t>
      </w:r>
      <w:r w:rsidR="000843AD">
        <w:t xml:space="preserve">. </w:t>
      </w:r>
      <w:r w:rsidR="00732DB2" w:rsidRPr="00840393">
        <w:t>T</w:t>
      </w:r>
      <w:r w:rsidR="007F1799" w:rsidRPr="00840393">
        <w:t xml:space="preserve">wo methods </w:t>
      </w:r>
      <w:r w:rsidR="00732DB2" w:rsidRPr="00840393">
        <w:t xml:space="preserve">which can </w:t>
      </w:r>
      <w:r w:rsidR="00563FF5" w:rsidRPr="00840393">
        <w:t xml:space="preserve">further reduce the </w:t>
      </w:r>
      <w:r w:rsidR="007F1799" w:rsidRPr="00840393">
        <w:t>U-value</w:t>
      </w:r>
      <w:r w:rsidR="00563FF5" w:rsidRPr="00840393">
        <w:t xml:space="preserve"> of </w:t>
      </w:r>
      <w:r w:rsidR="00732DB2" w:rsidRPr="00840393">
        <w:t xml:space="preserve">vacuum </w:t>
      </w:r>
      <w:r w:rsidR="007F1799" w:rsidRPr="00840393">
        <w:t xml:space="preserve">glazing systems </w:t>
      </w:r>
      <w:r w:rsidR="00732DB2" w:rsidRPr="00840393">
        <w:t>have been presented:</w:t>
      </w:r>
      <w:r w:rsidR="007F1799" w:rsidRPr="00840393">
        <w:t xml:space="preserve"> </w:t>
      </w:r>
      <w:proofErr w:type="spellStart"/>
      <w:r w:rsidR="00093459" w:rsidRPr="00840393">
        <w:t>i</w:t>
      </w:r>
      <w:proofErr w:type="spellEnd"/>
      <w:r w:rsidR="00093459" w:rsidRPr="00840393">
        <w:t>)</w:t>
      </w:r>
      <w:r w:rsidR="00563FF5" w:rsidRPr="00840393">
        <w:t xml:space="preserve"> </w:t>
      </w:r>
      <w:r w:rsidR="00093459" w:rsidRPr="00840393">
        <w:t xml:space="preserve">adding </w:t>
      </w:r>
      <w:r w:rsidR="000843AD">
        <w:t>a</w:t>
      </w:r>
      <w:r w:rsidR="00093459" w:rsidRPr="00840393">
        <w:t xml:space="preserve"> second vacuum gap within the </w:t>
      </w:r>
      <w:r w:rsidR="00093459" w:rsidRPr="00840393">
        <w:lastRenderedPageBreak/>
        <w:t xml:space="preserve">glazing, i.e. </w:t>
      </w:r>
      <w:r w:rsidR="00563FF5" w:rsidRPr="00840393">
        <w:t>triple vacuum glazing (TVG)</w:t>
      </w:r>
      <w:r w:rsidR="000843AD">
        <w:t xml:space="preserve"> and</w:t>
      </w:r>
      <w:r w:rsidR="00093459" w:rsidRPr="00840393">
        <w:t xml:space="preserve"> </w:t>
      </w:r>
      <w:r w:rsidR="000843AD" w:rsidRPr="00840393">
        <w:t>ii) including a third glass sheet with a gas filled gap within the glazing system, i.e. hybrid vacuum glazing (HVG)</w:t>
      </w:r>
      <w:r w:rsidR="000843AD">
        <w:t>. TVG</w:t>
      </w:r>
      <w:r w:rsidR="00093459" w:rsidRPr="00840393">
        <w:t xml:space="preserve"> was firstly</w:t>
      </w:r>
      <w:r w:rsidR="00563FF5" w:rsidRPr="00840393">
        <w:t xml:space="preserve"> presented by a team of Swiss Federal Laboratories for Material Testing and Research </w:t>
      </w:r>
      <w:r w:rsidR="00320871">
        <w:t>[6]</w:t>
      </w:r>
      <w:r w:rsidR="00563FF5" w:rsidRPr="00840393">
        <w:t xml:space="preserve">. </w:t>
      </w:r>
      <w:r w:rsidR="00093459" w:rsidRPr="00840393">
        <w:t xml:space="preserve">Theoretical </w:t>
      </w:r>
      <w:r w:rsidR="005D2C4B" w:rsidRPr="00840393">
        <w:t xml:space="preserve">analysis </w:t>
      </w:r>
      <w:r w:rsidR="000843AD">
        <w:t>of the</w:t>
      </w:r>
      <w:r w:rsidR="005D2C4B" w:rsidRPr="00840393">
        <w:t xml:space="preserve"> design principles </w:t>
      </w:r>
      <w:r w:rsidR="00320871">
        <w:t>[6]</w:t>
      </w:r>
      <w:r w:rsidR="005D2C4B" w:rsidRPr="00840393">
        <w:t xml:space="preserve"> and thermal performance </w:t>
      </w:r>
      <w:r w:rsidR="00B61424">
        <w:t xml:space="preserve">of the TVG </w:t>
      </w:r>
      <w:r w:rsidR="00320871">
        <w:t>[7]</w:t>
      </w:r>
      <w:r w:rsidR="00B61424">
        <w:t xml:space="preserve"> have</w:t>
      </w:r>
      <w:r w:rsidR="00093459" w:rsidRPr="00840393">
        <w:t xml:space="preserve"> been undertaken. </w:t>
      </w:r>
      <w:r w:rsidR="000843AD">
        <w:t xml:space="preserve">Recently </w:t>
      </w:r>
      <w:r w:rsidR="005D2C4B" w:rsidRPr="00840393">
        <w:t xml:space="preserve">TVG </w:t>
      </w:r>
      <w:r w:rsidR="00320871">
        <w:t>[8]</w:t>
      </w:r>
      <w:r w:rsidR="00093459" w:rsidRPr="00840393">
        <w:t xml:space="preserve"> ha</w:t>
      </w:r>
      <w:r w:rsidR="000843AD">
        <w:t>s</w:t>
      </w:r>
      <w:r w:rsidR="005D2C4B" w:rsidRPr="00840393">
        <w:t xml:space="preserve"> </w:t>
      </w:r>
      <w:r w:rsidR="00093459" w:rsidRPr="00840393">
        <w:t xml:space="preserve">been </w:t>
      </w:r>
      <w:r w:rsidR="003A0AB7">
        <w:t xml:space="preserve">successfully </w:t>
      </w:r>
      <w:r w:rsidR="00093459" w:rsidRPr="00840393">
        <w:t>fabrica</w:t>
      </w:r>
      <w:r w:rsidR="001E379E">
        <w:t>ted at the University of Ulster.</w:t>
      </w:r>
      <w:r w:rsidR="00093459" w:rsidRPr="00840393">
        <w:t xml:space="preserve"> </w:t>
      </w:r>
      <w:r w:rsidR="001E379E">
        <w:t>The</w:t>
      </w:r>
      <w:r w:rsidR="004C71B8" w:rsidRPr="00840393">
        <w:t xml:space="preserve"> </w:t>
      </w:r>
      <w:r w:rsidR="00B61424">
        <w:t xml:space="preserve">theoretic </w:t>
      </w:r>
      <w:r w:rsidR="004C71B8" w:rsidRPr="00840393">
        <w:t>thermal performance</w:t>
      </w:r>
      <w:r w:rsidR="00B61424">
        <w:t xml:space="preserve"> analysis</w:t>
      </w:r>
      <w:r w:rsidR="004C71B8" w:rsidRPr="00840393">
        <w:t xml:space="preserve"> </w:t>
      </w:r>
      <w:r w:rsidR="00D45F7E">
        <w:t xml:space="preserve">for </w:t>
      </w:r>
      <w:r w:rsidR="001E379E">
        <w:t>a</w:t>
      </w:r>
      <w:r w:rsidR="00D45F7E">
        <w:t xml:space="preserve"> solder glass sealed HVG</w:t>
      </w:r>
      <w:r w:rsidR="004C71B8" w:rsidRPr="00840393">
        <w:t xml:space="preserve"> has been undertaken by</w:t>
      </w:r>
      <w:r w:rsidR="00093459" w:rsidRPr="00840393">
        <w:t xml:space="preserve"> Collins et al.,</w:t>
      </w:r>
      <w:r w:rsidR="00320871">
        <w:t xml:space="preserve"> [9]</w:t>
      </w:r>
      <w:r w:rsidR="004C71B8" w:rsidRPr="00840393">
        <w:t xml:space="preserve">. </w:t>
      </w:r>
      <w:r w:rsidR="00456659" w:rsidRPr="00840393">
        <w:t>In th</w:t>
      </w:r>
      <w:r w:rsidR="001E379E">
        <w:t>e present work</w:t>
      </w:r>
      <w:r w:rsidR="00456659" w:rsidRPr="00840393">
        <w:t>,</w:t>
      </w:r>
      <w:r w:rsidR="004C71B8" w:rsidRPr="00840393">
        <w:t xml:space="preserve"> </w:t>
      </w:r>
      <w:r w:rsidR="00456659" w:rsidRPr="00840393">
        <w:t>the th</w:t>
      </w:r>
      <w:r w:rsidR="001E379E">
        <w:t>ermal performance of a</w:t>
      </w:r>
      <w:r w:rsidR="003A0AB7">
        <w:t xml:space="preserve"> HVG </w:t>
      </w:r>
      <w:r w:rsidR="001E379E">
        <w:t>using a</w:t>
      </w:r>
      <w:r w:rsidR="00D45F7E">
        <w:t xml:space="preserve"> low temperature fabrication technique </w:t>
      </w:r>
      <w:r w:rsidR="003A0AB7">
        <w:t>w</w:t>
      </w:r>
      <w:r w:rsidR="001E379E">
        <w:t>as</w:t>
      </w:r>
      <w:r w:rsidR="00456659" w:rsidRPr="00840393">
        <w:t xml:space="preserve"> </w:t>
      </w:r>
      <w:r w:rsidR="00D45F7E">
        <w:t xml:space="preserve">systematically </w:t>
      </w:r>
      <w:r w:rsidR="00456659" w:rsidRPr="00840393">
        <w:t xml:space="preserve">analyzed using </w:t>
      </w:r>
      <w:r w:rsidR="005D2C4B" w:rsidRPr="00840393">
        <w:t xml:space="preserve">both </w:t>
      </w:r>
      <w:r w:rsidR="00456659" w:rsidRPr="00840393">
        <w:t>ana</w:t>
      </w:r>
      <w:r w:rsidR="003A0AB7">
        <w:t xml:space="preserve">lytic and finite volume models, and </w:t>
      </w:r>
      <w:r w:rsidR="001E379E">
        <w:t>sub</w:t>
      </w:r>
      <w:r w:rsidR="003A0AB7">
        <w:t>sequently compared with TVG and DVG</w:t>
      </w:r>
      <w:r w:rsidR="001E379E">
        <w:t xml:space="preserve"> performance</w:t>
      </w:r>
      <w:r w:rsidR="003A0AB7">
        <w:t xml:space="preserve">. </w:t>
      </w:r>
      <w:r w:rsidR="00456659" w:rsidRPr="00840393">
        <w:t xml:space="preserve">A HVG was fabricated using </w:t>
      </w:r>
      <w:r w:rsidR="001E379E">
        <w:t xml:space="preserve">an </w:t>
      </w:r>
      <w:r w:rsidR="00456659" w:rsidRPr="00840393">
        <w:t xml:space="preserve">indium based sealant </w:t>
      </w:r>
      <w:r w:rsidR="001E379E">
        <w:t>for</w:t>
      </w:r>
      <w:r w:rsidR="005D2C4B" w:rsidRPr="00840393">
        <w:t xml:space="preserve"> the</w:t>
      </w:r>
      <w:r w:rsidR="00456659" w:rsidRPr="00840393">
        <w:t xml:space="preserve"> vacuum gap and a </w:t>
      </w:r>
      <w:r w:rsidR="005D2C4B" w:rsidRPr="00840393">
        <w:t>thermal space</w:t>
      </w:r>
      <w:r w:rsidR="001E379E">
        <w:t>r</w:t>
      </w:r>
      <w:r w:rsidR="005D2C4B" w:rsidRPr="00840393">
        <w:t xml:space="preserve"> bar integrated with </w:t>
      </w:r>
      <w:r w:rsidR="00456659" w:rsidRPr="00840393">
        <w:t>butyl rubber</w:t>
      </w:r>
      <w:r w:rsidR="005D2C4B" w:rsidRPr="00840393">
        <w:t xml:space="preserve"> </w:t>
      </w:r>
      <w:r w:rsidR="00456659" w:rsidRPr="00840393">
        <w:t xml:space="preserve">as the sealant of </w:t>
      </w:r>
      <w:r w:rsidR="005D2C4B" w:rsidRPr="00840393">
        <w:t xml:space="preserve">the </w:t>
      </w:r>
      <w:r w:rsidR="00456659" w:rsidRPr="00840393">
        <w:t>air filled gap</w:t>
      </w:r>
      <w:r w:rsidR="005D2C4B" w:rsidRPr="00840393">
        <w:t>. The</w:t>
      </w:r>
      <w:r w:rsidR="00456659" w:rsidRPr="00840393">
        <w:t xml:space="preserve"> </w:t>
      </w:r>
      <w:r w:rsidR="005D2C4B" w:rsidRPr="00840393">
        <w:t>U-value of the fabricated HVG</w:t>
      </w:r>
      <w:r w:rsidR="00456659" w:rsidRPr="00840393">
        <w:t xml:space="preserve"> was experimentally determined, which was in very good agreement with the predictions with </w:t>
      </w:r>
      <w:r w:rsidR="005D2C4B" w:rsidRPr="00840393">
        <w:t>a deviation</w:t>
      </w:r>
      <w:r w:rsidR="001E379E">
        <w:t xml:space="preserve"> of</w:t>
      </w:r>
      <w:r w:rsidR="005D2C4B" w:rsidRPr="00840393">
        <w:t xml:space="preserve"> </w:t>
      </w:r>
      <w:r w:rsidR="00456659" w:rsidRPr="00840393">
        <w:t>3</w:t>
      </w:r>
      <w:r w:rsidR="005D2C4B" w:rsidRPr="00840393">
        <w:t>.1</w:t>
      </w:r>
      <w:r w:rsidR="00456659" w:rsidRPr="00840393">
        <w:t xml:space="preserve">%.  </w:t>
      </w:r>
    </w:p>
    <w:p w:rsidR="0001651E" w:rsidRDefault="0001651E" w:rsidP="00840393"/>
    <w:p w:rsidR="00456659" w:rsidRPr="0001651E" w:rsidRDefault="00981AF7" w:rsidP="00840393">
      <w:r w:rsidRPr="00840393">
        <w:rPr>
          <w:b/>
        </w:rPr>
        <w:t>2</w:t>
      </w:r>
      <w:r w:rsidR="008A4BC5" w:rsidRPr="00840393">
        <w:rPr>
          <w:b/>
        </w:rPr>
        <w:t xml:space="preserve">. </w:t>
      </w:r>
      <w:r w:rsidR="00563FF5" w:rsidRPr="00840393">
        <w:rPr>
          <w:b/>
        </w:rPr>
        <w:t>Analytic model approach</w:t>
      </w:r>
    </w:p>
    <w:p w:rsidR="009B19CB" w:rsidRDefault="00A14A0B" w:rsidP="009B19CB">
      <w:r>
        <w:t xml:space="preserve">      </w:t>
      </w:r>
      <w:r w:rsidR="003A0AB7">
        <w:t>The HVG</w:t>
      </w:r>
      <w:r w:rsidR="00456659" w:rsidRPr="00840393">
        <w:t xml:space="preserve"> </w:t>
      </w:r>
      <w:r w:rsidR="006C039D" w:rsidRPr="00840393">
        <w:t xml:space="preserve">as shown in Fig. 1 </w:t>
      </w:r>
      <w:r w:rsidR="00456659" w:rsidRPr="00840393">
        <w:t xml:space="preserve">is the combination of a conventional </w:t>
      </w:r>
      <w:r w:rsidR="00F36B0B" w:rsidRPr="00840393">
        <w:t>DVG</w:t>
      </w:r>
      <w:r w:rsidR="00456659" w:rsidRPr="00840393">
        <w:t xml:space="preserve"> and a third glass sheet, separated </w:t>
      </w:r>
      <w:r w:rsidR="00E17DA0">
        <w:t xml:space="preserve">by </w:t>
      </w:r>
      <w:r w:rsidR="00456659" w:rsidRPr="00840393">
        <w:t>a gas filled cavity</w:t>
      </w:r>
      <w:r w:rsidR="00F36B0B" w:rsidRPr="00840393">
        <w:t xml:space="preserve"> </w:t>
      </w:r>
      <w:r w:rsidR="00E17DA0">
        <w:t xml:space="preserve">and an </w:t>
      </w:r>
      <w:r w:rsidR="00F36B0B" w:rsidRPr="00840393">
        <w:t>edge spacer bar</w:t>
      </w:r>
      <w:r w:rsidR="00E17DA0">
        <w:t xml:space="preserve"> sealed with butyl rubber</w:t>
      </w:r>
      <w:r w:rsidR="00456659" w:rsidRPr="00840393">
        <w:t xml:space="preserve">. The </w:t>
      </w:r>
      <w:r w:rsidR="006C039D" w:rsidRPr="00840393">
        <w:t>DVG investigated</w:t>
      </w:r>
      <w:r w:rsidR="00456659" w:rsidRPr="00840393">
        <w:t xml:space="preserve"> </w:t>
      </w:r>
      <w:r w:rsidR="003A0AB7">
        <w:t xml:space="preserve">within the HVG </w:t>
      </w:r>
      <w:r w:rsidR="00456659" w:rsidRPr="00840393">
        <w:t xml:space="preserve">comprises two </w:t>
      </w:r>
      <w:r w:rsidR="000F0A1A" w:rsidRPr="00840393">
        <w:t xml:space="preserve">4 mm thick </w:t>
      </w:r>
      <w:r w:rsidR="00456659" w:rsidRPr="00840393">
        <w:t xml:space="preserve">sheets of glass </w:t>
      </w:r>
      <w:r w:rsidR="000F0A1A" w:rsidRPr="00840393">
        <w:t xml:space="preserve">coated with </w:t>
      </w:r>
      <w:r w:rsidR="00E17DA0">
        <w:t xml:space="preserve">a </w:t>
      </w:r>
      <w:r w:rsidR="000F0A1A" w:rsidRPr="00840393">
        <w:t>low-e coating</w:t>
      </w:r>
      <w:r w:rsidR="00F448E1" w:rsidRPr="00840393">
        <w:t xml:space="preserve"> </w:t>
      </w:r>
      <w:r w:rsidR="000F0A1A" w:rsidRPr="00840393">
        <w:t xml:space="preserve">with emittance of 0.16, </w:t>
      </w:r>
      <w:r w:rsidR="00456659" w:rsidRPr="00840393">
        <w:t>separated by an array of stainless steel support pillars with a diamete</w:t>
      </w:r>
      <w:r w:rsidR="00767668">
        <w:t>r of 0.4 mm and a height of 0.2</w:t>
      </w:r>
      <w:r w:rsidR="00456659" w:rsidRPr="00840393">
        <w:t xml:space="preserve"> mm, spaced at 25 mm within the vacuum gap. The </w:t>
      </w:r>
      <w:r w:rsidR="00F36B0B" w:rsidRPr="00840393">
        <w:t xml:space="preserve">vacuum </w:t>
      </w:r>
      <w:r w:rsidR="00F448E1" w:rsidRPr="00840393">
        <w:t>gap</w:t>
      </w:r>
      <w:r w:rsidR="00F36B0B" w:rsidRPr="00840393">
        <w:t xml:space="preserve"> was sealed by a 6 mm</w:t>
      </w:r>
      <w:r w:rsidR="000F0A1A" w:rsidRPr="00840393">
        <w:t xml:space="preserve"> wide</w:t>
      </w:r>
      <w:r w:rsidR="003A0AB7">
        <w:t xml:space="preserve"> </w:t>
      </w:r>
      <w:r w:rsidR="00456659" w:rsidRPr="00840393">
        <w:t xml:space="preserve">indium alloy </w:t>
      </w:r>
      <w:r w:rsidR="00F36B0B" w:rsidRPr="00840393">
        <w:t>sealant</w:t>
      </w:r>
      <w:r w:rsidR="00456659" w:rsidRPr="00840393">
        <w:t xml:space="preserve">. </w:t>
      </w:r>
      <w:r w:rsidR="00F448E1" w:rsidRPr="00840393">
        <w:t xml:space="preserve">The 12 mm wide air gap between the DVG and the third glass sheet is sealed by a </w:t>
      </w:r>
      <w:r w:rsidR="00E17DA0">
        <w:t xml:space="preserve">6 </w:t>
      </w:r>
      <w:r w:rsidR="00456659" w:rsidRPr="00840393">
        <w:t xml:space="preserve">mm </w:t>
      </w:r>
      <w:r w:rsidR="00F448E1" w:rsidRPr="00840393">
        <w:t>wide edge spacer bar</w:t>
      </w:r>
      <w:r w:rsidR="00456659" w:rsidRPr="00840393">
        <w:t xml:space="preserve"> </w:t>
      </w:r>
      <w:r w:rsidR="00F448E1" w:rsidRPr="00840393">
        <w:t xml:space="preserve">integrated </w:t>
      </w:r>
      <w:r w:rsidR="00456659" w:rsidRPr="00840393">
        <w:t>with</w:t>
      </w:r>
      <w:r w:rsidR="00F448E1" w:rsidRPr="00840393">
        <w:t xml:space="preserve"> a</w:t>
      </w:r>
      <w:r w:rsidR="00456659" w:rsidRPr="00840393">
        <w:t xml:space="preserve"> butyl rubber</w:t>
      </w:r>
      <w:r w:rsidR="00F448E1" w:rsidRPr="00840393">
        <w:t xml:space="preserve"> sealant</w:t>
      </w:r>
      <w:r w:rsidR="00456659" w:rsidRPr="00840393">
        <w:t>.</w:t>
      </w:r>
      <w:r w:rsidR="00F448E1" w:rsidRPr="00840393">
        <w:t xml:space="preserve"> </w:t>
      </w:r>
      <w:r w:rsidR="00456659" w:rsidRPr="00840393">
        <w:t xml:space="preserve">The total thickness of the HVG was approximately 24 mm. </w:t>
      </w:r>
      <w:r w:rsidR="009B19CB" w:rsidRPr="00840393">
        <w:t xml:space="preserve">The overall heat transfer through the HVG includes 1). </w:t>
      </w:r>
      <w:proofErr w:type="gramStart"/>
      <w:r w:rsidR="009B19CB" w:rsidRPr="00840393">
        <w:t>heat</w:t>
      </w:r>
      <w:proofErr w:type="gramEnd"/>
      <w:r w:rsidR="009B19CB" w:rsidRPr="00840393">
        <w:t xml:space="preserve"> flow from the </w:t>
      </w:r>
      <w:r w:rsidR="009B19CB">
        <w:lastRenderedPageBreak/>
        <w:t>indoor</w:t>
      </w:r>
      <w:r w:rsidR="009B19CB" w:rsidRPr="00840393">
        <w:t xml:space="preserve"> side </w:t>
      </w:r>
      <w:r w:rsidR="009B19CB">
        <w:t>environment</w:t>
      </w:r>
      <w:r w:rsidR="009B19CB" w:rsidRPr="00840393">
        <w:t xml:space="preserve"> to the glass </w:t>
      </w:r>
      <w:r w:rsidR="009B19CB">
        <w:t>sheet</w:t>
      </w:r>
      <w:r w:rsidR="009B19CB" w:rsidRPr="00840393">
        <w:t xml:space="preserve"> </w:t>
      </w:r>
      <w:r w:rsidR="009B19CB">
        <w:t>facing the indoor side environment</w:t>
      </w:r>
      <w:r w:rsidR="009B19CB" w:rsidRPr="00840393">
        <w:t xml:space="preserve">; 2). </w:t>
      </w:r>
      <w:proofErr w:type="gramStart"/>
      <w:r w:rsidR="009B19CB" w:rsidRPr="00840393">
        <w:t>radiation</w:t>
      </w:r>
      <w:proofErr w:type="gramEnd"/>
      <w:r w:rsidR="009B19CB" w:rsidRPr="00840393">
        <w:t xml:space="preserve"> between two glass surfaces </w:t>
      </w:r>
      <w:r w:rsidR="009B19CB">
        <w:t>bounding</w:t>
      </w:r>
      <w:r w:rsidR="009B19CB" w:rsidRPr="00840393">
        <w:t xml:space="preserve"> the vacuum gap and the air filled gap; 3). </w:t>
      </w:r>
      <w:proofErr w:type="gramStart"/>
      <w:r w:rsidR="009B19CB" w:rsidRPr="00840393">
        <w:t>conduction</w:t>
      </w:r>
      <w:proofErr w:type="gramEnd"/>
      <w:r w:rsidR="009B19CB" w:rsidRPr="00840393">
        <w:t xml:space="preserve"> through the pillar array</w:t>
      </w:r>
      <w:r w:rsidR="009B19CB">
        <w:t xml:space="preserve"> within the vacuum gap and through the edge seal for both </w:t>
      </w:r>
      <w:r w:rsidR="009B19CB" w:rsidRPr="00840393">
        <w:t>the vacuum</w:t>
      </w:r>
      <w:r w:rsidR="009B19CB">
        <w:t xml:space="preserve"> gap</w:t>
      </w:r>
      <w:r w:rsidR="009B19CB" w:rsidRPr="00840393">
        <w:t xml:space="preserve"> and the air filled gap; 3). </w:t>
      </w:r>
      <w:proofErr w:type="gramStart"/>
      <w:r w:rsidR="009B19CB" w:rsidRPr="00840393">
        <w:t>heat</w:t>
      </w:r>
      <w:proofErr w:type="gramEnd"/>
      <w:r w:rsidR="009B19CB" w:rsidRPr="00840393">
        <w:t xml:space="preserve"> </w:t>
      </w:r>
      <w:r w:rsidR="009B19CB">
        <w:t>transfer across</w:t>
      </w:r>
      <w:r w:rsidR="009B19CB" w:rsidRPr="00840393">
        <w:t xml:space="preserve"> the air gap by convection and conduction; 4). </w:t>
      </w:r>
      <w:proofErr w:type="gramStart"/>
      <w:r w:rsidR="009B19CB" w:rsidRPr="00840393">
        <w:t>heat</w:t>
      </w:r>
      <w:proofErr w:type="gramEnd"/>
      <w:r w:rsidR="009B19CB" w:rsidRPr="00840393">
        <w:t xml:space="preserve"> flow from the cold side glass pane to the </w:t>
      </w:r>
      <w:r w:rsidR="009B19CB">
        <w:t>outdoor</w:t>
      </w:r>
      <w:r w:rsidR="009B19CB" w:rsidRPr="00840393">
        <w:t xml:space="preserve"> side ambient.    </w:t>
      </w:r>
    </w:p>
    <w:p w:rsidR="009B19CB" w:rsidRDefault="009B19CB" w:rsidP="00840393"/>
    <w:p w:rsidR="0001651E" w:rsidRDefault="0001651E" w:rsidP="00840393">
      <w:r w:rsidRPr="0001651E">
        <w:rPr>
          <w:noProof/>
        </w:rPr>
        <w:drawing>
          <wp:inline distT="0" distB="0" distL="0" distR="0">
            <wp:extent cx="1942088" cy="2101850"/>
            <wp:effectExtent l="0" t="0" r="0" b="0"/>
            <wp:docPr id="3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493" cy="2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51E" w:rsidRPr="00840393" w:rsidRDefault="0001651E" w:rsidP="0001651E">
      <w:r w:rsidRPr="00840393">
        <w:rPr>
          <w:b/>
        </w:rPr>
        <w:t>Fig. 1</w:t>
      </w:r>
      <w:r w:rsidRPr="00840393">
        <w:t xml:space="preserve"> Schematic diagram of a hybrid vacuum glazing </w:t>
      </w:r>
    </w:p>
    <w:p w:rsidR="0001651E" w:rsidRDefault="0001651E" w:rsidP="00840393"/>
    <w:p w:rsidR="008A0DC9" w:rsidRPr="00840393" w:rsidRDefault="008B7C74" w:rsidP="00840393">
      <w:r w:rsidRPr="008B7C74">
        <w:rPr>
          <w:noProof/>
        </w:rPr>
        <w:drawing>
          <wp:inline distT="0" distB="0" distL="0" distR="0">
            <wp:extent cx="2724150" cy="2041551"/>
            <wp:effectExtent l="0" t="0" r="0" b="0"/>
            <wp:docPr id="2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411" cy="204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619" w:rsidRPr="00840393" w:rsidRDefault="006A2619" w:rsidP="00840393"/>
    <w:p w:rsidR="008A0DC9" w:rsidRPr="00840393" w:rsidRDefault="008A0DC9" w:rsidP="00840393">
      <w:r w:rsidRPr="00840393">
        <w:rPr>
          <w:b/>
        </w:rPr>
        <w:t>Fig. 2</w:t>
      </w:r>
      <w:r w:rsidRPr="00840393">
        <w:t xml:space="preserve"> Schematics of a quarter of a unit cell with a pillar at the centre. </w:t>
      </w:r>
    </w:p>
    <w:p w:rsidR="00563FF5" w:rsidRPr="00840393" w:rsidRDefault="006455D1" w:rsidP="00840393">
      <w:r w:rsidRPr="00840393">
        <w:t xml:space="preserve">      The </w:t>
      </w:r>
      <w:r>
        <w:t xml:space="preserve">heat transmission </w:t>
      </w:r>
      <w:r w:rsidRPr="00840393">
        <w:t xml:space="preserve">U-value of a 25 mm by 25 mm cell with a pillar in the centre was investigated. Considering </w:t>
      </w:r>
      <w:r>
        <w:t xml:space="preserve">the </w:t>
      </w:r>
      <w:r w:rsidRPr="00840393">
        <w:t>symmetric</w:t>
      </w:r>
      <w:r>
        <w:t>al</w:t>
      </w:r>
      <w:r w:rsidRPr="00840393">
        <w:t xml:space="preserve"> shape of the u</w:t>
      </w:r>
      <w:r>
        <w:t>nit</w:t>
      </w:r>
      <w:r w:rsidRPr="00840393">
        <w:t xml:space="preserve"> cell, it is appropriate to consider a quarter of the cell to represent the thermal network of a full cell. As shown in Fig. 2(A), a quarter of the pillar is shown at the corner of the square cell. The thermal network of the quarter unit cell is shown in Fig. 2(B). </w:t>
      </w:r>
      <w:r w:rsidR="00563FF5" w:rsidRPr="00840393">
        <w:t xml:space="preserve">The thermal resistance due to heat conduction of each glass pane is given by: </w:t>
      </w:r>
    </w:p>
    <w:p w:rsidR="00563FF5" w:rsidRPr="00840393" w:rsidRDefault="006A2619" w:rsidP="00840393">
      <w:r w:rsidRPr="00840393">
        <w:rPr>
          <w:position w:val="-32"/>
        </w:rPr>
        <w:object w:dxaOrig="116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95pt;height:31.3pt" o:ole="">
            <v:imagedata r:id="rId11" o:title=""/>
          </v:shape>
          <o:OLEObject Type="Embed" ProgID="Equation.3" ShapeID="_x0000_i1025" DrawAspect="Content" ObjectID="_1403962705" r:id="rId12"/>
        </w:object>
      </w:r>
      <w:r w:rsidR="00563FF5" w:rsidRPr="00840393">
        <w:tab/>
      </w:r>
      <w:r w:rsidR="00563FF5" w:rsidRPr="00840393">
        <w:tab/>
      </w:r>
      <w:r w:rsidR="00563FF5" w:rsidRPr="00840393">
        <w:tab/>
      </w:r>
      <w:r w:rsidR="00563FF5" w:rsidRPr="00840393">
        <w:tab/>
        <w:t xml:space="preserve">   </w:t>
      </w:r>
      <w:r w:rsidR="00840393">
        <w:tab/>
      </w:r>
      <w:r w:rsidR="00563FF5" w:rsidRPr="00840393">
        <w:t>(1)</w:t>
      </w:r>
    </w:p>
    <w:p w:rsidR="00563FF5" w:rsidRPr="00840393" w:rsidRDefault="00563FF5" w:rsidP="00840393">
      <w:proofErr w:type="gramStart"/>
      <w:r w:rsidRPr="00840393">
        <w:t>where</w:t>
      </w:r>
      <w:proofErr w:type="gramEnd"/>
      <w:r w:rsidRPr="00840393">
        <w:t xml:space="preserve"> </w:t>
      </w:r>
      <w:r w:rsidR="006A2619" w:rsidRPr="00840393">
        <w:rPr>
          <w:i/>
        </w:rPr>
        <w:t>d</w:t>
      </w:r>
      <w:r w:rsidRPr="00840393">
        <w:rPr>
          <w:i/>
          <w:vertAlign w:val="subscript"/>
        </w:rPr>
        <w:t>m</w:t>
      </w:r>
      <w:r w:rsidRPr="00840393">
        <w:t xml:space="preserve"> is </w:t>
      </w:r>
      <w:r w:rsidR="00E17DA0">
        <w:t xml:space="preserve">the </w:t>
      </w:r>
      <w:r w:rsidRPr="00840393">
        <w:t xml:space="preserve">thickness of </w:t>
      </w:r>
      <w:r w:rsidR="00E17DA0">
        <w:t xml:space="preserve">the </w:t>
      </w:r>
      <w:r w:rsidRPr="00840393">
        <w:t xml:space="preserve">glass </w:t>
      </w:r>
      <w:r w:rsidR="00767668">
        <w:t>sheet</w:t>
      </w:r>
      <w:r w:rsidRPr="00840393">
        <w:t xml:space="preserve"> </w:t>
      </w:r>
      <w:r w:rsidRPr="00840393">
        <w:rPr>
          <w:i/>
        </w:rPr>
        <w:t>m</w:t>
      </w:r>
      <w:r w:rsidRPr="00840393">
        <w:t xml:space="preserve">, where </w:t>
      </w:r>
      <w:r w:rsidRPr="00840393">
        <w:rPr>
          <w:i/>
        </w:rPr>
        <w:t xml:space="preserve">m </w:t>
      </w:r>
      <w:r w:rsidRPr="00840393">
        <w:rPr>
          <w:i/>
          <w:position w:val="-4"/>
        </w:rPr>
        <w:object w:dxaOrig="200" w:dyaOrig="200">
          <v:shape id="_x0000_i1026" type="#_x0000_t75" style="width:10.3pt;height:10.3pt" o:ole="">
            <v:imagedata r:id="rId13" o:title=""/>
          </v:shape>
          <o:OLEObject Type="Embed" ProgID="Equation.3" ShapeID="_x0000_i1026" DrawAspect="Content" ObjectID="_1403962706" r:id="rId14"/>
        </w:object>
      </w:r>
      <w:r w:rsidRPr="00840393">
        <w:t>(</w:t>
      </w:r>
      <w:r w:rsidRPr="00840393">
        <w:rPr>
          <w:i/>
        </w:rPr>
        <w:t>I,</w:t>
      </w:r>
      <w:r w:rsidR="009B298A">
        <w:rPr>
          <w:i/>
        </w:rPr>
        <w:t xml:space="preserve"> </w:t>
      </w:r>
      <w:r w:rsidRPr="00840393">
        <w:rPr>
          <w:i/>
        </w:rPr>
        <w:t>II,</w:t>
      </w:r>
      <w:r w:rsidR="009B298A">
        <w:rPr>
          <w:i/>
        </w:rPr>
        <w:t xml:space="preserve"> </w:t>
      </w:r>
      <w:r w:rsidRPr="00840393">
        <w:rPr>
          <w:i/>
        </w:rPr>
        <w:t>III</w:t>
      </w:r>
      <w:r w:rsidRPr="00840393">
        <w:t xml:space="preserve">), </w:t>
      </w:r>
      <w:r w:rsidRPr="00840393">
        <w:rPr>
          <w:i/>
        </w:rPr>
        <w:t>A</w:t>
      </w:r>
      <w:r w:rsidRPr="00840393">
        <w:t xml:space="preserve"> is the area of the unit cell of the glazing</w:t>
      </w:r>
      <w:r w:rsidR="00767668">
        <w:t xml:space="preserve"> (so </w:t>
      </w:r>
      <w:r w:rsidR="00767668" w:rsidRPr="00767668">
        <w:rPr>
          <w:i/>
        </w:rPr>
        <w:t>A = p</w:t>
      </w:r>
      <w:r w:rsidR="00767668" w:rsidRPr="00767668">
        <w:rPr>
          <w:i/>
          <w:vertAlign w:val="superscript"/>
        </w:rPr>
        <w:t>2</w:t>
      </w:r>
      <w:r w:rsidR="00767668">
        <w:t>)</w:t>
      </w:r>
      <w:r w:rsidRPr="00840393">
        <w:t xml:space="preserve">; </w:t>
      </w:r>
      <w:r w:rsidRPr="00840393">
        <w:rPr>
          <w:i/>
        </w:rPr>
        <w:t>k</w:t>
      </w:r>
      <w:r w:rsidRPr="00840393">
        <w:rPr>
          <w:i/>
          <w:vertAlign w:val="subscript"/>
        </w:rPr>
        <w:t>g</w:t>
      </w:r>
      <w:r w:rsidRPr="00840393">
        <w:t xml:space="preserve"> is the thermal conductivity of glass.</w:t>
      </w:r>
    </w:p>
    <w:p w:rsidR="00563FF5" w:rsidRPr="00840393" w:rsidRDefault="00563FF5" w:rsidP="00840393">
      <w:r w:rsidRPr="00840393">
        <w:lastRenderedPageBreak/>
        <w:t xml:space="preserve">     The thermal resistance due to radiative heat flow between the glass surfaces within the </w:t>
      </w:r>
      <w:r w:rsidR="0085452F">
        <w:t>vacuum gap and air filled gap</w:t>
      </w:r>
      <w:r w:rsidRPr="00840393">
        <w:t xml:space="preserve"> is given by: </w:t>
      </w:r>
    </w:p>
    <w:p w:rsidR="00563FF5" w:rsidRPr="00840393" w:rsidRDefault="00563FF5" w:rsidP="00840393">
      <w:r w:rsidRPr="00840393">
        <w:t xml:space="preserve"> </w:t>
      </w:r>
      <w:r w:rsidRPr="00840393">
        <w:rPr>
          <w:position w:val="-32"/>
        </w:rPr>
        <w:object w:dxaOrig="2860" w:dyaOrig="700">
          <v:shape id="_x0000_i1027" type="#_x0000_t75" style="width:126.7pt;height:31.3pt" o:ole="">
            <v:imagedata r:id="rId15" o:title=""/>
          </v:shape>
          <o:OLEObject Type="Embed" ProgID="Equation.3" ShapeID="_x0000_i1027" DrawAspect="Content" ObjectID="_1403962707" r:id="rId16"/>
        </w:object>
      </w:r>
      <w:r w:rsidRPr="00840393">
        <w:tab/>
      </w:r>
      <w:r w:rsidRPr="00840393">
        <w:tab/>
        <w:t xml:space="preserve">   </w:t>
      </w:r>
      <w:r w:rsidR="00840393">
        <w:tab/>
      </w:r>
      <w:r w:rsidRPr="00840393">
        <w:t>(2)</w:t>
      </w:r>
    </w:p>
    <w:p w:rsidR="00563FF5" w:rsidRPr="00840393" w:rsidRDefault="00563FF5" w:rsidP="00840393">
      <w:proofErr w:type="gramStart"/>
      <w:r w:rsidRPr="00840393">
        <w:t>where</w:t>
      </w:r>
      <w:proofErr w:type="gramEnd"/>
      <w:r w:rsidRPr="00840393">
        <w:t xml:space="preserve"> </w:t>
      </w:r>
      <w:proofErr w:type="spellStart"/>
      <w:r w:rsidRPr="00840393">
        <w:rPr>
          <w:i/>
        </w:rPr>
        <w:t>ε</w:t>
      </w:r>
      <w:r w:rsidRPr="00840393">
        <w:rPr>
          <w:i/>
          <w:vertAlign w:val="subscript"/>
        </w:rPr>
        <w:t>j</w:t>
      </w:r>
      <w:proofErr w:type="spellEnd"/>
      <w:r w:rsidRPr="00840393">
        <w:t xml:space="preserve"> and </w:t>
      </w:r>
      <w:proofErr w:type="spellStart"/>
      <w:r w:rsidRPr="00840393">
        <w:rPr>
          <w:i/>
        </w:rPr>
        <w:t>ε</w:t>
      </w:r>
      <w:r w:rsidRPr="00840393">
        <w:rPr>
          <w:i/>
          <w:vertAlign w:val="subscript"/>
        </w:rPr>
        <w:t>k</w:t>
      </w:r>
      <w:proofErr w:type="spellEnd"/>
      <w:r w:rsidRPr="00840393">
        <w:t xml:space="preserve"> are the hemispheric </w:t>
      </w:r>
      <w:proofErr w:type="spellStart"/>
      <w:r w:rsidRPr="00840393">
        <w:t>emittance</w:t>
      </w:r>
      <w:r w:rsidR="00E17DA0">
        <w:t>s</w:t>
      </w:r>
      <w:proofErr w:type="spellEnd"/>
      <w:r w:rsidRPr="00840393">
        <w:t xml:space="preserve"> of the glass surfaces </w:t>
      </w:r>
      <w:r w:rsidRPr="00840393">
        <w:rPr>
          <w:i/>
        </w:rPr>
        <w:t>j</w:t>
      </w:r>
      <w:r w:rsidRPr="00840393">
        <w:t xml:space="preserve"> and </w:t>
      </w:r>
      <w:r w:rsidRPr="00840393">
        <w:rPr>
          <w:i/>
        </w:rPr>
        <w:t>k</w:t>
      </w:r>
      <w:r w:rsidRPr="00840393">
        <w:t xml:space="preserve"> opposite e</w:t>
      </w:r>
      <w:r w:rsidR="006A2619" w:rsidRPr="00840393">
        <w:t xml:space="preserve">ach other within the vacuum gap and </w:t>
      </w:r>
      <w:r w:rsidR="00E17DA0">
        <w:t xml:space="preserve">the </w:t>
      </w:r>
      <w:r w:rsidR="006A2619" w:rsidRPr="00840393">
        <w:t>air filled gap</w:t>
      </w:r>
      <w:r w:rsidRPr="00840393">
        <w:t xml:space="preserve">; </w:t>
      </w:r>
      <w:r w:rsidRPr="00840393">
        <w:rPr>
          <w:i/>
        </w:rPr>
        <w:t>σ</w:t>
      </w:r>
      <w:r w:rsidRPr="00840393">
        <w:t xml:space="preserve"> is the Stefan-Boltzmann constant and </w:t>
      </w:r>
      <w:r w:rsidRPr="00840393">
        <w:rPr>
          <w:i/>
        </w:rPr>
        <w:t>T</w:t>
      </w:r>
      <w:r w:rsidRPr="00840393">
        <w:rPr>
          <w:i/>
          <w:vertAlign w:val="subscript"/>
        </w:rPr>
        <w:t>jk</w:t>
      </w:r>
      <w:r w:rsidRPr="00840393">
        <w:t xml:space="preserve"> is the mean glass surface temperature in the </w:t>
      </w:r>
      <w:r w:rsidR="006A2619" w:rsidRPr="00840393">
        <w:t>gap</w:t>
      </w:r>
      <w:r w:rsidR="0085452F">
        <w:t>s</w:t>
      </w:r>
      <w:r w:rsidRPr="00840393">
        <w:t xml:space="preserve"> in Kelvin. The thermal resistance due to heat conduction through the support pillars in </w:t>
      </w:r>
      <w:r w:rsidR="006A2619" w:rsidRPr="00840393">
        <w:t xml:space="preserve">the </w:t>
      </w:r>
      <w:r w:rsidRPr="00840393">
        <w:t xml:space="preserve">vacuum gap is determined by equation 3 </w:t>
      </w:r>
      <w:r w:rsidR="00320871">
        <w:t>[3]</w:t>
      </w:r>
      <w:r w:rsidRPr="00840393">
        <w:t xml:space="preserve">: </w:t>
      </w:r>
    </w:p>
    <w:p w:rsidR="00563FF5" w:rsidRPr="00840393" w:rsidRDefault="0018552F" w:rsidP="00840393">
      <w:r w:rsidRPr="00840393">
        <w:rPr>
          <w:position w:val="-32"/>
        </w:rPr>
        <w:object w:dxaOrig="1080" w:dyaOrig="700">
          <v:shape id="_x0000_i1028" type="#_x0000_t75" style="width:49.1pt;height:31.8pt" o:ole="">
            <v:imagedata r:id="rId17" o:title=""/>
          </v:shape>
          <o:OLEObject Type="Embed" ProgID="Equation.3" ShapeID="_x0000_i1028" DrawAspect="Content" ObjectID="_1403962708" r:id="rId18"/>
        </w:object>
      </w:r>
      <w:r w:rsidR="00840393">
        <w:tab/>
      </w:r>
      <w:r w:rsidR="00840393">
        <w:tab/>
      </w:r>
      <w:r w:rsidR="00840393">
        <w:tab/>
        <w:t xml:space="preserve"> </w:t>
      </w:r>
      <w:r w:rsidR="00840393">
        <w:tab/>
        <w:t xml:space="preserve">  </w:t>
      </w:r>
      <w:r w:rsidR="00840393">
        <w:tab/>
      </w:r>
      <w:r w:rsidR="00563FF5" w:rsidRPr="00840393">
        <w:t>(3)</w:t>
      </w:r>
    </w:p>
    <w:p w:rsidR="00563FF5" w:rsidRPr="00840393" w:rsidRDefault="00563FF5" w:rsidP="00840393">
      <w:proofErr w:type="gramStart"/>
      <w:r w:rsidRPr="00840393">
        <w:t>where</w:t>
      </w:r>
      <w:proofErr w:type="gramEnd"/>
      <w:r w:rsidRPr="00840393">
        <w:t xml:space="preserve"> </w:t>
      </w:r>
      <w:r w:rsidRPr="00840393">
        <w:rPr>
          <w:i/>
        </w:rPr>
        <w:t>a</w:t>
      </w:r>
      <w:r w:rsidRPr="00840393">
        <w:t xml:space="preserve"> is the radius of the cylindrical pillar. The thermal resistance of the middle glass pane is divided into two equal thermal </w:t>
      </w:r>
      <w:proofErr w:type="gramStart"/>
      <w:r w:rsidRPr="00840393">
        <w:t>resistances,</w:t>
      </w:r>
      <w:proofErr w:type="gramEnd"/>
      <w:r w:rsidRPr="00840393">
        <w:t xml:space="preserve"> therefore the total thermal resistance between the outdoor and indoor glass pane surfaces is determined by equation 4: </w:t>
      </w:r>
    </w:p>
    <w:p w:rsidR="008A0DC9" w:rsidRDefault="00840393" w:rsidP="00840393">
      <w:r w:rsidRPr="00840393">
        <w:rPr>
          <w:position w:val="-54"/>
        </w:rPr>
        <w:object w:dxaOrig="5319" w:dyaOrig="1200">
          <v:shape id="_x0000_i1029" type="#_x0000_t75" style="width:213.65pt;height:46.75pt" o:ole="">
            <v:imagedata r:id="rId19" o:title=""/>
          </v:shape>
          <o:OLEObject Type="Embed" ProgID="Equation.3" ShapeID="_x0000_i1029" DrawAspect="Content" ObjectID="_1403962709" r:id="rId20"/>
        </w:object>
      </w:r>
      <w:r w:rsidR="00563FF5" w:rsidRPr="00840393">
        <w:tab/>
      </w:r>
      <w:r w:rsidR="0085452F">
        <w:t xml:space="preserve">  </w:t>
      </w:r>
      <w:r w:rsidR="00416D0D" w:rsidRPr="00840393">
        <w:t>(4)</w:t>
      </w:r>
      <w:r w:rsidR="008A0DC9" w:rsidRPr="00840393">
        <w:t xml:space="preserve">                                         </w:t>
      </w:r>
      <w:r w:rsidR="00416D0D" w:rsidRPr="00840393">
        <w:t xml:space="preserve">                      </w:t>
      </w:r>
      <w:r w:rsidR="00845110" w:rsidRPr="00840393">
        <w:t xml:space="preserve">Where </w:t>
      </w:r>
      <w:proofErr w:type="spellStart"/>
      <w:r w:rsidR="00845110" w:rsidRPr="00840393">
        <w:rPr>
          <w:i/>
        </w:rPr>
        <w:t>R</w:t>
      </w:r>
      <w:r w:rsidR="00845110" w:rsidRPr="00840393">
        <w:rPr>
          <w:i/>
          <w:vertAlign w:val="subscript"/>
        </w:rPr>
        <w:t>air</w:t>
      </w:r>
      <w:r w:rsidR="0085452F">
        <w:rPr>
          <w:i/>
          <w:vertAlign w:val="subscript"/>
        </w:rPr>
        <w:t>,gap</w:t>
      </w:r>
      <w:proofErr w:type="spellEnd"/>
      <w:r w:rsidR="00845110" w:rsidRPr="00840393">
        <w:t xml:space="preserve"> is the </w:t>
      </w:r>
      <w:r w:rsidR="00CC04F9" w:rsidRPr="00840393">
        <w:t xml:space="preserve">thermal resistance of </w:t>
      </w:r>
      <w:r w:rsidR="00E17DA0">
        <w:t xml:space="preserve">the </w:t>
      </w:r>
      <w:r w:rsidR="00CC04F9" w:rsidRPr="00840393">
        <w:t>air gap</w:t>
      </w:r>
      <w:r w:rsidR="0085452F">
        <w:t xml:space="preserve">, which is determined by the thermal resistance </w:t>
      </w:r>
      <w:r w:rsidR="0085452F" w:rsidRPr="0085452F">
        <w:rPr>
          <w:i/>
        </w:rPr>
        <w:t>R</w:t>
      </w:r>
      <w:r w:rsidR="0085452F" w:rsidRPr="00840393">
        <w:rPr>
          <w:i/>
          <w:vertAlign w:val="subscript"/>
        </w:rPr>
        <w:t>air</w:t>
      </w:r>
      <w:r w:rsidR="0085452F">
        <w:t xml:space="preserve"> due to heat </w:t>
      </w:r>
      <w:r w:rsidR="008928C0">
        <w:t xml:space="preserve">conduction and convection </w:t>
      </w:r>
      <w:r w:rsidR="0085452F">
        <w:t xml:space="preserve">through the air gap </w:t>
      </w:r>
      <w:r w:rsidR="00B66415" w:rsidRPr="00840393">
        <w:t xml:space="preserve">and </w:t>
      </w:r>
      <w:r w:rsidR="0085452F">
        <w:t xml:space="preserve">the thermal resistance due to </w:t>
      </w:r>
      <w:r w:rsidR="00B66415" w:rsidRPr="00840393">
        <w:t>radiative heat transfer between the two glass surface bounding the air gap,</w:t>
      </w:r>
      <w:r w:rsidR="00CC04F9" w:rsidRPr="00840393">
        <w:t xml:space="preserve"> i.e.</w:t>
      </w:r>
    </w:p>
    <w:p w:rsidR="00826AA6" w:rsidRPr="00840393" w:rsidRDefault="00840393" w:rsidP="00840393">
      <w:r w:rsidRPr="00840393">
        <w:rPr>
          <w:position w:val="-32"/>
        </w:rPr>
        <w:object w:dxaOrig="1900" w:dyaOrig="720">
          <v:shape id="_x0000_i1030" type="#_x0000_t75" style="width:81.8pt;height:31.3pt" o:ole="">
            <v:imagedata r:id="rId21" o:title=""/>
          </v:shape>
          <o:OLEObject Type="Embed" ProgID="Equation.3" ShapeID="_x0000_i1030" DrawAspect="Content" ObjectID="_1403962710" r:id="rId22"/>
        </w:object>
      </w:r>
      <w:r>
        <w:tab/>
      </w:r>
      <w:r>
        <w:tab/>
      </w:r>
      <w:r>
        <w:tab/>
      </w:r>
      <w:r>
        <w:tab/>
      </w:r>
      <w:r w:rsidR="00826AA6" w:rsidRPr="00840393">
        <w:t>(5)</w:t>
      </w:r>
    </w:p>
    <w:p w:rsidR="00D352EF" w:rsidRPr="00840393" w:rsidRDefault="00D352EF" w:rsidP="00840393">
      <w:r w:rsidRPr="00840393">
        <w:rPr>
          <w:position w:val="-30"/>
        </w:rPr>
        <w:object w:dxaOrig="1020" w:dyaOrig="680">
          <v:shape id="_x0000_i1031" type="#_x0000_t75" style="width:47.2pt;height:31.3pt" o:ole="">
            <v:imagedata r:id="rId23" o:title=""/>
          </v:shape>
          <o:OLEObject Type="Embed" ProgID="Equation.3" ShapeID="_x0000_i1031" DrawAspect="Content" ObjectID="_1403962711" r:id="rId24"/>
        </w:object>
      </w:r>
      <w:r w:rsidR="00552B38">
        <w:tab/>
      </w:r>
      <w:r w:rsidR="00552B38">
        <w:tab/>
      </w:r>
      <w:r w:rsidR="00552B38">
        <w:tab/>
        <w:t xml:space="preserve"> </w:t>
      </w:r>
      <w:r w:rsidR="00552B38">
        <w:tab/>
        <w:t xml:space="preserve"> </w:t>
      </w:r>
      <w:r w:rsidR="00552B38">
        <w:tab/>
      </w:r>
      <w:r w:rsidRPr="00840393">
        <w:t>(6)</w:t>
      </w:r>
    </w:p>
    <w:p w:rsidR="00CC04F9" w:rsidRPr="00840393" w:rsidRDefault="00E17DA0" w:rsidP="00840393">
      <w:r>
        <w:t xml:space="preserve">The </w:t>
      </w:r>
      <w:r w:rsidR="00CC04F9" w:rsidRPr="00840393">
        <w:t xml:space="preserve">British and </w:t>
      </w:r>
      <w:r w:rsidR="00416D0D" w:rsidRPr="00840393">
        <w:t>European</w:t>
      </w:r>
      <w:r w:rsidR="00CC04F9" w:rsidRPr="00840393">
        <w:t xml:space="preserve"> standard BS EN 673 </w:t>
      </w:r>
      <w:r w:rsidR="00320871">
        <w:t>[10]</w:t>
      </w:r>
      <w:r w:rsidR="00CC04F9" w:rsidRPr="00840393">
        <w:t xml:space="preserve"> recommends that </w:t>
      </w:r>
    </w:p>
    <w:p w:rsidR="00D352EF" w:rsidRPr="00840393" w:rsidRDefault="00D352EF" w:rsidP="00840393">
      <w:r w:rsidRPr="00840393">
        <w:rPr>
          <w:position w:val="-24"/>
        </w:rPr>
        <w:object w:dxaOrig="1140" w:dyaOrig="620">
          <v:shape id="_x0000_i1032" type="#_x0000_t75" style="width:51.9pt;height:28.05pt" o:ole="">
            <v:imagedata r:id="rId25" o:title=""/>
          </v:shape>
          <o:OLEObject Type="Embed" ProgID="Equation.3" ShapeID="_x0000_i1032" DrawAspect="Content" ObjectID="_1403962712" r:id="rId26"/>
        </w:object>
      </w:r>
      <w:r w:rsidRPr="00840393">
        <w:tab/>
      </w:r>
      <w:r w:rsidRPr="00840393">
        <w:tab/>
      </w:r>
      <w:r w:rsidRPr="00840393">
        <w:tab/>
        <w:t xml:space="preserve"> </w:t>
      </w:r>
      <w:r w:rsidRPr="00840393">
        <w:tab/>
        <w:t xml:space="preserve">   </w:t>
      </w:r>
      <w:r w:rsidR="00840393">
        <w:tab/>
      </w:r>
      <w:r w:rsidRPr="00840393">
        <w:t>(7)</w:t>
      </w:r>
    </w:p>
    <w:p w:rsidR="00CC04F9" w:rsidRPr="00840393" w:rsidRDefault="00834CCB" w:rsidP="00840393">
      <w:r>
        <w:t>W</w:t>
      </w:r>
      <w:r w:rsidR="00BF4FD4" w:rsidRPr="00840393">
        <w:t xml:space="preserve">here </w:t>
      </w:r>
      <w:r w:rsidR="00BF4FD4" w:rsidRPr="00840393">
        <w:rPr>
          <w:i/>
        </w:rPr>
        <w:t>s</w:t>
      </w:r>
      <w:r w:rsidR="00BF4FD4" w:rsidRPr="00840393">
        <w:t xml:space="preserve"> is the width of the air gap, λ is the thermal conductivity of the air, </w:t>
      </w:r>
      <w:r w:rsidR="00BF4FD4" w:rsidRPr="00840393">
        <w:rPr>
          <w:i/>
        </w:rPr>
        <w:t>Nu</w:t>
      </w:r>
      <w:r w:rsidR="00BF4FD4" w:rsidRPr="00840393">
        <w:t xml:space="preserve"> is the Nusselt number:</w:t>
      </w:r>
    </w:p>
    <w:p w:rsidR="00D352EF" w:rsidRPr="00840393" w:rsidRDefault="00F36B0B" w:rsidP="00840393">
      <w:r w:rsidRPr="00840393">
        <w:rPr>
          <w:position w:val="-10"/>
        </w:rPr>
        <w:object w:dxaOrig="1800" w:dyaOrig="360">
          <v:shape id="_x0000_i1033" type="#_x0000_t75" style="width:82.75pt;height:16.85pt" o:ole="">
            <v:imagedata r:id="rId27" o:title=""/>
          </v:shape>
          <o:OLEObject Type="Embed" ProgID="Equation.3" ShapeID="_x0000_i1033" DrawAspect="Content" ObjectID="_1403962713" r:id="rId28"/>
        </w:object>
      </w:r>
      <w:r w:rsidR="00840393">
        <w:tab/>
      </w:r>
      <w:r w:rsidR="00840393">
        <w:tab/>
      </w:r>
      <w:r w:rsidR="00840393">
        <w:tab/>
        <w:t xml:space="preserve"> </w:t>
      </w:r>
      <w:r w:rsidR="00840393">
        <w:tab/>
        <w:t xml:space="preserve">  </w:t>
      </w:r>
      <w:r w:rsidR="00D352EF" w:rsidRPr="00840393">
        <w:t>(8)</w:t>
      </w:r>
    </w:p>
    <w:p w:rsidR="00BF4FD4" w:rsidRPr="00840393" w:rsidRDefault="00834CCB" w:rsidP="00840393">
      <w:r>
        <w:t>W</w:t>
      </w:r>
      <w:r w:rsidR="00BF4FD4" w:rsidRPr="00840393">
        <w:t xml:space="preserve">here </w:t>
      </w:r>
      <w:r w:rsidR="00F36B0B" w:rsidRPr="00840393">
        <w:rPr>
          <w:i/>
        </w:rPr>
        <w:t>K</w:t>
      </w:r>
      <w:r w:rsidR="00BF4FD4" w:rsidRPr="00840393">
        <w:t xml:space="preserve"> is a constant, </w:t>
      </w:r>
      <w:r w:rsidR="00BF4FD4" w:rsidRPr="00840393">
        <w:rPr>
          <w:i/>
        </w:rPr>
        <w:t>Gr</w:t>
      </w:r>
      <w:r w:rsidR="00BF4FD4" w:rsidRPr="00840393">
        <w:t xml:space="preserve"> is the Grashof number, Pr is the Prandtl number, </w:t>
      </w:r>
      <w:r w:rsidR="00BF4FD4" w:rsidRPr="00840393">
        <w:rPr>
          <w:i/>
        </w:rPr>
        <w:t>n</w:t>
      </w:r>
      <w:r w:rsidR="00BF4FD4" w:rsidRPr="00840393">
        <w:t xml:space="preserve"> is an exponent.</w:t>
      </w:r>
    </w:p>
    <w:p w:rsidR="00D352EF" w:rsidRPr="00840393" w:rsidRDefault="00247D5C" w:rsidP="00840393">
      <w:r w:rsidRPr="00247D5C">
        <w:rPr>
          <w:position w:val="-30"/>
        </w:rPr>
        <w:object w:dxaOrig="1920" w:dyaOrig="720">
          <v:shape id="_x0000_i1034" type="#_x0000_t75" style="width:86.95pt;height:33.2pt" o:ole="">
            <v:imagedata r:id="rId29" o:title=""/>
          </v:shape>
          <o:OLEObject Type="Embed" ProgID="Equation.3" ShapeID="_x0000_i1034" DrawAspect="Content" ObjectID="_1403962714" r:id="rId30"/>
        </w:object>
      </w:r>
      <w:r w:rsidR="00840393">
        <w:tab/>
      </w:r>
      <w:r w:rsidR="00840393">
        <w:tab/>
      </w:r>
      <w:r w:rsidR="00840393">
        <w:tab/>
        <w:t xml:space="preserve"> </w:t>
      </w:r>
      <w:r w:rsidR="00840393">
        <w:tab/>
        <w:t xml:space="preserve">  </w:t>
      </w:r>
      <w:r w:rsidR="00D352EF" w:rsidRPr="00840393">
        <w:t>(9)</w:t>
      </w:r>
    </w:p>
    <w:p w:rsidR="00D352EF" w:rsidRPr="00840393" w:rsidRDefault="00D352EF" w:rsidP="00840393">
      <w:r w:rsidRPr="00840393">
        <w:rPr>
          <w:position w:val="-24"/>
        </w:rPr>
        <w:object w:dxaOrig="840" w:dyaOrig="620">
          <v:shape id="_x0000_i1035" type="#_x0000_t75" style="width:37.85pt;height:28.05pt" o:ole="">
            <v:imagedata r:id="rId31" o:title=""/>
          </v:shape>
          <o:OLEObject Type="Embed" ProgID="Equation.3" ShapeID="_x0000_i1035" DrawAspect="Content" ObjectID="_1403962715" r:id="rId32"/>
        </w:object>
      </w:r>
      <w:r w:rsidRPr="00840393">
        <w:tab/>
      </w:r>
      <w:r w:rsidRPr="00840393">
        <w:tab/>
      </w:r>
      <w:r w:rsidRPr="00840393">
        <w:tab/>
        <w:t xml:space="preserve"> </w:t>
      </w:r>
      <w:r w:rsidRPr="00840393">
        <w:tab/>
        <w:t xml:space="preserve">   </w:t>
      </w:r>
      <w:r w:rsidR="00840393">
        <w:tab/>
      </w:r>
      <w:r w:rsidRPr="00840393">
        <w:t>(10)</w:t>
      </w:r>
    </w:p>
    <w:p w:rsidR="00C6322E" w:rsidRPr="00840393" w:rsidRDefault="00C6322E" w:rsidP="00840393">
      <w:proofErr w:type="gramStart"/>
      <w:r w:rsidRPr="00840393">
        <w:t xml:space="preserve">Where </w:t>
      </w:r>
      <w:r w:rsidRPr="00840393">
        <w:rPr>
          <w:i/>
        </w:rPr>
        <w:t>∆T</w:t>
      </w:r>
      <w:r w:rsidRPr="00840393">
        <w:t xml:space="preserve"> is the temperature difference between </w:t>
      </w:r>
      <w:r w:rsidR="00E17DA0">
        <w:t xml:space="preserve">the </w:t>
      </w:r>
      <w:r w:rsidRPr="00840393">
        <w:t>glass surface</w:t>
      </w:r>
      <w:r w:rsidR="003E5FA5" w:rsidRPr="00840393">
        <w:t>s</w:t>
      </w:r>
      <w:r w:rsidR="005D1183">
        <w:t xml:space="preserve"> bounding the air gap.</w:t>
      </w:r>
      <w:proofErr w:type="gramEnd"/>
      <w:r w:rsidR="005D1183">
        <w:t xml:space="preserve"> For the air in the </w:t>
      </w:r>
      <w:r w:rsidR="00247D5C">
        <w:t xml:space="preserve">glazing </w:t>
      </w:r>
      <w:r w:rsidR="005D1183">
        <w:t>gap,</w:t>
      </w:r>
      <w:r w:rsidRPr="00840393">
        <w:t xml:space="preserve"> ρ is the density, </w:t>
      </w:r>
      <w:r w:rsidRPr="00840393">
        <w:rPr>
          <w:i/>
        </w:rPr>
        <w:t>μ</w:t>
      </w:r>
      <w:r w:rsidR="00247D5C">
        <w:t xml:space="preserve"> is the dynamic viscosity and</w:t>
      </w:r>
      <w:r w:rsidRPr="00840393">
        <w:t xml:space="preserve"> </w:t>
      </w:r>
      <w:r w:rsidRPr="00840393">
        <w:rPr>
          <w:i/>
        </w:rPr>
        <w:t xml:space="preserve">c </w:t>
      </w:r>
      <w:r w:rsidRPr="00840393">
        <w:t>is the specific heat capacity</w:t>
      </w:r>
      <w:r w:rsidR="005D1183">
        <w:t>.</w:t>
      </w:r>
      <w:r w:rsidRPr="00840393">
        <w:t xml:space="preserve"> </w:t>
      </w:r>
      <w:r w:rsidRPr="00840393">
        <w:rPr>
          <w:i/>
        </w:rPr>
        <w:t>T</w:t>
      </w:r>
      <w:r w:rsidR="00247D5C">
        <w:rPr>
          <w:i/>
          <w:vertAlign w:val="subscript"/>
        </w:rPr>
        <w:t>a</w:t>
      </w:r>
      <w:r w:rsidRPr="00840393">
        <w:rPr>
          <w:i/>
        </w:rPr>
        <w:t xml:space="preserve"> </w:t>
      </w:r>
      <w:r w:rsidRPr="00840393">
        <w:t xml:space="preserve">is the </w:t>
      </w:r>
      <w:r w:rsidR="00247D5C">
        <w:t>average</w:t>
      </w:r>
      <w:r w:rsidRPr="00840393">
        <w:t xml:space="preserve"> temperature</w:t>
      </w:r>
      <w:r w:rsidR="00A4597E">
        <w:t xml:space="preserve"> of the glass sheets bounding the air gap</w:t>
      </w:r>
      <w:r w:rsidRPr="00840393">
        <w:t xml:space="preserve">. If </w:t>
      </w:r>
      <w:r w:rsidRPr="00840393">
        <w:rPr>
          <w:i/>
        </w:rPr>
        <w:t>Nu</w:t>
      </w:r>
      <w:r w:rsidRPr="00840393">
        <w:t xml:space="preserve"> is less than 1, then</w:t>
      </w:r>
      <w:r w:rsidR="00A4597E">
        <w:t xml:space="preserve"> the</w:t>
      </w:r>
      <w:r w:rsidRPr="00840393">
        <w:t xml:space="preserve"> </w:t>
      </w:r>
      <w:r w:rsidRPr="008928C0">
        <w:rPr>
          <w:i/>
        </w:rPr>
        <w:t>Nu</w:t>
      </w:r>
      <w:r w:rsidRPr="00840393">
        <w:t xml:space="preserve"> number is selected to be 1. For vertical glazing: </w:t>
      </w:r>
      <w:r w:rsidR="00F36B0B" w:rsidRPr="00840393">
        <w:rPr>
          <w:i/>
        </w:rPr>
        <w:t>K</w:t>
      </w:r>
      <w:r w:rsidRPr="00840393">
        <w:t xml:space="preserve"> is 0.035, </w:t>
      </w:r>
      <w:r w:rsidRPr="00840393">
        <w:rPr>
          <w:i/>
        </w:rPr>
        <w:t>n</w:t>
      </w:r>
      <w:r w:rsidRPr="00840393">
        <w:t xml:space="preserve"> is 0.38</w:t>
      </w:r>
      <w:r w:rsidR="00A4597E">
        <w:t xml:space="preserve"> </w:t>
      </w:r>
      <w:r w:rsidR="00320871">
        <w:t>[10]</w:t>
      </w:r>
      <w:r w:rsidRPr="00840393">
        <w:t>.</w:t>
      </w:r>
    </w:p>
    <w:p w:rsidR="00563FF5" w:rsidRDefault="00563FF5" w:rsidP="00840393">
      <w:r w:rsidRPr="00840393">
        <w:lastRenderedPageBreak/>
        <w:t xml:space="preserve">      The thermal resistances</w:t>
      </w:r>
      <w:r w:rsidRPr="00840393">
        <w:rPr>
          <w:i/>
        </w:rPr>
        <w:t xml:space="preserve"> </w:t>
      </w:r>
      <w:proofErr w:type="spellStart"/>
      <w:proofErr w:type="gramStart"/>
      <w:r w:rsidRPr="00840393">
        <w:rPr>
          <w:i/>
        </w:rPr>
        <w:t>R</w:t>
      </w:r>
      <w:r w:rsidRPr="00840393">
        <w:rPr>
          <w:i/>
          <w:vertAlign w:val="subscript"/>
        </w:rPr>
        <w:t>i</w:t>
      </w:r>
      <w:proofErr w:type="spellEnd"/>
      <w:proofErr w:type="gramEnd"/>
      <w:r w:rsidRPr="00840393">
        <w:t xml:space="preserve"> and </w:t>
      </w:r>
      <w:r w:rsidRPr="00840393">
        <w:rPr>
          <w:i/>
        </w:rPr>
        <w:t>R</w:t>
      </w:r>
      <w:r w:rsidRPr="00840393">
        <w:rPr>
          <w:i/>
          <w:vertAlign w:val="subscript"/>
        </w:rPr>
        <w:t>o</w:t>
      </w:r>
      <w:r w:rsidRPr="00840393">
        <w:t xml:space="preserve"> at the indoor and outdoor glazing surfaces are the inverse of the surface heat transfer coefficients, i.e. </w:t>
      </w:r>
      <w:r w:rsidRPr="00840393">
        <w:rPr>
          <w:i/>
        </w:rPr>
        <w:t>R</w:t>
      </w:r>
      <w:r w:rsidRPr="00840393">
        <w:rPr>
          <w:i/>
          <w:vertAlign w:val="subscript"/>
        </w:rPr>
        <w:t>i</w:t>
      </w:r>
      <w:r w:rsidRPr="00840393">
        <w:rPr>
          <w:i/>
        </w:rPr>
        <w:t>=1/h</w:t>
      </w:r>
      <w:r w:rsidRPr="00840393">
        <w:rPr>
          <w:i/>
          <w:vertAlign w:val="subscript"/>
        </w:rPr>
        <w:t>i</w:t>
      </w:r>
      <w:r w:rsidRPr="00840393">
        <w:rPr>
          <w:vertAlign w:val="subscript"/>
        </w:rPr>
        <w:t xml:space="preserve"> </w:t>
      </w:r>
      <w:r w:rsidRPr="00840393">
        <w:t xml:space="preserve">and </w:t>
      </w:r>
      <w:r w:rsidRPr="00840393">
        <w:rPr>
          <w:i/>
        </w:rPr>
        <w:t>R</w:t>
      </w:r>
      <w:r w:rsidRPr="00840393">
        <w:rPr>
          <w:i/>
          <w:vertAlign w:val="subscript"/>
        </w:rPr>
        <w:t>o</w:t>
      </w:r>
      <w:r w:rsidRPr="00840393">
        <w:rPr>
          <w:i/>
        </w:rPr>
        <w:t>=1/h</w:t>
      </w:r>
      <w:r w:rsidRPr="00840393">
        <w:rPr>
          <w:i/>
          <w:vertAlign w:val="subscript"/>
        </w:rPr>
        <w:t>o</w:t>
      </w:r>
      <w:r w:rsidRPr="00840393">
        <w:t xml:space="preserve">. The total </w:t>
      </w:r>
      <w:r w:rsidR="003E5FA5" w:rsidRPr="00840393">
        <w:t>U-value</w:t>
      </w:r>
      <w:r w:rsidRPr="00840393">
        <w:t xml:space="preserve"> of the unit cell at the centre-of-</w:t>
      </w:r>
      <w:r w:rsidR="003E5FA5" w:rsidRPr="00840393">
        <w:t>glazing area is then given by</w:t>
      </w:r>
      <w:r w:rsidRPr="00840393">
        <w:t>:</w:t>
      </w:r>
    </w:p>
    <w:p w:rsidR="00563FF5" w:rsidRPr="00840393" w:rsidRDefault="00563FF5" w:rsidP="00E91DD8">
      <w:r w:rsidRPr="00840393">
        <w:rPr>
          <w:position w:val="-30"/>
        </w:rPr>
        <w:object w:dxaOrig="2240" w:dyaOrig="680">
          <v:shape id="_x0000_i1036" type="#_x0000_t75" style="width:100.05pt;height:30.4pt" o:ole="">
            <v:imagedata r:id="rId33" o:title=""/>
          </v:shape>
          <o:OLEObject Type="Embed" ProgID="Equation.3" ShapeID="_x0000_i1036" DrawAspect="Content" ObjectID="_1403962716" r:id="rId34"/>
        </w:object>
      </w:r>
      <w:r w:rsidRPr="00840393">
        <w:t xml:space="preserve"> </w:t>
      </w:r>
      <w:r w:rsidRPr="00840393">
        <w:tab/>
      </w:r>
      <w:r w:rsidRPr="00840393">
        <w:tab/>
      </w:r>
      <w:r w:rsidRPr="00840393">
        <w:tab/>
        <w:t xml:space="preserve">   </w:t>
      </w:r>
      <w:r w:rsidR="00840393">
        <w:tab/>
      </w:r>
      <w:r w:rsidR="00145519" w:rsidRPr="00840393">
        <w:t>(11</w:t>
      </w:r>
      <w:r w:rsidRPr="00840393">
        <w:t>)</w:t>
      </w:r>
    </w:p>
    <w:p w:rsidR="00563FF5" w:rsidRPr="00840393" w:rsidRDefault="00563FF5" w:rsidP="00840393">
      <w:r w:rsidRPr="00840393">
        <w:t xml:space="preserve">      The heat flow through the entire </w:t>
      </w:r>
      <w:r w:rsidR="00C033E7" w:rsidRPr="00840393">
        <w:t>H</w:t>
      </w:r>
      <w:r w:rsidRPr="00840393">
        <w:t xml:space="preserve">VG is the sum of </w:t>
      </w:r>
      <w:r w:rsidR="00A4597E">
        <w:t xml:space="preserve">the </w:t>
      </w:r>
      <w:r w:rsidRPr="00840393">
        <w:t xml:space="preserve">heat flow across the centre-of-glazing area and the heat flow through the edge area including the heat conduction through the edge seal. </w:t>
      </w:r>
    </w:p>
    <w:p w:rsidR="00563FF5" w:rsidRPr="00840393" w:rsidRDefault="00563FF5" w:rsidP="00840393">
      <w:pPr>
        <w:rPr>
          <w:rFonts w:ascii="Arial" w:hAnsi="Arial" w:cs="Arial"/>
          <w:b/>
        </w:rPr>
      </w:pPr>
    </w:p>
    <w:p w:rsidR="00563FF5" w:rsidRPr="00840393" w:rsidRDefault="00981AF7" w:rsidP="00840393">
      <w:pPr>
        <w:rPr>
          <w:b/>
        </w:rPr>
      </w:pPr>
      <w:r w:rsidRPr="00840393">
        <w:rPr>
          <w:b/>
        </w:rPr>
        <w:t>3</w:t>
      </w:r>
      <w:r w:rsidR="008A4BC5" w:rsidRPr="00840393">
        <w:rPr>
          <w:b/>
        </w:rPr>
        <w:t xml:space="preserve">. </w:t>
      </w:r>
      <w:r w:rsidR="00563FF5" w:rsidRPr="00840393">
        <w:rPr>
          <w:b/>
        </w:rPr>
        <w:t xml:space="preserve">Numerical modeling approach     </w:t>
      </w:r>
    </w:p>
    <w:p w:rsidR="00563FF5" w:rsidRPr="00840393" w:rsidRDefault="00563FF5" w:rsidP="00840393">
      <w:r w:rsidRPr="00840393">
        <w:t xml:space="preserve">      </w:t>
      </w:r>
      <w:r w:rsidR="00726E8D" w:rsidRPr="00840393">
        <w:t xml:space="preserve"> </w:t>
      </w:r>
      <w:r w:rsidR="00AB288C" w:rsidRPr="00840393">
        <w:t xml:space="preserve">The governing equation solved by the finite volume model </w:t>
      </w:r>
      <w:r w:rsidR="00F700B9">
        <w:t xml:space="preserve">(FVM) </w:t>
      </w:r>
      <w:r w:rsidR="00AB288C" w:rsidRPr="00840393">
        <w:t>is the Fourier’s equation:</w:t>
      </w:r>
    </w:p>
    <w:p w:rsidR="00563FF5" w:rsidRPr="00840393" w:rsidRDefault="00092B5C" w:rsidP="00840393">
      <w:r w:rsidRPr="00840393">
        <w:rPr>
          <w:position w:val="-28"/>
        </w:rPr>
        <w:object w:dxaOrig="2520" w:dyaOrig="700">
          <v:shape id="_x0000_i1037" type="#_x0000_t75" style="width:116.9pt;height:32.75pt" o:ole="">
            <v:imagedata r:id="rId35" o:title=""/>
          </v:shape>
          <o:OLEObject Type="Embed" ProgID="Equation.3" ShapeID="_x0000_i1037" DrawAspect="Content" ObjectID="_1403962717" r:id="rId36"/>
        </w:object>
      </w:r>
      <w:r w:rsidR="00563FF5" w:rsidRPr="00840393">
        <w:t xml:space="preserve"> </w:t>
      </w:r>
      <w:r w:rsidR="00563FF5" w:rsidRPr="00840393">
        <w:tab/>
      </w:r>
      <w:r w:rsidR="00563FF5" w:rsidRPr="00840393">
        <w:tab/>
      </w:r>
      <w:r w:rsidR="00840393">
        <w:tab/>
      </w:r>
      <w:r w:rsidR="00145519" w:rsidRPr="00840393">
        <w:t>(12</w:t>
      </w:r>
      <w:r w:rsidR="00563FF5" w:rsidRPr="00840393">
        <w:t>)</w:t>
      </w:r>
    </w:p>
    <w:p w:rsidR="00563FF5" w:rsidRPr="00840393" w:rsidRDefault="00834CCB" w:rsidP="00840393">
      <w:r>
        <w:t>W</w:t>
      </w:r>
      <w:r w:rsidR="00563FF5" w:rsidRPr="00840393">
        <w:t xml:space="preserve">here </w:t>
      </w:r>
      <w:r w:rsidR="00563FF5" w:rsidRPr="00840393">
        <w:rPr>
          <w:i/>
        </w:rPr>
        <w:t>T</w:t>
      </w:r>
      <w:r w:rsidR="00563FF5" w:rsidRPr="00840393">
        <w:t xml:space="preserve"> is the temperature of each finite volume of glass or support pillars, </w:t>
      </w:r>
      <w:r w:rsidR="00563FF5" w:rsidRPr="00840393">
        <w:rPr>
          <w:i/>
        </w:rPr>
        <w:t>t</w:t>
      </w:r>
      <w:r w:rsidR="00563FF5" w:rsidRPr="00840393">
        <w:t xml:space="preserve"> is the time parameter, </w:t>
      </w:r>
      <w:r w:rsidR="00563FF5" w:rsidRPr="00840393">
        <w:rPr>
          <w:position w:val="-10"/>
        </w:rPr>
        <w:object w:dxaOrig="1120" w:dyaOrig="320">
          <v:shape id="_x0000_i1038" type="#_x0000_t75" style="width:56.1pt;height:15.9pt" o:ole="">
            <v:imagedata r:id="rId37" o:title=""/>
          </v:shape>
          <o:OLEObject Type="Embed" ProgID="Equation.3" ShapeID="_x0000_i1038" DrawAspect="Content" ObjectID="_1403962718" r:id="rId38"/>
        </w:object>
      </w:r>
      <w:r w:rsidR="00563FF5" w:rsidRPr="00840393">
        <w:t xml:space="preserve"> </w:t>
      </w:r>
      <w:r w:rsidR="00A4597E">
        <w:t xml:space="preserve">which </w:t>
      </w:r>
      <w:r w:rsidR="00563FF5" w:rsidRPr="00840393">
        <w:t xml:space="preserve">is the thermal diffusivity, </w:t>
      </w:r>
      <w:r w:rsidR="00563FF5" w:rsidRPr="00840393">
        <w:rPr>
          <w:i/>
        </w:rPr>
        <w:t>k</w:t>
      </w:r>
      <w:r w:rsidR="00563FF5" w:rsidRPr="00840393">
        <w:t xml:space="preserve"> is the thermal conductivity, </w:t>
      </w:r>
      <w:r w:rsidR="00563FF5" w:rsidRPr="00840393">
        <w:rPr>
          <w:i/>
        </w:rPr>
        <w:t>ρ</w:t>
      </w:r>
      <w:r w:rsidR="00563FF5" w:rsidRPr="00840393">
        <w:t xml:space="preserve"> is the density and </w:t>
      </w:r>
      <w:r w:rsidR="00563FF5" w:rsidRPr="00840393">
        <w:rPr>
          <w:i/>
        </w:rPr>
        <w:t>c</w:t>
      </w:r>
      <w:r w:rsidR="00563FF5" w:rsidRPr="00840393">
        <w:t xml:space="preserve"> is the specific heat capacity.</w:t>
      </w:r>
    </w:p>
    <w:p w:rsidR="00563FF5" w:rsidRPr="00840393" w:rsidRDefault="00A14A0B" w:rsidP="00840393">
      <w:r>
        <w:t xml:space="preserve">      </w:t>
      </w:r>
      <w:r w:rsidR="00A4597E">
        <w:t>E</w:t>
      </w:r>
      <w:r w:rsidR="008928C0">
        <w:t>quation 12</w:t>
      </w:r>
      <w:r w:rsidR="00726E8D" w:rsidRPr="00840393">
        <w:t xml:space="preserve"> was solved using</w:t>
      </w:r>
      <w:r w:rsidR="00AB288C" w:rsidRPr="00840393">
        <w:t xml:space="preserve"> the </w:t>
      </w:r>
      <w:proofErr w:type="spellStart"/>
      <w:r w:rsidR="00AB288C" w:rsidRPr="00840393">
        <w:t>Galerkin</w:t>
      </w:r>
      <w:proofErr w:type="spellEnd"/>
      <w:r w:rsidR="00AB288C" w:rsidRPr="00840393">
        <w:t xml:space="preserve"> approach </w:t>
      </w:r>
      <w:r w:rsidR="006B1F82">
        <w:t>[11]</w:t>
      </w:r>
      <w:r w:rsidR="00726E8D" w:rsidRPr="00840393">
        <w:t>.</w:t>
      </w:r>
      <w:r w:rsidR="00AB288C" w:rsidRPr="00840393">
        <w:t xml:space="preserve"> </w:t>
      </w:r>
      <w:r w:rsidR="00726E8D" w:rsidRPr="00840393">
        <w:t>Since the internal glass surfaces with</w:t>
      </w:r>
      <w:r w:rsidR="00A4597E">
        <w:t>in</w:t>
      </w:r>
      <w:r w:rsidR="00726E8D" w:rsidRPr="00840393">
        <w:t xml:space="preserve"> the vacuum and air filled gaps are parallel, </w:t>
      </w:r>
      <w:r w:rsidR="00563FF5" w:rsidRPr="00840393">
        <w:t xml:space="preserve">the view factor between the two internal </w:t>
      </w:r>
      <w:r w:rsidR="00726E8D" w:rsidRPr="00840393">
        <w:t xml:space="preserve">glass </w:t>
      </w:r>
      <w:r w:rsidR="00563FF5" w:rsidRPr="00840393">
        <w:t xml:space="preserve">surfaces </w:t>
      </w:r>
      <w:r w:rsidR="00726E8D" w:rsidRPr="00840393">
        <w:t>is</w:t>
      </w:r>
      <w:r w:rsidR="00563FF5" w:rsidRPr="00840393">
        <w:t xml:space="preserve"> 1, </w:t>
      </w:r>
      <w:proofErr w:type="gramStart"/>
      <w:r w:rsidR="00563FF5" w:rsidRPr="00840393">
        <w:t>the</w:t>
      </w:r>
      <w:proofErr w:type="gramEnd"/>
      <w:r w:rsidR="00563FF5" w:rsidRPr="00840393">
        <w:t xml:space="preserve"> radiative heat transfer between the two surfaces is </w:t>
      </w:r>
      <w:r w:rsidR="00726E8D" w:rsidRPr="00840393">
        <w:t>given by</w:t>
      </w:r>
      <w:r w:rsidR="00563FF5" w:rsidRPr="00840393">
        <w:t>:</w:t>
      </w:r>
    </w:p>
    <w:p w:rsidR="00563FF5" w:rsidRPr="00840393" w:rsidRDefault="00563FF5" w:rsidP="00840393">
      <w:r w:rsidRPr="00840393">
        <w:rPr>
          <w:position w:val="-32"/>
        </w:rPr>
        <w:object w:dxaOrig="3620" w:dyaOrig="700">
          <v:shape id="_x0000_i1039" type="#_x0000_t75" style="width:162.7pt;height:31.3pt" o:ole="">
            <v:imagedata r:id="rId39" o:title=""/>
          </v:shape>
          <o:OLEObject Type="Embed" ProgID="Equation.3" ShapeID="_x0000_i1039" DrawAspect="Content" ObjectID="_1403962719" r:id="rId40"/>
        </w:object>
      </w:r>
      <w:r w:rsidRPr="00840393">
        <w:t xml:space="preserve"> </w:t>
      </w:r>
      <w:r w:rsidRPr="00840393">
        <w:tab/>
      </w:r>
      <w:r w:rsidR="00840393">
        <w:tab/>
      </w:r>
      <w:r w:rsidR="00145519" w:rsidRPr="00840393">
        <w:t>(13</w:t>
      </w:r>
      <w:r w:rsidRPr="00840393">
        <w:t>)</w:t>
      </w:r>
    </w:p>
    <w:p w:rsidR="00563FF5" w:rsidRPr="00840393" w:rsidRDefault="00563FF5" w:rsidP="00840393">
      <w:r w:rsidRPr="00840393">
        <w:t xml:space="preserve">      </w:t>
      </w:r>
      <w:r w:rsidR="002C1CAD" w:rsidRPr="00840393">
        <w:t>In the simulation, t</w:t>
      </w:r>
      <w:r w:rsidRPr="00840393">
        <w:t xml:space="preserve">he </w:t>
      </w:r>
      <w:r w:rsidR="002C1CAD" w:rsidRPr="00840393">
        <w:t>outdoor and indoor air temperatures are 0 ºC and 20 ºC</w:t>
      </w:r>
      <w:r w:rsidR="00A4597E">
        <w:t xml:space="preserve"> respectively and</w:t>
      </w:r>
      <w:r w:rsidR="002C1CAD" w:rsidRPr="00840393">
        <w:t xml:space="preserve"> the </w:t>
      </w:r>
      <w:r w:rsidR="00F700B9">
        <w:t xml:space="preserve">overall </w:t>
      </w:r>
      <w:r w:rsidR="002C1CAD" w:rsidRPr="00840393">
        <w:t>heat</w:t>
      </w:r>
      <w:r w:rsidR="00A4597E">
        <w:t xml:space="preserve"> transfer coefficients of the out</w:t>
      </w:r>
      <w:r w:rsidR="002C1CAD" w:rsidRPr="00840393">
        <w:t xml:space="preserve">door and </w:t>
      </w:r>
      <w:r w:rsidR="00A4597E">
        <w:t>in</w:t>
      </w:r>
      <w:r w:rsidR="002C1CAD" w:rsidRPr="00840393">
        <w:t xml:space="preserve">door glazing surfaces 25 </w:t>
      </w:r>
      <w:r w:rsidR="002C1CAD" w:rsidRPr="00840393">
        <w:rPr>
          <w:iCs/>
        </w:rPr>
        <w:t>W.m</w:t>
      </w:r>
      <w:r w:rsidR="002C1CAD" w:rsidRPr="00840393">
        <w:rPr>
          <w:iCs/>
          <w:vertAlign w:val="superscript"/>
        </w:rPr>
        <w:t>-2</w:t>
      </w:r>
      <w:r w:rsidR="002C1CAD" w:rsidRPr="00840393">
        <w:rPr>
          <w:iCs/>
        </w:rPr>
        <w:t>.K</w:t>
      </w:r>
      <w:r w:rsidR="002C1CAD" w:rsidRPr="00840393">
        <w:rPr>
          <w:iCs/>
          <w:vertAlign w:val="superscript"/>
        </w:rPr>
        <w:t>-1</w:t>
      </w:r>
      <w:r w:rsidR="002C1CAD" w:rsidRPr="00840393">
        <w:t xml:space="preserve"> and 7.7 </w:t>
      </w:r>
      <w:r w:rsidR="002C1CAD" w:rsidRPr="00840393">
        <w:rPr>
          <w:iCs/>
        </w:rPr>
        <w:t>W.m</w:t>
      </w:r>
      <w:r w:rsidR="002C1CAD" w:rsidRPr="00840393">
        <w:rPr>
          <w:iCs/>
          <w:vertAlign w:val="superscript"/>
        </w:rPr>
        <w:t>-2</w:t>
      </w:r>
      <w:r w:rsidR="002C1CAD" w:rsidRPr="00840393">
        <w:rPr>
          <w:iCs/>
        </w:rPr>
        <w:t>.K</w:t>
      </w:r>
      <w:r w:rsidR="002C1CAD" w:rsidRPr="00840393">
        <w:rPr>
          <w:iCs/>
          <w:vertAlign w:val="superscript"/>
        </w:rPr>
        <w:t>-1</w:t>
      </w:r>
      <w:r w:rsidR="002C1CAD" w:rsidRPr="00840393">
        <w:t xml:space="preserve"> respectively</w:t>
      </w:r>
      <w:r w:rsidRPr="00840393">
        <w:t xml:space="preserve"> </w:t>
      </w:r>
      <w:r w:rsidR="006B1F82">
        <w:t>[12</w:t>
      </w:r>
      <w:r w:rsidR="00320871">
        <w:t>]</w:t>
      </w:r>
      <w:r w:rsidR="002C1CAD" w:rsidRPr="00840393">
        <w:t>.</w:t>
      </w:r>
    </w:p>
    <w:p w:rsidR="00826AA6" w:rsidRDefault="00563FF5" w:rsidP="00840393">
      <w:r w:rsidRPr="00840393">
        <w:t xml:space="preserve">      </w:t>
      </w:r>
      <w:r w:rsidR="00F5601F" w:rsidRPr="00840393">
        <w:t xml:space="preserve">In the </w:t>
      </w:r>
      <w:r w:rsidRPr="00840393">
        <w:t xml:space="preserve">developed </w:t>
      </w:r>
      <w:r w:rsidR="00F700B9">
        <w:t>FVM</w:t>
      </w:r>
      <w:r w:rsidR="00F5601F" w:rsidRPr="00840393">
        <w:t xml:space="preserve">, the </w:t>
      </w:r>
      <w:r w:rsidR="00FE535A" w:rsidRPr="00840393">
        <w:t>node</w:t>
      </w:r>
      <w:r w:rsidR="00F5601F" w:rsidRPr="00840393">
        <w:t xml:space="preserve"> numbers </w:t>
      </w:r>
      <w:r w:rsidR="00FE535A" w:rsidRPr="00840393">
        <w:t xml:space="preserve">of the brick element </w:t>
      </w:r>
      <w:r w:rsidR="00C66C67">
        <w:t xml:space="preserve">in </w:t>
      </w:r>
      <w:r w:rsidR="00A4597E">
        <w:t xml:space="preserve">the </w:t>
      </w:r>
      <w:r w:rsidR="00C66C67">
        <w:t>x, y and z directions are 40, 350 and 3</w:t>
      </w:r>
      <w:r w:rsidR="00F5601F" w:rsidRPr="00840393">
        <w:t xml:space="preserve">50 respectively to represent the geometry of </w:t>
      </w:r>
      <w:r w:rsidR="00A4597E">
        <w:t xml:space="preserve">the </w:t>
      </w:r>
      <w:r w:rsidR="00F5601F" w:rsidRPr="00840393">
        <w:t xml:space="preserve">HVG. The small pillars were directly </w:t>
      </w:r>
      <w:r w:rsidR="008928C0">
        <w:t xml:space="preserve">integrated in the FVM </w:t>
      </w:r>
      <w:r w:rsidR="00F5601F" w:rsidRPr="00840393">
        <w:t xml:space="preserve">with </w:t>
      </w:r>
      <w:r w:rsidR="00A4597E">
        <w:t xml:space="preserve">the </w:t>
      </w:r>
      <w:r w:rsidR="00F5601F" w:rsidRPr="00840393">
        <w:t xml:space="preserve">physical parameters of stainless steel. The </w:t>
      </w:r>
      <w:r w:rsidR="00FE535A" w:rsidRPr="00840393">
        <w:t>brick element</w:t>
      </w:r>
      <w:r w:rsidR="00F5601F" w:rsidRPr="00840393">
        <w:t xml:space="preserve"> number within and around the pillars </w:t>
      </w:r>
      <w:r w:rsidR="00A4597E">
        <w:t>and edge seal area was</w:t>
      </w:r>
      <w:r w:rsidR="00F5601F" w:rsidRPr="00840393">
        <w:t xml:space="preserve"> refined to be much denser than other areas</w:t>
      </w:r>
      <w:r w:rsidR="00FE535A" w:rsidRPr="00840393">
        <w:t xml:space="preserve"> to </w:t>
      </w:r>
      <w:r w:rsidR="00A4597E">
        <w:t>achieve</w:t>
      </w:r>
      <w:r w:rsidR="00FE535A" w:rsidRPr="00840393">
        <w:t xml:space="preserve"> more accurate results and </w:t>
      </w:r>
      <w:r w:rsidR="00A4597E">
        <w:t>reduce</w:t>
      </w:r>
      <w:r w:rsidR="00FE535A" w:rsidRPr="00840393">
        <w:t xml:space="preserve"> CPU time. </w:t>
      </w:r>
      <w:r w:rsidR="004C5A23" w:rsidRPr="00840393">
        <w:t xml:space="preserve">The cylindrical pillars with radius </w:t>
      </w:r>
      <w:r w:rsidR="004C5A23" w:rsidRPr="00840393">
        <w:rPr>
          <w:i/>
        </w:rPr>
        <w:t>a</w:t>
      </w:r>
      <w:r w:rsidR="00A4597E">
        <w:t xml:space="preserve"> of the spherical</w:t>
      </w:r>
      <w:r w:rsidR="004C5A23" w:rsidRPr="00840393">
        <w:t xml:space="preserve"> cross</w:t>
      </w:r>
      <w:r w:rsidR="00A4597E">
        <w:t xml:space="preserve"> sectional</w:t>
      </w:r>
      <w:r w:rsidR="004C5A23" w:rsidRPr="00840393">
        <w:t xml:space="preserve"> area in the practical </w:t>
      </w:r>
      <w:r w:rsidR="00552B38">
        <w:t>sample</w:t>
      </w:r>
      <w:r w:rsidR="00E91DD8">
        <w:t xml:space="preserve"> were replaced by </w:t>
      </w:r>
      <w:r w:rsidR="004C5A23" w:rsidRPr="00840393">
        <w:t>square pillar</w:t>
      </w:r>
      <w:r w:rsidR="00E91DD8">
        <w:t>s</w:t>
      </w:r>
      <w:r w:rsidR="004C5A23" w:rsidRPr="00840393">
        <w:t xml:space="preserve"> with</w:t>
      </w:r>
      <w:r w:rsidR="00E91DD8">
        <w:t xml:space="preserve"> a</w:t>
      </w:r>
      <w:r w:rsidR="004C5A23" w:rsidRPr="00840393">
        <w:t xml:space="preserve"> width of </w:t>
      </w:r>
      <w:r w:rsidR="004C5A23" w:rsidRPr="00840393">
        <w:rPr>
          <w:position w:val="-8"/>
        </w:rPr>
        <w:object w:dxaOrig="520" w:dyaOrig="360">
          <v:shape id="_x0000_i1040" type="#_x0000_t75" style="width:22.45pt;height:14.95pt" o:ole="">
            <v:imagedata r:id="rId41" o:title=""/>
          </v:shape>
          <o:OLEObject Type="Embed" ProgID="Equation.3" ShapeID="_x0000_i1040" DrawAspect="Content" ObjectID="_1403962720" r:id="rId42"/>
        </w:object>
      </w:r>
      <w:r w:rsidR="004C5A23" w:rsidRPr="00840393">
        <w:t xml:space="preserve"> such that the </w:t>
      </w:r>
      <w:r w:rsidR="00E91DD8">
        <w:t>area of the spherical</w:t>
      </w:r>
      <w:r w:rsidR="004C5A23" w:rsidRPr="00840393">
        <w:t xml:space="preserve"> and square cross </w:t>
      </w:r>
      <w:r w:rsidR="00E91DD8">
        <w:t>sections</w:t>
      </w:r>
      <w:r w:rsidR="004C5A23" w:rsidRPr="00840393">
        <w:t xml:space="preserve"> are the same. It has been proved that both pillars with the same cross section</w:t>
      </w:r>
      <w:r w:rsidR="00E91DD8">
        <w:t>al</w:t>
      </w:r>
      <w:r w:rsidR="004C5A23" w:rsidRPr="00840393">
        <w:t xml:space="preserve"> </w:t>
      </w:r>
      <w:r w:rsidR="00E91DD8">
        <w:t>area conduct</w:t>
      </w:r>
      <w:r w:rsidR="004C5A23" w:rsidRPr="00840393">
        <w:t xml:space="preserve"> similar amount</w:t>
      </w:r>
      <w:r w:rsidR="00E91DD8">
        <w:t>s</w:t>
      </w:r>
      <w:r w:rsidR="004C5A23" w:rsidRPr="00840393">
        <w:t xml:space="preserve"> of heat under </w:t>
      </w:r>
      <w:r w:rsidR="00E91DD8">
        <w:t xml:space="preserve">the </w:t>
      </w:r>
      <w:r w:rsidR="004C5A23" w:rsidRPr="00840393">
        <w:t>same boundary conditions</w:t>
      </w:r>
      <w:r w:rsidR="00E91DD8">
        <w:t xml:space="preserve"> </w:t>
      </w:r>
      <w:r w:rsidR="006B1F82">
        <w:t>[13]</w:t>
      </w:r>
      <w:r w:rsidR="004C5A23" w:rsidRPr="00840393">
        <w:t xml:space="preserve">. </w:t>
      </w:r>
      <w:r w:rsidRPr="00840393">
        <w:t xml:space="preserve">Due to symmetry conditions, </w:t>
      </w:r>
      <w:r w:rsidR="00826AA6" w:rsidRPr="00840393">
        <w:t xml:space="preserve">it is </w:t>
      </w:r>
      <w:r w:rsidR="00E91DD8">
        <w:t>sufficient</w:t>
      </w:r>
      <w:r w:rsidR="00826AA6" w:rsidRPr="00840393">
        <w:t xml:space="preserve"> to simulate </w:t>
      </w:r>
      <w:r w:rsidRPr="00840393">
        <w:t xml:space="preserve">one quarter of the </w:t>
      </w:r>
      <w:r w:rsidR="004C5A23" w:rsidRPr="00840393">
        <w:t>H</w:t>
      </w:r>
      <w:r w:rsidRPr="00840393">
        <w:t>VG</w:t>
      </w:r>
      <w:r w:rsidR="00826AA6" w:rsidRPr="00840393">
        <w:t xml:space="preserve">. </w:t>
      </w:r>
    </w:p>
    <w:p w:rsidR="00826AA6" w:rsidRDefault="00826AA6" w:rsidP="00840393">
      <w:r w:rsidRPr="00840393">
        <w:t xml:space="preserve">      The </w:t>
      </w:r>
      <w:r w:rsidR="00F700B9">
        <w:t xml:space="preserve">BS EN standard </w:t>
      </w:r>
      <w:r w:rsidR="006B1F82">
        <w:t>[10</w:t>
      </w:r>
      <w:r w:rsidR="00320871">
        <w:t>]</w:t>
      </w:r>
      <w:r w:rsidRPr="00840393">
        <w:t xml:space="preserve"> systematically presents the approach </w:t>
      </w:r>
      <w:r w:rsidR="00E91DD8">
        <w:t xml:space="preserve">calculating the thermal transmission </w:t>
      </w:r>
      <w:r w:rsidR="00B976B2">
        <w:t>of</w:t>
      </w:r>
      <w:r w:rsidR="00F700B9">
        <w:t xml:space="preserve"> the gas filled gap </w:t>
      </w:r>
      <w:r w:rsidR="00552B38">
        <w:t xml:space="preserve">within a </w:t>
      </w:r>
      <w:r w:rsidR="00F700B9">
        <w:t xml:space="preserve">double </w:t>
      </w:r>
      <w:r w:rsidR="00552B38">
        <w:t>glazing</w:t>
      </w:r>
      <w:r w:rsidRPr="00840393">
        <w:t xml:space="preserve"> as described in above section. The air gap in the FVM was treated with an effective material with</w:t>
      </w:r>
      <w:r w:rsidR="00B976B2">
        <w:t xml:space="preserve"> </w:t>
      </w:r>
      <w:r w:rsidR="00F700B9">
        <w:t xml:space="preserve">a </w:t>
      </w:r>
      <w:r w:rsidR="00D352EF" w:rsidRPr="00840393">
        <w:t>thermal resistance</w:t>
      </w:r>
      <w:r w:rsidR="00145519" w:rsidRPr="00840393">
        <w:t xml:space="preserve"> calculated by equation</w:t>
      </w:r>
      <w:r w:rsidR="00B976B2">
        <w:t>s</w:t>
      </w:r>
      <w:r w:rsidR="00145519" w:rsidRPr="00840393">
        <w:t xml:space="preserve"> 5</w:t>
      </w:r>
      <w:r w:rsidR="00B976B2">
        <w:t xml:space="preserve"> to 10, which combine</w:t>
      </w:r>
      <w:r w:rsidR="00F700B9">
        <w:t>s</w:t>
      </w:r>
      <w:r w:rsidRPr="00840393">
        <w:t xml:space="preserve"> the influence of </w:t>
      </w:r>
      <w:r w:rsidRPr="00840393">
        <w:lastRenderedPageBreak/>
        <w:t>radiative heat transfer, air conduct</w:t>
      </w:r>
      <w:r w:rsidR="00145519" w:rsidRPr="00840393">
        <w:t>ion and convection.</w:t>
      </w:r>
      <w:r w:rsidRPr="00840393">
        <w:t xml:space="preserve"> </w:t>
      </w:r>
      <w:r w:rsidR="00145519" w:rsidRPr="00840393">
        <w:t>The effective thermal conductivi</w:t>
      </w:r>
      <w:r w:rsidR="00926B1F" w:rsidRPr="00840393">
        <w:t>ty of the air gap is given by</w:t>
      </w:r>
      <w:r w:rsidR="00145519" w:rsidRPr="00840393">
        <w:t>:</w:t>
      </w:r>
    </w:p>
    <w:p w:rsidR="00145519" w:rsidRPr="00840393" w:rsidRDefault="00145519" w:rsidP="008928C0">
      <w:r w:rsidRPr="00840393">
        <w:rPr>
          <w:position w:val="-32"/>
        </w:rPr>
        <w:object w:dxaOrig="1540" w:dyaOrig="700">
          <v:shape id="_x0000_i1041" type="#_x0000_t75" style="width:69.65pt;height:31.8pt" o:ole="">
            <v:imagedata r:id="rId43" o:title=""/>
          </v:shape>
          <o:OLEObject Type="Embed" ProgID="Equation.3" ShapeID="_x0000_i1041" DrawAspect="Content" ObjectID="_1403962721" r:id="rId44"/>
        </w:object>
      </w:r>
      <w:r w:rsidR="008928C0">
        <w:tab/>
      </w:r>
      <w:r w:rsidR="008928C0">
        <w:tab/>
      </w:r>
      <w:r w:rsidR="008928C0">
        <w:tab/>
        <w:t xml:space="preserve"> </w:t>
      </w:r>
      <w:r w:rsidR="008928C0">
        <w:tab/>
        <w:t xml:space="preserve">   </w:t>
      </w:r>
      <w:r w:rsidR="008928C0">
        <w:tab/>
      </w:r>
      <w:r w:rsidRPr="00840393">
        <w:t>(14)</w:t>
      </w:r>
    </w:p>
    <w:p w:rsidR="00145519" w:rsidRPr="00840393" w:rsidRDefault="00145519" w:rsidP="00840393">
      <w:proofErr w:type="gramStart"/>
      <w:r w:rsidRPr="00840393">
        <w:t xml:space="preserve">Where </w:t>
      </w:r>
      <w:r w:rsidRPr="009B298A">
        <w:rPr>
          <w:i/>
        </w:rPr>
        <w:t>s</w:t>
      </w:r>
      <w:r w:rsidRPr="00840393">
        <w:t xml:space="preserve"> is the air gap width.</w:t>
      </w:r>
      <w:proofErr w:type="gramEnd"/>
    </w:p>
    <w:p w:rsidR="00563FF5" w:rsidRDefault="00563FF5" w:rsidP="00840393">
      <w:r w:rsidRPr="00840393">
        <w:t xml:space="preserve">      </w:t>
      </w:r>
      <w:r w:rsidR="003235BD" w:rsidRPr="00840393">
        <w:t>T</w:t>
      </w:r>
      <w:r w:rsidRPr="00840393">
        <w:t xml:space="preserve">he accuracy of simulations with </w:t>
      </w:r>
      <w:r w:rsidR="003235BD" w:rsidRPr="00840393">
        <w:t xml:space="preserve">the </w:t>
      </w:r>
      <w:r w:rsidRPr="00840393">
        <w:t>specified mes</w:t>
      </w:r>
      <w:r w:rsidR="003235BD" w:rsidRPr="00840393">
        <w:t xml:space="preserve">h number was tested for both a </w:t>
      </w:r>
      <w:r w:rsidR="00552B38">
        <w:t>DVG</w:t>
      </w:r>
      <w:r w:rsidR="003235BD" w:rsidRPr="00840393">
        <w:t xml:space="preserve"> and an air filled double glazing</w:t>
      </w:r>
      <w:r w:rsidR="00333296" w:rsidRPr="00840393">
        <w:t xml:space="preserve"> separately</w:t>
      </w:r>
      <w:r w:rsidR="003235BD" w:rsidRPr="00840393">
        <w:t xml:space="preserve">. </w:t>
      </w:r>
      <w:r w:rsidR="00333296" w:rsidRPr="00840393">
        <w:t xml:space="preserve">The accuracy of this treatment for </w:t>
      </w:r>
      <w:r w:rsidR="00552B38">
        <w:t>DVG</w:t>
      </w:r>
      <w:r w:rsidR="00333296" w:rsidRPr="00840393">
        <w:t xml:space="preserve"> has been undertaken in the past </w:t>
      </w:r>
      <w:r w:rsidR="006B1F82">
        <w:t>[14</w:t>
      </w:r>
      <w:r w:rsidR="00320871">
        <w:t>]</w:t>
      </w:r>
      <w:r w:rsidR="00333296" w:rsidRPr="00840393">
        <w:t>. The accuracy of the treatment for air filled double glazing was tested</w:t>
      </w:r>
      <w:r w:rsidR="00552B38">
        <w:t xml:space="preserve"> in this work</w:t>
      </w:r>
      <w:r w:rsidR="00333296" w:rsidRPr="00840393">
        <w:t xml:space="preserve">. A </w:t>
      </w:r>
      <w:r w:rsidR="0024674D">
        <w:t>25 mm by 25 mm u</w:t>
      </w:r>
      <w:r w:rsidR="00333296" w:rsidRPr="00840393">
        <w:t xml:space="preserve">nit cell </w:t>
      </w:r>
      <w:r w:rsidR="0024674D">
        <w:t>w</w:t>
      </w:r>
      <w:r w:rsidR="00333296" w:rsidRPr="00840393">
        <w:t>ith a</w:t>
      </w:r>
      <w:r w:rsidR="003341B0" w:rsidRPr="00840393">
        <w:t>n</w:t>
      </w:r>
      <w:r w:rsidR="00333296" w:rsidRPr="00840393">
        <w:t xml:space="preserve"> air filled gap </w:t>
      </w:r>
      <w:r w:rsidR="00C66C67">
        <w:t>was simulated using a mesh of 40</w:t>
      </w:r>
      <w:r w:rsidR="00333296" w:rsidRPr="00840393">
        <w:sym w:font="Symbol" w:char="F0B4"/>
      </w:r>
      <w:r w:rsidR="00C66C67">
        <w:t>40</w:t>
      </w:r>
      <w:r w:rsidR="00333296" w:rsidRPr="00840393">
        <w:sym w:font="Symbol" w:char="F0B4"/>
      </w:r>
      <w:r w:rsidR="00552B38">
        <w:t>2</w:t>
      </w:r>
      <w:r w:rsidR="00333296" w:rsidRPr="00840393">
        <w:t xml:space="preserve">0 nodes. </w:t>
      </w:r>
      <w:r w:rsidR="00552B38">
        <w:t>The 2</w:t>
      </w:r>
      <w:r w:rsidRPr="00840393">
        <w:t>0 nodes (</w:t>
      </w:r>
      <w:r w:rsidRPr="00834CCB">
        <w:rPr>
          <w:i/>
        </w:rPr>
        <w:t>x</w:t>
      </w:r>
      <w:r w:rsidRPr="00840393">
        <w:t xml:space="preserve"> dire</w:t>
      </w:r>
      <w:r w:rsidR="003341B0" w:rsidRPr="00840393">
        <w:t>c</w:t>
      </w:r>
      <w:r w:rsidRPr="00840393">
        <w:t>tion) were distributed in a graded mesh throu</w:t>
      </w:r>
      <w:r w:rsidR="003235BD" w:rsidRPr="00840393">
        <w:t xml:space="preserve">gh the </w:t>
      </w:r>
      <w:r w:rsidR="0024674D">
        <w:t xml:space="preserve">double </w:t>
      </w:r>
      <w:r w:rsidR="003235BD" w:rsidRPr="00840393">
        <w:t>glazing th</w:t>
      </w:r>
      <w:r w:rsidR="00E85678" w:rsidRPr="00840393">
        <w:t>ickness of 20</w:t>
      </w:r>
      <w:r w:rsidRPr="00840393">
        <w:t xml:space="preserve"> mm</w:t>
      </w:r>
      <w:r w:rsidR="0024674D">
        <w:t xml:space="preserve"> (two 4 mm thick glass sheets and a 12 mm wide air gap)</w:t>
      </w:r>
      <w:r w:rsidRPr="00840393">
        <w:t xml:space="preserve">. </w:t>
      </w:r>
      <w:r w:rsidR="00E85678" w:rsidRPr="00840393">
        <w:t>T</w:t>
      </w:r>
      <w:r w:rsidRPr="00840393">
        <w:t xml:space="preserve">he </w:t>
      </w:r>
      <w:r w:rsidR="00E85678" w:rsidRPr="00840393">
        <w:t xml:space="preserve">U-value of the unit cell of the air filled double glazing without low-e </w:t>
      </w:r>
      <w:r w:rsidR="003341B0" w:rsidRPr="00840393">
        <w:t>c</w:t>
      </w:r>
      <w:r w:rsidR="00C66C67">
        <w:t>oating</w:t>
      </w:r>
      <w:r w:rsidR="0024674D">
        <w:t>s</w:t>
      </w:r>
      <w:r w:rsidR="00C66C67">
        <w:t xml:space="preserve"> was determined to be 2.70</w:t>
      </w:r>
      <w:r w:rsidR="00E85678" w:rsidRPr="00840393">
        <w:t xml:space="preserve"> </w:t>
      </w:r>
      <w:r w:rsidR="00E85678" w:rsidRPr="00840393">
        <w:rPr>
          <w:iCs/>
        </w:rPr>
        <w:t>W.m</w:t>
      </w:r>
      <w:r w:rsidR="00E85678" w:rsidRPr="00840393">
        <w:rPr>
          <w:iCs/>
          <w:vertAlign w:val="superscript"/>
        </w:rPr>
        <w:t>-2</w:t>
      </w:r>
      <w:r w:rsidR="00E85678" w:rsidRPr="00840393">
        <w:rPr>
          <w:iCs/>
        </w:rPr>
        <w:t>.K</w:t>
      </w:r>
      <w:r w:rsidR="00E85678" w:rsidRPr="00840393">
        <w:rPr>
          <w:iCs/>
          <w:vertAlign w:val="superscript"/>
        </w:rPr>
        <w:t>-1</w:t>
      </w:r>
      <w:r w:rsidR="00E85678" w:rsidRPr="00840393">
        <w:t xml:space="preserve">, </w:t>
      </w:r>
      <w:r w:rsidR="004D5929" w:rsidRPr="00840393">
        <w:t xml:space="preserve">which is in good agreement with the typical U-value </w:t>
      </w:r>
      <w:r w:rsidR="00C66C67">
        <w:t>of 2.71</w:t>
      </w:r>
      <w:r w:rsidR="002D677E" w:rsidRPr="00840393">
        <w:rPr>
          <w:iCs/>
        </w:rPr>
        <w:t xml:space="preserve"> W.m</w:t>
      </w:r>
      <w:r w:rsidR="002D677E" w:rsidRPr="00840393">
        <w:rPr>
          <w:iCs/>
          <w:vertAlign w:val="superscript"/>
        </w:rPr>
        <w:t>-2</w:t>
      </w:r>
      <w:r w:rsidR="002D677E" w:rsidRPr="00840393">
        <w:rPr>
          <w:iCs/>
        </w:rPr>
        <w:t>.K</w:t>
      </w:r>
      <w:r w:rsidR="002D677E" w:rsidRPr="00840393">
        <w:rPr>
          <w:iCs/>
          <w:vertAlign w:val="superscript"/>
        </w:rPr>
        <w:t>-1</w:t>
      </w:r>
      <w:r w:rsidR="002D677E" w:rsidRPr="00840393">
        <w:t xml:space="preserve"> </w:t>
      </w:r>
      <w:r w:rsidR="0024674D">
        <w:t>of an</w:t>
      </w:r>
      <w:r w:rsidR="004D5929" w:rsidRPr="00840393">
        <w:t xml:space="preserve"> air filled double glazing without low-e coating</w:t>
      </w:r>
      <w:r w:rsidR="0024674D">
        <w:t>s</w:t>
      </w:r>
      <w:r w:rsidR="004D5929" w:rsidRPr="00840393">
        <w:t xml:space="preserve"> calculated using the </w:t>
      </w:r>
      <w:r w:rsidR="002D677E" w:rsidRPr="00840393">
        <w:t>software</w:t>
      </w:r>
      <w:r w:rsidR="0024674D" w:rsidRPr="0024674D">
        <w:t xml:space="preserve"> </w:t>
      </w:r>
      <w:r w:rsidR="0024674D" w:rsidRPr="00840393">
        <w:t xml:space="preserve">Window 6.3 </w:t>
      </w:r>
      <w:r w:rsidR="006B1F82">
        <w:t>[15]</w:t>
      </w:r>
      <w:r w:rsidR="002D677E" w:rsidRPr="00840393">
        <w:t xml:space="preserve"> of </w:t>
      </w:r>
      <w:r w:rsidR="0024674D">
        <w:t xml:space="preserve">the </w:t>
      </w:r>
      <w:r w:rsidR="004D5929" w:rsidRPr="00840393">
        <w:t>L</w:t>
      </w:r>
      <w:r w:rsidR="002D677E" w:rsidRPr="00840393">
        <w:t>awrence Berkeley Laboratory</w:t>
      </w:r>
      <w:r w:rsidR="0024674D">
        <w:t>.</w:t>
      </w:r>
      <w:r w:rsidR="004D5929" w:rsidRPr="00840393">
        <w:t xml:space="preserve"> </w:t>
      </w:r>
    </w:p>
    <w:p w:rsidR="00626644" w:rsidRPr="00840393" w:rsidRDefault="00500501" w:rsidP="00840393">
      <w:r>
        <w:t xml:space="preserve">     </w:t>
      </w:r>
      <w:r w:rsidR="00A25060" w:rsidRPr="00840393">
        <w:rPr>
          <w:noProof/>
        </w:rPr>
        <w:drawing>
          <wp:inline distT="0" distB="0" distL="0" distR="0">
            <wp:extent cx="2032632" cy="2095500"/>
            <wp:effectExtent l="19050" t="0" r="5718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565" cy="2098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644" w:rsidRDefault="004B3638" w:rsidP="00840393">
      <w:r w:rsidRPr="00840393">
        <w:rPr>
          <w:b/>
        </w:rPr>
        <w:t>Fig.</w:t>
      </w:r>
      <w:r w:rsidR="00D824AC" w:rsidRPr="00840393">
        <w:rPr>
          <w:b/>
        </w:rPr>
        <w:t xml:space="preserve"> 3</w:t>
      </w:r>
      <w:r w:rsidRPr="00840393">
        <w:t xml:space="preserve"> Isotherms of </w:t>
      </w:r>
      <w:r w:rsidR="00CF56C1">
        <w:t>HVG</w:t>
      </w:r>
      <w:r w:rsidRPr="00840393">
        <w:t xml:space="preserve"> with vacuum gap </w:t>
      </w:r>
      <w:r w:rsidR="00CF56C1">
        <w:t>facing</w:t>
      </w:r>
      <w:r w:rsidRPr="00840393">
        <w:t xml:space="preserve"> the indoor </w:t>
      </w:r>
      <w:r w:rsidR="00CF56C1">
        <w:t>environment</w:t>
      </w:r>
      <w:r w:rsidRPr="00840393">
        <w:t>.</w:t>
      </w:r>
    </w:p>
    <w:p w:rsidR="00A93EA7" w:rsidRPr="00840393" w:rsidRDefault="00A93EA7" w:rsidP="00A93EA7">
      <w:r w:rsidRPr="00840393">
        <w:t xml:space="preserve">      The 3-D isotherms of the HVG with </w:t>
      </w:r>
      <w:r>
        <w:t xml:space="preserve">the </w:t>
      </w:r>
      <w:r w:rsidRPr="00840393">
        <w:t xml:space="preserve">vacuum gap facing the </w:t>
      </w:r>
      <w:r>
        <w:t>indoor</w:t>
      </w:r>
      <w:r w:rsidRPr="00840393">
        <w:t xml:space="preserve"> (setting method 1) and </w:t>
      </w:r>
      <w:r>
        <w:t>outdoor environment</w:t>
      </w:r>
      <w:r w:rsidR="00623AD4">
        <w:t>s</w:t>
      </w:r>
      <w:r w:rsidRPr="00840393">
        <w:t xml:space="preserve"> (setting method 2) are presented in Figs. 3 and 4. </w:t>
      </w:r>
      <w:r>
        <w:t xml:space="preserve">A </w:t>
      </w:r>
      <w:r w:rsidRPr="00840393">
        <w:t>low-e coating</w:t>
      </w:r>
      <w:r>
        <w:t xml:space="preserve"> is used</w:t>
      </w:r>
      <w:r w:rsidRPr="00840393">
        <w:t xml:space="preserve"> on the internal surfaces of </w:t>
      </w:r>
      <w:r>
        <w:t xml:space="preserve">the two </w:t>
      </w:r>
      <w:r w:rsidRPr="00840393">
        <w:t xml:space="preserve">glass sheets bounding the vacuum gap; no low-e coating </w:t>
      </w:r>
      <w:r>
        <w:t xml:space="preserve">is </w:t>
      </w:r>
      <w:r w:rsidRPr="00840393">
        <w:t>used on the internal glass surfaces bounding the air gap. In Fig. 3,</w:t>
      </w:r>
      <w:r w:rsidRPr="00840393">
        <w:rPr>
          <w:b/>
        </w:rPr>
        <w:t xml:space="preserve"> </w:t>
      </w:r>
      <w:r w:rsidRPr="00840393">
        <w:t xml:space="preserve">the temperature difference between the two glass sheets bounding the vacuum gap is 8.7 ºC; that between the two glass sheets bounding the air gap is 1.1 ºC; In Fig. 4, the temperature difference between the two glass sheets bounding the vacuum gap is 6.9 ºC; that between the two glass sheets bounding the air gap is 1.7 ºC. The 3-D isotherms of </w:t>
      </w:r>
      <w:r>
        <w:t xml:space="preserve">the </w:t>
      </w:r>
      <w:r w:rsidRPr="00840393">
        <w:t xml:space="preserve">DVG illustrated in Fig. 5 show that the temperature difference between the two glass </w:t>
      </w:r>
      <w:r>
        <w:t xml:space="preserve">sheets is 9.7 ºC. Comparing </w:t>
      </w:r>
      <w:r w:rsidRPr="00840393">
        <w:t xml:space="preserve">Fig. 5 to Figs. 3 and 4, it can be seen that inclusion of the third glass sheet reduces the temperature difference between the two glass sheets bounding the vacuum gap by 1 ºC </w:t>
      </w:r>
      <w:r>
        <w:t xml:space="preserve">in Fig. 3 </w:t>
      </w:r>
      <w:r w:rsidRPr="00840393">
        <w:t>and 2.8 ºC</w:t>
      </w:r>
      <w:r>
        <w:t xml:space="preserve"> in Fig. 4, thereby</w:t>
      </w:r>
      <w:r w:rsidRPr="00840393">
        <w:t xml:space="preserve"> the </w:t>
      </w:r>
      <w:r>
        <w:t xml:space="preserve">temperature-induced </w:t>
      </w:r>
      <w:r w:rsidRPr="00840393">
        <w:t xml:space="preserve">stress within the glazing is </w:t>
      </w:r>
      <w:r w:rsidRPr="00840393">
        <w:lastRenderedPageBreak/>
        <w:t xml:space="preserve">reduced. This is </w:t>
      </w:r>
      <w:r>
        <w:t>an</w:t>
      </w:r>
      <w:r w:rsidRPr="00840393">
        <w:t xml:space="preserve"> advantage of HVG compared to the DVG. </w:t>
      </w:r>
    </w:p>
    <w:p w:rsidR="004B3638" w:rsidRPr="00840393" w:rsidRDefault="005F39E1" w:rsidP="00840393">
      <w:r w:rsidRPr="00840393">
        <w:t xml:space="preserve">  </w:t>
      </w:r>
      <w:r w:rsidR="00AB0F72" w:rsidRPr="00840393">
        <w:rPr>
          <w:noProof/>
        </w:rPr>
        <w:drawing>
          <wp:inline distT="0" distB="0" distL="0" distR="0">
            <wp:extent cx="2076450" cy="1914992"/>
            <wp:effectExtent l="19050" t="0" r="0" b="0"/>
            <wp:docPr id="1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27" cy="191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638" w:rsidRDefault="004B3638" w:rsidP="00840393">
      <w:r w:rsidRPr="00840393">
        <w:rPr>
          <w:b/>
        </w:rPr>
        <w:t>Fig.</w:t>
      </w:r>
      <w:r w:rsidR="00D824AC" w:rsidRPr="00840393">
        <w:rPr>
          <w:b/>
        </w:rPr>
        <w:t xml:space="preserve"> 4</w:t>
      </w:r>
      <w:r w:rsidRPr="00840393">
        <w:t xml:space="preserve"> Isotherms of </w:t>
      </w:r>
      <w:r w:rsidR="00CF56C1">
        <w:t>HVG</w:t>
      </w:r>
      <w:r w:rsidRPr="00840393">
        <w:t xml:space="preserve"> with vacuum gap </w:t>
      </w:r>
      <w:r w:rsidR="00CF56C1">
        <w:t xml:space="preserve">facing </w:t>
      </w:r>
      <w:r w:rsidRPr="00840393">
        <w:t xml:space="preserve">the outdoor </w:t>
      </w:r>
      <w:r w:rsidR="00CF56C1">
        <w:t>environment</w:t>
      </w:r>
      <w:r w:rsidRPr="00840393">
        <w:t xml:space="preserve">.  </w:t>
      </w:r>
    </w:p>
    <w:p w:rsidR="00840393" w:rsidRPr="00840393" w:rsidRDefault="00840393" w:rsidP="00840393">
      <w:r w:rsidRPr="00840393">
        <w:t xml:space="preserve">      Both Figs. 3 and 4 show that the temperature difference between the glass sheets bounding the vacuum gap is much larger than that </w:t>
      </w:r>
      <w:r w:rsidR="005F067D">
        <w:t xml:space="preserve">of the glass sheets bounding </w:t>
      </w:r>
      <w:r w:rsidRPr="00840393">
        <w:t xml:space="preserve">the air gap, since the thermal resistance of </w:t>
      </w:r>
      <w:r w:rsidR="00C66C67">
        <w:t xml:space="preserve">the </w:t>
      </w:r>
      <w:r w:rsidRPr="00840393">
        <w:t xml:space="preserve">vacuum gap is much larger than that of air gap. The </w:t>
      </w:r>
      <w:r w:rsidR="00E80315">
        <w:t xml:space="preserve">mean </w:t>
      </w:r>
      <w:r w:rsidRPr="00840393">
        <w:t xml:space="preserve">temperature of the indoor glass </w:t>
      </w:r>
      <w:r w:rsidR="00E80315">
        <w:t>sheet</w:t>
      </w:r>
      <w:r w:rsidRPr="00840393">
        <w:t xml:space="preserve"> of the HVG with setting method 1 </w:t>
      </w:r>
      <w:r w:rsidR="005F067D">
        <w:t xml:space="preserve">as </w:t>
      </w:r>
      <w:r w:rsidRPr="00840393">
        <w:t>in Fig. 3 is</w:t>
      </w:r>
      <w:r w:rsidR="005F067D">
        <w:t xml:space="preserve"> 1.4</w:t>
      </w:r>
      <w:r w:rsidR="005F067D" w:rsidRPr="005F067D">
        <w:t xml:space="preserve"> </w:t>
      </w:r>
      <w:r w:rsidR="005F067D" w:rsidRPr="00840393">
        <w:t>ºC</w:t>
      </w:r>
      <w:r w:rsidR="005F067D">
        <w:t xml:space="preserve"> larger</w:t>
      </w:r>
      <w:r w:rsidRPr="00840393">
        <w:t xml:space="preserve"> than that of the indoor glass </w:t>
      </w:r>
      <w:r w:rsidR="00E80315">
        <w:t>sheet</w:t>
      </w:r>
      <w:r w:rsidRPr="00840393">
        <w:t xml:space="preserve"> of the HVG with setting method 2 </w:t>
      </w:r>
      <w:r w:rsidR="005F067D">
        <w:t xml:space="preserve">as </w:t>
      </w:r>
      <w:r w:rsidRPr="00840393">
        <w:t xml:space="preserve">in Fig. 4. The temperature difference between the indoor and outdoor glass sheets in Fig. 3 is 9.8 ºC and in Fig. 4 is </w:t>
      </w:r>
      <w:r w:rsidR="00EB0D84">
        <w:t>8</w:t>
      </w:r>
      <w:r w:rsidRPr="00840393">
        <w:t>.6 ºC</w:t>
      </w:r>
      <w:r w:rsidR="00E80315">
        <w:t>.</w:t>
      </w:r>
      <w:r w:rsidRPr="00840393">
        <w:t xml:space="preserve"> </w:t>
      </w:r>
      <w:r w:rsidR="000976F0">
        <w:t>T</w:t>
      </w:r>
      <w:r w:rsidRPr="00840393">
        <w:t xml:space="preserve">he thermal </w:t>
      </w:r>
      <w:r w:rsidR="005F067D">
        <w:t xml:space="preserve">resistance </w:t>
      </w:r>
      <w:r w:rsidRPr="00840393">
        <w:t xml:space="preserve">of HVG with </w:t>
      </w:r>
      <w:r w:rsidR="005F067D">
        <w:t xml:space="preserve">a </w:t>
      </w:r>
      <w:r w:rsidR="00E80315">
        <w:t xml:space="preserve">vacuum gap </w:t>
      </w:r>
      <w:r w:rsidRPr="00840393">
        <w:t xml:space="preserve">setting </w:t>
      </w:r>
      <w:r w:rsidR="005F067D">
        <w:t xml:space="preserve">as in </w:t>
      </w:r>
      <w:r w:rsidRPr="00840393">
        <w:t xml:space="preserve">method 1 is </w:t>
      </w:r>
      <w:r w:rsidR="005F067D">
        <w:t>larger</w:t>
      </w:r>
      <w:r w:rsidRPr="00840393">
        <w:t xml:space="preserve"> than that with </w:t>
      </w:r>
      <w:r w:rsidR="00E80315">
        <w:t xml:space="preserve">vacuum gap </w:t>
      </w:r>
      <w:r w:rsidRPr="00840393">
        <w:t xml:space="preserve">setting method 2. </w:t>
      </w:r>
    </w:p>
    <w:p w:rsidR="004B3638" w:rsidRPr="00840393" w:rsidRDefault="00A25060" w:rsidP="00840393">
      <w:r w:rsidRPr="00840393">
        <w:rPr>
          <w:noProof/>
        </w:rPr>
        <w:drawing>
          <wp:inline distT="0" distB="0" distL="0" distR="0">
            <wp:extent cx="2197100" cy="2051050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869" cy="2053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61F" w:rsidRPr="00840393" w:rsidRDefault="00345FF0" w:rsidP="00840393">
      <w:r w:rsidRPr="00840393">
        <w:rPr>
          <w:b/>
        </w:rPr>
        <w:t>Fig.</w:t>
      </w:r>
      <w:r w:rsidR="00A25060" w:rsidRPr="00840393">
        <w:rPr>
          <w:b/>
        </w:rPr>
        <w:t xml:space="preserve"> 5</w:t>
      </w:r>
      <w:r w:rsidRPr="00840393">
        <w:t xml:space="preserve"> Isotherms of DVG before </w:t>
      </w:r>
      <w:r w:rsidR="005F067D">
        <w:t>integration</w:t>
      </w:r>
      <w:r w:rsidR="005B161F" w:rsidRPr="00840393">
        <w:t xml:space="preserve"> with the third glass sheet </w:t>
      </w:r>
      <w:r w:rsidR="005F067D">
        <w:t>of</w:t>
      </w:r>
      <w:r w:rsidR="005B161F" w:rsidRPr="00840393">
        <w:t xml:space="preserve"> a HVG.</w:t>
      </w:r>
    </w:p>
    <w:p w:rsidR="00345FF0" w:rsidRPr="00840393" w:rsidRDefault="00345FF0" w:rsidP="00840393">
      <w:r w:rsidRPr="00840393">
        <w:t xml:space="preserve"> </w:t>
      </w:r>
    </w:p>
    <w:p w:rsidR="00A66837" w:rsidRPr="00840393" w:rsidRDefault="00981AF7" w:rsidP="00840393">
      <w:pPr>
        <w:rPr>
          <w:b/>
        </w:rPr>
      </w:pPr>
      <w:r w:rsidRPr="00840393">
        <w:rPr>
          <w:b/>
        </w:rPr>
        <w:t>4</w:t>
      </w:r>
      <w:r w:rsidR="00A66837" w:rsidRPr="00840393">
        <w:rPr>
          <w:b/>
        </w:rPr>
        <w:t>. HVG sample fabrication and characterization</w:t>
      </w:r>
    </w:p>
    <w:p w:rsidR="00A66837" w:rsidRDefault="00A66837" w:rsidP="00840393">
      <w:r w:rsidRPr="00840393">
        <w:t xml:space="preserve">      A </w:t>
      </w:r>
      <w:r w:rsidR="005F067D">
        <w:t>DVG</w:t>
      </w:r>
      <w:r w:rsidRPr="00840393">
        <w:t xml:space="preserve"> was fabricated using the pu</w:t>
      </w:r>
      <w:r w:rsidR="00E80315">
        <w:t xml:space="preserve">mp-out method </w:t>
      </w:r>
      <w:r w:rsidR="00B562B6">
        <w:t>[5]</w:t>
      </w:r>
      <w:r w:rsidR="000976F0">
        <w:t xml:space="preserve"> </w:t>
      </w:r>
      <w:r w:rsidR="004A31B3">
        <w:t xml:space="preserve">and </w:t>
      </w:r>
      <w:r w:rsidR="000976F0">
        <w:t>s</w:t>
      </w:r>
      <w:r w:rsidR="005F067D">
        <w:t>ubsequently t</w:t>
      </w:r>
      <w:r w:rsidRPr="00840393">
        <w:t>he thi</w:t>
      </w:r>
      <w:r w:rsidR="005F067D">
        <w:t>rd glass sheet was</w:t>
      </w:r>
      <w:r w:rsidRPr="00840393">
        <w:t xml:space="preserve"> added with the </w:t>
      </w:r>
      <w:r w:rsidR="00E80315">
        <w:t>edge spacer bar</w:t>
      </w:r>
      <w:r w:rsidRPr="00840393">
        <w:t xml:space="preserve"> as shown in Fig. 1. The parameters of the sample configuration are </w:t>
      </w:r>
      <w:r w:rsidR="009278EA">
        <w:t xml:space="preserve">the </w:t>
      </w:r>
      <w:r w:rsidRPr="00840393">
        <w:t xml:space="preserve">same as those detailed in </w:t>
      </w:r>
      <w:r w:rsidR="00E80315">
        <w:t>the first paragraph of section 2</w:t>
      </w:r>
      <w:r w:rsidRPr="00840393">
        <w:t xml:space="preserve">. The </w:t>
      </w:r>
      <w:r w:rsidR="00926B1F" w:rsidRPr="00840393">
        <w:t>DVG and HVG were</w:t>
      </w:r>
      <w:r w:rsidRPr="00840393">
        <w:t xml:space="preserve"> characterized using a guarded hot box calorimeter</w:t>
      </w:r>
      <w:r w:rsidR="009278EA">
        <w:t xml:space="preserve"> </w:t>
      </w:r>
      <w:r w:rsidRPr="00840393">
        <w:t xml:space="preserve">using </w:t>
      </w:r>
      <w:r w:rsidR="009278EA">
        <w:t xml:space="preserve">a </w:t>
      </w:r>
      <w:r w:rsidRPr="00840393">
        <w:t xml:space="preserve">vacuum gap setting </w:t>
      </w:r>
      <w:r w:rsidR="00926B1F" w:rsidRPr="00840393">
        <w:t>method</w:t>
      </w:r>
      <w:r w:rsidRPr="00840393">
        <w:t xml:space="preserve"> 1</w:t>
      </w:r>
      <w:r w:rsidR="00B06B58">
        <w:t>.</w:t>
      </w:r>
      <w:r w:rsidRPr="00840393">
        <w:t xml:space="preserve"> </w:t>
      </w:r>
      <w:r w:rsidR="00B06B58">
        <w:t>T</w:t>
      </w:r>
      <w:r w:rsidRPr="00840393">
        <w:t xml:space="preserve">he ambient conditions in the guarded hot box calorimeter are listed in Table 1. </w:t>
      </w:r>
      <w:r w:rsidR="00D55B05">
        <w:t xml:space="preserve">The method of determining the U-value is described elsewhere </w:t>
      </w:r>
      <w:r w:rsidR="00EB0D84">
        <w:t>[14]</w:t>
      </w:r>
      <w:r w:rsidR="00D55B05">
        <w:t>.</w:t>
      </w:r>
    </w:p>
    <w:p w:rsidR="00500501" w:rsidRDefault="00500501" w:rsidP="00500501">
      <w:r>
        <w:lastRenderedPageBreak/>
        <w:t xml:space="preserve">      </w:t>
      </w:r>
      <w:r w:rsidRPr="00840393">
        <w:t xml:space="preserve">The </w:t>
      </w:r>
      <w:r>
        <w:t xml:space="preserve">experimental determined </w:t>
      </w:r>
      <w:r w:rsidRPr="00840393">
        <w:t>U-value</w:t>
      </w:r>
      <w:r>
        <w:t xml:space="preserve">s of the HVG with a </w:t>
      </w:r>
      <w:r w:rsidRPr="00840393">
        <w:t>vacuum gap setting method</w:t>
      </w:r>
      <w:r>
        <w:t>s</w:t>
      </w:r>
      <w:r w:rsidRPr="00840393">
        <w:t xml:space="preserve"> 1</w:t>
      </w:r>
      <w:r>
        <w:t xml:space="preserve"> (as shown as HVG1) are</w:t>
      </w:r>
      <w:r w:rsidRPr="00840393">
        <w:t xml:space="preserve"> compared with the prediction</w:t>
      </w:r>
      <w:r>
        <w:t>s</w:t>
      </w:r>
      <w:r w:rsidRPr="00840393">
        <w:t xml:space="preserve"> in Table 2. </w:t>
      </w:r>
      <w:r>
        <w:t xml:space="preserve">The predicted U-values of the centre-of-glazing and total glazing areas of both HVG with a setting method 2 (as shown as HVG2) and TVG with two low-e coatings within the vacuum gap facing the indoor environment are presented in Table 2 for comparison.  </w:t>
      </w:r>
    </w:p>
    <w:p w:rsidR="009278EA" w:rsidRPr="00840393" w:rsidRDefault="009278EA" w:rsidP="00840393"/>
    <w:p w:rsidR="00A66837" w:rsidRDefault="00A66837" w:rsidP="00840393">
      <w:pPr>
        <w:rPr>
          <w:color w:val="000000"/>
        </w:rPr>
      </w:pPr>
      <w:r w:rsidRPr="00840393">
        <w:rPr>
          <w:b/>
          <w:color w:val="000000"/>
        </w:rPr>
        <w:t>Table 1</w:t>
      </w:r>
      <w:r w:rsidRPr="00840393">
        <w:rPr>
          <w:color w:val="000000"/>
        </w:rPr>
        <w:t xml:space="preserve"> Ambient condition</w:t>
      </w:r>
      <w:r w:rsidR="00330902" w:rsidRPr="00840393">
        <w:rPr>
          <w:color w:val="000000"/>
        </w:rPr>
        <w:t>s</w:t>
      </w:r>
      <w:r w:rsidRPr="00840393">
        <w:rPr>
          <w:color w:val="000000"/>
        </w:rPr>
        <w:t xml:space="preserve"> in the guarded hot box calorimeter and measured U-value</w:t>
      </w:r>
      <w:r w:rsidR="00330902" w:rsidRPr="00840393">
        <w:rPr>
          <w:color w:val="000000"/>
        </w:rPr>
        <w:t>s</w:t>
      </w:r>
      <w:r w:rsidRPr="00840393">
        <w:rPr>
          <w:color w:val="000000"/>
        </w:rPr>
        <w:t xml:space="preserve"> of </w:t>
      </w:r>
      <w:r w:rsidR="00330902" w:rsidRPr="00840393">
        <w:rPr>
          <w:color w:val="000000"/>
        </w:rPr>
        <w:t>DVG and H</w:t>
      </w:r>
      <w:r w:rsidRPr="00840393">
        <w:rPr>
          <w:color w:val="000000"/>
        </w:rPr>
        <w:t xml:space="preserve">VG </w:t>
      </w:r>
      <w:r w:rsidR="00330902" w:rsidRPr="00840393">
        <w:rPr>
          <w:color w:val="000000"/>
        </w:rPr>
        <w:t xml:space="preserve">with </w:t>
      </w:r>
      <w:r w:rsidR="009278EA">
        <w:rPr>
          <w:color w:val="000000"/>
        </w:rPr>
        <w:t xml:space="preserve">the </w:t>
      </w:r>
      <w:r w:rsidR="00330902" w:rsidRPr="00840393">
        <w:rPr>
          <w:color w:val="000000"/>
        </w:rPr>
        <w:t>vacuum gap setting method 1.</w:t>
      </w:r>
    </w:p>
    <w:p w:rsidR="006455D1" w:rsidRDefault="006455D1" w:rsidP="00840393">
      <w:pPr>
        <w:rPr>
          <w:color w:val="000000"/>
        </w:rPr>
      </w:pPr>
    </w:p>
    <w:tbl>
      <w:tblPr>
        <w:tblW w:w="4820" w:type="dxa"/>
        <w:tblInd w:w="144" w:type="dxa"/>
        <w:tblLayout w:type="fixed"/>
        <w:tblCellMar>
          <w:left w:w="0" w:type="dxa"/>
          <w:right w:w="0" w:type="dxa"/>
        </w:tblCellMar>
        <w:tblLook w:val="04A0"/>
      </w:tblPr>
      <w:tblGrid>
        <w:gridCol w:w="900"/>
        <w:gridCol w:w="720"/>
        <w:gridCol w:w="720"/>
        <w:gridCol w:w="1080"/>
        <w:gridCol w:w="1400"/>
      </w:tblGrid>
      <w:tr w:rsidR="00C77D3B" w:rsidRPr="007B3CFB" w:rsidTr="009B19CB">
        <w:trPr>
          <w:trHeight w:val="284"/>
        </w:trPr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D3B" w:rsidRPr="009B19CB" w:rsidRDefault="00C77D3B" w:rsidP="003A0AB7">
            <w:pPr>
              <w:jc w:val="center"/>
              <w:rPr>
                <w:color w:val="000000"/>
                <w:sz w:val="18"/>
                <w:szCs w:val="18"/>
              </w:rPr>
            </w:pPr>
            <w:r w:rsidRPr="009B19CB">
              <w:rPr>
                <w:color w:val="000000"/>
                <w:sz w:val="18"/>
                <w:szCs w:val="18"/>
                <w:lang w:val="en-GB"/>
              </w:rPr>
              <w:t>Sample type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D3B" w:rsidRPr="009B19CB" w:rsidRDefault="00C77D3B" w:rsidP="003A0AB7">
            <w:pPr>
              <w:jc w:val="center"/>
              <w:rPr>
                <w:color w:val="000000"/>
                <w:sz w:val="18"/>
                <w:szCs w:val="18"/>
              </w:rPr>
            </w:pPr>
            <w:r w:rsidRPr="009B19CB">
              <w:rPr>
                <w:color w:val="000000"/>
                <w:sz w:val="18"/>
                <w:szCs w:val="18"/>
              </w:rPr>
              <w:t>Air temperature (</w:t>
            </w:r>
            <w:r w:rsidRPr="009B19CB">
              <w:rPr>
                <w:color w:val="000000"/>
                <w:sz w:val="18"/>
                <w:szCs w:val="18"/>
                <w:vertAlign w:val="superscript"/>
              </w:rPr>
              <w:t>o</w:t>
            </w:r>
            <w:r w:rsidRPr="009B19CB">
              <w:rPr>
                <w:color w:val="000000"/>
                <w:sz w:val="18"/>
                <w:szCs w:val="18"/>
              </w:rPr>
              <w:t>C)</w:t>
            </w:r>
          </w:p>
        </w:tc>
        <w:tc>
          <w:tcPr>
            <w:tcW w:w="2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D3B" w:rsidRPr="009B19CB" w:rsidRDefault="00C77D3B" w:rsidP="003A0AB7">
            <w:pPr>
              <w:jc w:val="center"/>
              <w:rPr>
                <w:color w:val="000000"/>
                <w:sz w:val="18"/>
                <w:szCs w:val="18"/>
              </w:rPr>
            </w:pPr>
            <w:r w:rsidRPr="009B19CB">
              <w:rPr>
                <w:color w:val="000000"/>
                <w:sz w:val="18"/>
                <w:szCs w:val="18"/>
              </w:rPr>
              <w:t>Heat transfer coefficient at the sample surface (W.m</w:t>
            </w:r>
            <w:r w:rsidRPr="009B19CB">
              <w:rPr>
                <w:color w:val="000000"/>
                <w:sz w:val="18"/>
                <w:szCs w:val="18"/>
                <w:vertAlign w:val="superscript"/>
              </w:rPr>
              <w:t>-2</w:t>
            </w:r>
            <w:r w:rsidRPr="009B19CB">
              <w:rPr>
                <w:color w:val="000000"/>
                <w:sz w:val="18"/>
                <w:szCs w:val="18"/>
              </w:rPr>
              <w:t>.K</w:t>
            </w:r>
            <w:r w:rsidRPr="009B19CB">
              <w:rPr>
                <w:color w:val="000000"/>
                <w:sz w:val="18"/>
                <w:szCs w:val="18"/>
                <w:vertAlign w:val="superscript"/>
              </w:rPr>
              <w:t>-1</w:t>
            </w:r>
            <w:r w:rsidRPr="009B19CB">
              <w:rPr>
                <w:color w:val="000000"/>
                <w:sz w:val="18"/>
                <w:szCs w:val="18"/>
              </w:rPr>
              <w:t>)</w:t>
            </w:r>
          </w:p>
        </w:tc>
      </w:tr>
      <w:tr w:rsidR="00617D89" w:rsidRPr="007B3CFB" w:rsidTr="009B19CB">
        <w:trPr>
          <w:trHeight w:val="205"/>
        </w:trPr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7D3B" w:rsidRPr="009B19CB" w:rsidRDefault="00C77D3B" w:rsidP="003A0AB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D3B" w:rsidRPr="009B19CB" w:rsidRDefault="00C77D3B" w:rsidP="003A0AB7">
            <w:pPr>
              <w:jc w:val="center"/>
              <w:rPr>
                <w:color w:val="000000"/>
                <w:sz w:val="18"/>
                <w:szCs w:val="18"/>
              </w:rPr>
            </w:pPr>
            <w:r w:rsidRPr="009B19CB">
              <w:rPr>
                <w:color w:val="000000"/>
                <w:sz w:val="18"/>
                <w:szCs w:val="18"/>
              </w:rPr>
              <w:t>Hot box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D3B" w:rsidRPr="009B19CB" w:rsidRDefault="00C77D3B" w:rsidP="003A0AB7">
            <w:pPr>
              <w:jc w:val="center"/>
              <w:rPr>
                <w:color w:val="000000"/>
                <w:sz w:val="18"/>
                <w:szCs w:val="18"/>
              </w:rPr>
            </w:pPr>
            <w:r w:rsidRPr="009B19CB">
              <w:rPr>
                <w:color w:val="000000"/>
                <w:sz w:val="18"/>
                <w:szCs w:val="18"/>
                <w:lang w:val="en-GB"/>
              </w:rPr>
              <w:t>Cold box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D3B" w:rsidRPr="009B19CB" w:rsidRDefault="00C77D3B" w:rsidP="003A0AB7">
            <w:pPr>
              <w:jc w:val="center"/>
              <w:rPr>
                <w:color w:val="000000"/>
                <w:sz w:val="18"/>
                <w:szCs w:val="18"/>
              </w:rPr>
            </w:pPr>
            <w:r w:rsidRPr="009B19CB">
              <w:rPr>
                <w:color w:val="000000"/>
                <w:sz w:val="18"/>
                <w:szCs w:val="18"/>
              </w:rPr>
              <w:t>Hot box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D3B" w:rsidRPr="009B19CB" w:rsidRDefault="00C77D3B" w:rsidP="003A0AB7">
            <w:pPr>
              <w:jc w:val="center"/>
              <w:rPr>
                <w:color w:val="000000"/>
                <w:sz w:val="18"/>
                <w:szCs w:val="18"/>
              </w:rPr>
            </w:pPr>
            <w:r w:rsidRPr="009B19CB">
              <w:rPr>
                <w:color w:val="000000"/>
                <w:sz w:val="18"/>
                <w:szCs w:val="18"/>
                <w:lang w:val="en-GB"/>
              </w:rPr>
              <w:t>Cold box</w:t>
            </w:r>
          </w:p>
        </w:tc>
      </w:tr>
      <w:tr w:rsidR="00617D89" w:rsidRPr="007B3CFB" w:rsidTr="009B19CB">
        <w:trPr>
          <w:trHeight w:val="147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D3B" w:rsidRPr="009B19CB" w:rsidRDefault="00C77D3B" w:rsidP="003A0AB7">
            <w:pPr>
              <w:jc w:val="center"/>
              <w:rPr>
                <w:color w:val="000000"/>
                <w:sz w:val="18"/>
                <w:szCs w:val="18"/>
              </w:rPr>
            </w:pPr>
            <w:r w:rsidRPr="009B19CB">
              <w:rPr>
                <w:color w:val="000000"/>
                <w:sz w:val="18"/>
                <w:szCs w:val="18"/>
                <w:lang w:val="en-GB"/>
              </w:rPr>
              <w:t>DVG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D3B" w:rsidRPr="009B19CB" w:rsidRDefault="00C77D3B" w:rsidP="003A0AB7">
            <w:pPr>
              <w:jc w:val="center"/>
              <w:rPr>
                <w:color w:val="000000"/>
                <w:sz w:val="18"/>
                <w:szCs w:val="18"/>
              </w:rPr>
            </w:pPr>
            <w:r w:rsidRPr="009B19CB">
              <w:rPr>
                <w:color w:val="000000"/>
                <w:sz w:val="18"/>
                <w:szCs w:val="18"/>
              </w:rPr>
              <w:t>19.0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D3B" w:rsidRPr="009B19CB" w:rsidRDefault="00C77D3B" w:rsidP="003A0AB7">
            <w:pPr>
              <w:jc w:val="center"/>
              <w:rPr>
                <w:color w:val="000000"/>
                <w:sz w:val="18"/>
                <w:szCs w:val="18"/>
              </w:rPr>
            </w:pPr>
            <w:r w:rsidRPr="009B19CB">
              <w:rPr>
                <w:color w:val="000000"/>
                <w:sz w:val="18"/>
                <w:szCs w:val="18"/>
              </w:rPr>
              <w:t>-0.3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D3B" w:rsidRPr="009B19CB" w:rsidRDefault="00C77D3B" w:rsidP="003A0AB7">
            <w:pPr>
              <w:jc w:val="center"/>
              <w:rPr>
                <w:color w:val="000000"/>
                <w:sz w:val="18"/>
                <w:szCs w:val="18"/>
              </w:rPr>
            </w:pPr>
            <w:r w:rsidRPr="009B19CB">
              <w:rPr>
                <w:color w:val="000000"/>
                <w:sz w:val="18"/>
                <w:szCs w:val="18"/>
              </w:rPr>
              <w:t>5.79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D3B" w:rsidRPr="009B19CB" w:rsidRDefault="00C77D3B" w:rsidP="003A0AB7">
            <w:pPr>
              <w:jc w:val="center"/>
              <w:rPr>
                <w:color w:val="000000"/>
                <w:sz w:val="18"/>
                <w:szCs w:val="18"/>
              </w:rPr>
            </w:pPr>
            <w:r w:rsidRPr="009B19CB">
              <w:rPr>
                <w:color w:val="000000"/>
                <w:sz w:val="18"/>
                <w:szCs w:val="18"/>
              </w:rPr>
              <w:t>17.91</w:t>
            </w:r>
          </w:p>
        </w:tc>
      </w:tr>
      <w:tr w:rsidR="00617D89" w:rsidRPr="007B3CFB" w:rsidTr="009B19CB">
        <w:trPr>
          <w:trHeight w:val="148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D3B" w:rsidRPr="009B19CB" w:rsidRDefault="00C77D3B" w:rsidP="003A0AB7">
            <w:pPr>
              <w:jc w:val="center"/>
              <w:rPr>
                <w:color w:val="000000"/>
                <w:sz w:val="18"/>
                <w:szCs w:val="18"/>
              </w:rPr>
            </w:pPr>
            <w:r w:rsidRPr="009B19CB">
              <w:rPr>
                <w:color w:val="000000"/>
                <w:sz w:val="18"/>
                <w:szCs w:val="18"/>
                <w:lang w:val="en-GB"/>
              </w:rPr>
              <w:t>HVG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D3B" w:rsidRPr="009B19CB" w:rsidRDefault="00C77D3B" w:rsidP="003A0AB7">
            <w:pPr>
              <w:jc w:val="center"/>
              <w:rPr>
                <w:color w:val="000000"/>
                <w:sz w:val="18"/>
                <w:szCs w:val="18"/>
              </w:rPr>
            </w:pPr>
            <w:r w:rsidRPr="009B19CB">
              <w:rPr>
                <w:color w:val="000000"/>
                <w:sz w:val="18"/>
                <w:szCs w:val="18"/>
              </w:rPr>
              <w:t>18.8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D3B" w:rsidRPr="009B19CB" w:rsidRDefault="00C77D3B" w:rsidP="003A0AB7">
            <w:pPr>
              <w:jc w:val="center"/>
              <w:rPr>
                <w:color w:val="000000"/>
                <w:sz w:val="18"/>
                <w:szCs w:val="18"/>
              </w:rPr>
            </w:pPr>
            <w:r w:rsidRPr="009B19CB">
              <w:rPr>
                <w:color w:val="000000"/>
                <w:sz w:val="18"/>
                <w:szCs w:val="18"/>
              </w:rPr>
              <w:t>-0.3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D3B" w:rsidRPr="009B19CB" w:rsidRDefault="00C77D3B" w:rsidP="003A0AB7">
            <w:pPr>
              <w:jc w:val="center"/>
              <w:rPr>
                <w:color w:val="000000"/>
                <w:sz w:val="18"/>
                <w:szCs w:val="18"/>
              </w:rPr>
            </w:pPr>
            <w:r w:rsidRPr="009B19CB">
              <w:rPr>
                <w:color w:val="000000"/>
                <w:sz w:val="18"/>
                <w:szCs w:val="18"/>
              </w:rPr>
              <w:t>6.84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D3B" w:rsidRPr="009B19CB" w:rsidRDefault="00C77D3B" w:rsidP="003A0AB7">
            <w:pPr>
              <w:jc w:val="center"/>
              <w:rPr>
                <w:color w:val="000000"/>
                <w:sz w:val="18"/>
                <w:szCs w:val="18"/>
              </w:rPr>
            </w:pPr>
            <w:r w:rsidRPr="009B19CB">
              <w:rPr>
                <w:color w:val="000000"/>
                <w:sz w:val="18"/>
                <w:szCs w:val="18"/>
              </w:rPr>
              <w:t>18.63</w:t>
            </w:r>
          </w:p>
        </w:tc>
      </w:tr>
    </w:tbl>
    <w:p w:rsidR="00500501" w:rsidRDefault="00500501" w:rsidP="00840393">
      <w:pPr>
        <w:rPr>
          <w:b/>
        </w:rPr>
      </w:pPr>
    </w:p>
    <w:p w:rsidR="00605838" w:rsidRPr="00840393" w:rsidRDefault="00605838" w:rsidP="00840393">
      <w:r w:rsidRPr="00840393">
        <w:rPr>
          <w:b/>
        </w:rPr>
        <w:t xml:space="preserve">Table </w:t>
      </w:r>
      <w:r w:rsidR="00A66837" w:rsidRPr="00840393">
        <w:rPr>
          <w:b/>
        </w:rPr>
        <w:t>2</w:t>
      </w:r>
      <w:r w:rsidRPr="00840393">
        <w:t xml:space="preserve"> </w:t>
      </w:r>
      <w:r w:rsidR="001639B0" w:rsidRPr="00840393">
        <w:t>Comparison of the predicted and experimentally determined U-values of the HVG</w:t>
      </w:r>
      <w:r w:rsidR="0000550E">
        <w:t xml:space="preserve"> with </w:t>
      </w:r>
      <w:r w:rsidR="00035541">
        <w:t xml:space="preserve">the </w:t>
      </w:r>
      <w:r w:rsidR="0000550E">
        <w:t xml:space="preserve">vacuum gap </w:t>
      </w:r>
      <w:r w:rsidR="008E081B">
        <w:t>setting</w:t>
      </w:r>
      <w:r w:rsidR="00EB0D84">
        <w:t>s</w:t>
      </w:r>
      <w:r w:rsidR="008E081B">
        <w:t xml:space="preserve"> </w:t>
      </w:r>
      <w:r w:rsidR="001F756F">
        <w:t xml:space="preserve">of </w:t>
      </w:r>
      <w:r w:rsidR="008E081B">
        <w:t>method</w:t>
      </w:r>
      <w:r w:rsidR="00B875B1">
        <w:t xml:space="preserve"> 1 and </w:t>
      </w:r>
      <w:r w:rsidR="008E081B">
        <w:t xml:space="preserve">method </w:t>
      </w:r>
      <w:r w:rsidR="00A93EA7">
        <w:t>2</w:t>
      </w:r>
      <w:r w:rsidR="001639B0" w:rsidRPr="00840393">
        <w:t xml:space="preserve">. </w:t>
      </w:r>
      <w:r w:rsidR="001A3147" w:rsidRPr="00840393">
        <w:t xml:space="preserve">     </w:t>
      </w:r>
    </w:p>
    <w:p w:rsidR="00C77D3B" w:rsidRDefault="00C77D3B" w:rsidP="00840393"/>
    <w:tbl>
      <w:tblPr>
        <w:tblW w:w="4590" w:type="dxa"/>
        <w:tblInd w:w="2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14"/>
        <w:gridCol w:w="877"/>
        <w:gridCol w:w="877"/>
        <w:gridCol w:w="877"/>
        <w:gridCol w:w="945"/>
      </w:tblGrid>
      <w:tr w:rsidR="00C77D3B" w:rsidRPr="007B3CFB" w:rsidTr="003A0AB7">
        <w:trPr>
          <w:trHeight w:val="200"/>
        </w:trPr>
        <w:tc>
          <w:tcPr>
            <w:tcW w:w="10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D3B" w:rsidRPr="009B19CB" w:rsidRDefault="00C77D3B" w:rsidP="003A0AB7">
            <w:pPr>
              <w:jc w:val="center"/>
              <w:rPr>
                <w:sz w:val="18"/>
                <w:szCs w:val="18"/>
              </w:rPr>
            </w:pPr>
            <w:r w:rsidRPr="009B19CB">
              <w:rPr>
                <w:sz w:val="18"/>
                <w:szCs w:val="18"/>
              </w:rPr>
              <w:t>DVG &amp; HVG</w:t>
            </w:r>
          </w:p>
        </w:tc>
        <w:tc>
          <w:tcPr>
            <w:tcW w:w="17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D3B" w:rsidRPr="009B19CB" w:rsidRDefault="00C77D3B" w:rsidP="003A0AB7">
            <w:pPr>
              <w:jc w:val="center"/>
              <w:rPr>
                <w:sz w:val="18"/>
                <w:szCs w:val="18"/>
              </w:rPr>
            </w:pPr>
            <w:r w:rsidRPr="009B19CB">
              <w:rPr>
                <w:sz w:val="18"/>
                <w:szCs w:val="18"/>
              </w:rPr>
              <w:t>Predicted U-value</w:t>
            </w:r>
          </w:p>
          <w:p w:rsidR="00C77D3B" w:rsidRPr="009B19CB" w:rsidRDefault="00C77D3B" w:rsidP="003A0AB7">
            <w:pPr>
              <w:jc w:val="center"/>
              <w:rPr>
                <w:sz w:val="18"/>
                <w:szCs w:val="18"/>
              </w:rPr>
            </w:pPr>
            <w:r w:rsidRPr="009B19CB">
              <w:rPr>
                <w:sz w:val="18"/>
                <w:szCs w:val="18"/>
              </w:rPr>
              <w:t>(W.m</w:t>
            </w:r>
            <w:r w:rsidRPr="009B19CB">
              <w:rPr>
                <w:sz w:val="18"/>
                <w:szCs w:val="18"/>
                <w:vertAlign w:val="superscript"/>
              </w:rPr>
              <w:t>-2</w:t>
            </w:r>
            <w:r w:rsidRPr="009B19CB">
              <w:rPr>
                <w:sz w:val="18"/>
                <w:szCs w:val="18"/>
              </w:rPr>
              <w:t>.K</w:t>
            </w:r>
            <w:r w:rsidRPr="009B19CB">
              <w:rPr>
                <w:sz w:val="18"/>
                <w:szCs w:val="18"/>
                <w:vertAlign w:val="superscript"/>
              </w:rPr>
              <w:t>-1</w:t>
            </w:r>
            <w:r w:rsidRPr="009B19CB">
              <w:rPr>
                <w:sz w:val="18"/>
                <w:szCs w:val="18"/>
              </w:rPr>
              <w:t>)</w:t>
            </w:r>
          </w:p>
        </w:tc>
        <w:tc>
          <w:tcPr>
            <w:tcW w:w="1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D3B" w:rsidRPr="009B19CB" w:rsidRDefault="00C77D3B" w:rsidP="003A0AB7">
            <w:pPr>
              <w:jc w:val="center"/>
              <w:rPr>
                <w:sz w:val="18"/>
                <w:szCs w:val="18"/>
              </w:rPr>
            </w:pPr>
            <w:r w:rsidRPr="009B19CB">
              <w:rPr>
                <w:sz w:val="18"/>
                <w:szCs w:val="18"/>
              </w:rPr>
              <w:t>Measured U-value</w:t>
            </w:r>
          </w:p>
          <w:p w:rsidR="00C77D3B" w:rsidRPr="009B19CB" w:rsidRDefault="00C77D3B" w:rsidP="003A0AB7">
            <w:pPr>
              <w:jc w:val="center"/>
              <w:rPr>
                <w:sz w:val="18"/>
                <w:szCs w:val="18"/>
              </w:rPr>
            </w:pPr>
            <w:r w:rsidRPr="009B19CB">
              <w:rPr>
                <w:sz w:val="18"/>
                <w:szCs w:val="18"/>
              </w:rPr>
              <w:t>(W.m</w:t>
            </w:r>
            <w:r w:rsidRPr="009B19CB">
              <w:rPr>
                <w:sz w:val="18"/>
                <w:szCs w:val="18"/>
                <w:vertAlign w:val="superscript"/>
              </w:rPr>
              <w:t>-2</w:t>
            </w:r>
            <w:r w:rsidRPr="009B19CB">
              <w:rPr>
                <w:sz w:val="18"/>
                <w:szCs w:val="18"/>
              </w:rPr>
              <w:t>.K</w:t>
            </w:r>
            <w:r w:rsidRPr="009B19CB">
              <w:rPr>
                <w:sz w:val="18"/>
                <w:szCs w:val="18"/>
                <w:vertAlign w:val="superscript"/>
              </w:rPr>
              <w:t>-1</w:t>
            </w:r>
            <w:r w:rsidRPr="009B19CB">
              <w:rPr>
                <w:sz w:val="18"/>
                <w:szCs w:val="18"/>
              </w:rPr>
              <w:t>)</w:t>
            </w:r>
          </w:p>
        </w:tc>
      </w:tr>
      <w:tr w:rsidR="00D53BF6" w:rsidRPr="007B3CFB" w:rsidTr="003A0AB7">
        <w:trPr>
          <w:trHeight w:val="169"/>
        </w:trPr>
        <w:tc>
          <w:tcPr>
            <w:tcW w:w="10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3BF6" w:rsidRPr="009B19CB" w:rsidRDefault="00D53BF6" w:rsidP="003A0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3BF6" w:rsidRPr="009B19CB" w:rsidRDefault="00D53BF6" w:rsidP="007B3C2A">
            <w:pPr>
              <w:jc w:val="center"/>
              <w:rPr>
                <w:sz w:val="18"/>
                <w:szCs w:val="18"/>
              </w:rPr>
            </w:pPr>
            <w:r w:rsidRPr="009B19CB">
              <w:rPr>
                <w:sz w:val="18"/>
                <w:szCs w:val="18"/>
              </w:rPr>
              <w:t>Central glazing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3BF6" w:rsidRPr="009B19CB" w:rsidRDefault="00D53BF6" w:rsidP="003A0AB7">
            <w:pPr>
              <w:jc w:val="center"/>
              <w:rPr>
                <w:sz w:val="18"/>
                <w:szCs w:val="18"/>
              </w:rPr>
            </w:pPr>
            <w:r w:rsidRPr="009B19CB">
              <w:rPr>
                <w:sz w:val="18"/>
                <w:szCs w:val="18"/>
              </w:rPr>
              <w:t>Total glazing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3BF6" w:rsidRPr="009B19CB" w:rsidRDefault="00D53BF6" w:rsidP="007B3C2A">
            <w:pPr>
              <w:jc w:val="center"/>
              <w:rPr>
                <w:sz w:val="18"/>
                <w:szCs w:val="18"/>
              </w:rPr>
            </w:pPr>
            <w:r w:rsidRPr="009B19CB">
              <w:rPr>
                <w:sz w:val="18"/>
                <w:szCs w:val="18"/>
              </w:rPr>
              <w:t>Central glazing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3BF6" w:rsidRPr="009B19CB" w:rsidRDefault="00D53BF6" w:rsidP="003A0AB7">
            <w:pPr>
              <w:jc w:val="center"/>
              <w:rPr>
                <w:sz w:val="18"/>
                <w:szCs w:val="18"/>
              </w:rPr>
            </w:pPr>
            <w:r w:rsidRPr="009B19CB">
              <w:rPr>
                <w:sz w:val="18"/>
                <w:szCs w:val="18"/>
              </w:rPr>
              <w:t xml:space="preserve">Total glazing </w:t>
            </w:r>
          </w:p>
        </w:tc>
      </w:tr>
      <w:tr w:rsidR="00D53BF6" w:rsidRPr="007B3CFB" w:rsidTr="003A0AB7">
        <w:trPr>
          <w:trHeight w:val="136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3BF6" w:rsidRPr="009B19CB" w:rsidRDefault="00D53BF6" w:rsidP="003A0AB7">
            <w:pPr>
              <w:jc w:val="center"/>
              <w:rPr>
                <w:sz w:val="18"/>
                <w:szCs w:val="18"/>
              </w:rPr>
            </w:pPr>
            <w:r w:rsidRPr="009B19CB">
              <w:rPr>
                <w:sz w:val="18"/>
                <w:szCs w:val="18"/>
                <w:lang w:val="en-GB"/>
              </w:rPr>
              <w:t>DVG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3BF6" w:rsidRPr="009B19CB" w:rsidRDefault="00D53BF6" w:rsidP="007B3C2A">
            <w:pPr>
              <w:jc w:val="center"/>
              <w:rPr>
                <w:sz w:val="18"/>
                <w:szCs w:val="18"/>
              </w:rPr>
            </w:pPr>
            <w:r w:rsidRPr="009B19CB">
              <w:rPr>
                <w:sz w:val="18"/>
                <w:szCs w:val="18"/>
              </w:rPr>
              <w:t>0.85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3BF6" w:rsidRPr="009B19CB" w:rsidRDefault="00D53BF6" w:rsidP="003A0AB7">
            <w:pPr>
              <w:jc w:val="center"/>
              <w:rPr>
                <w:sz w:val="18"/>
                <w:szCs w:val="18"/>
              </w:rPr>
            </w:pPr>
            <w:r w:rsidRPr="009B19CB">
              <w:rPr>
                <w:sz w:val="18"/>
                <w:szCs w:val="18"/>
              </w:rPr>
              <w:t>1.05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3BF6" w:rsidRPr="009B19CB" w:rsidRDefault="00D53BF6" w:rsidP="007B3C2A">
            <w:pPr>
              <w:jc w:val="center"/>
              <w:rPr>
                <w:sz w:val="18"/>
                <w:szCs w:val="18"/>
              </w:rPr>
            </w:pPr>
            <w:r w:rsidRPr="009B19CB">
              <w:rPr>
                <w:sz w:val="18"/>
                <w:szCs w:val="18"/>
              </w:rPr>
              <w:t>0.86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3BF6" w:rsidRPr="009B19CB" w:rsidRDefault="00D53BF6" w:rsidP="003A0AB7">
            <w:pPr>
              <w:jc w:val="center"/>
              <w:rPr>
                <w:sz w:val="18"/>
                <w:szCs w:val="18"/>
              </w:rPr>
            </w:pPr>
            <w:r w:rsidRPr="009B19CB">
              <w:rPr>
                <w:sz w:val="18"/>
                <w:szCs w:val="18"/>
              </w:rPr>
              <w:t>1.10</w:t>
            </w:r>
          </w:p>
        </w:tc>
      </w:tr>
      <w:tr w:rsidR="00D53BF6" w:rsidRPr="007B3CFB" w:rsidTr="003A0AB7">
        <w:trPr>
          <w:trHeight w:val="169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3BF6" w:rsidRPr="009B19CB" w:rsidRDefault="00D53BF6" w:rsidP="003A0AB7">
            <w:pPr>
              <w:jc w:val="center"/>
              <w:rPr>
                <w:sz w:val="18"/>
                <w:szCs w:val="18"/>
              </w:rPr>
            </w:pPr>
            <w:r w:rsidRPr="009B19CB">
              <w:rPr>
                <w:sz w:val="18"/>
                <w:szCs w:val="18"/>
                <w:lang w:val="en-GB"/>
              </w:rPr>
              <w:t>HVG 1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3BF6" w:rsidRPr="009B19CB" w:rsidRDefault="00D53BF6" w:rsidP="007B3C2A">
            <w:pPr>
              <w:jc w:val="center"/>
              <w:rPr>
                <w:sz w:val="18"/>
                <w:szCs w:val="18"/>
              </w:rPr>
            </w:pPr>
            <w:r w:rsidRPr="009B19CB">
              <w:rPr>
                <w:sz w:val="18"/>
                <w:szCs w:val="18"/>
              </w:rPr>
              <w:t>0.64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3BF6" w:rsidRPr="009B19CB" w:rsidRDefault="00D53BF6" w:rsidP="003A0AB7">
            <w:pPr>
              <w:jc w:val="center"/>
              <w:rPr>
                <w:sz w:val="18"/>
                <w:szCs w:val="18"/>
              </w:rPr>
            </w:pPr>
            <w:r w:rsidRPr="009B19CB">
              <w:rPr>
                <w:sz w:val="18"/>
                <w:szCs w:val="18"/>
              </w:rPr>
              <w:t>0.90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3BF6" w:rsidRPr="009B19CB" w:rsidRDefault="00D53BF6" w:rsidP="007B3C2A">
            <w:pPr>
              <w:jc w:val="center"/>
              <w:rPr>
                <w:sz w:val="18"/>
                <w:szCs w:val="18"/>
              </w:rPr>
            </w:pPr>
            <w:r w:rsidRPr="009B19CB">
              <w:rPr>
                <w:sz w:val="18"/>
                <w:szCs w:val="18"/>
              </w:rPr>
              <w:t>0.66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3BF6" w:rsidRPr="009B19CB" w:rsidRDefault="00D53BF6" w:rsidP="003A0AB7">
            <w:pPr>
              <w:jc w:val="center"/>
              <w:rPr>
                <w:sz w:val="18"/>
                <w:szCs w:val="18"/>
              </w:rPr>
            </w:pPr>
            <w:r w:rsidRPr="009B19CB">
              <w:rPr>
                <w:sz w:val="18"/>
                <w:szCs w:val="18"/>
              </w:rPr>
              <w:t>0.91</w:t>
            </w:r>
          </w:p>
        </w:tc>
      </w:tr>
      <w:tr w:rsidR="00D53BF6" w:rsidRPr="007B3CFB" w:rsidTr="003A0AB7">
        <w:trPr>
          <w:trHeight w:val="169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3BF6" w:rsidRPr="009B19CB" w:rsidRDefault="00D53BF6" w:rsidP="003A0AB7">
            <w:pPr>
              <w:jc w:val="center"/>
              <w:rPr>
                <w:sz w:val="18"/>
                <w:szCs w:val="18"/>
              </w:rPr>
            </w:pPr>
            <w:r w:rsidRPr="009B19CB">
              <w:rPr>
                <w:sz w:val="18"/>
                <w:szCs w:val="18"/>
                <w:lang w:val="en-GB"/>
              </w:rPr>
              <w:t>HVG 2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3BF6" w:rsidRPr="009B19CB" w:rsidRDefault="00D53BF6" w:rsidP="007B3C2A">
            <w:pPr>
              <w:jc w:val="center"/>
              <w:rPr>
                <w:sz w:val="18"/>
                <w:szCs w:val="18"/>
              </w:rPr>
            </w:pPr>
            <w:r w:rsidRPr="009B19CB">
              <w:rPr>
                <w:sz w:val="18"/>
                <w:szCs w:val="18"/>
                <w:lang w:val="en-GB"/>
              </w:rPr>
              <w:t>0.77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3BF6" w:rsidRPr="009B19CB" w:rsidRDefault="00D53BF6" w:rsidP="003A0AB7">
            <w:pPr>
              <w:jc w:val="center"/>
              <w:rPr>
                <w:sz w:val="18"/>
                <w:szCs w:val="18"/>
              </w:rPr>
            </w:pPr>
            <w:r w:rsidRPr="009B19CB">
              <w:rPr>
                <w:sz w:val="18"/>
                <w:szCs w:val="18"/>
              </w:rPr>
              <w:t>0.98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3BF6" w:rsidRPr="009B19CB" w:rsidRDefault="00D53BF6" w:rsidP="003A0AB7">
            <w:pPr>
              <w:jc w:val="center"/>
              <w:rPr>
                <w:sz w:val="18"/>
                <w:szCs w:val="18"/>
              </w:rPr>
            </w:pPr>
            <w:r w:rsidRPr="009B19CB"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3BF6" w:rsidRPr="009B19CB" w:rsidRDefault="00D53BF6" w:rsidP="003A0AB7">
            <w:pPr>
              <w:jc w:val="center"/>
              <w:rPr>
                <w:sz w:val="18"/>
                <w:szCs w:val="18"/>
              </w:rPr>
            </w:pPr>
            <w:r w:rsidRPr="009B19CB">
              <w:rPr>
                <w:sz w:val="18"/>
                <w:szCs w:val="18"/>
                <w:lang w:val="en-GB"/>
              </w:rPr>
              <w:t>-</w:t>
            </w:r>
          </w:p>
        </w:tc>
      </w:tr>
      <w:tr w:rsidR="00D53BF6" w:rsidRPr="007B3CFB" w:rsidTr="003A0AB7">
        <w:trPr>
          <w:trHeight w:val="169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3BF6" w:rsidRPr="009B19CB" w:rsidRDefault="00D53BF6" w:rsidP="003A0AB7">
            <w:pPr>
              <w:jc w:val="center"/>
              <w:rPr>
                <w:sz w:val="18"/>
                <w:szCs w:val="18"/>
                <w:lang w:val="en-GB"/>
              </w:rPr>
            </w:pPr>
            <w:r w:rsidRPr="009B19CB">
              <w:rPr>
                <w:sz w:val="18"/>
                <w:szCs w:val="18"/>
                <w:lang w:val="en-GB"/>
              </w:rPr>
              <w:t>TVG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3BF6" w:rsidRPr="009B19CB" w:rsidRDefault="00D53BF6" w:rsidP="007B3C2A">
            <w:pPr>
              <w:jc w:val="center"/>
              <w:rPr>
                <w:sz w:val="18"/>
                <w:szCs w:val="18"/>
                <w:lang w:val="en-GB"/>
              </w:rPr>
            </w:pPr>
            <w:r w:rsidRPr="009B19CB">
              <w:rPr>
                <w:sz w:val="18"/>
                <w:szCs w:val="18"/>
                <w:lang w:val="en-GB"/>
              </w:rPr>
              <w:t>0.57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3BF6" w:rsidRPr="009B19CB" w:rsidRDefault="00D53BF6" w:rsidP="003A0AB7">
            <w:pPr>
              <w:jc w:val="center"/>
              <w:rPr>
                <w:sz w:val="18"/>
                <w:szCs w:val="18"/>
                <w:lang w:val="en-GB"/>
              </w:rPr>
            </w:pPr>
            <w:r w:rsidRPr="009B19CB">
              <w:rPr>
                <w:sz w:val="18"/>
                <w:szCs w:val="18"/>
                <w:lang w:val="en-GB"/>
              </w:rPr>
              <w:t>0.99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3BF6" w:rsidRPr="009B19CB" w:rsidRDefault="00D53BF6" w:rsidP="00E91DD8">
            <w:pPr>
              <w:jc w:val="center"/>
              <w:rPr>
                <w:sz w:val="18"/>
                <w:szCs w:val="18"/>
              </w:rPr>
            </w:pPr>
            <w:r w:rsidRPr="009B19CB"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3BF6" w:rsidRPr="009B19CB" w:rsidRDefault="00D53BF6" w:rsidP="00E91DD8">
            <w:pPr>
              <w:jc w:val="center"/>
              <w:rPr>
                <w:sz w:val="18"/>
                <w:szCs w:val="18"/>
              </w:rPr>
            </w:pPr>
            <w:r w:rsidRPr="009B19CB">
              <w:rPr>
                <w:sz w:val="18"/>
                <w:szCs w:val="18"/>
                <w:lang w:val="en-GB"/>
              </w:rPr>
              <w:t>-</w:t>
            </w:r>
          </w:p>
        </w:tc>
      </w:tr>
    </w:tbl>
    <w:p w:rsidR="00C77D3B" w:rsidRDefault="00C77D3B" w:rsidP="00840393"/>
    <w:p w:rsidR="007F4B68" w:rsidRDefault="00791142" w:rsidP="00840393">
      <w:r w:rsidRPr="00840393">
        <w:t xml:space="preserve">       </w:t>
      </w:r>
      <w:r w:rsidR="001639B0" w:rsidRPr="00840393">
        <w:t>It can be seen</w:t>
      </w:r>
      <w:r w:rsidR="006455D1">
        <w:t xml:space="preserve"> from Table 2</w:t>
      </w:r>
      <w:r w:rsidR="001639B0" w:rsidRPr="00840393">
        <w:t xml:space="preserve"> that the experimentally determined U-value</w:t>
      </w:r>
      <w:r w:rsidR="002369D3" w:rsidRPr="00840393">
        <w:t>s of the centre-of-glazing and total glazing areas</w:t>
      </w:r>
      <w:r w:rsidR="001639B0" w:rsidRPr="00840393">
        <w:t xml:space="preserve"> of </w:t>
      </w:r>
      <w:r w:rsidR="002369D3" w:rsidRPr="00840393">
        <w:t xml:space="preserve">the </w:t>
      </w:r>
      <w:r w:rsidR="001639B0" w:rsidRPr="00840393">
        <w:t>HVG are in very good agreement with the simulation results</w:t>
      </w:r>
      <w:r w:rsidR="002369D3" w:rsidRPr="00840393">
        <w:t xml:space="preserve"> with deviations </w:t>
      </w:r>
      <w:r w:rsidR="00E80315">
        <w:t xml:space="preserve">of </w:t>
      </w:r>
      <w:r w:rsidR="00350536">
        <w:t>less than 3.1</w:t>
      </w:r>
      <w:r w:rsidRPr="00840393">
        <w:t>%</w:t>
      </w:r>
      <w:r w:rsidR="001639B0" w:rsidRPr="00840393">
        <w:t>. For 0.4 m by 0.4 m HVG</w:t>
      </w:r>
      <w:r w:rsidR="00456817" w:rsidRPr="00840393">
        <w:t xml:space="preserve"> with</w:t>
      </w:r>
      <w:r w:rsidR="00865EC8">
        <w:t xml:space="preserve"> a</w:t>
      </w:r>
      <w:r w:rsidR="00456817" w:rsidRPr="00840393">
        <w:t xml:space="preserve"> vacuum gap </w:t>
      </w:r>
      <w:r w:rsidRPr="00840393">
        <w:t>setting</w:t>
      </w:r>
      <w:r w:rsidR="00865EC8">
        <w:t xml:space="preserve"> of</w:t>
      </w:r>
      <w:r w:rsidRPr="00840393">
        <w:t xml:space="preserve"> </w:t>
      </w:r>
      <w:r w:rsidR="00926B1F" w:rsidRPr="00840393">
        <w:t>method</w:t>
      </w:r>
      <w:r w:rsidRPr="00840393">
        <w:t xml:space="preserve"> 1</w:t>
      </w:r>
      <w:r w:rsidR="001639B0" w:rsidRPr="00840393">
        <w:t xml:space="preserve">, </w:t>
      </w:r>
      <w:r w:rsidR="00456817" w:rsidRPr="00840393">
        <w:t xml:space="preserve">the U-value </w:t>
      </w:r>
      <w:r w:rsidR="00865EC8">
        <w:t>at</w:t>
      </w:r>
      <w:r w:rsidR="00456817" w:rsidRPr="00840393">
        <w:t xml:space="preserve"> the centre-of-glazing and total glazing areas are lower than that of the DVG </w:t>
      </w:r>
      <w:r w:rsidR="007F4B68" w:rsidRPr="00840393">
        <w:t>b</w:t>
      </w:r>
      <w:r w:rsidR="00456817" w:rsidRPr="00840393">
        <w:t xml:space="preserve">y </w:t>
      </w:r>
      <w:r w:rsidR="002369D3" w:rsidRPr="00840393">
        <w:t>0.21</w:t>
      </w:r>
      <w:r w:rsidR="00456817" w:rsidRPr="00840393">
        <w:t xml:space="preserve"> and </w:t>
      </w:r>
      <w:r w:rsidR="007F4B68" w:rsidRPr="00840393">
        <w:t xml:space="preserve">0.15 </w:t>
      </w:r>
      <w:r w:rsidR="00EB0D84">
        <w:t xml:space="preserve"> </w:t>
      </w:r>
      <w:r w:rsidR="007F4B68" w:rsidRPr="00840393">
        <w:t>W.m</w:t>
      </w:r>
      <w:r w:rsidR="007F4B68" w:rsidRPr="00840393">
        <w:rPr>
          <w:vertAlign w:val="superscript"/>
        </w:rPr>
        <w:t>-2</w:t>
      </w:r>
      <w:r w:rsidR="007F4B68" w:rsidRPr="00840393">
        <w:t>.K</w:t>
      </w:r>
      <w:r w:rsidR="007F4B68" w:rsidRPr="00840393">
        <w:rPr>
          <w:vertAlign w:val="superscript"/>
        </w:rPr>
        <w:t>-1</w:t>
      </w:r>
      <w:r w:rsidR="00456817" w:rsidRPr="00840393">
        <w:t xml:space="preserve"> respectively. This is </w:t>
      </w:r>
      <w:r w:rsidR="00865EC8">
        <w:t>another advantage of</w:t>
      </w:r>
      <w:r w:rsidR="00456817" w:rsidRPr="00840393">
        <w:t xml:space="preserve"> HVG </w:t>
      </w:r>
      <w:r w:rsidR="00E80315">
        <w:t>against</w:t>
      </w:r>
      <w:r w:rsidR="00456817" w:rsidRPr="00840393">
        <w:t xml:space="preserve"> DVG. </w:t>
      </w:r>
      <w:r w:rsidR="00865EC8">
        <w:t>In comparison with TVG,</w:t>
      </w:r>
      <w:r w:rsidR="001A3147">
        <w:t xml:space="preserve"> it can be seen that </w:t>
      </w:r>
      <w:r w:rsidR="00053569">
        <w:t xml:space="preserve">although the U-value of </w:t>
      </w:r>
      <w:r w:rsidR="00865EC8">
        <w:t xml:space="preserve">the </w:t>
      </w:r>
      <w:r w:rsidR="00053569">
        <w:t xml:space="preserve">centre-of-glazing area of TVG is lower than that of HVG, the U-value of the total glazing area of the TVG is higher than that of HVG. </w:t>
      </w:r>
      <w:r w:rsidR="00865EC8">
        <w:t xml:space="preserve">This is due to higher rate of heat conduction through the edge seal of TVG compared to DVG. </w:t>
      </w:r>
    </w:p>
    <w:p w:rsidR="004B3638" w:rsidRPr="00840393" w:rsidRDefault="007F4B68" w:rsidP="00840393">
      <w:r w:rsidRPr="00840393">
        <w:t xml:space="preserve">       </w:t>
      </w:r>
      <w:r w:rsidR="00456817" w:rsidRPr="00840393">
        <w:t xml:space="preserve">For </w:t>
      </w:r>
      <w:r w:rsidR="00865EC8">
        <w:t xml:space="preserve">a </w:t>
      </w:r>
      <w:r w:rsidR="00456817" w:rsidRPr="00840393">
        <w:t>0.4 m by 0.4 m HVG with</w:t>
      </w:r>
      <w:r w:rsidR="00865EC8">
        <w:t xml:space="preserve"> a</w:t>
      </w:r>
      <w:r w:rsidR="00456817" w:rsidRPr="00840393">
        <w:t xml:space="preserve"> vacuum gap </w:t>
      </w:r>
      <w:r w:rsidRPr="00840393">
        <w:t xml:space="preserve">setting </w:t>
      </w:r>
      <w:r w:rsidR="00926B1F" w:rsidRPr="00840393">
        <w:t>method</w:t>
      </w:r>
      <w:r w:rsidRPr="00840393">
        <w:t xml:space="preserve"> 2</w:t>
      </w:r>
      <w:r w:rsidR="00865EC8">
        <w:t>, its</w:t>
      </w:r>
      <w:r w:rsidR="00456817" w:rsidRPr="00840393">
        <w:t xml:space="preserve"> U-value</w:t>
      </w:r>
      <w:r w:rsidR="00865EC8">
        <w:t>s at</w:t>
      </w:r>
      <w:r w:rsidR="00456817" w:rsidRPr="00840393">
        <w:t xml:space="preserve"> the centre-of-glazing and total glazing areas are </w:t>
      </w:r>
      <w:r w:rsidR="00202FEF">
        <w:t xml:space="preserve">0.13 </w:t>
      </w:r>
      <w:r w:rsidR="00865EC8" w:rsidRPr="00840393">
        <w:t>and 0.08 W.m</w:t>
      </w:r>
      <w:r w:rsidR="00865EC8" w:rsidRPr="00840393">
        <w:rPr>
          <w:vertAlign w:val="superscript"/>
        </w:rPr>
        <w:t>-2</w:t>
      </w:r>
      <w:r w:rsidR="00865EC8" w:rsidRPr="00840393">
        <w:t>.K</w:t>
      </w:r>
      <w:r w:rsidR="00865EC8" w:rsidRPr="00840393">
        <w:rPr>
          <w:vertAlign w:val="superscript"/>
        </w:rPr>
        <w:t>-1</w:t>
      </w:r>
      <w:r w:rsidR="00865EC8" w:rsidRPr="00840393">
        <w:t xml:space="preserve"> </w:t>
      </w:r>
      <w:r w:rsidR="00456817" w:rsidRPr="00840393">
        <w:t>higher than those of the HVG with</w:t>
      </w:r>
      <w:r w:rsidR="00865EC8">
        <w:t xml:space="preserve"> a</w:t>
      </w:r>
      <w:r w:rsidR="00456817" w:rsidRPr="00840393">
        <w:t xml:space="preserve"> vacuum gap </w:t>
      </w:r>
      <w:r w:rsidRPr="00840393">
        <w:t xml:space="preserve">setting </w:t>
      </w:r>
      <w:r w:rsidR="00926B1F" w:rsidRPr="00840393">
        <w:t>method</w:t>
      </w:r>
      <w:r w:rsidRPr="00840393">
        <w:t xml:space="preserve"> 1</w:t>
      </w:r>
      <w:r w:rsidR="00FC0718" w:rsidRPr="00840393">
        <w:t xml:space="preserve">. </w:t>
      </w:r>
      <w:r w:rsidR="00E0646E" w:rsidRPr="00840393">
        <w:t>W</w:t>
      </w:r>
      <w:r w:rsidRPr="00840393">
        <w:t>ith</w:t>
      </w:r>
      <w:r w:rsidR="00865EC8">
        <w:t xml:space="preserve"> a</w:t>
      </w:r>
      <w:r w:rsidRPr="00840393">
        <w:t xml:space="preserve"> </w:t>
      </w:r>
      <w:r w:rsidR="000E58D7" w:rsidRPr="00840393">
        <w:t>vacuum gap set</w:t>
      </w:r>
      <w:r w:rsidRPr="00840393">
        <w:t xml:space="preserve">ting </w:t>
      </w:r>
      <w:r w:rsidR="00926B1F" w:rsidRPr="00840393">
        <w:t>method</w:t>
      </w:r>
      <w:r w:rsidRPr="00840393">
        <w:t xml:space="preserve"> 2</w:t>
      </w:r>
      <w:r w:rsidR="000E58D7" w:rsidRPr="00840393">
        <w:t xml:space="preserve">, heat </w:t>
      </w:r>
      <w:r w:rsidR="00E0646E" w:rsidRPr="00840393">
        <w:t xml:space="preserve">is transferred from the </w:t>
      </w:r>
      <w:r w:rsidR="00E0646E" w:rsidRPr="00840393">
        <w:lastRenderedPageBreak/>
        <w:t xml:space="preserve">indoor environment </w:t>
      </w:r>
      <w:r w:rsidR="000E58D7" w:rsidRPr="00840393">
        <w:t>across the air gap to the middle sheet of glass</w:t>
      </w:r>
      <w:r w:rsidR="00E0646E" w:rsidRPr="00840393">
        <w:t xml:space="preserve">, then </w:t>
      </w:r>
      <w:r w:rsidR="00865EC8">
        <w:t>a</w:t>
      </w:r>
      <w:r w:rsidR="00E0646E" w:rsidRPr="00840393">
        <w:t>cross the vacuum glazing through</w:t>
      </w:r>
      <w:r w:rsidR="00865EC8">
        <w:t xml:space="preserve"> the</w:t>
      </w:r>
      <w:r w:rsidR="00E0646E" w:rsidRPr="00840393">
        <w:t xml:space="preserve"> vacuum</w:t>
      </w:r>
      <w:r w:rsidR="00865EC8">
        <w:t xml:space="preserve"> gap and edge seal to the outdoor environment</w:t>
      </w:r>
      <w:r w:rsidRPr="00840393">
        <w:t>. With</w:t>
      </w:r>
      <w:r w:rsidR="00E0646E" w:rsidRPr="00840393">
        <w:t xml:space="preserve"> </w:t>
      </w:r>
      <w:r w:rsidR="00865EC8">
        <w:t xml:space="preserve">a </w:t>
      </w:r>
      <w:r w:rsidR="000E58D7" w:rsidRPr="00840393">
        <w:t>vacuum gap set</w:t>
      </w:r>
      <w:r w:rsidRPr="00840393">
        <w:t xml:space="preserve">ting </w:t>
      </w:r>
      <w:r w:rsidR="00926B1F" w:rsidRPr="00840393">
        <w:t>method</w:t>
      </w:r>
      <w:r w:rsidR="005E4945">
        <w:t xml:space="preserve"> 1</w:t>
      </w:r>
      <w:r w:rsidR="00865EC8">
        <w:t xml:space="preserve">, </w:t>
      </w:r>
      <w:r w:rsidR="00E0646E" w:rsidRPr="00840393">
        <w:t xml:space="preserve">heat is transferred </w:t>
      </w:r>
      <w:r w:rsidR="00865EC8">
        <w:t>a</w:t>
      </w:r>
      <w:r w:rsidR="00E0646E" w:rsidRPr="00840393">
        <w:t>cross</w:t>
      </w:r>
      <w:r w:rsidR="001F756F">
        <w:t xml:space="preserve"> the vacuum gap and edge seal</w:t>
      </w:r>
      <w:r w:rsidR="00E0646E" w:rsidRPr="00840393">
        <w:t xml:space="preserve">, then </w:t>
      </w:r>
      <w:r w:rsidR="00865EC8">
        <w:t>a</w:t>
      </w:r>
      <w:r w:rsidR="00E0646E" w:rsidRPr="00840393">
        <w:t xml:space="preserve">cross the air gap </w:t>
      </w:r>
      <w:r w:rsidRPr="00840393">
        <w:t xml:space="preserve">and the edge seal </w:t>
      </w:r>
      <w:r w:rsidR="00926B1F" w:rsidRPr="00840393">
        <w:t xml:space="preserve">to the </w:t>
      </w:r>
      <w:r w:rsidR="00443208">
        <w:t>outd</w:t>
      </w:r>
      <w:r w:rsidR="00926B1F" w:rsidRPr="00840393">
        <w:t xml:space="preserve">oor </w:t>
      </w:r>
      <w:r w:rsidR="00443208">
        <w:t>environment</w:t>
      </w:r>
      <w:r w:rsidR="00926B1F" w:rsidRPr="00840393">
        <w:t>. With</w:t>
      </w:r>
      <w:r w:rsidR="00E0646E" w:rsidRPr="00840393">
        <w:t xml:space="preserve"> </w:t>
      </w:r>
      <w:r w:rsidR="00443208">
        <w:t xml:space="preserve">a </w:t>
      </w:r>
      <w:r w:rsidR="00D56F13" w:rsidRPr="00840393">
        <w:t xml:space="preserve">setting </w:t>
      </w:r>
      <w:r w:rsidR="00926B1F" w:rsidRPr="00840393">
        <w:t>method</w:t>
      </w:r>
      <w:r w:rsidR="00E0646E" w:rsidRPr="00840393">
        <w:t xml:space="preserve"> 1, the vacuum gap mo</w:t>
      </w:r>
      <w:r w:rsidR="005E4945">
        <w:t>re efficiently resists the transfer</w:t>
      </w:r>
      <w:r w:rsidR="00443208">
        <w:t xml:space="preserve"> of heat</w:t>
      </w:r>
      <w:r w:rsidR="005E4945">
        <w:t xml:space="preserve"> from the indoor glass sheet to the middle glass sheet </w:t>
      </w:r>
      <w:r w:rsidR="00E0646E" w:rsidRPr="00840393">
        <w:t xml:space="preserve">than </w:t>
      </w:r>
      <w:r w:rsidR="00D56F13" w:rsidRPr="00840393">
        <w:t xml:space="preserve">that </w:t>
      </w:r>
      <w:r w:rsidR="00443208">
        <w:t>of the</w:t>
      </w:r>
      <w:r w:rsidR="00E0646E" w:rsidRPr="00840393">
        <w:t xml:space="preserve"> </w:t>
      </w:r>
      <w:r w:rsidR="005E4945">
        <w:t xml:space="preserve">air gap </w:t>
      </w:r>
      <w:r w:rsidR="00443208">
        <w:t>in setting method 2</w:t>
      </w:r>
      <w:r w:rsidR="00E0646E" w:rsidRPr="00840393">
        <w:t xml:space="preserve">. </w:t>
      </w:r>
      <w:r w:rsidR="005E4945">
        <w:t xml:space="preserve">So in </w:t>
      </w:r>
      <w:r w:rsidR="000E58D7" w:rsidRPr="00840393">
        <w:t>practical application</w:t>
      </w:r>
      <w:r w:rsidR="00443208">
        <w:t>s</w:t>
      </w:r>
      <w:r w:rsidR="005E4945">
        <w:t xml:space="preserve"> of HVG</w:t>
      </w:r>
      <w:r w:rsidR="000E58D7" w:rsidRPr="00840393">
        <w:t xml:space="preserve">, the </w:t>
      </w:r>
      <w:r w:rsidR="005E4945">
        <w:t>HVG with</w:t>
      </w:r>
      <w:r w:rsidR="00443208">
        <w:t xml:space="preserve"> a</w:t>
      </w:r>
      <w:r w:rsidR="005E4945">
        <w:t xml:space="preserve"> </w:t>
      </w:r>
      <w:r w:rsidR="000E58D7" w:rsidRPr="00840393">
        <w:t xml:space="preserve">vacuum gap </w:t>
      </w:r>
      <w:r w:rsidR="006307C3" w:rsidRPr="00840393">
        <w:t xml:space="preserve">setting </w:t>
      </w:r>
      <w:r w:rsidR="00926B1F" w:rsidRPr="00840393">
        <w:t>method</w:t>
      </w:r>
      <w:r w:rsidR="006307C3" w:rsidRPr="00840393">
        <w:t xml:space="preserve"> 1 </w:t>
      </w:r>
      <w:r w:rsidR="005E4945">
        <w:t xml:space="preserve">performs </w:t>
      </w:r>
      <w:r w:rsidR="006307C3" w:rsidRPr="00840393">
        <w:t xml:space="preserve">better than </w:t>
      </w:r>
      <w:r w:rsidR="005E4945">
        <w:t xml:space="preserve">that with </w:t>
      </w:r>
      <w:r w:rsidR="006307C3" w:rsidRPr="00840393">
        <w:t>the</w:t>
      </w:r>
      <w:r w:rsidR="00330902" w:rsidRPr="00840393">
        <w:t xml:space="preserve"> </w:t>
      </w:r>
      <w:r w:rsidR="005E4945">
        <w:t xml:space="preserve">vacuum gap </w:t>
      </w:r>
      <w:r w:rsidR="00330902" w:rsidRPr="00840393">
        <w:t>setting</w:t>
      </w:r>
      <w:r w:rsidR="006307C3" w:rsidRPr="00840393">
        <w:t xml:space="preserve"> </w:t>
      </w:r>
      <w:r w:rsidR="00926B1F" w:rsidRPr="00840393">
        <w:t>method</w:t>
      </w:r>
      <w:r w:rsidR="006307C3" w:rsidRPr="00840393">
        <w:t xml:space="preserve"> 2, i.e. the vacuum gap should be set facing</w:t>
      </w:r>
      <w:r w:rsidR="000E58D7" w:rsidRPr="00840393">
        <w:t xml:space="preserve"> the indoor side environment. </w:t>
      </w:r>
      <w:r w:rsidR="00456817" w:rsidRPr="00840393">
        <w:t xml:space="preserve"> </w:t>
      </w:r>
      <w:r w:rsidR="001639B0" w:rsidRPr="00840393">
        <w:t xml:space="preserve"> </w:t>
      </w:r>
    </w:p>
    <w:p w:rsidR="001639B0" w:rsidRPr="00840393" w:rsidRDefault="001639B0" w:rsidP="00840393"/>
    <w:p w:rsidR="004B3638" w:rsidRPr="00840393" w:rsidRDefault="00981AF7" w:rsidP="00840393">
      <w:pPr>
        <w:rPr>
          <w:b/>
        </w:rPr>
      </w:pPr>
      <w:r w:rsidRPr="00840393">
        <w:rPr>
          <w:b/>
        </w:rPr>
        <w:t xml:space="preserve">5. </w:t>
      </w:r>
      <w:r w:rsidR="004B3638" w:rsidRPr="00840393">
        <w:rPr>
          <w:b/>
        </w:rPr>
        <w:t xml:space="preserve">Conclusions </w:t>
      </w:r>
    </w:p>
    <w:p w:rsidR="00327DBA" w:rsidRDefault="006679BA" w:rsidP="00840393">
      <w:r w:rsidRPr="00840393">
        <w:t xml:space="preserve">      </w:t>
      </w:r>
      <w:r w:rsidR="006307C3" w:rsidRPr="00840393">
        <w:t xml:space="preserve">Thermal performance of </w:t>
      </w:r>
      <w:r w:rsidRPr="00840393">
        <w:t>HVG</w:t>
      </w:r>
      <w:r w:rsidR="003341B0" w:rsidRPr="00840393">
        <w:t xml:space="preserve"> was model</w:t>
      </w:r>
      <w:r w:rsidR="005E4945">
        <w:t>l</w:t>
      </w:r>
      <w:r w:rsidR="003341B0" w:rsidRPr="00840393">
        <w:t>ed using a</w:t>
      </w:r>
      <w:r w:rsidR="00610FEC">
        <w:t>n</w:t>
      </w:r>
      <w:r w:rsidR="003341B0" w:rsidRPr="00840393">
        <w:t xml:space="preserve"> </w:t>
      </w:r>
      <w:r w:rsidR="00BC0D0B">
        <w:t>analytic and finite volume models a</w:t>
      </w:r>
      <w:r w:rsidR="003341B0" w:rsidRPr="00840393">
        <w:t>nd experimentally determined using</w:t>
      </w:r>
      <w:r w:rsidRPr="00840393">
        <w:t xml:space="preserve"> a guarded hot box calorimeter</w:t>
      </w:r>
      <w:r w:rsidR="00D56F13" w:rsidRPr="00840393">
        <w:t xml:space="preserve">, </w:t>
      </w:r>
      <w:r w:rsidR="00443208">
        <w:t xml:space="preserve">the results of </w:t>
      </w:r>
      <w:r w:rsidR="00D56F13" w:rsidRPr="00840393">
        <w:t>which are</w:t>
      </w:r>
      <w:r w:rsidR="00443208">
        <w:t xml:space="preserve"> in </w:t>
      </w:r>
      <w:r w:rsidRPr="00840393">
        <w:t xml:space="preserve">very good agreement with a deviation of </w:t>
      </w:r>
      <w:r w:rsidR="00D53BF6">
        <w:t>less th</w:t>
      </w:r>
      <w:r w:rsidR="00350536">
        <w:t>an 3.1</w:t>
      </w:r>
      <w:r w:rsidRPr="00840393">
        <w:t xml:space="preserve">%. The investigated HVG comprised a conventional DVG and </w:t>
      </w:r>
      <w:r w:rsidR="00443208">
        <w:t>a</w:t>
      </w:r>
      <w:r w:rsidRPr="00840393">
        <w:t xml:space="preserve"> third 4 mm thick clear glass sheet</w:t>
      </w:r>
      <w:r w:rsidR="00443208">
        <w:t xml:space="preserve"> separated by a warm edge spacer and sealed with butyl rubber</w:t>
      </w:r>
      <w:r w:rsidRPr="00840393">
        <w:t xml:space="preserve">. The DVG </w:t>
      </w:r>
      <w:r w:rsidR="00BC0D0B">
        <w:t xml:space="preserve">integrated within the HVG </w:t>
      </w:r>
      <w:r w:rsidRPr="00840393">
        <w:t>consisted of two 4 mm thick glass sh</w:t>
      </w:r>
      <w:r w:rsidR="00BC0D0B">
        <w:t>eets with</w:t>
      </w:r>
      <w:r w:rsidR="00443208">
        <w:t xml:space="preserve"> a</w:t>
      </w:r>
      <w:r w:rsidR="00BC0D0B">
        <w:t xml:space="preserve"> low-e coating</w:t>
      </w:r>
      <w:r w:rsidRPr="00840393">
        <w:t xml:space="preserve"> with emittance of 0.16, separated by an array of support pillars with a diameter of 0.4 mm and a height of 0.2 mm. </w:t>
      </w:r>
      <w:r w:rsidR="00443208">
        <w:t>An</w:t>
      </w:r>
      <w:r w:rsidRPr="00840393">
        <w:t xml:space="preserve"> indium based alloy with a width of 6 mm sealed the vacuum gap. </w:t>
      </w:r>
      <w:r w:rsidR="00443208">
        <w:t>T</w:t>
      </w:r>
      <w:r w:rsidR="00D56F13" w:rsidRPr="00840393">
        <w:t xml:space="preserve">he </w:t>
      </w:r>
      <w:r w:rsidR="00BC0D0B">
        <w:t xml:space="preserve">experimentally determined </w:t>
      </w:r>
      <w:r w:rsidR="00D56F13" w:rsidRPr="00840393">
        <w:t>U-values of the centre-of-glazing and total glaz</w:t>
      </w:r>
      <w:r w:rsidR="008045BA" w:rsidRPr="00840393">
        <w:t>ing areas were reduced from 0.86</w:t>
      </w:r>
      <w:r w:rsidR="00202FEF">
        <w:t xml:space="preserve"> </w:t>
      </w:r>
      <w:r w:rsidR="00D56F13" w:rsidRPr="00840393">
        <w:t xml:space="preserve">and </w:t>
      </w:r>
      <w:r w:rsidR="008045BA" w:rsidRPr="00840393">
        <w:t>1.10 W.m</w:t>
      </w:r>
      <w:r w:rsidR="008045BA" w:rsidRPr="00840393">
        <w:rPr>
          <w:vertAlign w:val="superscript"/>
        </w:rPr>
        <w:t>-2</w:t>
      </w:r>
      <w:r w:rsidR="008045BA" w:rsidRPr="00840393">
        <w:t>.K</w:t>
      </w:r>
      <w:r w:rsidR="008045BA" w:rsidRPr="00840393">
        <w:rPr>
          <w:vertAlign w:val="superscript"/>
        </w:rPr>
        <w:t>-1</w:t>
      </w:r>
      <w:r w:rsidR="008045BA" w:rsidRPr="00840393">
        <w:t xml:space="preserve"> </w:t>
      </w:r>
      <w:r w:rsidR="00BC0D0B">
        <w:t>f</w:t>
      </w:r>
      <w:r w:rsidR="00443208">
        <w:t>or</w:t>
      </w:r>
      <w:r w:rsidR="00BC0D0B">
        <w:t xml:space="preserve"> the DVG </w:t>
      </w:r>
      <w:r w:rsidR="00202FEF">
        <w:t xml:space="preserve">to 0.66 </w:t>
      </w:r>
      <w:r w:rsidR="008045BA" w:rsidRPr="00840393">
        <w:t>and 0.91 W.m</w:t>
      </w:r>
      <w:r w:rsidR="008045BA" w:rsidRPr="00840393">
        <w:rPr>
          <w:vertAlign w:val="superscript"/>
        </w:rPr>
        <w:t>-2</w:t>
      </w:r>
      <w:r w:rsidR="008045BA" w:rsidRPr="00840393">
        <w:t>.K</w:t>
      </w:r>
      <w:r w:rsidR="008045BA" w:rsidRPr="00840393">
        <w:rPr>
          <w:vertAlign w:val="superscript"/>
        </w:rPr>
        <w:t>-1</w:t>
      </w:r>
      <w:r w:rsidR="00BC0D0B">
        <w:t xml:space="preserve"> of the HVG</w:t>
      </w:r>
      <w:r w:rsidR="00443208">
        <w:t xml:space="preserve"> with setting method 1</w:t>
      </w:r>
      <w:r w:rsidR="00BC0D0B">
        <w:t xml:space="preserve">. </w:t>
      </w:r>
      <w:r w:rsidR="00E05107" w:rsidRPr="00840393">
        <w:t xml:space="preserve">This is </w:t>
      </w:r>
      <w:r w:rsidR="00483082">
        <w:t xml:space="preserve">one of the </w:t>
      </w:r>
      <w:r w:rsidR="00E05107" w:rsidRPr="00840393">
        <w:t>advantage</w:t>
      </w:r>
      <w:r w:rsidR="00483082">
        <w:t>s</w:t>
      </w:r>
      <w:r w:rsidR="00E05107" w:rsidRPr="00840393">
        <w:t xml:space="preserve"> of the HVG against DVG. </w:t>
      </w:r>
      <w:r w:rsidR="008045BA" w:rsidRPr="00840393">
        <w:t xml:space="preserve">The temperature difference </w:t>
      </w:r>
      <w:r w:rsidR="00483082">
        <w:t>across</w:t>
      </w:r>
      <w:r w:rsidR="008045BA" w:rsidRPr="00840393">
        <w:t xml:space="preserve"> the glass sheets bounding the vacuum gap </w:t>
      </w:r>
      <w:r w:rsidR="003B53EC">
        <w:t xml:space="preserve">of the HVG </w:t>
      </w:r>
      <w:r w:rsidR="008045BA" w:rsidRPr="00840393">
        <w:t xml:space="preserve">was reduced </w:t>
      </w:r>
      <w:r w:rsidR="003B53EC">
        <w:t xml:space="preserve">by </w:t>
      </w:r>
      <w:r w:rsidR="00483082">
        <w:t>1</w:t>
      </w:r>
      <w:r w:rsidR="008045BA" w:rsidRPr="00840393">
        <w:t xml:space="preserve"> ºC with the vacuum gap setting </w:t>
      </w:r>
      <w:r w:rsidR="00926B1F" w:rsidRPr="00840393">
        <w:t>method</w:t>
      </w:r>
      <w:r w:rsidR="008045BA" w:rsidRPr="00840393">
        <w:t xml:space="preserve"> 1 and </w:t>
      </w:r>
      <w:r w:rsidR="003B53EC">
        <w:t xml:space="preserve">by </w:t>
      </w:r>
      <w:r w:rsidR="00483082">
        <w:t>2.8</w:t>
      </w:r>
      <w:r w:rsidR="008045BA" w:rsidRPr="00840393">
        <w:t xml:space="preserve"> ºC wi</w:t>
      </w:r>
      <w:r w:rsidR="00E05107" w:rsidRPr="00840393">
        <w:t xml:space="preserve">th the vacuum gap setting </w:t>
      </w:r>
      <w:r w:rsidR="00926B1F" w:rsidRPr="00840393">
        <w:t>method</w:t>
      </w:r>
      <w:r w:rsidR="00610FEC">
        <w:t xml:space="preserve"> 2</w:t>
      </w:r>
      <w:r w:rsidR="003B53EC">
        <w:t xml:space="preserve"> compared to the DVG</w:t>
      </w:r>
      <w:r w:rsidR="00610FEC">
        <w:t>.</w:t>
      </w:r>
      <w:r w:rsidR="00BC0D0B">
        <w:t xml:space="preserve"> </w:t>
      </w:r>
      <w:r w:rsidR="003B53EC">
        <w:t>Thus</w:t>
      </w:r>
      <w:r w:rsidR="00E05107" w:rsidRPr="00840393">
        <w:t xml:space="preserve"> the temperature-induced stress within the two glass sheets bounding the vacuum gap is reduced, so the durability </w:t>
      </w:r>
      <w:r w:rsidR="00610FEC">
        <w:t xml:space="preserve">of the vacuum gap </w:t>
      </w:r>
      <w:r w:rsidR="00E05107" w:rsidRPr="00840393">
        <w:t xml:space="preserve">is </w:t>
      </w:r>
      <w:r w:rsidR="00483082">
        <w:t>improved</w:t>
      </w:r>
      <w:r w:rsidR="00E05107" w:rsidRPr="00840393">
        <w:t xml:space="preserve">. This is </w:t>
      </w:r>
      <w:r w:rsidR="008332DF">
        <w:t>another</w:t>
      </w:r>
      <w:r w:rsidR="00E05107" w:rsidRPr="00840393">
        <w:t xml:space="preserve"> advantage </w:t>
      </w:r>
      <w:r w:rsidR="00327DBA" w:rsidRPr="00840393">
        <w:t xml:space="preserve">of HVG </w:t>
      </w:r>
      <w:r w:rsidR="00966E81" w:rsidRPr="00840393">
        <w:t>against DVG</w:t>
      </w:r>
      <w:r w:rsidR="00327DBA" w:rsidRPr="00840393">
        <w:t>.</w:t>
      </w:r>
    </w:p>
    <w:p w:rsidR="00966E81" w:rsidRDefault="00D86FD5" w:rsidP="00840393">
      <w:r w:rsidRPr="00840393">
        <w:t xml:space="preserve">     </w:t>
      </w:r>
      <w:r w:rsidR="00626644" w:rsidRPr="00840393">
        <w:t xml:space="preserve">Compared to conventional </w:t>
      </w:r>
      <w:r w:rsidRPr="00840393">
        <w:t xml:space="preserve">gas filled </w:t>
      </w:r>
      <w:r w:rsidR="00626644" w:rsidRPr="00840393">
        <w:t>triple glazing</w:t>
      </w:r>
      <w:r w:rsidRPr="00840393">
        <w:t xml:space="preserve"> </w:t>
      </w:r>
      <w:r w:rsidR="00327DBA" w:rsidRPr="00840393">
        <w:t xml:space="preserve">using two low-e coatings </w:t>
      </w:r>
      <w:r w:rsidRPr="00840393">
        <w:t>with</w:t>
      </w:r>
      <w:r w:rsidR="0042752A" w:rsidRPr="00840393">
        <w:t xml:space="preserve"> </w:t>
      </w:r>
      <w:r w:rsidR="00483082">
        <w:t xml:space="preserve">an </w:t>
      </w:r>
      <w:proofErr w:type="spellStart"/>
      <w:r w:rsidR="0042752A" w:rsidRPr="00840393">
        <w:t>emittance</w:t>
      </w:r>
      <w:proofErr w:type="spellEnd"/>
      <w:r w:rsidR="0042752A" w:rsidRPr="00840393">
        <w:t xml:space="preserve"> of 0.16 and</w:t>
      </w:r>
      <w:r w:rsidRPr="00840393">
        <w:t xml:space="preserve"> typical U-value</w:t>
      </w:r>
      <w:r w:rsidR="00483082">
        <w:t>s</w:t>
      </w:r>
      <w:r w:rsidRPr="00840393">
        <w:t xml:space="preserve"> of 1</w:t>
      </w:r>
      <w:r w:rsidR="00610FEC">
        <w:t>.0</w:t>
      </w:r>
      <w:r w:rsidRPr="00840393">
        <w:t xml:space="preserve"> W.m</w:t>
      </w:r>
      <w:r w:rsidRPr="00840393">
        <w:rPr>
          <w:vertAlign w:val="superscript"/>
        </w:rPr>
        <w:t>-2</w:t>
      </w:r>
      <w:r w:rsidRPr="00840393">
        <w:t>.K</w:t>
      </w:r>
      <w:r w:rsidRPr="00840393">
        <w:rPr>
          <w:vertAlign w:val="superscript"/>
        </w:rPr>
        <w:t>-1</w:t>
      </w:r>
      <w:r w:rsidR="00626644" w:rsidRPr="00840393">
        <w:t xml:space="preserve">, the HVG </w:t>
      </w:r>
      <w:r w:rsidR="00327DBA" w:rsidRPr="00840393">
        <w:t xml:space="preserve">with two low-e coatings </w:t>
      </w:r>
      <w:r w:rsidR="00626644" w:rsidRPr="00840393">
        <w:t>off</w:t>
      </w:r>
      <w:r w:rsidR="00327DBA" w:rsidRPr="00840393">
        <w:t xml:space="preserve">ers </w:t>
      </w:r>
      <w:r w:rsidR="00483082">
        <w:t xml:space="preserve">an </w:t>
      </w:r>
      <w:r w:rsidR="00327DBA" w:rsidRPr="00840393">
        <w:t xml:space="preserve">improved U-value of </w:t>
      </w:r>
      <w:r w:rsidR="0042752A" w:rsidRPr="00840393">
        <w:t>0.</w:t>
      </w:r>
      <w:r w:rsidR="00327DBA" w:rsidRPr="00840393">
        <w:t>66 W.m</w:t>
      </w:r>
      <w:r w:rsidR="00327DBA" w:rsidRPr="00840393">
        <w:rPr>
          <w:vertAlign w:val="superscript"/>
        </w:rPr>
        <w:t>-2</w:t>
      </w:r>
      <w:r w:rsidR="00327DBA" w:rsidRPr="00840393">
        <w:t>.K</w:t>
      </w:r>
      <w:r w:rsidR="00327DBA" w:rsidRPr="00840393">
        <w:rPr>
          <w:vertAlign w:val="superscript"/>
        </w:rPr>
        <w:t>-1</w:t>
      </w:r>
      <w:r w:rsidR="00327DBA" w:rsidRPr="00840393">
        <w:t xml:space="preserve"> </w:t>
      </w:r>
      <w:r w:rsidR="00626644" w:rsidRPr="00840393">
        <w:t xml:space="preserve">with a reduction in glazing thickness. </w:t>
      </w:r>
      <w:r w:rsidRPr="00840393">
        <w:t xml:space="preserve">Compared to conventional </w:t>
      </w:r>
      <w:r w:rsidR="00A34E87" w:rsidRPr="00840393">
        <w:t xml:space="preserve">air filled double glazing </w:t>
      </w:r>
      <w:r w:rsidR="00327DBA" w:rsidRPr="00840393">
        <w:t>with two low-e coatings</w:t>
      </w:r>
      <w:r w:rsidR="0042752A" w:rsidRPr="00840393">
        <w:t xml:space="preserve"> </w:t>
      </w:r>
      <w:r w:rsidR="00516EA6" w:rsidRPr="00840393">
        <w:t xml:space="preserve">with </w:t>
      </w:r>
      <w:r w:rsidR="00483082">
        <w:t xml:space="preserve">an </w:t>
      </w:r>
      <w:proofErr w:type="spellStart"/>
      <w:r w:rsidR="00516EA6" w:rsidRPr="00840393">
        <w:t>emittance</w:t>
      </w:r>
      <w:proofErr w:type="spellEnd"/>
      <w:r w:rsidR="00516EA6" w:rsidRPr="00840393">
        <w:t xml:space="preserve"> of 0.16 </w:t>
      </w:r>
      <w:r w:rsidR="00483082">
        <w:t xml:space="preserve">and </w:t>
      </w:r>
      <w:r w:rsidR="0042752A" w:rsidRPr="00840393">
        <w:t>with</w:t>
      </w:r>
      <w:r w:rsidR="00483082">
        <w:t xml:space="preserve"> a typical </w:t>
      </w:r>
      <w:r w:rsidR="00267573">
        <w:t xml:space="preserve">centre-of-glazing </w:t>
      </w:r>
      <w:r w:rsidR="0042752A" w:rsidRPr="00840393">
        <w:t xml:space="preserve">U-value of </w:t>
      </w:r>
      <w:r w:rsidR="00267573">
        <w:t>1.7</w:t>
      </w:r>
      <w:r w:rsidR="0042752A" w:rsidRPr="00840393">
        <w:t xml:space="preserve"> W.m</w:t>
      </w:r>
      <w:r w:rsidR="0042752A" w:rsidRPr="00840393">
        <w:rPr>
          <w:vertAlign w:val="superscript"/>
        </w:rPr>
        <w:t>-2</w:t>
      </w:r>
      <w:r w:rsidR="0042752A" w:rsidRPr="00840393">
        <w:t>.K</w:t>
      </w:r>
      <w:r w:rsidR="0042752A" w:rsidRPr="00840393">
        <w:rPr>
          <w:vertAlign w:val="superscript"/>
        </w:rPr>
        <w:t>-1</w:t>
      </w:r>
      <w:r w:rsidRPr="00840393">
        <w:t xml:space="preserve">, the HVG offers improved thermal performance and </w:t>
      </w:r>
      <w:r w:rsidR="0042752A" w:rsidRPr="00840393">
        <w:t>with</w:t>
      </w:r>
      <w:r w:rsidR="00483082">
        <w:t xml:space="preserve"> a</w:t>
      </w:r>
      <w:r w:rsidR="0042752A" w:rsidRPr="00840393">
        <w:t xml:space="preserve"> total glazing thickness </w:t>
      </w:r>
      <w:r w:rsidR="00483082">
        <w:t>similar to conventional double glazing.</w:t>
      </w:r>
      <w:r w:rsidRPr="00840393">
        <w:t xml:space="preserve"> </w:t>
      </w:r>
    </w:p>
    <w:p w:rsidR="009446E9" w:rsidRDefault="009446E9" w:rsidP="00840393">
      <w:r w:rsidRPr="00840393">
        <w:t xml:space="preserve">     The U-values </w:t>
      </w:r>
      <w:r w:rsidR="003D7D86">
        <w:t xml:space="preserve">at </w:t>
      </w:r>
      <w:r w:rsidRPr="00840393">
        <w:t xml:space="preserve">the centre-of-glazing and total glazing areas </w:t>
      </w:r>
      <w:r w:rsidR="003D7D86">
        <w:t xml:space="preserve">are </w:t>
      </w:r>
      <w:r w:rsidR="00FE7502">
        <w:t xml:space="preserve">lower by </w:t>
      </w:r>
      <w:r w:rsidR="003D7D86" w:rsidRPr="00840393">
        <w:t>0.13 and 0.08 W.m</w:t>
      </w:r>
      <w:r w:rsidR="003D7D86" w:rsidRPr="00840393">
        <w:rPr>
          <w:vertAlign w:val="superscript"/>
        </w:rPr>
        <w:t>-2</w:t>
      </w:r>
      <w:r w:rsidR="003D7D86" w:rsidRPr="00840393">
        <w:t>.K</w:t>
      </w:r>
      <w:r w:rsidR="003D7D86" w:rsidRPr="00840393">
        <w:rPr>
          <w:vertAlign w:val="superscript"/>
        </w:rPr>
        <w:t>-1</w:t>
      </w:r>
      <w:r w:rsidR="003D7D86" w:rsidRPr="00840393">
        <w:t xml:space="preserve"> </w:t>
      </w:r>
      <w:r w:rsidR="00FE7502">
        <w:t>respectively fo</w:t>
      </w:r>
      <w:r w:rsidR="003D7D86">
        <w:t xml:space="preserve">r a HVG with a vacuum gap </w:t>
      </w:r>
      <w:r w:rsidR="00FE7502">
        <w:t>setting method 1 compared to a</w:t>
      </w:r>
      <w:r w:rsidR="003D7D86">
        <w:t xml:space="preserve"> HVG </w:t>
      </w:r>
      <w:r w:rsidRPr="00840393">
        <w:t xml:space="preserve">with </w:t>
      </w:r>
      <w:r w:rsidR="003D7D86">
        <w:t xml:space="preserve">a </w:t>
      </w:r>
      <w:r w:rsidRPr="00840393">
        <w:t>vacuum gap setting method 2</w:t>
      </w:r>
      <w:r w:rsidR="003D7D86">
        <w:t>.</w:t>
      </w:r>
      <w:r w:rsidRPr="00840393">
        <w:t xml:space="preserve"> </w:t>
      </w:r>
      <w:r w:rsidR="003D7D86">
        <w:t>V</w:t>
      </w:r>
      <w:r w:rsidR="00D4178C" w:rsidRPr="00840393">
        <w:t xml:space="preserve">acuum gap </w:t>
      </w:r>
      <w:r w:rsidRPr="00840393">
        <w:t>setting method 1</w:t>
      </w:r>
      <w:r w:rsidR="003D7D86">
        <w:t xml:space="preserve"> is </w:t>
      </w:r>
      <w:r w:rsidRPr="00840393">
        <w:t xml:space="preserve">more </w:t>
      </w:r>
      <w:r w:rsidR="003D7D86">
        <w:t xml:space="preserve">resistant to the flow of </w:t>
      </w:r>
      <w:r w:rsidRPr="00840393">
        <w:t>heat into the glazing than the air gap f</w:t>
      </w:r>
      <w:r w:rsidR="00776496">
        <w:t>acing the indoor</w:t>
      </w:r>
      <w:r w:rsidR="00202FEF">
        <w:t xml:space="preserve"> side environment</w:t>
      </w:r>
      <w:r w:rsidR="003D7D86">
        <w:t>.</w:t>
      </w:r>
      <w:r w:rsidRPr="00840393">
        <w:t xml:space="preserve"> So in the practical application of HVG, the </w:t>
      </w:r>
      <w:r w:rsidRPr="00840393">
        <w:lastRenderedPageBreak/>
        <w:t>vacuum gap should be set facing the indoor side environment.</w:t>
      </w:r>
    </w:p>
    <w:p w:rsidR="00BE7244" w:rsidRDefault="009446E9" w:rsidP="00840393">
      <w:r w:rsidRPr="00840393">
        <w:t xml:space="preserve">    </w:t>
      </w:r>
      <w:r w:rsidR="00516EA6" w:rsidRPr="00840393">
        <w:t xml:space="preserve"> </w:t>
      </w:r>
      <w:r w:rsidR="00BE7244" w:rsidRPr="00840393">
        <w:t>W</w:t>
      </w:r>
      <w:r w:rsidR="0008406E" w:rsidRPr="00840393">
        <w:t>ith two low-e coatings with</w:t>
      </w:r>
      <w:r w:rsidR="005771D7">
        <w:t>in</w:t>
      </w:r>
      <w:r w:rsidR="0008406E" w:rsidRPr="00840393">
        <w:t xml:space="preserve"> the </w:t>
      </w:r>
      <w:r w:rsidR="005771D7">
        <w:t xml:space="preserve">vacuum gap at the </w:t>
      </w:r>
      <w:r w:rsidR="00DF591E">
        <w:t>indoor</w:t>
      </w:r>
      <w:r w:rsidR="0008406E" w:rsidRPr="00840393">
        <w:t xml:space="preserve"> side, the U-value of </w:t>
      </w:r>
      <w:r w:rsidR="00BE7244" w:rsidRPr="00840393">
        <w:t xml:space="preserve">centre-of-glazing area of </w:t>
      </w:r>
      <w:r w:rsidR="0008406E" w:rsidRPr="00840393">
        <w:t xml:space="preserve">the HVG is </w:t>
      </w:r>
      <w:r w:rsidR="00C87708">
        <w:t>0.07</w:t>
      </w:r>
      <w:r w:rsidR="00F3292E" w:rsidRPr="00F3292E">
        <w:t xml:space="preserve"> </w:t>
      </w:r>
      <w:r w:rsidR="00F3292E" w:rsidRPr="006B61A7">
        <w:t>W.m</w:t>
      </w:r>
      <w:r w:rsidR="00F3292E" w:rsidRPr="006B61A7">
        <w:rPr>
          <w:vertAlign w:val="superscript"/>
        </w:rPr>
        <w:t>-2</w:t>
      </w:r>
      <w:r w:rsidR="00F3292E" w:rsidRPr="006B61A7">
        <w:t>.K</w:t>
      </w:r>
      <w:r w:rsidR="00F3292E" w:rsidRPr="006B61A7">
        <w:rPr>
          <w:vertAlign w:val="superscript"/>
        </w:rPr>
        <w:t>-1</w:t>
      </w:r>
      <w:r w:rsidR="005B5996">
        <w:t xml:space="preserve"> </w:t>
      </w:r>
      <w:r w:rsidR="00BE7244" w:rsidRPr="00840393">
        <w:t>higher than that of TVG</w:t>
      </w:r>
      <w:r w:rsidR="006455D1" w:rsidRPr="006455D1">
        <w:t xml:space="preserve"> </w:t>
      </w:r>
      <w:r w:rsidR="006455D1" w:rsidRPr="00840393">
        <w:t>with the specified parameters</w:t>
      </w:r>
      <w:r w:rsidR="005B5996">
        <w:t>,</w:t>
      </w:r>
      <w:r w:rsidR="00BE7244" w:rsidRPr="00840393">
        <w:t xml:space="preserve"> </w:t>
      </w:r>
      <w:r w:rsidR="00C7350C">
        <w:t xml:space="preserve">but </w:t>
      </w:r>
      <w:r w:rsidR="00BE7244" w:rsidRPr="00840393">
        <w:t>the U-value of the total glazing area is lower than that of TVG</w:t>
      </w:r>
      <w:r w:rsidR="005B5996">
        <w:t xml:space="preserve">. </w:t>
      </w:r>
      <w:r w:rsidR="005771D7">
        <w:t>This is because the heat con</w:t>
      </w:r>
      <w:r w:rsidR="005B5996">
        <w:t>duction through the edge seal</w:t>
      </w:r>
      <w:r w:rsidR="005771D7">
        <w:t xml:space="preserve"> of the HVG is less than </w:t>
      </w:r>
      <w:r w:rsidR="005B5996">
        <w:t xml:space="preserve">the heat conduction through the thin metal edge seal </w:t>
      </w:r>
      <w:r w:rsidR="005771D7">
        <w:t>of</w:t>
      </w:r>
      <w:r w:rsidR="005B5996">
        <w:t xml:space="preserve"> the TVG.</w:t>
      </w:r>
      <w:r w:rsidR="005771D7">
        <w:t xml:space="preserve"> </w:t>
      </w:r>
      <w:r w:rsidR="00FF38FC" w:rsidRPr="00840393">
        <w:t>The edge spacer bar of the HVG is nonmetal</w:t>
      </w:r>
      <w:r w:rsidR="005B5996">
        <w:t>, has a low</w:t>
      </w:r>
      <w:r w:rsidR="00FF38FC" w:rsidRPr="00840393">
        <w:t xml:space="preserve"> thermal conductivity and </w:t>
      </w:r>
      <w:r w:rsidR="005B5996">
        <w:t xml:space="preserve">is </w:t>
      </w:r>
      <w:r w:rsidR="00FF38FC" w:rsidRPr="00840393">
        <w:t xml:space="preserve">thicker than the indium seal of TVG. </w:t>
      </w:r>
      <w:r w:rsidR="005771D7">
        <w:t xml:space="preserve">Nevertheless </w:t>
      </w:r>
      <w:r w:rsidR="00BE7244" w:rsidRPr="00840393">
        <w:t>for</w:t>
      </w:r>
      <w:r w:rsidR="005771D7">
        <w:t xml:space="preserve"> a</w:t>
      </w:r>
      <w:r w:rsidR="00BE7244" w:rsidRPr="00840393">
        <w:t xml:space="preserve"> larger size HVG and TVG, the scenario could be different, further </w:t>
      </w:r>
      <w:r w:rsidR="007D711E">
        <w:t xml:space="preserve">optimization </w:t>
      </w:r>
      <w:r w:rsidR="00BE7244" w:rsidRPr="00840393">
        <w:t>work</w:t>
      </w:r>
      <w:r w:rsidR="007D711E">
        <w:t xml:space="preserve"> for the HVG design and </w:t>
      </w:r>
      <w:r w:rsidR="00EB5BD8">
        <w:t xml:space="preserve">its </w:t>
      </w:r>
      <w:r w:rsidR="007D711E">
        <w:t xml:space="preserve">application under various environments will be undertaken </w:t>
      </w:r>
      <w:r w:rsidR="00BE7244" w:rsidRPr="00840393">
        <w:t xml:space="preserve">in the next stage. </w:t>
      </w:r>
    </w:p>
    <w:p w:rsidR="0053675C" w:rsidRPr="00840393" w:rsidRDefault="0053675C" w:rsidP="00840393"/>
    <w:p w:rsidR="00E32454" w:rsidRPr="00840393" w:rsidRDefault="00E32454" w:rsidP="00E32454">
      <w:pPr>
        <w:rPr>
          <w:b/>
        </w:rPr>
      </w:pPr>
      <w:r w:rsidRPr="00840393">
        <w:rPr>
          <w:b/>
        </w:rPr>
        <w:t>Acknowledgement</w:t>
      </w:r>
    </w:p>
    <w:p w:rsidR="00E32454" w:rsidRPr="00840393" w:rsidRDefault="00E32454" w:rsidP="00E32454">
      <w:r w:rsidRPr="00840393">
        <w:t xml:space="preserve">      The authors acknowledge the support from the Charles Parson Energy Research Awards</w:t>
      </w:r>
      <w:r>
        <w:t xml:space="preserve"> (</w:t>
      </w:r>
      <w:r w:rsidRPr="00840393">
        <w:t>2007-2014</w:t>
      </w:r>
      <w:r>
        <w:t>)</w:t>
      </w:r>
      <w:r w:rsidRPr="00840393">
        <w:t xml:space="preserve"> Ireland. </w:t>
      </w:r>
    </w:p>
    <w:p w:rsidR="00626644" w:rsidRPr="00840393" w:rsidRDefault="00626644" w:rsidP="00840393">
      <w:r w:rsidRPr="00840393">
        <w:t xml:space="preserve"> </w:t>
      </w:r>
    </w:p>
    <w:p w:rsidR="00BA113D" w:rsidRPr="00840393" w:rsidRDefault="00BA113D" w:rsidP="00840393">
      <w:pPr>
        <w:rPr>
          <w:b/>
        </w:rPr>
      </w:pPr>
      <w:r w:rsidRPr="00840393">
        <w:rPr>
          <w:b/>
        </w:rPr>
        <w:t xml:space="preserve">Reference </w:t>
      </w:r>
    </w:p>
    <w:p w:rsidR="00EA742A" w:rsidRDefault="00A93EA7" w:rsidP="00A93EA7">
      <w:r>
        <w:t>[1]</w:t>
      </w:r>
      <w:r w:rsidRPr="00A93EA7">
        <w:t xml:space="preserve"> </w:t>
      </w:r>
      <w:proofErr w:type="spellStart"/>
      <w:r w:rsidR="00EA742A">
        <w:t>Zoller</w:t>
      </w:r>
      <w:proofErr w:type="spellEnd"/>
      <w:r w:rsidR="00EA742A">
        <w:t xml:space="preserve"> A</w:t>
      </w:r>
      <w:r w:rsidRPr="00840393">
        <w:t xml:space="preserve">. </w:t>
      </w:r>
      <w:proofErr w:type="spellStart"/>
      <w:r w:rsidRPr="00840393">
        <w:t>Hohle</w:t>
      </w:r>
      <w:proofErr w:type="spellEnd"/>
      <w:r w:rsidRPr="00840393">
        <w:t xml:space="preserve"> </w:t>
      </w:r>
      <w:proofErr w:type="spellStart"/>
      <w:r w:rsidRPr="00840393">
        <w:t>Glasscheibe</w:t>
      </w:r>
      <w:proofErr w:type="spellEnd"/>
      <w:r w:rsidRPr="00840393">
        <w:t xml:space="preserve">. German Patent </w:t>
      </w:r>
      <w:r w:rsidR="00EA742A">
        <w:t xml:space="preserve">  </w:t>
      </w:r>
    </w:p>
    <w:p w:rsidR="00A93EA7" w:rsidRPr="00840393" w:rsidRDefault="00EA742A" w:rsidP="00A93EA7">
      <w:r>
        <w:t xml:space="preserve">      </w:t>
      </w:r>
      <w:proofErr w:type="gramStart"/>
      <w:r w:rsidR="00A93EA7" w:rsidRPr="00840393">
        <w:t>Application No. 387655</w:t>
      </w:r>
      <w:r>
        <w:t>, 1913</w:t>
      </w:r>
      <w:r w:rsidR="00A93EA7" w:rsidRPr="00840393">
        <w:t>.</w:t>
      </w:r>
      <w:proofErr w:type="gramEnd"/>
    </w:p>
    <w:p w:rsidR="00EA742A" w:rsidRDefault="00A93EA7" w:rsidP="00A93EA7">
      <w:r>
        <w:t>[2]</w:t>
      </w:r>
      <w:r w:rsidRPr="00A93EA7">
        <w:t xml:space="preserve"> </w:t>
      </w:r>
      <w:r w:rsidRPr="00840393">
        <w:t>Robinson S.J., Collins R.E. Evacuated windows</w:t>
      </w:r>
      <w:r w:rsidR="00EA742A">
        <w:t xml:space="preserve"> </w:t>
      </w:r>
      <w:r w:rsidRPr="00840393">
        <w:t xml:space="preserve">theory </w:t>
      </w:r>
    </w:p>
    <w:p w:rsidR="00EA742A" w:rsidRDefault="00EA742A" w:rsidP="00A93EA7">
      <w:r>
        <w:t xml:space="preserve">      </w:t>
      </w:r>
      <w:proofErr w:type="gramStart"/>
      <w:r w:rsidR="00A93EA7" w:rsidRPr="00840393">
        <w:t>and</w:t>
      </w:r>
      <w:proofErr w:type="gramEnd"/>
      <w:r w:rsidR="00A93EA7" w:rsidRPr="00840393">
        <w:t xml:space="preserve"> practice,</w:t>
      </w:r>
      <w:r w:rsidR="00A93EA7" w:rsidRPr="00840393">
        <w:rPr>
          <w:i/>
        </w:rPr>
        <w:t xml:space="preserve"> </w:t>
      </w:r>
      <w:r w:rsidR="00A93EA7" w:rsidRPr="00840393">
        <w:t xml:space="preserve">ISES Solar World Congress, International </w:t>
      </w:r>
    </w:p>
    <w:p w:rsidR="00A93EA7" w:rsidRPr="00840393" w:rsidRDefault="00EA742A" w:rsidP="00A93EA7">
      <w:r>
        <w:t xml:space="preserve">      </w:t>
      </w:r>
      <w:proofErr w:type="gramStart"/>
      <w:r w:rsidR="00A93EA7" w:rsidRPr="00840393">
        <w:t>Solar Energy Society, Kobe, Japan</w:t>
      </w:r>
      <w:r>
        <w:t>, 1989</w:t>
      </w:r>
      <w:r w:rsidR="00A93EA7" w:rsidRPr="00840393">
        <w:t>.</w:t>
      </w:r>
      <w:proofErr w:type="gramEnd"/>
    </w:p>
    <w:p w:rsidR="00EA742A" w:rsidRDefault="00A93EA7" w:rsidP="00A93EA7">
      <w:r>
        <w:t>[3]</w:t>
      </w:r>
      <w:r w:rsidRPr="00A93EA7">
        <w:t xml:space="preserve"> </w:t>
      </w:r>
      <w:r w:rsidRPr="00AB7099">
        <w:t>Co</w:t>
      </w:r>
      <w:r w:rsidR="00EA742A">
        <w:t xml:space="preserve">llins R.E., </w:t>
      </w:r>
      <w:proofErr w:type="spellStart"/>
      <w:r w:rsidR="00EA742A">
        <w:t>Simko</w:t>
      </w:r>
      <w:proofErr w:type="spellEnd"/>
      <w:r w:rsidR="00EA742A">
        <w:t xml:space="preserve"> T.M</w:t>
      </w:r>
      <w:r>
        <w:t>.</w:t>
      </w:r>
      <w:r w:rsidRPr="00AB7099">
        <w:t xml:space="preserve"> </w:t>
      </w:r>
      <w:r w:rsidRPr="008A0448">
        <w:t>Solar Energy</w:t>
      </w:r>
      <w:r w:rsidRPr="00AB7099">
        <w:rPr>
          <w:i/>
        </w:rPr>
        <w:t xml:space="preserve">, </w:t>
      </w:r>
      <w:r w:rsidRPr="008A0448">
        <w:t>62</w:t>
      </w:r>
      <w:r w:rsidRPr="00AB7099">
        <w:t>, 189-213</w:t>
      </w:r>
      <w:r w:rsidR="00EA742A">
        <w:t xml:space="preserve">, </w:t>
      </w:r>
    </w:p>
    <w:p w:rsidR="00A93EA7" w:rsidRPr="00A93EA7" w:rsidRDefault="00EA742A" w:rsidP="00A93EA7">
      <w:r>
        <w:t xml:space="preserve">      1998</w:t>
      </w:r>
      <w:r w:rsidR="00A93EA7" w:rsidRPr="00AB7099">
        <w:rPr>
          <w:i/>
        </w:rPr>
        <w:t>.</w:t>
      </w:r>
    </w:p>
    <w:p w:rsidR="00A93EA7" w:rsidRDefault="00A93EA7" w:rsidP="00A93EA7">
      <w:pPr>
        <w:pStyle w:val="BodyText3"/>
        <w:spacing w:after="0"/>
        <w:rPr>
          <w:sz w:val="20"/>
          <w:szCs w:val="20"/>
        </w:rPr>
      </w:pPr>
      <w:r w:rsidRPr="00A93EA7">
        <w:rPr>
          <w:sz w:val="20"/>
        </w:rPr>
        <w:t>[4]</w:t>
      </w:r>
      <w:r>
        <w:t xml:space="preserve"> </w:t>
      </w:r>
      <w:r w:rsidRPr="00840393">
        <w:rPr>
          <w:sz w:val="20"/>
          <w:szCs w:val="20"/>
        </w:rPr>
        <w:t xml:space="preserve">Hyde T.J., Griffiths </w:t>
      </w:r>
      <w:r w:rsidR="00EA742A">
        <w:rPr>
          <w:sz w:val="20"/>
          <w:szCs w:val="20"/>
        </w:rPr>
        <w:t>P.W., Eames P.C., Norton B</w:t>
      </w:r>
      <w:r w:rsidRPr="00840393">
        <w:rPr>
          <w:sz w:val="20"/>
          <w:szCs w:val="20"/>
        </w:rPr>
        <w:t xml:space="preserve">. </w:t>
      </w:r>
    </w:p>
    <w:p w:rsidR="009B19CB" w:rsidRDefault="00A93EA7" w:rsidP="00A93EA7">
      <w:pPr>
        <w:pStyle w:val="BodyText3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840393">
        <w:rPr>
          <w:sz w:val="20"/>
          <w:szCs w:val="20"/>
        </w:rPr>
        <w:t>In Proc. World Renewable</w:t>
      </w:r>
      <w:r w:rsidR="009B19CB">
        <w:rPr>
          <w:sz w:val="20"/>
          <w:szCs w:val="20"/>
        </w:rPr>
        <w:t xml:space="preserve"> </w:t>
      </w:r>
      <w:r w:rsidRPr="00840393">
        <w:rPr>
          <w:sz w:val="20"/>
          <w:szCs w:val="20"/>
        </w:rPr>
        <w:t xml:space="preserve">Energy Congress </w:t>
      </w:r>
      <w:proofErr w:type="gramStart"/>
      <w:r w:rsidRPr="00840393">
        <w:rPr>
          <w:sz w:val="20"/>
          <w:szCs w:val="20"/>
        </w:rPr>
        <w:t>VI ,</w:t>
      </w:r>
      <w:proofErr w:type="gramEnd"/>
      <w:r w:rsidRPr="00840393">
        <w:rPr>
          <w:sz w:val="20"/>
          <w:szCs w:val="20"/>
        </w:rPr>
        <w:t xml:space="preserve"> </w:t>
      </w:r>
    </w:p>
    <w:p w:rsidR="00A93EA7" w:rsidRPr="00840393" w:rsidRDefault="009B19CB" w:rsidP="00A93EA7">
      <w:pPr>
        <w:pStyle w:val="BodyText3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gramStart"/>
      <w:r w:rsidR="00A93EA7" w:rsidRPr="00840393">
        <w:rPr>
          <w:sz w:val="20"/>
          <w:szCs w:val="20"/>
        </w:rPr>
        <w:t>Brighton, U.K. pp. 271-274</w:t>
      </w:r>
      <w:r w:rsidR="00EA742A">
        <w:rPr>
          <w:sz w:val="20"/>
          <w:szCs w:val="20"/>
        </w:rPr>
        <w:t>, 2000</w:t>
      </w:r>
      <w:r w:rsidR="00A93EA7" w:rsidRPr="00840393">
        <w:rPr>
          <w:sz w:val="20"/>
          <w:szCs w:val="20"/>
        </w:rPr>
        <w:t>.</w:t>
      </w:r>
      <w:proofErr w:type="gramEnd"/>
    </w:p>
    <w:p w:rsidR="00EA742A" w:rsidRDefault="00A93EA7" w:rsidP="00A93EA7">
      <w:pPr>
        <w:pStyle w:val="PlainText"/>
        <w:rPr>
          <w:rFonts w:ascii="Times New Roman" w:hAnsi="Times New Roman"/>
        </w:rPr>
      </w:pPr>
      <w:r w:rsidRPr="00A93EA7">
        <w:rPr>
          <w:rFonts w:ascii="Times New Roman" w:hAnsi="Times New Roman"/>
        </w:rPr>
        <w:t>[5]</w:t>
      </w:r>
      <w:r w:rsidR="00EA742A">
        <w:t xml:space="preserve"> </w:t>
      </w:r>
      <w:r w:rsidRPr="00840393">
        <w:rPr>
          <w:rFonts w:ascii="Times New Roman" w:hAnsi="Times New Roman"/>
        </w:rPr>
        <w:t xml:space="preserve">Zhao J. F, Eames P.C., Hyde T.J., Fang Y., Wang J. </w:t>
      </w:r>
    </w:p>
    <w:p w:rsidR="00A93EA7" w:rsidRPr="00840393" w:rsidRDefault="00EA742A" w:rsidP="00A93EA7"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gramStart"/>
      <w:r w:rsidR="00A93EA7" w:rsidRPr="00840393">
        <w:rPr>
          <w:rFonts w:ascii="Times New Roman" w:hAnsi="Times New Roman"/>
        </w:rPr>
        <w:t xml:space="preserve">Solar Energy </w:t>
      </w:r>
      <w:r w:rsidR="00A93EA7" w:rsidRPr="00840393">
        <w:rPr>
          <w:rFonts w:ascii="Times New Roman" w:hAnsi="Times New Roman"/>
          <w:iCs/>
        </w:rPr>
        <w:t>81, 1072-1077</w:t>
      </w:r>
      <w:r>
        <w:rPr>
          <w:rFonts w:ascii="Times New Roman" w:hAnsi="Times New Roman"/>
        </w:rPr>
        <w:t>, 2007.</w:t>
      </w:r>
      <w:proofErr w:type="gramEnd"/>
    </w:p>
    <w:p w:rsidR="00EA742A" w:rsidRDefault="00320871" w:rsidP="00320871">
      <w:r>
        <w:t xml:space="preserve">[6] </w:t>
      </w:r>
      <w:proofErr w:type="spellStart"/>
      <w:r w:rsidRPr="00840393">
        <w:t>Manz</w:t>
      </w:r>
      <w:proofErr w:type="spellEnd"/>
      <w:r w:rsidRPr="00840393">
        <w:t xml:space="preserve"> H., B</w:t>
      </w:r>
      <w:r w:rsidR="00EA742A">
        <w:t xml:space="preserve">runner S., </w:t>
      </w:r>
      <w:proofErr w:type="spellStart"/>
      <w:r w:rsidR="00EA742A">
        <w:t>Wullschleger</w:t>
      </w:r>
      <w:proofErr w:type="spellEnd"/>
      <w:r w:rsidR="00EA742A">
        <w:t xml:space="preserve"> L</w:t>
      </w:r>
      <w:r w:rsidRPr="00840393">
        <w:t xml:space="preserve">. Solar </w:t>
      </w:r>
      <w:r w:rsidR="00EA742A">
        <w:t xml:space="preserve">Energy 80 </w:t>
      </w:r>
    </w:p>
    <w:p w:rsidR="00320871" w:rsidRPr="00840393" w:rsidRDefault="00EA742A" w:rsidP="00320871">
      <w:r>
        <w:t xml:space="preserve">     </w:t>
      </w:r>
      <w:proofErr w:type="gramStart"/>
      <w:r>
        <w:t>1632-1642, 2006.</w:t>
      </w:r>
      <w:proofErr w:type="gramEnd"/>
    </w:p>
    <w:p w:rsidR="00EA742A" w:rsidRDefault="00320871" w:rsidP="00320871">
      <w:r>
        <w:t xml:space="preserve">[7] </w:t>
      </w:r>
      <w:r w:rsidRPr="00840393">
        <w:t>Fan</w:t>
      </w:r>
      <w:r w:rsidR="00EA742A">
        <w:t>g Y., Hyde T. J. Hewitt N</w:t>
      </w:r>
      <w:r w:rsidRPr="00840393">
        <w:t>. Solar Energy</w:t>
      </w:r>
      <w:r>
        <w:t xml:space="preserve"> </w:t>
      </w:r>
      <w:r w:rsidRPr="00840393">
        <w:t>84 2132-</w:t>
      </w:r>
    </w:p>
    <w:p w:rsidR="00320871" w:rsidRPr="00840393" w:rsidRDefault="00EA742A" w:rsidP="00320871">
      <w:r>
        <w:t xml:space="preserve">      </w:t>
      </w:r>
      <w:proofErr w:type="gramStart"/>
      <w:r w:rsidR="00320871" w:rsidRPr="00840393">
        <w:t>2139</w:t>
      </w:r>
      <w:r>
        <w:t>, 2010</w:t>
      </w:r>
      <w:r w:rsidR="00320871" w:rsidRPr="00840393">
        <w:t>.</w:t>
      </w:r>
      <w:proofErr w:type="gramEnd"/>
    </w:p>
    <w:p w:rsidR="00355A72" w:rsidRDefault="00EA742A" w:rsidP="00840393">
      <w:r>
        <w:t xml:space="preserve">[8] </w:t>
      </w:r>
      <w:proofErr w:type="spellStart"/>
      <w:r>
        <w:t>Arya</w:t>
      </w:r>
      <w:proofErr w:type="spellEnd"/>
      <w:r>
        <w:t xml:space="preserve"> F., Fang Y., Hyde T.</w:t>
      </w:r>
      <w:r w:rsidR="00320871">
        <w:t xml:space="preserve"> </w:t>
      </w:r>
      <w:r w:rsidR="00355A72">
        <w:t xml:space="preserve">Proc. Of </w:t>
      </w:r>
      <w:r w:rsidR="009B19CB">
        <w:t xml:space="preserve">The Energy and </w:t>
      </w:r>
    </w:p>
    <w:p w:rsidR="00A93EA7" w:rsidRDefault="00355A72" w:rsidP="00840393">
      <w:r>
        <w:t xml:space="preserve">      </w:t>
      </w:r>
      <w:r w:rsidR="009B19CB">
        <w:t>Mater</w:t>
      </w:r>
      <w:r>
        <w:t>i</w:t>
      </w:r>
      <w:r w:rsidR="009B19CB">
        <w:t xml:space="preserve">als Conference, </w:t>
      </w:r>
      <w:r w:rsidR="00EA742A">
        <w:t xml:space="preserve">Spain </w:t>
      </w:r>
      <w:r w:rsidR="009B19CB">
        <w:t>June 2012</w:t>
      </w:r>
      <w:r w:rsidR="00EA742A">
        <w:t>.</w:t>
      </w:r>
      <w:r w:rsidR="009B19CB">
        <w:t xml:space="preserve"> </w:t>
      </w:r>
    </w:p>
    <w:p w:rsidR="00E92F94" w:rsidRDefault="00320871" w:rsidP="00320871">
      <w:r>
        <w:t xml:space="preserve">[9] </w:t>
      </w:r>
      <w:r w:rsidRPr="00840393">
        <w:t xml:space="preserve">Collins R.E., </w:t>
      </w:r>
      <w:proofErr w:type="spellStart"/>
      <w:r w:rsidRPr="00840393">
        <w:t>AsAno</w:t>
      </w:r>
      <w:proofErr w:type="spellEnd"/>
      <w:r w:rsidRPr="00840393">
        <w:t xml:space="preserve"> O, </w:t>
      </w:r>
      <w:proofErr w:type="spellStart"/>
      <w:r w:rsidRPr="00840393">
        <w:t>Misonou</w:t>
      </w:r>
      <w:proofErr w:type="spellEnd"/>
      <w:r w:rsidRPr="00840393">
        <w:t xml:space="preserve"> M., </w:t>
      </w:r>
      <w:proofErr w:type="spellStart"/>
      <w:r w:rsidRPr="00840393">
        <w:t>Katoh</w:t>
      </w:r>
      <w:proofErr w:type="spellEnd"/>
      <w:r w:rsidRPr="00840393">
        <w:t xml:space="preserve"> H., </w:t>
      </w:r>
    </w:p>
    <w:p w:rsidR="00E92F94" w:rsidRDefault="00E92F94" w:rsidP="00320871">
      <w:r>
        <w:t xml:space="preserve">      </w:t>
      </w:r>
      <w:proofErr w:type="spellStart"/>
      <w:r>
        <w:t>Nagasaka</w:t>
      </w:r>
      <w:proofErr w:type="spellEnd"/>
      <w:r>
        <w:t xml:space="preserve"> S</w:t>
      </w:r>
      <w:r w:rsidR="00320871" w:rsidRPr="00840393">
        <w:t xml:space="preserve">. In: Proceedings of Glass in Buildings </w:t>
      </w:r>
    </w:p>
    <w:p w:rsidR="00320871" w:rsidRPr="00840393" w:rsidRDefault="00E92F94" w:rsidP="00320871">
      <w:r>
        <w:t xml:space="preserve">      </w:t>
      </w:r>
      <w:proofErr w:type="gramStart"/>
      <w:r w:rsidR="00320871" w:rsidRPr="00840393">
        <w:t>Conference, Bath UK, pp. 221–226</w:t>
      </w:r>
      <w:r>
        <w:t>, 1999.</w:t>
      </w:r>
      <w:proofErr w:type="gramEnd"/>
    </w:p>
    <w:p w:rsidR="00320871" w:rsidRDefault="00320871" w:rsidP="00320871">
      <w:r>
        <w:t xml:space="preserve">[10] </w:t>
      </w:r>
      <w:r w:rsidRPr="00840393">
        <w:t>EN</w:t>
      </w:r>
      <w:r>
        <w:t xml:space="preserve"> 673</w:t>
      </w:r>
      <w:r w:rsidRPr="00840393">
        <w:t xml:space="preserve">, 2011. Glass in building – Determination of </w:t>
      </w:r>
    </w:p>
    <w:p w:rsidR="00320871" w:rsidRDefault="00320871" w:rsidP="00320871">
      <w:r>
        <w:t xml:space="preserve">      </w:t>
      </w:r>
      <w:proofErr w:type="gramStart"/>
      <w:r w:rsidRPr="00840393">
        <w:t>thermal</w:t>
      </w:r>
      <w:proofErr w:type="gramEnd"/>
      <w:r w:rsidRPr="00840393">
        <w:t xml:space="preserve"> transmittance (U-value) – Calculation method.</w:t>
      </w:r>
      <w:r>
        <w:t xml:space="preserve">  </w:t>
      </w:r>
    </w:p>
    <w:p w:rsidR="00320871" w:rsidRDefault="00320871" w:rsidP="00320871">
      <w:r>
        <w:t xml:space="preserve">      </w:t>
      </w:r>
      <w:proofErr w:type="gramStart"/>
      <w:r w:rsidRPr="00840393">
        <w:t>European C</w:t>
      </w:r>
      <w:r>
        <w:t>ommittee for Standardization</w:t>
      </w:r>
      <w:r w:rsidRPr="00840393">
        <w:t xml:space="preserve">, </w:t>
      </w:r>
      <w:r>
        <w:t>Brussels.</w:t>
      </w:r>
      <w:proofErr w:type="gramEnd"/>
    </w:p>
    <w:p w:rsidR="006B1F82" w:rsidRDefault="006B1F82" w:rsidP="006B1F82">
      <w:r>
        <w:t>[11]</w:t>
      </w:r>
      <w:r w:rsidRPr="006B1F82">
        <w:t xml:space="preserve"> </w:t>
      </w:r>
      <w:r>
        <w:t>EN ISO 10077-1, 2000.</w:t>
      </w:r>
      <w:r w:rsidRPr="00840393">
        <w:t xml:space="preserve"> Thermal performance of </w:t>
      </w:r>
    </w:p>
    <w:p w:rsidR="006B1F82" w:rsidRDefault="006B1F82" w:rsidP="006B1F82">
      <w:r>
        <w:t xml:space="preserve">      </w:t>
      </w:r>
      <w:proofErr w:type="gramStart"/>
      <w:r w:rsidRPr="00840393">
        <w:t>windows</w:t>
      </w:r>
      <w:proofErr w:type="gramEnd"/>
      <w:r w:rsidRPr="00840393">
        <w:t xml:space="preserve">, doors and shutters ─ Calculation of thermal </w:t>
      </w:r>
    </w:p>
    <w:p w:rsidR="006B1F82" w:rsidRDefault="006B1F82" w:rsidP="006B1F82">
      <w:r>
        <w:t xml:space="preserve">      </w:t>
      </w:r>
      <w:proofErr w:type="gramStart"/>
      <w:r w:rsidRPr="00840393">
        <w:t>transmittance</w:t>
      </w:r>
      <w:proofErr w:type="gramEnd"/>
      <w:r w:rsidRPr="00840393">
        <w:t xml:space="preserve"> ─  Part 1: Simplified method. European </w:t>
      </w:r>
    </w:p>
    <w:p w:rsidR="006B1F82" w:rsidRDefault="006B1F82" w:rsidP="006B1F82">
      <w:r>
        <w:t xml:space="preserve">      </w:t>
      </w:r>
      <w:proofErr w:type="gramStart"/>
      <w:r w:rsidRPr="00840393">
        <w:t>Committee fo</w:t>
      </w:r>
      <w:r>
        <w:t>r Standardization CEN, Brussels</w:t>
      </w:r>
      <w:r w:rsidRPr="00840393">
        <w:t>.</w:t>
      </w:r>
      <w:proofErr w:type="gramEnd"/>
      <w:r w:rsidRPr="00840393">
        <w:t xml:space="preserve"> </w:t>
      </w:r>
    </w:p>
    <w:p w:rsidR="00E92F94" w:rsidRDefault="006B1F82" w:rsidP="006B1F82">
      <w:r>
        <w:t xml:space="preserve">[12] </w:t>
      </w:r>
      <w:proofErr w:type="spellStart"/>
      <w:r>
        <w:t>Rao</w:t>
      </w:r>
      <w:proofErr w:type="spellEnd"/>
      <w:r w:rsidR="00E92F94">
        <w:t xml:space="preserve"> S.S.</w:t>
      </w:r>
      <w:r>
        <w:t xml:space="preserve"> The finite element method in Engineering</w:t>
      </w:r>
      <w:r w:rsidR="00250DFC">
        <w:t xml:space="preserve">, </w:t>
      </w:r>
    </w:p>
    <w:p w:rsidR="006B1F82" w:rsidRDefault="00E92F94" w:rsidP="006B1F82">
      <w:r>
        <w:t xml:space="preserve">       </w:t>
      </w:r>
      <w:proofErr w:type="gramStart"/>
      <w:r w:rsidR="00250DFC">
        <w:t>4th</w:t>
      </w:r>
      <w:r w:rsidR="006B1F82">
        <w:t xml:space="preserve"> ed. Elsevi</w:t>
      </w:r>
      <w:r w:rsidR="00250DFC">
        <w:t>er, Butterworth Heinemann</w:t>
      </w:r>
      <w:r>
        <w:t>, 2005</w:t>
      </w:r>
      <w:r w:rsidR="006B1F82">
        <w:t>.</w:t>
      </w:r>
      <w:proofErr w:type="gramEnd"/>
    </w:p>
    <w:p w:rsidR="009B19CB" w:rsidRDefault="006B1F82" w:rsidP="006B1F82">
      <w:r>
        <w:t xml:space="preserve">[13] </w:t>
      </w:r>
      <w:r w:rsidRPr="007147A0">
        <w:t>Holman</w:t>
      </w:r>
      <w:r w:rsidR="00E92F94">
        <w:t xml:space="preserve"> J.P.</w:t>
      </w:r>
      <w:r w:rsidRPr="007147A0">
        <w:t xml:space="preserve"> Heat Transfer (SI Metric Edition), </w:t>
      </w:r>
    </w:p>
    <w:p w:rsidR="006B1F82" w:rsidRPr="007147A0" w:rsidRDefault="009B19CB" w:rsidP="006B1F82">
      <w:r>
        <w:t xml:space="preserve">       </w:t>
      </w:r>
      <w:proofErr w:type="gramStart"/>
      <w:r w:rsidR="006B1F82" w:rsidRPr="007147A0">
        <w:t>McGr</w:t>
      </w:r>
      <w:r w:rsidR="00250DFC">
        <w:t>aw-Hill</w:t>
      </w:r>
      <w:r w:rsidR="00E92F94">
        <w:t>, 1989</w:t>
      </w:r>
      <w:r w:rsidR="006B1F82" w:rsidRPr="007147A0">
        <w:t>.</w:t>
      </w:r>
      <w:proofErr w:type="gramEnd"/>
    </w:p>
    <w:p w:rsidR="00E92F94" w:rsidRDefault="006B1F82" w:rsidP="00840393"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  <w:t>[14]</w:t>
      </w:r>
      <w:r w:rsidR="00A905C1" w:rsidRPr="00840393">
        <w:rPr>
          <w:rFonts w:ascii="Times New Roman" w:hAnsi="Times New Roman"/>
        </w:rPr>
        <w:t>Fang Y., Hyde J</w:t>
      </w:r>
      <w:r w:rsidR="00E92F94">
        <w:rPr>
          <w:rFonts w:ascii="Times New Roman" w:hAnsi="Times New Roman"/>
        </w:rPr>
        <w:t>.T., Hewitt N., Eames P.C</w:t>
      </w:r>
      <w:r w:rsidR="00A905C1" w:rsidRPr="00840393">
        <w:rPr>
          <w:rFonts w:ascii="Times New Roman" w:hAnsi="Times New Roman"/>
        </w:rPr>
        <w:t xml:space="preserve">. Solar </w:t>
      </w:r>
    </w:p>
    <w:p w:rsidR="00A905C1" w:rsidRPr="00E92F94" w:rsidRDefault="00E92F94" w:rsidP="00840393"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proofErr w:type="gramStart"/>
      <w:r w:rsidR="00A905C1" w:rsidRPr="00840393">
        <w:rPr>
          <w:rFonts w:ascii="Times New Roman" w:hAnsi="Times New Roman"/>
        </w:rPr>
        <w:t xml:space="preserve">Energy </w:t>
      </w:r>
      <w:r w:rsidR="00A905C1" w:rsidRPr="00840393">
        <w:rPr>
          <w:rFonts w:ascii="Times New Roman" w:hAnsi="Times New Roman"/>
          <w:iCs/>
        </w:rPr>
        <w:t>83, 1723-1730</w:t>
      </w:r>
      <w:r>
        <w:rPr>
          <w:rFonts w:ascii="Times New Roman" w:hAnsi="Times New Roman"/>
          <w:iCs/>
        </w:rPr>
        <w:t>, 2009</w:t>
      </w:r>
      <w:r w:rsidR="00A905C1" w:rsidRPr="00840393">
        <w:rPr>
          <w:rFonts w:ascii="Times New Roman" w:hAnsi="Times New Roman"/>
          <w:iCs/>
        </w:rPr>
        <w:t>.</w:t>
      </w:r>
      <w:proofErr w:type="gramEnd"/>
    </w:p>
    <w:p w:rsidR="006B1F82" w:rsidRDefault="006B1F82" w:rsidP="006B1F82">
      <w:r>
        <w:t xml:space="preserve">[15] </w:t>
      </w:r>
      <w:r w:rsidR="00E92F94">
        <w:t>Anon</w:t>
      </w:r>
      <w:r w:rsidRPr="00840393">
        <w:t xml:space="preserve">. LBNL Software for analyzing window </w:t>
      </w:r>
    </w:p>
    <w:p w:rsidR="006B1F82" w:rsidRPr="00840393" w:rsidRDefault="006B1F82" w:rsidP="006B1F82">
      <w:r>
        <w:t xml:space="preserve">      </w:t>
      </w:r>
      <w:proofErr w:type="gramStart"/>
      <w:r w:rsidRPr="00840393">
        <w:t>thermal</w:t>
      </w:r>
      <w:proofErr w:type="gramEnd"/>
      <w:r w:rsidRPr="00840393">
        <w:t xml:space="preserve"> properties and energy efficiency</w:t>
      </w:r>
      <w:r w:rsidR="00E92F94">
        <w:t>, 2012</w:t>
      </w:r>
      <w:r w:rsidRPr="00840393">
        <w:t xml:space="preserve">.  </w:t>
      </w:r>
    </w:p>
    <w:p w:rsidR="006B1F82" w:rsidRPr="00840393" w:rsidRDefault="006B1F82" w:rsidP="00E32454">
      <w:r w:rsidRPr="00840393">
        <w:t xml:space="preserve">      www.windows.lbl.gov/software/window/6/index.html.</w:t>
      </w:r>
    </w:p>
    <w:sectPr w:rsidR="006B1F82" w:rsidRPr="00840393" w:rsidSect="00092B5C">
      <w:type w:val="continuous"/>
      <w:pgSz w:w="12240" w:h="15840"/>
      <w:pgMar w:top="1440" w:right="1077" w:bottom="851" w:left="1077" w:header="720" w:footer="720" w:gutter="0"/>
      <w:cols w:num="2" w:space="43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5A0" w:rsidRDefault="00C855A0" w:rsidP="00710192">
      <w:r>
        <w:separator/>
      </w:r>
    </w:p>
  </w:endnote>
  <w:endnote w:type="continuationSeparator" w:id="0">
    <w:p w:rsidR="00C855A0" w:rsidRDefault="00C855A0" w:rsidP="00710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DD8" w:rsidRDefault="00E91D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5A0" w:rsidRDefault="00C855A0" w:rsidP="00710192">
      <w:r>
        <w:separator/>
      </w:r>
    </w:p>
  </w:footnote>
  <w:footnote w:type="continuationSeparator" w:id="0">
    <w:p w:rsidR="00C855A0" w:rsidRDefault="00C855A0" w:rsidP="007101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534F"/>
    <w:rsid w:val="0000550E"/>
    <w:rsid w:val="00010569"/>
    <w:rsid w:val="0001651E"/>
    <w:rsid w:val="00022D0A"/>
    <w:rsid w:val="00035541"/>
    <w:rsid w:val="00046EC4"/>
    <w:rsid w:val="00053569"/>
    <w:rsid w:val="00064D6E"/>
    <w:rsid w:val="00071126"/>
    <w:rsid w:val="00072D40"/>
    <w:rsid w:val="000813E1"/>
    <w:rsid w:val="0008406E"/>
    <w:rsid w:val="000843AD"/>
    <w:rsid w:val="000864A7"/>
    <w:rsid w:val="00092B5C"/>
    <w:rsid w:val="00093459"/>
    <w:rsid w:val="000976F0"/>
    <w:rsid w:val="000E58D7"/>
    <w:rsid w:val="000E6062"/>
    <w:rsid w:val="000F0A1A"/>
    <w:rsid w:val="000F4A9F"/>
    <w:rsid w:val="001220F8"/>
    <w:rsid w:val="0013030D"/>
    <w:rsid w:val="001349DE"/>
    <w:rsid w:val="00145519"/>
    <w:rsid w:val="001639B0"/>
    <w:rsid w:val="00174ADF"/>
    <w:rsid w:val="0018552F"/>
    <w:rsid w:val="001947E9"/>
    <w:rsid w:val="001A0A0F"/>
    <w:rsid w:val="001A3147"/>
    <w:rsid w:val="001B534F"/>
    <w:rsid w:val="001B5D4E"/>
    <w:rsid w:val="001B6A55"/>
    <w:rsid w:val="001E13E0"/>
    <w:rsid w:val="001E379E"/>
    <w:rsid w:val="001E4D57"/>
    <w:rsid w:val="001F7391"/>
    <w:rsid w:val="001F756F"/>
    <w:rsid w:val="001F783A"/>
    <w:rsid w:val="00202FEF"/>
    <w:rsid w:val="00212A4D"/>
    <w:rsid w:val="0021451E"/>
    <w:rsid w:val="002369D3"/>
    <w:rsid w:val="00242FB1"/>
    <w:rsid w:val="0024674D"/>
    <w:rsid w:val="00247D5C"/>
    <w:rsid w:val="00250745"/>
    <w:rsid w:val="00250DFC"/>
    <w:rsid w:val="00267573"/>
    <w:rsid w:val="002C1CAD"/>
    <w:rsid w:val="002D677E"/>
    <w:rsid w:val="002D6DA6"/>
    <w:rsid w:val="00307330"/>
    <w:rsid w:val="00320871"/>
    <w:rsid w:val="003235BD"/>
    <w:rsid w:val="00327DBA"/>
    <w:rsid w:val="00330902"/>
    <w:rsid w:val="00333296"/>
    <w:rsid w:val="003341B0"/>
    <w:rsid w:val="00345C06"/>
    <w:rsid w:val="00345CF0"/>
    <w:rsid w:val="00345FF0"/>
    <w:rsid w:val="003465FB"/>
    <w:rsid w:val="00350536"/>
    <w:rsid w:val="00351393"/>
    <w:rsid w:val="00355A72"/>
    <w:rsid w:val="00366026"/>
    <w:rsid w:val="003A04F4"/>
    <w:rsid w:val="003A0AB7"/>
    <w:rsid w:val="003B0DDD"/>
    <w:rsid w:val="003B53EC"/>
    <w:rsid w:val="003B75DE"/>
    <w:rsid w:val="003C5B8B"/>
    <w:rsid w:val="003D2CB7"/>
    <w:rsid w:val="003D7D86"/>
    <w:rsid w:val="003E5FA5"/>
    <w:rsid w:val="00416D0D"/>
    <w:rsid w:val="00417A8F"/>
    <w:rsid w:val="00423FEE"/>
    <w:rsid w:val="0042752A"/>
    <w:rsid w:val="00431D08"/>
    <w:rsid w:val="00443208"/>
    <w:rsid w:val="00445D99"/>
    <w:rsid w:val="00456659"/>
    <w:rsid w:val="00456817"/>
    <w:rsid w:val="00457083"/>
    <w:rsid w:val="00457628"/>
    <w:rsid w:val="00483082"/>
    <w:rsid w:val="00494FAF"/>
    <w:rsid w:val="004A31B3"/>
    <w:rsid w:val="004B3638"/>
    <w:rsid w:val="004C33B6"/>
    <w:rsid w:val="004C5A23"/>
    <w:rsid w:val="004C71B8"/>
    <w:rsid w:val="004C75BD"/>
    <w:rsid w:val="004D5929"/>
    <w:rsid w:val="004E6C08"/>
    <w:rsid w:val="00500501"/>
    <w:rsid w:val="00504D83"/>
    <w:rsid w:val="00516EA6"/>
    <w:rsid w:val="00517140"/>
    <w:rsid w:val="00517674"/>
    <w:rsid w:val="00530D3C"/>
    <w:rsid w:val="00533F17"/>
    <w:rsid w:val="0053675C"/>
    <w:rsid w:val="00552B38"/>
    <w:rsid w:val="00554B50"/>
    <w:rsid w:val="0056181A"/>
    <w:rsid w:val="00563FF5"/>
    <w:rsid w:val="00574ED2"/>
    <w:rsid w:val="005771D7"/>
    <w:rsid w:val="005858B1"/>
    <w:rsid w:val="005B161F"/>
    <w:rsid w:val="005B2300"/>
    <w:rsid w:val="005B3BA4"/>
    <w:rsid w:val="005B5996"/>
    <w:rsid w:val="005B7C1E"/>
    <w:rsid w:val="005C74D3"/>
    <w:rsid w:val="005D01E6"/>
    <w:rsid w:val="005D1183"/>
    <w:rsid w:val="005D2C4B"/>
    <w:rsid w:val="005E40D4"/>
    <w:rsid w:val="005E4945"/>
    <w:rsid w:val="005F0166"/>
    <w:rsid w:val="005F067D"/>
    <w:rsid w:val="005F39E1"/>
    <w:rsid w:val="00605838"/>
    <w:rsid w:val="00610FEC"/>
    <w:rsid w:val="00617D89"/>
    <w:rsid w:val="00623AD4"/>
    <w:rsid w:val="00626644"/>
    <w:rsid w:val="006307C3"/>
    <w:rsid w:val="00634D26"/>
    <w:rsid w:val="00635CA1"/>
    <w:rsid w:val="00641CA6"/>
    <w:rsid w:val="006455D1"/>
    <w:rsid w:val="006679BA"/>
    <w:rsid w:val="00672991"/>
    <w:rsid w:val="006A2619"/>
    <w:rsid w:val="006B1F82"/>
    <w:rsid w:val="006B7302"/>
    <w:rsid w:val="006C039D"/>
    <w:rsid w:val="006D06D9"/>
    <w:rsid w:val="006D66C4"/>
    <w:rsid w:val="006E209C"/>
    <w:rsid w:val="006E7805"/>
    <w:rsid w:val="006F0393"/>
    <w:rsid w:val="006F4EB6"/>
    <w:rsid w:val="007068E6"/>
    <w:rsid w:val="00710192"/>
    <w:rsid w:val="00726E8D"/>
    <w:rsid w:val="007308FF"/>
    <w:rsid w:val="00730925"/>
    <w:rsid w:val="00732DB2"/>
    <w:rsid w:val="0074669C"/>
    <w:rsid w:val="00766C1B"/>
    <w:rsid w:val="00767668"/>
    <w:rsid w:val="00776496"/>
    <w:rsid w:val="0078681D"/>
    <w:rsid w:val="00791142"/>
    <w:rsid w:val="00792606"/>
    <w:rsid w:val="007956A6"/>
    <w:rsid w:val="007A2B7B"/>
    <w:rsid w:val="007B089A"/>
    <w:rsid w:val="007D2E8D"/>
    <w:rsid w:val="007D702C"/>
    <w:rsid w:val="007D711E"/>
    <w:rsid w:val="007F1799"/>
    <w:rsid w:val="007F4AC3"/>
    <w:rsid w:val="007F4B68"/>
    <w:rsid w:val="008045BA"/>
    <w:rsid w:val="0080464C"/>
    <w:rsid w:val="00812D4B"/>
    <w:rsid w:val="00816855"/>
    <w:rsid w:val="00826AA6"/>
    <w:rsid w:val="008332DF"/>
    <w:rsid w:val="00834CCB"/>
    <w:rsid w:val="00840393"/>
    <w:rsid w:val="00841A79"/>
    <w:rsid w:val="00845110"/>
    <w:rsid w:val="0084681A"/>
    <w:rsid w:val="008534BC"/>
    <w:rsid w:val="0085452F"/>
    <w:rsid w:val="0086215D"/>
    <w:rsid w:val="00865EC8"/>
    <w:rsid w:val="00876FD8"/>
    <w:rsid w:val="00890A21"/>
    <w:rsid w:val="008928C0"/>
    <w:rsid w:val="00895371"/>
    <w:rsid w:val="00896EFD"/>
    <w:rsid w:val="008A0DC9"/>
    <w:rsid w:val="008A4BC5"/>
    <w:rsid w:val="008B08F8"/>
    <w:rsid w:val="008B26DB"/>
    <w:rsid w:val="008B727E"/>
    <w:rsid w:val="008B7C74"/>
    <w:rsid w:val="008C6556"/>
    <w:rsid w:val="008C6AFA"/>
    <w:rsid w:val="008E081B"/>
    <w:rsid w:val="008E1752"/>
    <w:rsid w:val="008E1974"/>
    <w:rsid w:val="00913459"/>
    <w:rsid w:val="0092497D"/>
    <w:rsid w:val="00926B1F"/>
    <w:rsid w:val="009278EA"/>
    <w:rsid w:val="009446E9"/>
    <w:rsid w:val="00947046"/>
    <w:rsid w:val="00966E81"/>
    <w:rsid w:val="00980D56"/>
    <w:rsid w:val="00981AF7"/>
    <w:rsid w:val="00994475"/>
    <w:rsid w:val="009B19CB"/>
    <w:rsid w:val="009B298A"/>
    <w:rsid w:val="009C2C37"/>
    <w:rsid w:val="009D65B7"/>
    <w:rsid w:val="009F02B6"/>
    <w:rsid w:val="009F0BF1"/>
    <w:rsid w:val="00A053B8"/>
    <w:rsid w:val="00A14A0B"/>
    <w:rsid w:val="00A16AD7"/>
    <w:rsid w:val="00A25060"/>
    <w:rsid w:val="00A31264"/>
    <w:rsid w:val="00A34E87"/>
    <w:rsid w:val="00A4597E"/>
    <w:rsid w:val="00A65A90"/>
    <w:rsid w:val="00A66837"/>
    <w:rsid w:val="00A72A16"/>
    <w:rsid w:val="00A82077"/>
    <w:rsid w:val="00A822DA"/>
    <w:rsid w:val="00A8416B"/>
    <w:rsid w:val="00A905C1"/>
    <w:rsid w:val="00A93EA7"/>
    <w:rsid w:val="00A94005"/>
    <w:rsid w:val="00A9629D"/>
    <w:rsid w:val="00A968DD"/>
    <w:rsid w:val="00AA3F3F"/>
    <w:rsid w:val="00AB0F72"/>
    <w:rsid w:val="00AB288C"/>
    <w:rsid w:val="00AB730A"/>
    <w:rsid w:val="00AC1097"/>
    <w:rsid w:val="00AE5923"/>
    <w:rsid w:val="00B06B58"/>
    <w:rsid w:val="00B074C6"/>
    <w:rsid w:val="00B214DF"/>
    <w:rsid w:val="00B2274C"/>
    <w:rsid w:val="00B2566F"/>
    <w:rsid w:val="00B51413"/>
    <w:rsid w:val="00B562B6"/>
    <w:rsid w:val="00B61424"/>
    <w:rsid w:val="00B66415"/>
    <w:rsid w:val="00B875B1"/>
    <w:rsid w:val="00B976B2"/>
    <w:rsid w:val="00BA113D"/>
    <w:rsid w:val="00BA7E7A"/>
    <w:rsid w:val="00BB0BAB"/>
    <w:rsid w:val="00BC0D0B"/>
    <w:rsid w:val="00BE7244"/>
    <w:rsid w:val="00BF4FD4"/>
    <w:rsid w:val="00C033E7"/>
    <w:rsid w:val="00C03928"/>
    <w:rsid w:val="00C253AB"/>
    <w:rsid w:val="00C264E2"/>
    <w:rsid w:val="00C34020"/>
    <w:rsid w:val="00C51E59"/>
    <w:rsid w:val="00C6322E"/>
    <w:rsid w:val="00C66C67"/>
    <w:rsid w:val="00C7350C"/>
    <w:rsid w:val="00C77D3B"/>
    <w:rsid w:val="00C855A0"/>
    <w:rsid w:val="00C87708"/>
    <w:rsid w:val="00C916AB"/>
    <w:rsid w:val="00C93D03"/>
    <w:rsid w:val="00CB3A47"/>
    <w:rsid w:val="00CC04F9"/>
    <w:rsid w:val="00CD2740"/>
    <w:rsid w:val="00CF56C1"/>
    <w:rsid w:val="00D352EF"/>
    <w:rsid w:val="00D4178C"/>
    <w:rsid w:val="00D45F7E"/>
    <w:rsid w:val="00D53BF6"/>
    <w:rsid w:val="00D55B05"/>
    <w:rsid w:val="00D56F13"/>
    <w:rsid w:val="00D824AC"/>
    <w:rsid w:val="00D84FD9"/>
    <w:rsid w:val="00D86FD5"/>
    <w:rsid w:val="00DD0852"/>
    <w:rsid w:val="00DE5EBF"/>
    <w:rsid w:val="00DF5847"/>
    <w:rsid w:val="00DF591E"/>
    <w:rsid w:val="00DF63F2"/>
    <w:rsid w:val="00E05107"/>
    <w:rsid w:val="00E0646E"/>
    <w:rsid w:val="00E17DA0"/>
    <w:rsid w:val="00E32454"/>
    <w:rsid w:val="00E54DD2"/>
    <w:rsid w:val="00E6285C"/>
    <w:rsid w:val="00E70DF7"/>
    <w:rsid w:val="00E754DD"/>
    <w:rsid w:val="00E77329"/>
    <w:rsid w:val="00E80315"/>
    <w:rsid w:val="00E85678"/>
    <w:rsid w:val="00E87067"/>
    <w:rsid w:val="00E91DD8"/>
    <w:rsid w:val="00E9255F"/>
    <w:rsid w:val="00E92F94"/>
    <w:rsid w:val="00EA6270"/>
    <w:rsid w:val="00EA742A"/>
    <w:rsid w:val="00EB0D84"/>
    <w:rsid w:val="00EB33BA"/>
    <w:rsid w:val="00EB4BDB"/>
    <w:rsid w:val="00EB5BD8"/>
    <w:rsid w:val="00EB6179"/>
    <w:rsid w:val="00ED5F0A"/>
    <w:rsid w:val="00EE390A"/>
    <w:rsid w:val="00EF1469"/>
    <w:rsid w:val="00EF3713"/>
    <w:rsid w:val="00EF4C7C"/>
    <w:rsid w:val="00EF6A32"/>
    <w:rsid w:val="00F06702"/>
    <w:rsid w:val="00F3292E"/>
    <w:rsid w:val="00F32932"/>
    <w:rsid w:val="00F36B0B"/>
    <w:rsid w:val="00F448E1"/>
    <w:rsid w:val="00F5601F"/>
    <w:rsid w:val="00F56B41"/>
    <w:rsid w:val="00F629A8"/>
    <w:rsid w:val="00F644F0"/>
    <w:rsid w:val="00F700B9"/>
    <w:rsid w:val="00F71065"/>
    <w:rsid w:val="00F77BAD"/>
    <w:rsid w:val="00F77C79"/>
    <w:rsid w:val="00F969FC"/>
    <w:rsid w:val="00FA3CC6"/>
    <w:rsid w:val="00FC0718"/>
    <w:rsid w:val="00FE535A"/>
    <w:rsid w:val="00FE7502"/>
    <w:rsid w:val="00FE7838"/>
    <w:rsid w:val="00FE7D48"/>
    <w:rsid w:val="00FF3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34F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14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">
    <w:name w:val="Author"/>
    <w:basedOn w:val="Normal"/>
    <w:next w:val="Normal"/>
    <w:rsid w:val="001B534F"/>
    <w:pPr>
      <w:keepNext/>
      <w:jc w:val="center"/>
    </w:pPr>
    <w:rPr>
      <w:rFonts w:ascii="Arial" w:hAnsi="Arial"/>
      <w:b/>
    </w:rPr>
  </w:style>
  <w:style w:type="paragraph" w:customStyle="1" w:styleId="AbstractClauseTitle">
    <w:name w:val="Abstract Clause Title"/>
    <w:basedOn w:val="Normal"/>
    <w:next w:val="BodyTextIndent"/>
    <w:rsid w:val="001B534F"/>
    <w:pPr>
      <w:keepNext/>
    </w:pPr>
    <w:rPr>
      <w:rFonts w:ascii="Arial" w:hAnsi="Arial"/>
      <w:b/>
      <w:caps/>
    </w:rPr>
  </w:style>
  <w:style w:type="paragraph" w:styleId="BodyTextIndent">
    <w:name w:val="Body Text Indent"/>
    <w:basedOn w:val="Normal"/>
    <w:link w:val="BodyTextIndentChar"/>
    <w:rsid w:val="001B534F"/>
    <w:pPr>
      <w:ind w:firstLine="360"/>
    </w:pPr>
  </w:style>
  <w:style w:type="character" w:customStyle="1" w:styleId="BodyTextIndentChar">
    <w:name w:val="Body Text Indent Char"/>
    <w:basedOn w:val="DefaultParagraphFont"/>
    <w:link w:val="BodyTextIndent"/>
    <w:rsid w:val="001B534F"/>
    <w:rPr>
      <w:rFonts w:ascii="Times New Roman" w:eastAsia="Times New Roman" w:hAnsi="Times New Roman" w:cs="Times New Roman"/>
      <w:kern w:val="1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F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F0A"/>
    <w:rPr>
      <w:rFonts w:ascii="Tahoma" w:eastAsia="Times New Roman" w:hAnsi="Tahoma" w:cs="Tahoma"/>
      <w:kern w:val="14"/>
      <w:sz w:val="16"/>
      <w:szCs w:val="16"/>
    </w:rPr>
  </w:style>
  <w:style w:type="paragraph" w:styleId="NoSpacing">
    <w:name w:val="No Spacing"/>
    <w:uiPriority w:val="1"/>
    <w:qFormat/>
    <w:rsid w:val="00ED5F0A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14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63F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63FF5"/>
    <w:rPr>
      <w:rFonts w:ascii="Times New Roman" w:eastAsia="Times New Roman" w:hAnsi="Times New Roman" w:cs="Times New Roman"/>
      <w:kern w:val="14"/>
      <w:sz w:val="20"/>
      <w:szCs w:val="20"/>
    </w:rPr>
  </w:style>
  <w:style w:type="paragraph" w:customStyle="1" w:styleId="NomenclatureClauseTitle">
    <w:name w:val="Nomenclature Clause Title"/>
    <w:basedOn w:val="Normal"/>
    <w:next w:val="BodyTextIndent"/>
    <w:rsid w:val="00563FF5"/>
    <w:pPr>
      <w:keepNext/>
      <w:spacing w:before="240"/>
    </w:pPr>
    <w:rPr>
      <w:rFonts w:ascii="Arial" w:hAnsi="Arial"/>
      <w:b/>
      <w:caps/>
    </w:rPr>
  </w:style>
  <w:style w:type="paragraph" w:styleId="BodyText">
    <w:name w:val="Body Text"/>
    <w:basedOn w:val="Normal"/>
    <w:link w:val="BodyTextChar"/>
    <w:rsid w:val="00563FF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63FF5"/>
    <w:rPr>
      <w:rFonts w:ascii="Times New Roman" w:eastAsia="Times New Roman" w:hAnsi="Times New Roman" w:cs="Times New Roman"/>
      <w:kern w:val="14"/>
      <w:sz w:val="20"/>
      <w:szCs w:val="20"/>
    </w:rPr>
  </w:style>
  <w:style w:type="paragraph" w:styleId="NormalWeb">
    <w:name w:val="Normal (Web)"/>
    <w:basedOn w:val="Normal"/>
    <w:uiPriority w:val="99"/>
    <w:unhideWhenUsed/>
    <w:rsid w:val="004B3638"/>
    <w:pP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kern w:val="0"/>
      <w:sz w:val="24"/>
      <w:szCs w:val="24"/>
    </w:rPr>
  </w:style>
  <w:style w:type="paragraph" w:styleId="PlainText">
    <w:name w:val="Plain Text"/>
    <w:basedOn w:val="Normal"/>
    <w:link w:val="PlainTextChar"/>
    <w:rsid w:val="007D702C"/>
    <w:pPr>
      <w:suppressAutoHyphens w:val="0"/>
      <w:overflowPunct/>
      <w:autoSpaceDE/>
      <w:autoSpaceDN/>
      <w:adjustRightInd/>
      <w:jc w:val="left"/>
      <w:textAlignment w:val="auto"/>
    </w:pPr>
    <w:rPr>
      <w:rFonts w:ascii="Courier New" w:hAnsi="Courier New" w:cs="Courier New"/>
      <w:kern w:val="0"/>
    </w:rPr>
  </w:style>
  <w:style w:type="character" w:customStyle="1" w:styleId="PlainTextChar">
    <w:name w:val="Plain Text Char"/>
    <w:basedOn w:val="DefaultParagraphFont"/>
    <w:link w:val="PlainText"/>
    <w:rsid w:val="007D702C"/>
    <w:rPr>
      <w:rFonts w:ascii="Courier New" w:eastAsia="Times New Roman" w:hAnsi="Courier New" w:cs="Courier New"/>
      <w:sz w:val="20"/>
      <w:szCs w:val="20"/>
    </w:rPr>
  </w:style>
  <w:style w:type="character" w:customStyle="1" w:styleId="bf">
    <w:name w:val="bf"/>
    <w:basedOn w:val="DefaultParagraphFont"/>
    <w:rsid w:val="007D702C"/>
  </w:style>
  <w:style w:type="paragraph" w:styleId="BodyText3">
    <w:name w:val="Body Text 3"/>
    <w:basedOn w:val="Normal"/>
    <w:link w:val="BodyText3Char"/>
    <w:uiPriority w:val="99"/>
    <w:semiHidden/>
    <w:unhideWhenUsed/>
    <w:rsid w:val="007D702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D702C"/>
    <w:rPr>
      <w:rFonts w:ascii="Times New Roman" w:eastAsia="Times New Roman" w:hAnsi="Times New Roman" w:cs="Times New Roman"/>
      <w:kern w:val="14"/>
      <w:sz w:val="16"/>
      <w:szCs w:val="16"/>
    </w:rPr>
  </w:style>
  <w:style w:type="table" w:styleId="TableGrid">
    <w:name w:val="Table Grid"/>
    <w:basedOn w:val="TableNormal"/>
    <w:rsid w:val="002C1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101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0192"/>
    <w:rPr>
      <w:rFonts w:ascii="Times New Roman" w:eastAsia="Times New Roman" w:hAnsi="Times New Roman" w:cs="Times New Roman"/>
      <w:kern w:val="14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101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192"/>
    <w:rPr>
      <w:rFonts w:ascii="Times New Roman" w:eastAsia="Times New Roman" w:hAnsi="Times New Roman" w:cs="Times New Roman"/>
      <w:kern w:val="14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92B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6.bin"/><Relationship Id="rId47" Type="http://schemas.openxmlformats.org/officeDocument/2006/relationships/image" Target="media/image22.emf"/><Relationship Id="rId7" Type="http://schemas.openxmlformats.org/officeDocument/2006/relationships/hyperlink" Target="mailto:fangyueping@yahoo.com" TargetMode="External"/><Relationship Id="rId12" Type="http://schemas.openxmlformats.org/officeDocument/2006/relationships/oleObject" Target="embeddings/oleObject1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4.bin"/><Relationship Id="rId46" Type="http://schemas.openxmlformats.org/officeDocument/2006/relationships/image" Target="media/image21.emf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5.bin"/><Relationship Id="rId45" Type="http://schemas.openxmlformats.org/officeDocument/2006/relationships/image" Target="media/image20.e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7.bin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fontTable" Target="fontTable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DE7D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CB8C88-357D-4BE5-BC84-899D28AE7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1443</TotalTime>
  <Pages>5</Pages>
  <Words>3525</Words>
  <Characters>20098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Ulster</Company>
  <LinksUpToDate>false</LinksUpToDate>
  <CharactersWithSpaces>23576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UUJ</dc:creator>
  <cp:keywords/>
  <dc:description/>
  <cp:lastModifiedBy>UUJ</cp:lastModifiedBy>
  <cp:revision>42</cp:revision>
  <cp:lastPrinted>2012-07-12T15:05:00Z</cp:lastPrinted>
  <dcterms:created xsi:type="dcterms:W3CDTF">2012-06-15T12:42:00Z</dcterms:created>
  <dcterms:modified xsi:type="dcterms:W3CDTF">2012-07-16T15:50:00Z</dcterms:modified>
</cp:coreProperties>
</file>