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34" w:rsidRDefault="00B57134" w:rsidP="00B57134">
      <w:pPr>
        <w:rPr>
          <w:rFonts w:ascii="Calibri" w:hAnsi="Calibri"/>
          <w:b/>
          <w:sz w:val="28"/>
          <w:szCs w:val="28"/>
        </w:rPr>
      </w:pPr>
    </w:p>
    <w:p w:rsidR="00B57134" w:rsidRDefault="00B57134" w:rsidP="00B57134">
      <w:pPr>
        <w:rPr>
          <w:rFonts w:ascii="Calibri" w:hAnsi="Calibri"/>
          <w:b/>
          <w:sz w:val="28"/>
          <w:szCs w:val="28"/>
        </w:rPr>
      </w:pPr>
    </w:p>
    <w:p w:rsidR="00B57134" w:rsidRDefault="00B57134" w:rsidP="00B57134">
      <w:pPr>
        <w:rPr>
          <w:rFonts w:ascii="Calibri" w:hAnsi="Calibri"/>
          <w:b/>
          <w:sz w:val="28"/>
          <w:szCs w:val="28"/>
        </w:rPr>
      </w:pPr>
    </w:p>
    <w:p w:rsidR="00B57134" w:rsidRDefault="00B57134" w:rsidP="00B57134">
      <w:pPr>
        <w:rPr>
          <w:rFonts w:ascii="Calibri" w:hAnsi="Calibri"/>
          <w:b/>
          <w:sz w:val="28"/>
          <w:szCs w:val="28"/>
        </w:rPr>
      </w:pPr>
    </w:p>
    <w:p w:rsidR="00B57134" w:rsidRDefault="00B57134" w:rsidP="00B57134">
      <w:pPr>
        <w:jc w:val="center"/>
        <w:rPr>
          <w:rFonts w:ascii="Calibri" w:hAnsi="Calibri"/>
          <w:b/>
          <w:sz w:val="28"/>
          <w:szCs w:val="28"/>
        </w:rPr>
      </w:pPr>
    </w:p>
    <w:p w:rsidR="00B57134" w:rsidRDefault="00B57134" w:rsidP="00B57134">
      <w:pPr>
        <w:jc w:val="center"/>
        <w:rPr>
          <w:rFonts w:ascii="Calibri" w:hAnsi="Calibri"/>
          <w:b/>
          <w:sz w:val="28"/>
          <w:szCs w:val="28"/>
        </w:rPr>
      </w:pPr>
    </w:p>
    <w:p w:rsidR="00B57134" w:rsidRDefault="00B57134" w:rsidP="00B57134">
      <w:pPr>
        <w:jc w:val="center"/>
        <w:rPr>
          <w:rFonts w:ascii="Calibri" w:hAnsi="Calibri"/>
          <w:b/>
          <w:sz w:val="28"/>
          <w:szCs w:val="28"/>
        </w:rPr>
      </w:pPr>
    </w:p>
    <w:p w:rsidR="00B57134" w:rsidRDefault="002F6EEC" w:rsidP="00B57134">
      <w:pPr>
        <w:jc w:val="center"/>
        <w:rPr>
          <w:rFonts w:ascii="Calibri" w:hAnsi="Calibri"/>
          <w:b/>
          <w:sz w:val="28"/>
          <w:szCs w:val="28"/>
        </w:rPr>
      </w:pPr>
      <w:r>
        <w:rPr>
          <w:rFonts w:ascii="Calibri" w:hAnsi="Calibri"/>
          <w:b/>
          <w:sz w:val="28"/>
          <w:szCs w:val="28"/>
        </w:rPr>
        <w:t xml:space="preserve">Public Consultation on </w:t>
      </w:r>
      <w:r w:rsidR="00B57134">
        <w:rPr>
          <w:rFonts w:ascii="Calibri" w:hAnsi="Calibri"/>
          <w:b/>
          <w:sz w:val="28"/>
          <w:szCs w:val="28"/>
        </w:rPr>
        <w:t xml:space="preserve">Area </w:t>
      </w:r>
      <w:r>
        <w:rPr>
          <w:rFonts w:ascii="Calibri" w:hAnsi="Calibri"/>
          <w:b/>
          <w:sz w:val="28"/>
          <w:szCs w:val="28"/>
        </w:rPr>
        <w:t xml:space="preserve">Education </w:t>
      </w:r>
      <w:r w:rsidR="00B57134">
        <w:rPr>
          <w:rFonts w:ascii="Calibri" w:hAnsi="Calibri"/>
          <w:b/>
          <w:sz w:val="28"/>
          <w:szCs w:val="28"/>
        </w:rPr>
        <w:t>Plans</w:t>
      </w:r>
      <w:r>
        <w:rPr>
          <w:rFonts w:ascii="Calibri" w:hAnsi="Calibri"/>
          <w:b/>
          <w:sz w:val="28"/>
          <w:szCs w:val="28"/>
        </w:rPr>
        <w:t>:</w:t>
      </w:r>
    </w:p>
    <w:p w:rsidR="002F6EEC" w:rsidRPr="00623252" w:rsidRDefault="002F6EEC" w:rsidP="00B57134">
      <w:pPr>
        <w:jc w:val="center"/>
        <w:rPr>
          <w:rFonts w:ascii="Calibri" w:hAnsi="Calibri"/>
          <w:b/>
          <w:sz w:val="28"/>
          <w:szCs w:val="28"/>
        </w:rPr>
      </w:pPr>
      <w:r>
        <w:rPr>
          <w:rFonts w:ascii="Calibri" w:hAnsi="Calibri"/>
          <w:b/>
          <w:sz w:val="28"/>
          <w:szCs w:val="28"/>
        </w:rPr>
        <w:t>Influencing change or tokenism?</w:t>
      </w:r>
    </w:p>
    <w:p w:rsidR="00B57134" w:rsidRDefault="00B57134">
      <w:pPr>
        <w:rPr>
          <w:b/>
          <w:sz w:val="28"/>
          <w:szCs w:val="28"/>
        </w:rPr>
      </w:pPr>
    </w:p>
    <w:p w:rsidR="00C77369" w:rsidRDefault="00C77369">
      <w:pPr>
        <w:rPr>
          <w:b/>
          <w:sz w:val="28"/>
          <w:szCs w:val="28"/>
        </w:rPr>
      </w:pPr>
    </w:p>
    <w:p w:rsidR="00C77369" w:rsidRDefault="00C77369">
      <w:pPr>
        <w:rPr>
          <w:b/>
          <w:sz w:val="28"/>
          <w:szCs w:val="28"/>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Default="00B57134" w:rsidP="00B57134">
      <w:pPr>
        <w:spacing w:after="0" w:line="240" w:lineRule="auto"/>
        <w:rPr>
          <w:b/>
          <w:sz w:val="24"/>
        </w:rPr>
      </w:pPr>
    </w:p>
    <w:p w:rsidR="00B57134" w:rsidRPr="00B57134" w:rsidRDefault="002707FB" w:rsidP="00B57134">
      <w:pPr>
        <w:spacing w:after="0" w:line="240" w:lineRule="auto"/>
        <w:rPr>
          <w:b/>
          <w:sz w:val="24"/>
        </w:rPr>
      </w:pPr>
      <w:proofErr w:type="spellStart"/>
      <w:r>
        <w:rPr>
          <w:b/>
          <w:sz w:val="24"/>
        </w:rPr>
        <w:t>Vani</w:t>
      </w:r>
      <w:proofErr w:type="spellEnd"/>
      <w:r>
        <w:rPr>
          <w:b/>
          <w:sz w:val="24"/>
        </w:rPr>
        <w:t xml:space="preserve"> </w:t>
      </w:r>
      <w:proofErr w:type="spellStart"/>
      <w:r>
        <w:rPr>
          <w:b/>
          <w:sz w:val="24"/>
        </w:rPr>
        <w:t>Borooah</w:t>
      </w:r>
      <w:proofErr w:type="spellEnd"/>
      <w:r>
        <w:rPr>
          <w:b/>
          <w:sz w:val="24"/>
        </w:rPr>
        <w:t xml:space="preserve"> and </w:t>
      </w:r>
      <w:r w:rsidR="00B57134" w:rsidRPr="00B57134">
        <w:rPr>
          <w:b/>
          <w:sz w:val="24"/>
        </w:rPr>
        <w:t>Colin Knox</w:t>
      </w:r>
    </w:p>
    <w:p w:rsidR="00B57134" w:rsidRDefault="00B57134" w:rsidP="00B57134">
      <w:pPr>
        <w:spacing w:after="0" w:line="240" w:lineRule="auto"/>
        <w:rPr>
          <w:sz w:val="24"/>
        </w:rPr>
      </w:pPr>
      <w:r>
        <w:rPr>
          <w:sz w:val="24"/>
        </w:rPr>
        <w:t>Institute for Research in Social Sciences</w:t>
      </w:r>
    </w:p>
    <w:p w:rsidR="00B57134" w:rsidRDefault="00B57134" w:rsidP="00B57134">
      <w:pPr>
        <w:spacing w:after="0" w:line="240" w:lineRule="auto"/>
        <w:rPr>
          <w:sz w:val="24"/>
        </w:rPr>
      </w:pPr>
      <w:r>
        <w:rPr>
          <w:sz w:val="24"/>
        </w:rPr>
        <w:t>University of Ulster</w:t>
      </w:r>
    </w:p>
    <w:p w:rsidR="002707FB" w:rsidRDefault="00B57134" w:rsidP="00B57134">
      <w:pPr>
        <w:spacing w:after="0" w:line="240" w:lineRule="auto"/>
        <w:rPr>
          <w:sz w:val="24"/>
        </w:rPr>
      </w:pPr>
      <w:r>
        <w:rPr>
          <w:sz w:val="24"/>
        </w:rPr>
        <w:t xml:space="preserve">Email: </w:t>
      </w:r>
    </w:p>
    <w:p w:rsidR="002707FB" w:rsidRDefault="002707FB" w:rsidP="00B57134">
      <w:pPr>
        <w:spacing w:after="0" w:line="240" w:lineRule="auto"/>
        <w:rPr>
          <w:sz w:val="24"/>
        </w:rPr>
      </w:pPr>
      <w:hyperlink r:id="rId8" w:history="1">
        <w:r w:rsidRPr="008A4E36">
          <w:rPr>
            <w:rStyle w:val="Hyperlink"/>
            <w:sz w:val="24"/>
          </w:rPr>
          <w:t>vkborooah@ulster.ac.uk</w:t>
        </w:r>
      </w:hyperlink>
      <w:r>
        <w:rPr>
          <w:sz w:val="24"/>
        </w:rPr>
        <w:t xml:space="preserve"> </w:t>
      </w:r>
    </w:p>
    <w:p w:rsidR="00B57134" w:rsidRDefault="002707FB" w:rsidP="00B57134">
      <w:pPr>
        <w:spacing w:after="0" w:line="240" w:lineRule="auto"/>
        <w:rPr>
          <w:sz w:val="24"/>
        </w:rPr>
      </w:pPr>
      <w:hyperlink r:id="rId9" w:history="1">
        <w:r w:rsidRPr="008A4E36">
          <w:rPr>
            <w:rStyle w:val="Hyperlink"/>
            <w:sz w:val="24"/>
          </w:rPr>
          <w:t>cg.knox@ulster.ac.uk</w:t>
        </w:r>
      </w:hyperlink>
      <w:r>
        <w:rPr>
          <w:sz w:val="24"/>
        </w:rPr>
        <w:t xml:space="preserve"> </w:t>
      </w:r>
    </w:p>
    <w:p w:rsidR="00B57134" w:rsidRDefault="00B57134" w:rsidP="00B57134">
      <w:pPr>
        <w:jc w:val="center"/>
      </w:pPr>
    </w:p>
    <w:p w:rsidR="00B57134" w:rsidRDefault="00B57134" w:rsidP="00B57134">
      <w:pPr>
        <w:rPr>
          <w:b/>
        </w:rPr>
      </w:pPr>
      <w:r>
        <w:rPr>
          <w:b/>
          <w:sz w:val="24"/>
        </w:rPr>
        <w:t>June 2013</w:t>
      </w:r>
    </w:p>
    <w:p w:rsidR="00B57134" w:rsidRPr="008435F0" w:rsidRDefault="00B57134" w:rsidP="00B42C22">
      <w:pPr>
        <w:jc w:val="center"/>
        <w:rPr>
          <w:b/>
          <w:sz w:val="28"/>
          <w:szCs w:val="28"/>
        </w:rPr>
      </w:pPr>
      <w:r>
        <w:rPr>
          <w:b/>
          <w:sz w:val="28"/>
          <w:szCs w:val="28"/>
        </w:rPr>
        <w:br w:type="page"/>
      </w:r>
      <w:r w:rsidRPr="008435F0">
        <w:rPr>
          <w:b/>
          <w:sz w:val="28"/>
          <w:szCs w:val="28"/>
        </w:rPr>
        <w:lastRenderedPageBreak/>
        <w:t>Executive Summary</w:t>
      </w:r>
    </w:p>
    <w:p w:rsidR="00B57134" w:rsidRPr="00B57134" w:rsidRDefault="00B57134" w:rsidP="00B57134">
      <w:pPr>
        <w:pStyle w:val="ListParagraph"/>
        <w:numPr>
          <w:ilvl w:val="0"/>
          <w:numId w:val="7"/>
        </w:numPr>
        <w:rPr>
          <w:rFonts w:ascii="Calibri" w:hAnsi="Calibri"/>
          <w:sz w:val="24"/>
          <w:szCs w:val="24"/>
        </w:rPr>
      </w:pPr>
      <w:r w:rsidRPr="00B57134">
        <w:rPr>
          <w:rFonts w:ascii="Calibri" w:hAnsi="Calibri"/>
          <w:sz w:val="24"/>
          <w:szCs w:val="24"/>
        </w:rPr>
        <w:t>The massive public consultation response (n = 49,415) to the post-primary area plans shows an appetite for engagement in the future of education. This is hugely welcome but needs to be taken seriously by the managing authorities.</w:t>
      </w:r>
    </w:p>
    <w:p w:rsidR="00B57134" w:rsidRPr="00B57134" w:rsidRDefault="00B57134" w:rsidP="00B57134">
      <w:pPr>
        <w:pStyle w:val="ListParagraph"/>
        <w:ind w:left="360"/>
        <w:rPr>
          <w:rFonts w:ascii="Calibri" w:hAnsi="Calibri"/>
          <w:sz w:val="24"/>
          <w:szCs w:val="24"/>
        </w:rPr>
      </w:pPr>
    </w:p>
    <w:p w:rsidR="00B57134" w:rsidRPr="00B57134" w:rsidRDefault="00B57134" w:rsidP="00B57134">
      <w:pPr>
        <w:pStyle w:val="ListParagraph"/>
        <w:numPr>
          <w:ilvl w:val="0"/>
          <w:numId w:val="7"/>
        </w:numPr>
        <w:rPr>
          <w:rFonts w:ascii="Calibri" w:hAnsi="Calibri"/>
          <w:sz w:val="24"/>
          <w:szCs w:val="24"/>
        </w:rPr>
      </w:pPr>
      <w:r w:rsidRPr="00B57134">
        <w:rPr>
          <w:rFonts w:ascii="Calibri" w:hAnsi="Calibri"/>
          <w:sz w:val="24"/>
          <w:szCs w:val="24"/>
        </w:rPr>
        <w:t>Notwithstanding the volume of responses, the quantity of paperwork for the public to read and digest on future proposals for schools makes it inaccessible and tedious for large sections of the population and demands access to on-line resources. Although provision can be made for hard copy access, the default position is that the documents are available on-line. This, in itself, can become an obstacle when considering a large volume of information for the public to read and comment on.</w:t>
      </w:r>
    </w:p>
    <w:p w:rsidR="00B57134" w:rsidRPr="00B57134" w:rsidRDefault="00B57134" w:rsidP="00B57134">
      <w:pPr>
        <w:pStyle w:val="ListParagraph"/>
        <w:rPr>
          <w:rFonts w:ascii="Calibri" w:hAnsi="Calibri"/>
          <w:sz w:val="24"/>
          <w:szCs w:val="24"/>
        </w:rPr>
      </w:pPr>
    </w:p>
    <w:p w:rsidR="00B57134" w:rsidRPr="00B57134" w:rsidRDefault="00B57134" w:rsidP="00B57134">
      <w:pPr>
        <w:pStyle w:val="ListParagraph"/>
        <w:numPr>
          <w:ilvl w:val="0"/>
          <w:numId w:val="7"/>
        </w:numPr>
        <w:rPr>
          <w:rFonts w:ascii="Calibri" w:hAnsi="Calibri"/>
          <w:sz w:val="24"/>
          <w:szCs w:val="24"/>
        </w:rPr>
      </w:pPr>
      <w:r w:rsidRPr="00B57134">
        <w:rPr>
          <w:rFonts w:ascii="Calibri" w:hAnsi="Calibri"/>
          <w:sz w:val="24"/>
          <w:szCs w:val="24"/>
        </w:rPr>
        <w:t>This paper has evidenced how one education and library board, in particular, has chosen to ignore grassroots opinion which offers potential local solutions. This represents the worse type of paternalism on the part of school managing authorities; a ‘we know best attitude’ reinforced by a needs model in the area plans which is based on 3 separate sectors: controlled, maintained and integrated schools. Such an approach stifles ‘innovation and creativity’ which the Department of Education implored the Education and Library Boards and CCMS to embrace in their approach to area planning.</w:t>
      </w:r>
    </w:p>
    <w:p w:rsidR="00B57134" w:rsidRPr="00B57134" w:rsidRDefault="00B57134" w:rsidP="00B57134">
      <w:pPr>
        <w:pStyle w:val="ListParagraph"/>
        <w:rPr>
          <w:rFonts w:ascii="Calibri" w:hAnsi="Calibri"/>
          <w:sz w:val="24"/>
          <w:szCs w:val="24"/>
        </w:rPr>
      </w:pPr>
    </w:p>
    <w:p w:rsidR="00B8416B" w:rsidRDefault="00B57134" w:rsidP="00B8416B">
      <w:pPr>
        <w:pStyle w:val="ListParagraph"/>
        <w:numPr>
          <w:ilvl w:val="0"/>
          <w:numId w:val="7"/>
        </w:numPr>
        <w:rPr>
          <w:rFonts w:ascii="Calibri" w:hAnsi="Calibri"/>
          <w:sz w:val="24"/>
          <w:szCs w:val="24"/>
        </w:rPr>
      </w:pPr>
      <w:r w:rsidRPr="002F6EEC">
        <w:rPr>
          <w:rFonts w:ascii="Calibri" w:hAnsi="Calibri"/>
          <w:sz w:val="24"/>
          <w:szCs w:val="24"/>
        </w:rPr>
        <w:t xml:space="preserve">The Education Minister has encouraged public engagement in the future reorganisation of the education estate, in particular bottom-up solutions. The evidence in this paper indicates that people are much more advanced in their thinking than managing authorities which have acted as gatekeepers for local solutions and sought to protect their own </w:t>
      </w:r>
      <w:proofErr w:type="spellStart"/>
      <w:r w:rsidRPr="002F6EEC">
        <w:rPr>
          <w:rFonts w:ascii="Calibri" w:hAnsi="Calibri"/>
          <w:sz w:val="24"/>
          <w:szCs w:val="24"/>
        </w:rPr>
        <w:t>sectoral</w:t>
      </w:r>
      <w:proofErr w:type="spellEnd"/>
      <w:r w:rsidRPr="002F6EEC">
        <w:rPr>
          <w:rFonts w:ascii="Calibri" w:hAnsi="Calibri"/>
          <w:sz w:val="24"/>
          <w:szCs w:val="24"/>
        </w:rPr>
        <w:t xml:space="preserve"> interests. </w:t>
      </w:r>
    </w:p>
    <w:p w:rsidR="00B8416B" w:rsidRPr="00B8416B" w:rsidRDefault="00B8416B" w:rsidP="00B8416B">
      <w:pPr>
        <w:pStyle w:val="ListParagraph"/>
        <w:rPr>
          <w:rFonts w:ascii="Calibri" w:hAnsi="Calibri"/>
          <w:sz w:val="24"/>
          <w:szCs w:val="24"/>
        </w:rPr>
      </w:pPr>
    </w:p>
    <w:p w:rsidR="00B57134" w:rsidRPr="00B57134" w:rsidRDefault="00D837D6" w:rsidP="00B8416B">
      <w:pPr>
        <w:pStyle w:val="ListParagraph"/>
        <w:numPr>
          <w:ilvl w:val="0"/>
          <w:numId w:val="7"/>
        </w:numPr>
        <w:rPr>
          <w:rFonts w:ascii="Calibri" w:hAnsi="Calibri"/>
          <w:sz w:val="24"/>
          <w:szCs w:val="24"/>
        </w:rPr>
      </w:pPr>
      <w:r>
        <w:rPr>
          <w:rFonts w:ascii="Calibri" w:hAnsi="Calibri"/>
          <w:sz w:val="24"/>
          <w:szCs w:val="24"/>
        </w:rPr>
        <w:t xml:space="preserve">The </w:t>
      </w:r>
      <w:r w:rsidR="00B57134" w:rsidRPr="00B57134">
        <w:rPr>
          <w:rFonts w:ascii="Calibri" w:hAnsi="Calibri"/>
          <w:sz w:val="24"/>
          <w:szCs w:val="24"/>
        </w:rPr>
        <w:t>indications are that consultation over the future of primary schools will repeat the same failed approach. Local communities are up for change. The key question is whether their views will be taken seriously by school managing authorities and the Department of Education – true public consultation or tokenism?</w:t>
      </w:r>
    </w:p>
    <w:p w:rsidR="00B57134" w:rsidRPr="00B57134" w:rsidRDefault="00B57134" w:rsidP="00B57134">
      <w:pPr>
        <w:rPr>
          <w:rFonts w:ascii="Calibri" w:hAnsi="Calibri"/>
          <w:sz w:val="24"/>
          <w:szCs w:val="24"/>
        </w:rPr>
      </w:pPr>
    </w:p>
    <w:p w:rsidR="00B57134" w:rsidRPr="00B57134" w:rsidRDefault="00B57134" w:rsidP="00B57134">
      <w:pPr>
        <w:rPr>
          <w:rFonts w:ascii="Calibri" w:hAnsi="Calibri"/>
          <w:sz w:val="24"/>
          <w:szCs w:val="24"/>
        </w:rPr>
      </w:pPr>
    </w:p>
    <w:p w:rsidR="00B57134" w:rsidRPr="00B57134" w:rsidRDefault="00B57134" w:rsidP="00B57134">
      <w:pPr>
        <w:rPr>
          <w:rFonts w:ascii="Calibri" w:hAnsi="Calibri"/>
        </w:rPr>
      </w:pPr>
    </w:p>
    <w:p w:rsidR="00B57134" w:rsidRDefault="00B57134">
      <w:pPr>
        <w:rPr>
          <w:rFonts w:ascii="Calibri" w:hAnsi="Calibri"/>
          <w:b/>
          <w:sz w:val="28"/>
          <w:szCs w:val="28"/>
        </w:rPr>
      </w:pPr>
      <w:r>
        <w:rPr>
          <w:rFonts w:ascii="Calibri" w:hAnsi="Calibri"/>
          <w:b/>
          <w:sz w:val="28"/>
          <w:szCs w:val="28"/>
        </w:rPr>
        <w:br w:type="page"/>
      </w:r>
    </w:p>
    <w:p w:rsidR="00BC2DBA" w:rsidRPr="00BC2DBA" w:rsidRDefault="00623252" w:rsidP="00623252">
      <w:pPr>
        <w:jc w:val="both"/>
        <w:rPr>
          <w:rFonts w:ascii="Calibri" w:hAnsi="Calibri"/>
          <w:b/>
          <w:sz w:val="28"/>
          <w:szCs w:val="28"/>
        </w:rPr>
      </w:pPr>
      <w:r w:rsidRPr="00BC2DBA">
        <w:rPr>
          <w:rFonts w:ascii="Calibri" w:hAnsi="Calibri"/>
          <w:b/>
          <w:sz w:val="28"/>
          <w:szCs w:val="28"/>
        </w:rPr>
        <w:lastRenderedPageBreak/>
        <w:t xml:space="preserve">The </w:t>
      </w:r>
      <w:r w:rsidR="00795139" w:rsidRPr="00BC2DBA">
        <w:rPr>
          <w:rFonts w:ascii="Calibri" w:hAnsi="Calibri"/>
          <w:b/>
          <w:sz w:val="28"/>
          <w:szCs w:val="28"/>
        </w:rPr>
        <w:t>c</w:t>
      </w:r>
      <w:r w:rsidRPr="00BC2DBA">
        <w:rPr>
          <w:rFonts w:ascii="Calibri" w:hAnsi="Calibri"/>
          <w:b/>
          <w:sz w:val="28"/>
          <w:szCs w:val="28"/>
        </w:rPr>
        <w:t xml:space="preserve">are </w:t>
      </w:r>
      <w:r w:rsidR="00795139" w:rsidRPr="00BC2DBA">
        <w:rPr>
          <w:rFonts w:ascii="Calibri" w:hAnsi="Calibri"/>
          <w:b/>
          <w:sz w:val="28"/>
          <w:szCs w:val="28"/>
        </w:rPr>
        <w:t>h</w:t>
      </w:r>
      <w:r w:rsidRPr="00BC2DBA">
        <w:rPr>
          <w:rFonts w:ascii="Calibri" w:hAnsi="Calibri"/>
          <w:b/>
          <w:sz w:val="28"/>
          <w:szCs w:val="28"/>
        </w:rPr>
        <w:t xml:space="preserve">omes </w:t>
      </w:r>
      <w:r w:rsidR="00795139" w:rsidRPr="00BC2DBA">
        <w:rPr>
          <w:rFonts w:ascii="Calibri" w:hAnsi="Calibri"/>
          <w:b/>
          <w:sz w:val="28"/>
          <w:szCs w:val="28"/>
        </w:rPr>
        <w:t>d</w:t>
      </w:r>
      <w:r w:rsidRPr="00BC2DBA">
        <w:rPr>
          <w:rFonts w:ascii="Calibri" w:hAnsi="Calibri"/>
          <w:b/>
          <w:sz w:val="28"/>
          <w:szCs w:val="28"/>
        </w:rPr>
        <w:t>ebacle</w:t>
      </w:r>
    </w:p>
    <w:p w:rsidR="0073534D" w:rsidRPr="00623252" w:rsidRDefault="0073534D" w:rsidP="00623252">
      <w:pPr>
        <w:jc w:val="both"/>
        <w:rPr>
          <w:rFonts w:ascii="Calibri" w:hAnsi="Calibri"/>
          <w:sz w:val="24"/>
          <w:szCs w:val="24"/>
        </w:rPr>
      </w:pPr>
      <w:r w:rsidRPr="00623252">
        <w:rPr>
          <w:rFonts w:ascii="Calibri" w:hAnsi="Calibri"/>
          <w:sz w:val="24"/>
          <w:szCs w:val="24"/>
        </w:rPr>
        <w:t xml:space="preserve">The recent political furore over closing care homes for the elderly as part of the </w:t>
      </w:r>
      <w:r w:rsidRPr="00623252">
        <w:rPr>
          <w:rFonts w:ascii="Calibri" w:hAnsi="Calibri"/>
          <w:i/>
          <w:sz w:val="24"/>
          <w:szCs w:val="24"/>
        </w:rPr>
        <w:t xml:space="preserve">Transforming Your Care Strategy </w:t>
      </w:r>
      <w:r w:rsidRPr="00623252">
        <w:rPr>
          <w:rFonts w:ascii="Calibri" w:hAnsi="Calibri"/>
          <w:sz w:val="24"/>
          <w:szCs w:val="24"/>
        </w:rPr>
        <w:t>raised questions about the role</w:t>
      </w:r>
      <w:r w:rsidR="00795139">
        <w:rPr>
          <w:rFonts w:ascii="Calibri" w:hAnsi="Calibri"/>
          <w:sz w:val="24"/>
          <w:szCs w:val="24"/>
        </w:rPr>
        <w:t xml:space="preserve"> which public consultation </w:t>
      </w:r>
      <w:r w:rsidRPr="00623252">
        <w:rPr>
          <w:rFonts w:ascii="Calibri" w:hAnsi="Calibri"/>
          <w:sz w:val="24"/>
          <w:szCs w:val="24"/>
        </w:rPr>
        <w:t>play</w:t>
      </w:r>
      <w:r w:rsidR="00795139">
        <w:rPr>
          <w:rFonts w:ascii="Calibri" w:hAnsi="Calibri"/>
          <w:sz w:val="24"/>
          <w:szCs w:val="24"/>
        </w:rPr>
        <w:t>s</w:t>
      </w:r>
      <w:r w:rsidRPr="00623252">
        <w:rPr>
          <w:rFonts w:ascii="Calibri" w:hAnsi="Calibri"/>
          <w:sz w:val="24"/>
          <w:szCs w:val="24"/>
        </w:rPr>
        <w:t xml:space="preserve"> in the decision making process.</w:t>
      </w:r>
      <w:r w:rsidR="00D47263" w:rsidRPr="00623252">
        <w:rPr>
          <w:rFonts w:ascii="Calibri" w:hAnsi="Calibri"/>
          <w:sz w:val="24"/>
          <w:szCs w:val="24"/>
        </w:rPr>
        <w:t xml:space="preserve"> Although public consultation on closures will take place</w:t>
      </w:r>
      <w:r w:rsidR="00F70E57" w:rsidRPr="00623252">
        <w:rPr>
          <w:rFonts w:ascii="Calibri" w:hAnsi="Calibri"/>
          <w:sz w:val="24"/>
          <w:szCs w:val="24"/>
        </w:rPr>
        <w:t>,</w:t>
      </w:r>
      <w:r w:rsidR="00D47263" w:rsidRPr="00623252">
        <w:rPr>
          <w:rFonts w:ascii="Calibri" w:hAnsi="Calibri"/>
          <w:sz w:val="24"/>
          <w:szCs w:val="24"/>
        </w:rPr>
        <w:t xml:space="preserve"> the Western Health and Social Care Trust </w:t>
      </w:r>
      <w:r w:rsidR="00F70E57" w:rsidRPr="00623252">
        <w:rPr>
          <w:rFonts w:ascii="Calibri" w:hAnsi="Calibri"/>
          <w:sz w:val="24"/>
          <w:szCs w:val="24"/>
        </w:rPr>
        <w:t>(one of three trusts to announce clo</w:t>
      </w:r>
      <w:r w:rsidR="00E2472E">
        <w:rPr>
          <w:rFonts w:ascii="Calibri" w:hAnsi="Calibri"/>
          <w:sz w:val="24"/>
          <w:szCs w:val="24"/>
        </w:rPr>
        <w:t>sure plans) confirmed it plans</w:t>
      </w:r>
      <w:r w:rsidR="00F70E57" w:rsidRPr="00623252">
        <w:rPr>
          <w:rFonts w:ascii="Calibri" w:hAnsi="Calibri"/>
          <w:sz w:val="24"/>
          <w:szCs w:val="24"/>
        </w:rPr>
        <w:t xml:space="preserve"> to close all four of its facilities, adding that it was just being ‘honest’ ahead of consultation on the matter (Irish News</w:t>
      </w:r>
      <w:r w:rsidR="00E2472E">
        <w:rPr>
          <w:rFonts w:ascii="Calibri" w:hAnsi="Calibri"/>
          <w:sz w:val="24"/>
          <w:szCs w:val="24"/>
        </w:rPr>
        <w:t>,</w:t>
      </w:r>
      <w:r w:rsidR="00F70E57" w:rsidRPr="00623252">
        <w:rPr>
          <w:rFonts w:ascii="Calibri" w:hAnsi="Calibri"/>
          <w:sz w:val="24"/>
          <w:szCs w:val="24"/>
        </w:rPr>
        <w:t xml:space="preserve"> 3</w:t>
      </w:r>
      <w:r w:rsidR="00F70E57" w:rsidRPr="00623252">
        <w:rPr>
          <w:rFonts w:ascii="Calibri" w:hAnsi="Calibri"/>
          <w:sz w:val="24"/>
          <w:szCs w:val="24"/>
          <w:vertAlign w:val="superscript"/>
        </w:rPr>
        <w:t>rd</w:t>
      </w:r>
      <w:r w:rsidR="00F70E57" w:rsidRPr="00623252">
        <w:rPr>
          <w:rFonts w:ascii="Calibri" w:hAnsi="Calibri"/>
          <w:sz w:val="24"/>
          <w:szCs w:val="24"/>
        </w:rPr>
        <w:t xml:space="preserve"> May 2013).</w:t>
      </w:r>
    </w:p>
    <w:p w:rsidR="00F70E57" w:rsidRPr="00623252" w:rsidRDefault="00795139" w:rsidP="00623252">
      <w:pPr>
        <w:jc w:val="both"/>
        <w:rPr>
          <w:rFonts w:ascii="Calibri" w:hAnsi="Calibri"/>
          <w:sz w:val="24"/>
          <w:szCs w:val="24"/>
        </w:rPr>
      </w:pPr>
      <w:r>
        <w:rPr>
          <w:rFonts w:ascii="Calibri" w:hAnsi="Calibri"/>
          <w:sz w:val="24"/>
          <w:szCs w:val="24"/>
        </w:rPr>
        <w:t>All of this raises</w:t>
      </w:r>
      <w:r w:rsidR="00F70E57" w:rsidRPr="00623252">
        <w:rPr>
          <w:rFonts w:ascii="Calibri" w:hAnsi="Calibri"/>
          <w:sz w:val="24"/>
          <w:szCs w:val="24"/>
        </w:rPr>
        <w:t xml:space="preserve"> serious questions about the purpose and value of public consultation. On</w:t>
      </w:r>
      <w:r>
        <w:rPr>
          <w:rFonts w:ascii="Calibri" w:hAnsi="Calibri"/>
          <w:sz w:val="24"/>
          <w:szCs w:val="24"/>
        </w:rPr>
        <w:t>e commentator</w:t>
      </w:r>
      <w:r w:rsidR="00F70E57" w:rsidRPr="00623252">
        <w:rPr>
          <w:rFonts w:ascii="Calibri" w:hAnsi="Calibri"/>
          <w:sz w:val="24"/>
          <w:szCs w:val="24"/>
        </w:rPr>
        <w:t xml:space="preserve"> on the consultation process which will take place on care homes argued: ‘the proposals will go to public consultation, but – even if there is an overwhelming majority against (closure) – such is the nature of national health service administration that the number crunchers, who are clearly behind this idea, will get their way’</w:t>
      </w:r>
      <w:r w:rsidR="006752C0" w:rsidRPr="00623252">
        <w:rPr>
          <w:rFonts w:ascii="Calibri" w:hAnsi="Calibri"/>
          <w:sz w:val="24"/>
          <w:szCs w:val="24"/>
        </w:rPr>
        <w:t xml:space="preserve"> (Newsletter</w:t>
      </w:r>
      <w:r w:rsidR="00E2472E">
        <w:rPr>
          <w:rFonts w:ascii="Calibri" w:hAnsi="Calibri"/>
          <w:sz w:val="24"/>
          <w:szCs w:val="24"/>
        </w:rPr>
        <w:t>,</w:t>
      </w:r>
      <w:r w:rsidR="006752C0" w:rsidRPr="00623252">
        <w:rPr>
          <w:rFonts w:ascii="Calibri" w:hAnsi="Calibri"/>
          <w:sz w:val="24"/>
          <w:szCs w:val="24"/>
        </w:rPr>
        <w:t xml:space="preserve"> 26</w:t>
      </w:r>
      <w:r w:rsidR="006752C0" w:rsidRPr="00623252">
        <w:rPr>
          <w:rFonts w:ascii="Calibri" w:hAnsi="Calibri"/>
          <w:sz w:val="24"/>
          <w:szCs w:val="24"/>
          <w:vertAlign w:val="superscript"/>
        </w:rPr>
        <w:t>th</w:t>
      </w:r>
      <w:r w:rsidR="006752C0" w:rsidRPr="00623252">
        <w:rPr>
          <w:rFonts w:ascii="Calibri" w:hAnsi="Calibri"/>
          <w:sz w:val="24"/>
          <w:szCs w:val="24"/>
        </w:rPr>
        <w:t xml:space="preserve"> April 2013)</w:t>
      </w:r>
      <w:r w:rsidR="00F70E57" w:rsidRPr="00623252">
        <w:rPr>
          <w:rFonts w:ascii="Calibri" w:hAnsi="Calibri"/>
          <w:sz w:val="24"/>
          <w:szCs w:val="24"/>
        </w:rPr>
        <w:t>.</w:t>
      </w:r>
    </w:p>
    <w:p w:rsidR="006752C0" w:rsidRPr="00623252" w:rsidRDefault="00F70E57" w:rsidP="00623252">
      <w:pPr>
        <w:jc w:val="both"/>
        <w:rPr>
          <w:rFonts w:ascii="Calibri" w:hAnsi="Calibri"/>
          <w:sz w:val="24"/>
          <w:szCs w:val="24"/>
        </w:rPr>
      </w:pPr>
      <w:r w:rsidRPr="00623252">
        <w:rPr>
          <w:rFonts w:ascii="Calibri" w:hAnsi="Calibri"/>
          <w:sz w:val="24"/>
          <w:szCs w:val="24"/>
        </w:rPr>
        <w:t>Is such tokenist</w:t>
      </w:r>
      <w:r w:rsidR="00BE7DF7" w:rsidRPr="00623252">
        <w:rPr>
          <w:rFonts w:ascii="Calibri" w:hAnsi="Calibri"/>
          <w:sz w:val="24"/>
          <w:szCs w:val="24"/>
        </w:rPr>
        <w:t>ic consultation</w:t>
      </w:r>
      <w:r w:rsidR="00B57F33" w:rsidRPr="00623252">
        <w:rPr>
          <w:rFonts w:ascii="Calibri" w:hAnsi="Calibri"/>
          <w:sz w:val="24"/>
          <w:szCs w:val="24"/>
        </w:rPr>
        <w:t xml:space="preserve"> confined to the health service</w:t>
      </w:r>
      <w:r w:rsidRPr="00623252">
        <w:rPr>
          <w:rFonts w:ascii="Calibri" w:hAnsi="Calibri"/>
          <w:sz w:val="24"/>
          <w:szCs w:val="24"/>
        </w:rPr>
        <w:t>?</w:t>
      </w:r>
      <w:r w:rsidR="007F03E6" w:rsidRPr="00623252">
        <w:rPr>
          <w:rFonts w:ascii="Calibri" w:hAnsi="Calibri"/>
          <w:sz w:val="24"/>
          <w:szCs w:val="24"/>
        </w:rPr>
        <w:t xml:space="preserve"> </w:t>
      </w:r>
    </w:p>
    <w:p w:rsidR="00BC2DBA" w:rsidRPr="00BC2DBA" w:rsidRDefault="00795139" w:rsidP="00623252">
      <w:pPr>
        <w:jc w:val="both"/>
        <w:rPr>
          <w:rFonts w:ascii="Calibri" w:hAnsi="Calibri"/>
          <w:b/>
          <w:sz w:val="28"/>
          <w:szCs w:val="28"/>
        </w:rPr>
      </w:pPr>
      <w:r w:rsidRPr="00BC2DBA">
        <w:rPr>
          <w:rFonts w:ascii="Calibri" w:hAnsi="Calibri"/>
          <w:b/>
          <w:sz w:val="28"/>
          <w:szCs w:val="28"/>
        </w:rPr>
        <w:t>Consultation in education</w:t>
      </w:r>
    </w:p>
    <w:p w:rsidR="00175A76" w:rsidRPr="00623252" w:rsidRDefault="007F03E6" w:rsidP="00623252">
      <w:pPr>
        <w:jc w:val="both"/>
        <w:rPr>
          <w:rFonts w:ascii="Calibri" w:hAnsi="Calibri"/>
          <w:sz w:val="24"/>
          <w:szCs w:val="24"/>
        </w:rPr>
      </w:pPr>
      <w:r w:rsidRPr="00623252">
        <w:rPr>
          <w:rFonts w:ascii="Calibri" w:hAnsi="Calibri"/>
          <w:sz w:val="24"/>
          <w:szCs w:val="24"/>
        </w:rPr>
        <w:t>The education sector in Northern Ireland</w:t>
      </w:r>
      <w:r w:rsidR="006752C0" w:rsidRPr="00623252">
        <w:rPr>
          <w:rFonts w:ascii="Calibri" w:hAnsi="Calibri"/>
          <w:sz w:val="24"/>
          <w:szCs w:val="24"/>
        </w:rPr>
        <w:t xml:space="preserve"> is </w:t>
      </w:r>
      <w:r w:rsidR="00795139">
        <w:rPr>
          <w:rFonts w:ascii="Calibri" w:hAnsi="Calibri"/>
          <w:sz w:val="24"/>
          <w:szCs w:val="24"/>
        </w:rPr>
        <w:t xml:space="preserve">also </w:t>
      </w:r>
      <w:r w:rsidR="006752C0" w:rsidRPr="00623252">
        <w:rPr>
          <w:rFonts w:ascii="Calibri" w:hAnsi="Calibri"/>
          <w:sz w:val="24"/>
          <w:szCs w:val="24"/>
        </w:rPr>
        <w:t>undergoing a radical review. Minister O’Dowd, in a keynote statement to the Assembly (September 2011), highlighted the need to ensure there was ‘a network of strong sustainable school</w:t>
      </w:r>
      <w:r w:rsidR="001868CE">
        <w:rPr>
          <w:rFonts w:ascii="Calibri" w:hAnsi="Calibri"/>
          <w:sz w:val="24"/>
          <w:szCs w:val="24"/>
        </w:rPr>
        <w:t>s</w:t>
      </w:r>
      <w:r w:rsidR="006752C0" w:rsidRPr="00623252">
        <w:rPr>
          <w:rFonts w:ascii="Calibri" w:hAnsi="Calibri"/>
          <w:sz w:val="24"/>
          <w:szCs w:val="24"/>
        </w:rPr>
        <w:t xml:space="preserve"> that command the confidence of the communities they serve</w:t>
      </w:r>
      <w:r w:rsidR="00F50530" w:rsidRPr="00623252">
        <w:rPr>
          <w:rFonts w:ascii="Calibri" w:hAnsi="Calibri"/>
          <w:sz w:val="24"/>
          <w:szCs w:val="24"/>
        </w:rPr>
        <w:t>’</w:t>
      </w:r>
      <w:r w:rsidR="006752C0" w:rsidRPr="00623252">
        <w:rPr>
          <w:rFonts w:ascii="Calibri" w:hAnsi="Calibri"/>
          <w:sz w:val="24"/>
          <w:szCs w:val="24"/>
        </w:rPr>
        <w:t>. The Minister commissioned the Education and Library Boards</w:t>
      </w:r>
      <w:r w:rsidR="00795139">
        <w:rPr>
          <w:rFonts w:ascii="Calibri" w:hAnsi="Calibri"/>
          <w:sz w:val="24"/>
          <w:szCs w:val="24"/>
        </w:rPr>
        <w:t xml:space="preserve"> (ELBs)</w:t>
      </w:r>
      <w:r w:rsidR="006752C0" w:rsidRPr="00623252">
        <w:rPr>
          <w:rFonts w:ascii="Calibri" w:hAnsi="Calibri"/>
          <w:sz w:val="24"/>
          <w:szCs w:val="24"/>
        </w:rPr>
        <w:t xml:space="preserve">, working in conjunction with </w:t>
      </w:r>
      <w:r w:rsidR="00934D45">
        <w:rPr>
          <w:rFonts w:ascii="Calibri" w:hAnsi="Calibri"/>
          <w:sz w:val="24"/>
          <w:szCs w:val="24"/>
        </w:rPr>
        <w:t>the Council for Catholic Maintained Schools (</w:t>
      </w:r>
      <w:r w:rsidR="006752C0" w:rsidRPr="00623252">
        <w:rPr>
          <w:rFonts w:ascii="Calibri" w:hAnsi="Calibri"/>
          <w:sz w:val="24"/>
          <w:szCs w:val="24"/>
        </w:rPr>
        <w:t>CCMS</w:t>
      </w:r>
      <w:r w:rsidR="00934D45">
        <w:rPr>
          <w:rFonts w:ascii="Calibri" w:hAnsi="Calibri"/>
          <w:sz w:val="24"/>
          <w:szCs w:val="24"/>
        </w:rPr>
        <w:t>)</w:t>
      </w:r>
      <w:r w:rsidR="00F50530" w:rsidRPr="00623252">
        <w:rPr>
          <w:rFonts w:ascii="Calibri" w:hAnsi="Calibri"/>
          <w:sz w:val="24"/>
          <w:szCs w:val="24"/>
        </w:rPr>
        <w:t>,</w:t>
      </w:r>
      <w:r w:rsidR="006752C0" w:rsidRPr="00623252">
        <w:rPr>
          <w:rFonts w:ascii="Calibri" w:hAnsi="Calibri"/>
          <w:sz w:val="24"/>
          <w:szCs w:val="24"/>
        </w:rPr>
        <w:t xml:space="preserve"> to develop strategic plans </w:t>
      </w:r>
      <w:r w:rsidR="001868CE">
        <w:rPr>
          <w:rFonts w:ascii="Calibri" w:hAnsi="Calibri"/>
          <w:sz w:val="24"/>
          <w:szCs w:val="24"/>
        </w:rPr>
        <w:t>for the future schools estate o</w:t>
      </w:r>
      <w:r w:rsidR="006752C0" w:rsidRPr="00623252">
        <w:rPr>
          <w:rFonts w:ascii="Calibri" w:hAnsi="Calibri"/>
          <w:sz w:val="24"/>
          <w:szCs w:val="24"/>
        </w:rPr>
        <w:t xml:space="preserve">n an area basis. </w:t>
      </w:r>
      <w:r w:rsidR="00F50530" w:rsidRPr="00623252">
        <w:rPr>
          <w:rFonts w:ascii="Calibri" w:hAnsi="Calibri"/>
          <w:sz w:val="24"/>
          <w:szCs w:val="24"/>
        </w:rPr>
        <w:t>Drawing on data from viability audits which examined the challenges facing schools in terms of enrolment trends, education quality and financial stability, each of the Boards produced draft post-primary school plans for public consultation in July 2012.</w:t>
      </w:r>
      <w:r w:rsidR="00DC07E0" w:rsidRPr="00623252">
        <w:rPr>
          <w:rFonts w:ascii="Calibri" w:hAnsi="Calibri"/>
          <w:sz w:val="24"/>
          <w:szCs w:val="24"/>
        </w:rPr>
        <w:t xml:space="preserve"> </w:t>
      </w:r>
    </w:p>
    <w:p w:rsidR="00175A76" w:rsidRPr="00623252" w:rsidRDefault="00795139" w:rsidP="00623252">
      <w:pPr>
        <w:jc w:val="both"/>
        <w:rPr>
          <w:rFonts w:ascii="Calibri" w:hAnsi="Calibri"/>
          <w:sz w:val="24"/>
          <w:szCs w:val="24"/>
        </w:rPr>
      </w:pPr>
      <w:r>
        <w:rPr>
          <w:rFonts w:ascii="Calibri" w:hAnsi="Calibri"/>
          <w:sz w:val="24"/>
          <w:szCs w:val="24"/>
        </w:rPr>
        <w:t xml:space="preserve">The </w:t>
      </w:r>
      <w:r w:rsidR="00175A76" w:rsidRPr="00623252">
        <w:rPr>
          <w:rFonts w:ascii="Calibri" w:hAnsi="Calibri"/>
          <w:sz w:val="24"/>
          <w:szCs w:val="24"/>
        </w:rPr>
        <w:t xml:space="preserve">consultation took the form of an on-line </w:t>
      </w:r>
      <w:r w:rsidR="00B96596">
        <w:rPr>
          <w:rFonts w:ascii="Calibri" w:hAnsi="Calibri"/>
          <w:sz w:val="24"/>
          <w:szCs w:val="24"/>
        </w:rPr>
        <w:t xml:space="preserve">questionnaire </w:t>
      </w:r>
      <w:r w:rsidR="00175A76" w:rsidRPr="00623252">
        <w:rPr>
          <w:rFonts w:ascii="Calibri" w:hAnsi="Calibri"/>
          <w:sz w:val="24"/>
          <w:szCs w:val="24"/>
        </w:rPr>
        <w:t>response</w:t>
      </w:r>
      <w:r>
        <w:rPr>
          <w:rFonts w:ascii="Calibri" w:hAnsi="Calibri"/>
          <w:sz w:val="24"/>
          <w:szCs w:val="24"/>
        </w:rPr>
        <w:t>,</w:t>
      </w:r>
      <w:r w:rsidR="00175A76" w:rsidRPr="00623252">
        <w:rPr>
          <w:rFonts w:ascii="Calibri" w:hAnsi="Calibri"/>
          <w:sz w:val="24"/>
          <w:szCs w:val="24"/>
        </w:rPr>
        <w:t xml:space="preserve"> although writ</w:t>
      </w:r>
      <w:r w:rsidR="00B96596">
        <w:rPr>
          <w:rFonts w:ascii="Calibri" w:hAnsi="Calibri"/>
          <w:sz w:val="24"/>
          <w:szCs w:val="24"/>
        </w:rPr>
        <w:t>ten replies were also accepted</w:t>
      </w:r>
      <w:r w:rsidR="00175A76" w:rsidRPr="00623252">
        <w:rPr>
          <w:rFonts w:ascii="Calibri" w:hAnsi="Calibri"/>
          <w:sz w:val="24"/>
          <w:szCs w:val="24"/>
        </w:rPr>
        <w:t xml:space="preserve">. The questions posed </w:t>
      </w:r>
      <w:r w:rsidR="00B96596">
        <w:rPr>
          <w:rFonts w:ascii="Calibri" w:hAnsi="Calibri"/>
          <w:sz w:val="24"/>
          <w:szCs w:val="24"/>
        </w:rPr>
        <w:t xml:space="preserve">were aimed at </w:t>
      </w:r>
      <w:r w:rsidR="001868CE">
        <w:rPr>
          <w:rFonts w:ascii="Calibri" w:hAnsi="Calibri"/>
          <w:sz w:val="24"/>
          <w:szCs w:val="24"/>
        </w:rPr>
        <w:t>‘</w:t>
      </w:r>
      <w:r w:rsidR="00175A76" w:rsidRPr="00623252">
        <w:rPr>
          <w:rFonts w:ascii="Calibri" w:hAnsi="Calibri"/>
          <w:sz w:val="24"/>
          <w:szCs w:val="24"/>
        </w:rPr>
        <w:t>test</w:t>
      </w:r>
      <w:r w:rsidR="00B96596">
        <w:rPr>
          <w:rFonts w:ascii="Calibri" w:hAnsi="Calibri"/>
          <w:sz w:val="24"/>
          <w:szCs w:val="24"/>
        </w:rPr>
        <w:t>ing</w:t>
      </w:r>
      <w:r w:rsidR="001868CE">
        <w:rPr>
          <w:rFonts w:ascii="Calibri" w:hAnsi="Calibri"/>
          <w:sz w:val="24"/>
          <w:szCs w:val="24"/>
        </w:rPr>
        <w:t>’</w:t>
      </w:r>
      <w:r w:rsidR="00175A76" w:rsidRPr="00623252">
        <w:rPr>
          <w:rFonts w:ascii="Calibri" w:hAnsi="Calibri"/>
          <w:sz w:val="24"/>
          <w:szCs w:val="24"/>
        </w:rPr>
        <w:t xml:space="preserve"> the</w:t>
      </w:r>
      <w:r w:rsidR="00B96596">
        <w:rPr>
          <w:rFonts w:ascii="Calibri" w:hAnsi="Calibri"/>
          <w:sz w:val="24"/>
          <w:szCs w:val="24"/>
        </w:rPr>
        <w:t xml:space="preserve"> terms of reference of </w:t>
      </w:r>
      <w:r w:rsidR="00175A76" w:rsidRPr="00623252">
        <w:rPr>
          <w:rFonts w:ascii="Calibri" w:hAnsi="Calibri"/>
          <w:sz w:val="24"/>
          <w:szCs w:val="24"/>
        </w:rPr>
        <w:t>the area planning process established by the Mini</w:t>
      </w:r>
      <w:r>
        <w:rPr>
          <w:rFonts w:ascii="Calibri" w:hAnsi="Calibri"/>
          <w:sz w:val="24"/>
          <w:szCs w:val="24"/>
        </w:rPr>
        <w:t>ster. Hence</w:t>
      </w:r>
      <w:r w:rsidR="001868CE">
        <w:rPr>
          <w:rFonts w:ascii="Calibri" w:hAnsi="Calibri"/>
          <w:sz w:val="24"/>
          <w:szCs w:val="24"/>
        </w:rPr>
        <w:t>,</w:t>
      </w:r>
      <w:r>
        <w:rPr>
          <w:rFonts w:ascii="Calibri" w:hAnsi="Calibri"/>
          <w:sz w:val="24"/>
          <w:szCs w:val="24"/>
        </w:rPr>
        <w:t xml:space="preserve"> people were ask</w:t>
      </w:r>
      <w:r w:rsidR="00B96596">
        <w:rPr>
          <w:rFonts w:ascii="Calibri" w:hAnsi="Calibri"/>
          <w:sz w:val="24"/>
          <w:szCs w:val="24"/>
        </w:rPr>
        <w:t xml:space="preserve">ed </w:t>
      </w:r>
      <w:r w:rsidR="001868CE">
        <w:rPr>
          <w:rFonts w:ascii="Calibri" w:hAnsi="Calibri"/>
          <w:sz w:val="24"/>
          <w:szCs w:val="24"/>
        </w:rPr>
        <w:t>if the draft area plans produced</w:t>
      </w:r>
      <w:r w:rsidR="00B96596">
        <w:rPr>
          <w:rFonts w:ascii="Calibri" w:hAnsi="Calibri"/>
          <w:sz w:val="24"/>
          <w:szCs w:val="24"/>
        </w:rPr>
        <w:t xml:space="preserve"> by </w:t>
      </w:r>
      <w:r>
        <w:rPr>
          <w:rFonts w:ascii="Calibri" w:hAnsi="Calibri"/>
          <w:sz w:val="24"/>
          <w:szCs w:val="24"/>
        </w:rPr>
        <w:t>the ELBs and CCMS:</w:t>
      </w:r>
    </w:p>
    <w:p w:rsidR="00B57F33" w:rsidRPr="00623252" w:rsidRDefault="00795139" w:rsidP="00623252">
      <w:pPr>
        <w:pStyle w:val="Default"/>
        <w:numPr>
          <w:ilvl w:val="0"/>
          <w:numId w:val="1"/>
        </w:numPr>
        <w:spacing w:after="65"/>
        <w:jc w:val="both"/>
        <w:rPr>
          <w:rFonts w:ascii="Calibri" w:hAnsi="Calibri"/>
        </w:rPr>
      </w:pPr>
      <w:r>
        <w:rPr>
          <w:rFonts w:ascii="Calibri" w:hAnsi="Calibri"/>
        </w:rPr>
        <w:t>E</w:t>
      </w:r>
      <w:r w:rsidR="00B57F33" w:rsidRPr="00623252">
        <w:rPr>
          <w:rFonts w:ascii="Calibri" w:hAnsi="Calibri"/>
        </w:rPr>
        <w:t>nsure</w:t>
      </w:r>
      <w:r>
        <w:rPr>
          <w:rFonts w:ascii="Calibri" w:hAnsi="Calibri"/>
        </w:rPr>
        <w:t>d</w:t>
      </w:r>
      <w:r w:rsidR="00B57F33" w:rsidRPr="00623252">
        <w:rPr>
          <w:rFonts w:ascii="Calibri" w:hAnsi="Calibri"/>
        </w:rPr>
        <w:t xml:space="preserve"> a network of viable and sustainable schools, within reasonable travelling distance for pupils, capable of effectively delivering the Revised Curriculum and</w:t>
      </w:r>
      <w:r>
        <w:rPr>
          <w:rFonts w:ascii="Calibri" w:hAnsi="Calibri"/>
        </w:rPr>
        <w:t xml:space="preserve"> </w:t>
      </w:r>
      <w:r w:rsidR="00B57F33" w:rsidRPr="00623252">
        <w:rPr>
          <w:rFonts w:ascii="Calibri" w:hAnsi="Calibri"/>
        </w:rPr>
        <w:t>the E</w:t>
      </w:r>
      <w:r>
        <w:rPr>
          <w:rFonts w:ascii="Calibri" w:hAnsi="Calibri"/>
        </w:rPr>
        <w:t xml:space="preserve">ntitlement </w:t>
      </w:r>
      <w:r w:rsidR="00B57F33" w:rsidRPr="00623252">
        <w:rPr>
          <w:rFonts w:ascii="Calibri" w:hAnsi="Calibri"/>
        </w:rPr>
        <w:t>F</w:t>
      </w:r>
      <w:r>
        <w:rPr>
          <w:rFonts w:ascii="Calibri" w:hAnsi="Calibri"/>
        </w:rPr>
        <w:t>ramework.</w:t>
      </w:r>
      <w:r w:rsidR="00B57F33" w:rsidRPr="00623252">
        <w:rPr>
          <w:rFonts w:ascii="Calibri" w:hAnsi="Calibri"/>
        </w:rPr>
        <w:t xml:space="preserve"> </w:t>
      </w:r>
    </w:p>
    <w:p w:rsidR="00B57F33" w:rsidRPr="00623252" w:rsidRDefault="00795139" w:rsidP="00623252">
      <w:pPr>
        <w:pStyle w:val="Default"/>
        <w:numPr>
          <w:ilvl w:val="0"/>
          <w:numId w:val="1"/>
        </w:numPr>
        <w:spacing w:after="65"/>
        <w:jc w:val="both"/>
        <w:rPr>
          <w:rFonts w:ascii="Calibri" w:hAnsi="Calibri"/>
        </w:rPr>
      </w:pPr>
      <w:r>
        <w:rPr>
          <w:rFonts w:ascii="Calibri" w:hAnsi="Calibri"/>
        </w:rPr>
        <w:t>Identified and me</w:t>
      </w:r>
      <w:r w:rsidR="00B57F33" w:rsidRPr="00623252">
        <w:rPr>
          <w:rFonts w:ascii="Calibri" w:hAnsi="Calibri"/>
        </w:rPr>
        <w:t xml:space="preserve">t the needs of </w:t>
      </w:r>
      <w:r w:rsidR="00B57F33" w:rsidRPr="00623252">
        <w:rPr>
          <w:rFonts w:ascii="Calibri" w:hAnsi="Calibri"/>
          <w:b/>
          <w:bCs/>
        </w:rPr>
        <w:t xml:space="preserve">all </w:t>
      </w:r>
      <w:r w:rsidR="00B57F33" w:rsidRPr="00623252">
        <w:rPr>
          <w:rFonts w:ascii="Calibri" w:hAnsi="Calibri"/>
        </w:rPr>
        <w:t>children and young people in the area</w:t>
      </w:r>
      <w:r w:rsidR="00B96596">
        <w:rPr>
          <w:rFonts w:ascii="Calibri" w:hAnsi="Calibri"/>
        </w:rPr>
        <w:t>.</w:t>
      </w:r>
      <w:r w:rsidR="00B57F33" w:rsidRPr="00623252">
        <w:rPr>
          <w:rFonts w:ascii="Calibri" w:hAnsi="Calibri"/>
        </w:rPr>
        <w:t xml:space="preserve"> </w:t>
      </w:r>
    </w:p>
    <w:p w:rsidR="00B57F33" w:rsidRPr="00623252" w:rsidRDefault="00795139" w:rsidP="00623252">
      <w:pPr>
        <w:pStyle w:val="Default"/>
        <w:numPr>
          <w:ilvl w:val="0"/>
          <w:numId w:val="1"/>
        </w:numPr>
        <w:spacing w:after="65"/>
        <w:jc w:val="both"/>
        <w:rPr>
          <w:rFonts w:ascii="Calibri" w:hAnsi="Calibri"/>
        </w:rPr>
      </w:pPr>
      <w:r>
        <w:rPr>
          <w:rFonts w:ascii="Calibri" w:hAnsi="Calibri"/>
        </w:rPr>
        <w:t>E</w:t>
      </w:r>
      <w:r w:rsidR="00B57F33" w:rsidRPr="00623252">
        <w:rPr>
          <w:rFonts w:ascii="Calibri" w:hAnsi="Calibri"/>
        </w:rPr>
        <w:t>nhance</w:t>
      </w:r>
      <w:r>
        <w:rPr>
          <w:rFonts w:ascii="Calibri" w:hAnsi="Calibri"/>
        </w:rPr>
        <w:t>d</w:t>
      </w:r>
      <w:r w:rsidR="00B57F33" w:rsidRPr="00623252">
        <w:rPr>
          <w:rFonts w:ascii="Calibri" w:hAnsi="Calibri"/>
        </w:rPr>
        <w:t xml:space="preserve"> the quality of provision and raise</w:t>
      </w:r>
      <w:r>
        <w:rPr>
          <w:rFonts w:ascii="Calibri" w:hAnsi="Calibri"/>
        </w:rPr>
        <w:t>d standards.</w:t>
      </w:r>
    </w:p>
    <w:p w:rsidR="00B57F33" w:rsidRPr="00623252" w:rsidRDefault="00795139" w:rsidP="00623252">
      <w:pPr>
        <w:pStyle w:val="Default"/>
        <w:numPr>
          <w:ilvl w:val="0"/>
          <w:numId w:val="1"/>
        </w:numPr>
        <w:spacing w:after="65"/>
        <w:jc w:val="both"/>
        <w:rPr>
          <w:rFonts w:ascii="Calibri" w:hAnsi="Calibri"/>
        </w:rPr>
      </w:pPr>
      <w:r>
        <w:rPr>
          <w:rFonts w:ascii="Calibri" w:hAnsi="Calibri"/>
        </w:rPr>
        <w:t>R</w:t>
      </w:r>
      <w:r w:rsidR="00B57F33" w:rsidRPr="00623252">
        <w:rPr>
          <w:rFonts w:ascii="Calibri" w:hAnsi="Calibri"/>
        </w:rPr>
        <w:t>edu</w:t>
      </w:r>
      <w:r>
        <w:rPr>
          <w:rFonts w:ascii="Calibri" w:hAnsi="Calibri"/>
        </w:rPr>
        <w:t>ce</w:t>
      </w:r>
      <w:r w:rsidR="00B96596">
        <w:rPr>
          <w:rFonts w:ascii="Calibri" w:hAnsi="Calibri"/>
        </w:rPr>
        <w:t>d</w:t>
      </w:r>
      <w:r>
        <w:rPr>
          <w:rFonts w:ascii="Calibri" w:hAnsi="Calibri"/>
        </w:rPr>
        <w:t xml:space="preserve"> the number of surplus places.</w:t>
      </w:r>
    </w:p>
    <w:p w:rsidR="00B57F33" w:rsidRPr="00623252" w:rsidRDefault="00795139" w:rsidP="00623252">
      <w:pPr>
        <w:pStyle w:val="Default"/>
        <w:numPr>
          <w:ilvl w:val="0"/>
          <w:numId w:val="1"/>
        </w:numPr>
        <w:spacing w:after="65"/>
        <w:jc w:val="both"/>
        <w:rPr>
          <w:rFonts w:ascii="Calibri" w:hAnsi="Calibri"/>
        </w:rPr>
      </w:pPr>
      <w:r>
        <w:rPr>
          <w:rFonts w:ascii="Calibri" w:hAnsi="Calibri"/>
        </w:rPr>
        <w:t>Reduce</w:t>
      </w:r>
      <w:r w:rsidR="00B96596">
        <w:rPr>
          <w:rFonts w:ascii="Calibri" w:hAnsi="Calibri"/>
        </w:rPr>
        <w:t>d</w:t>
      </w:r>
      <w:r>
        <w:rPr>
          <w:rFonts w:ascii="Calibri" w:hAnsi="Calibri"/>
        </w:rPr>
        <w:t xml:space="preserve"> duplication of provision.</w:t>
      </w:r>
    </w:p>
    <w:p w:rsidR="00B57F33" w:rsidRPr="00623252" w:rsidRDefault="00795139" w:rsidP="00623252">
      <w:pPr>
        <w:pStyle w:val="Default"/>
        <w:numPr>
          <w:ilvl w:val="0"/>
          <w:numId w:val="1"/>
        </w:numPr>
        <w:spacing w:after="65"/>
        <w:jc w:val="both"/>
        <w:rPr>
          <w:rFonts w:ascii="Calibri" w:hAnsi="Calibri"/>
        </w:rPr>
      </w:pPr>
      <w:r>
        <w:rPr>
          <w:rFonts w:ascii="Calibri" w:hAnsi="Calibri"/>
        </w:rPr>
        <w:t>Identified</w:t>
      </w:r>
      <w:r w:rsidR="00B57F33" w:rsidRPr="00623252">
        <w:rPr>
          <w:rFonts w:ascii="Calibri" w:hAnsi="Calibri"/>
        </w:rPr>
        <w:t xml:space="preserve"> realistic, innovative and creative solutions to address need, including opportunities for shared schoo</w:t>
      </w:r>
      <w:r>
        <w:rPr>
          <w:rFonts w:ascii="Calibri" w:hAnsi="Calibri"/>
        </w:rPr>
        <w:t xml:space="preserve">ling on a cross </w:t>
      </w:r>
      <w:proofErr w:type="spellStart"/>
      <w:r>
        <w:rPr>
          <w:rFonts w:ascii="Calibri" w:hAnsi="Calibri"/>
        </w:rPr>
        <w:t>sectoral</w:t>
      </w:r>
      <w:proofErr w:type="spellEnd"/>
      <w:r>
        <w:rPr>
          <w:rFonts w:ascii="Calibri" w:hAnsi="Calibri"/>
        </w:rPr>
        <w:t xml:space="preserve"> basis.</w:t>
      </w:r>
    </w:p>
    <w:p w:rsidR="00B57F33" w:rsidRPr="00623252" w:rsidRDefault="00795139" w:rsidP="00623252">
      <w:pPr>
        <w:pStyle w:val="Default"/>
        <w:numPr>
          <w:ilvl w:val="0"/>
          <w:numId w:val="1"/>
        </w:numPr>
        <w:spacing w:after="65"/>
        <w:jc w:val="both"/>
        <w:rPr>
          <w:rFonts w:ascii="Calibri" w:hAnsi="Calibri"/>
        </w:rPr>
      </w:pPr>
      <w:r>
        <w:rPr>
          <w:rFonts w:ascii="Calibri" w:hAnsi="Calibri"/>
        </w:rPr>
        <w:lastRenderedPageBreak/>
        <w:t>M</w:t>
      </w:r>
      <w:r w:rsidR="00B57F33" w:rsidRPr="00623252">
        <w:rPr>
          <w:rFonts w:ascii="Calibri" w:hAnsi="Calibri"/>
        </w:rPr>
        <w:t>aximise</w:t>
      </w:r>
      <w:r>
        <w:rPr>
          <w:rFonts w:ascii="Calibri" w:hAnsi="Calibri"/>
        </w:rPr>
        <w:t>d</w:t>
      </w:r>
      <w:r w:rsidR="00B57F33" w:rsidRPr="00623252">
        <w:rPr>
          <w:rFonts w:ascii="Calibri" w:hAnsi="Calibri"/>
        </w:rPr>
        <w:t xml:space="preserve"> the use and sharing </w:t>
      </w:r>
      <w:r>
        <w:rPr>
          <w:rFonts w:ascii="Calibri" w:hAnsi="Calibri"/>
        </w:rPr>
        <w:t>of the existing schools estate.</w:t>
      </w:r>
    </w:p>
    <w:p w:rsidR="00B57F33" w:rsidRPr="00623252" w:rsidRDefault="00795139" w:rsidP="00623252">
      <w:pPr>
        <w:pStyle w:val="Default"/>
        <w:numPr>
          <w:ilvl w:val="0"/>
          <w:numId w:val="1"/>
        </w:numPr>
        <w:spacing w:after="65"/>
        <w:jc w:val="both"/>
        <w:rPr>
          <w:rFonts w:ascii="Calibri" w:hAnsi="Calibri"/>
        </w:rPr>
      </w:pPr>
      <w:r>
        <w:rPr>
          <w:rFonts w:ascii="Calibri" w:hAnsi="Calibri"/>
        </w:rPr>
        <w:t>I</w:t>
      </w:r>
      <w:r w:rsidR="00B57F33" w:rsidRPr="00623252">
        <w:rPr>
          <w:rFonts w:ascii="Calibri" w:hAnsi="Calibri"/>
        </w:rPr>
        <w:t>dentif</w:t>
      </w:r>
      <w:r>
        <w:rPr>
          <w:rFonts w:ascii="Calibri" w:hAnsi="Calibri"/>
        </w:rPr>
        <w:t>ied</w:t>
      </w:r>
      <w:r w:rsidR="00B57F33" w:rsidRPr="00623252">
        <w:rPr>
          <w:rFonts w:ascii="Calibri" w:hAnsi="Calibri"/>
        </w:rPr>
        <w:t xml:space="preserve"> </w:t>
      </w:r>
      <w:r w:rsidR="00D22745">
        <w:rPr>
          <w:rFonts w:ascii="Calibri" w:hAnsi="Calibri"/>
        </w:rPr>
        <w:t xml:space="preserve">the </w:t>
      </w:r>
      <w:r w:rsidR="00B57F33" w:rsidRPr="00623252">
        <w:rPr>
          <w:rFonts w:ascii="Calibri" w:hAnsi="Calibri"/>
        </w:rPr>
        <w:t>potential for co-location of</w:t>
      </w:r>
      <w:r w:rsidR="00B96596">
        <w:rPr>
          <w:rFonts w:ascii="Calibri" w:hAnsi="Calibri"/>
        </w:rPr>
        <w:t xml:space="preserve"> mainstream and special schools.</w:t>
      </w:r>
      <w:r w:rsidR="00B57F33" w:rsidRPr="00623252">
        <w:rPr>
          <w:rFonts w:ascii="Calibri" w:hAnsi="Calibri"/>
        </w:rPr>
        <w:t xml:space="preserve"> </w:t>
      </w:r>
    </w:p>
    <w:p w:rsidR="00B57F33" w:rsidRPr="00623252" w:rsidRDefault="00795139" w:rsidP="00623252">
      <w:pPr>
        <w:pStyle w:val="Default"/>
        <w:numPr>
          <w:ilvl w:val="0"/>
          <w:numId w:val="1"/>
        </w:numPr>
        <w:spacing w:after="65"/>
        <w:jc w:val="both"/>
        <w:rPr>
          <w:rFonts w:ascii="Calibri" w:hAnsi="Calibri"/>
        </w:rPr>
      </w:pPr>
      <w:r>
        <w:rPr>
          <w:rFonts w:ascii="Calibri" w:hAnsi="Calibri"/>
        </w:rPr>
        <w:t xml:space="preserve">Took </w:t>
      </w:r>
      <w:r w:rsidR="00B57F33" w:rsidRPr="00623252">
        <w:rPr>
          <w:rFonts w:ascii="Calibri" w:hAnsi="Calibri"/>
        </w:rPr>
        <w:t>full account of appropriate and relevant Further Education Sector pro</w:t>
      </w:r>
      <w:r>
        <w:rPr>
          <w:rFonts w:ascii="Calibri" w:hAnsi="Calibri"/>
        </w:rPr>
        <w:t>vision for 14-19 year olds.</w:t>
      </w:r>
    </w:p>
    <w:p w:rsidR="00B57F33" w:rsidRPr="00623252" w:rsidRDefault="00795139" w:rsidP="00623252">
      <w:pPr>
        <w:pStyle w:val="Default"/>
        <w:numPr>
          <w:ilvl w:val="0"/>
          <w:numId w:val="1"/>
        </w:numPr>
        <w:spacing w:after="65"/>
        <w:jc w:val="both"/>
        <w:rPr>
          <w:rFonts w:ascii="Calibri" w:hAnsi="Calibri"/>
        </w:rPr>
      </w:pPr>
      <w:r>
        <w:rPr>
          <w:rFonts w:ascii="Calibri" w:hAnsi="Calibri"/>
        </w:rPr>
        <w:t>E</w:t>
      </w:r>
      <w:r w:rsidR="00B57F33" w:rsidRPr="00623252">
        <w:rPr>
          <w:rFonts w:ascii="Calibri" w:hAnsi="Calibri"/>
        </w:rPr>
        <w:t>xplore</w:t>
      </w:r>
      <w:r>
        <w:rPr>
          <w:rFonts w:ascii="Calibri" w:hAnsi="Calibri"/>
        </w:rPr>
        <w:t>d</w:t>
      </w:r>
      <w:r w:rsidR="00B57F33" w:rsidRPr="00623252">
        <w:rPr>
          <w:rFonts w:ascii="Calibri" w:hAnsi="Calibri"/>
        </w:rPr>
        <w:t xml:space="preserve"> opportunities for cross-boundary and cross-border planning. </w:t>
      </w:r>
    </w:p>
    <w:p w:rsidR="00B57F33" w:rsidRPr="00623252" w:rsidRDefault="00B57F33" w:rsidP="00623252">
      <w:pPr>
        <w:jc w:val="both"/>
        <w:rPr>
          <w:rFonts w:ascii="Calibri" w:hAnsi="Calibri"/>
          <w:sz w:val="24"/>
          <w:szCs w:val="24"/>
        </w:rPr>
      </w:pPr>
    </w:p>
    <w:p w:rsidR="005C4E1E" w:rsidRPr="00623252" w:rsidRDefault="001664D2" w:rsidP="00623252">
      <w:pPr>
        <w:jc w:val="both"/>
        <w:rPr>
          <w:rFonts w:ascii="Calibri" w:hAnsi="Calibri"/>
          <w:sz w:val="24"/>
          <w:szCs w:val="24"/>
        </w:rPr>
      </w:pPr>
      <w:r>
        <w:rPr>
          <w:rFonts w:ascii="Calibri" w:hAnsi="Calibri"/>
          <w:sz w:val="24"/>
          <w:szCs w:val="24"/>
        </w:rPr>
        <w:t xml:space="preserve">There were 49,415 </w:t>
      </w:r>
      <w:r w:rsidR="00795139">
        <w:rPr>
          <w:rFonts w:ascii="Calibri" w:hAnsi="Calibri"/>
          <w:sz w:val="24"/>
          <w:szCs w:val="24"/>
        </w:rPr>
        <w:t xml:space="preserve">responses to the consultation </w:t>
      </w:r>
      <w:r w:rsidR="00D22745">
        <w:rPr>
          <w:rFonts w:ascii="Calibri" w:hAnsi="Calibri"/>
          <w:sz w:val="24"/>
          <w:szCs w:val="24"/>
        </w:rPr>
        <w:t xml:space="preserve">which took place </w:t>
      </w:r>
      <w:r w:rsidR="006A56AD">
        <w:rPr>
          <w:rFonts w:ascii="Calibri" w:hAnsi="Calibri"/>
          <w:sz w:val="24"/>
          <w:szCs w:val="24"/>
        </w:rPr>
        <w:t>from 5</w:t>
      </w:r>
      <w:r w:rsidR="006A56AD" w:rsidRPr="006A56AD">
        <w:rPr>
          <w:rFonts w:ascii="Calibri" w:hAnsi="Calibri"/>
          <w:sz w:val="24"/>
          <w:szCs w:val="24"/>
          <w:vertAlign w:val="superscript"/>
        </w:rPr>
        <w:t>th</w:t>
      </w:r>
      <w:r w:rsidR="006A56AD">
        <w:rPr>
          <w:rFonts w:ascii="Calibri" w:hAnsi="Calibri"/>
          <w:sz w:val="24"/>
          <w:szCs w:val="24"/>
        </w:rPr>
        <w:t xml:space="preserve"> July to 26</w:t>
      </w:r>
      <w:r w:rsidR="006A56AD" w:rsidRPr="006A56AD">
        <w:rPr>
          <w:rFonts w:ascii="Calibri" w:hAnsi="Calibri"/>
          <w:sz w:val="24"/>
          <w:szCs w:val="24"/>
          <w:vertAlign w:val="superscript"/>
        </w:rPr>
        <w:t>th</w:t>
      </w:r>
      <w:r w:rsidR="006A56AD">
        <w:rPr>
          <w:rFonts w:ascii="Calibri" w:hAnsi="Calibri"/>
          <w:sz w:val="24"/>
          <w:szCs w:val="24"/>
        </w:rPr>
        <w:t xml:space="preserve"> October 2012 </w:t>
      </w:r>
      <w:r w:rsidR="00795139">
        <w:rPr>
          <w:rFonts w:ascii="Calibri" w:hAnsi="Calibri"/>
          <w:sz w:val="24"/>
          <w:szCs w:val="24"/>
        </w:rPr>
        <w:t>– a huge response to a public consultation process.</w:t>
      </w:r>
    </w:p>
    <w:p w:rsidR="00BC2DBA" w:rsidRPr="00BC2DBA" w:rsidRDefault="00795139" w:rsidP="00623252">
      <w:pPr>
        <w:jc w:val="both"/>
        <w:rPr>
          <w:rFonts w:ascii="Calibri" w:hAnsi="Calibri"/>
          <w:b/>
          <w:sz w:val="28"/>
          <w:szCs w:val="28"/>
        </w:rPr>
      </w:pPr>
      <w:r w:rsidRPr="00BC2DBA">
        <w:rPr>
          <w:rFonts w:ascii="Calibri" w:hAnsi="Calibri"/>
          <w:b/>
          <w:sz w:val="28"/>
          <w:szCs w:val="28"/>
        </w:rPr>
        <w:t>A case study of the Western Education and Library Board (WELB)</w:t>
      </w:r>
    </w:p>
    <w:p w:rsidR="005C4E1E" w:rsidRPr="00623252" w:rsidRDefault="00795139" w:rsidP="00623252">
      <w:pPr>
        <w:jc w:val="both"/>
        <w:rPr>
          <w:rFonts w:ascii="Calibri" w:hAnsi="Calibri"/>
          <w:sz w:val="24"/>
          <w:szCs w:val="24"/>
        </w:rPr>
      </w:pPr>
      <w:r>
        <w:rPr>
          <w:rFonts w:ascii="Calibri" w:hAnsi="Calibri"/>
          <w:sz w:val="24"/>
          <w:szCs w:val="24"/>
        </w:rPr>
        <w:t>We consider the WELB</w:t>
      </w:r>
      <w:r w:rsidR="00E748F1" w:rsidRPr="00623252">
        <w:rPr>
          <w:rFonts w:ascii="Calibri" w:hAnsi="Calibri"/>
          <w:sz w:val="24"/>
          <w:szCs w:val="24"/>
        </w:rPr>
        <w:t xml:space="preserve"> </w:t>
      </w:r>
      <w:r w:rsidR="00B57F33" w:rsidRPr="00623252">
        <w:rPr>
          <w:rFonts w:ascii="Calibri" w:hAnsi="Calibri"/>
          <w:sz w:val="24"/>
          <w:szCs w:val="24"/>
        </w:rPr>
        <w:t xml:space="preserve">as a case study of one (from five) of the Education and Library Boards. The Western Board area is responsible for education and library services in five council areas comprising: </w:t>
      </w:r>
      <w:r>
        <w:rPr>
          <w:rFonts w:ascii="Calibri" w:hAnsi="Calibri"/>
          <w:sz w:val="24"/>
          <w:szCs w:val="24"/>
        </w:rPr>
        <w:t>(London</w:t>
      </w:r>
      <w:proofErr w:type="gramStart"/>
      <w:r>
        <w:rPr>
          <w:rFonts w:ascii="Calibri" w:hAnsi="Calibri"/>
          <w:sz w:val="24"/>
          <w:szCs w:val="24"/>
        </w:rPr>
        <w:t>)</w:t>
      </w:r>
      <w:r w:rsidR="00B57F33" w:rsidRPr="00623252">
        <w:rPr>
          <w:rFonts w:ascii="Calibri" w:hAnsi="Calibri"/>
          <w:sz w:val="24"/>
          <w:szCs w:val="24"/>
        </w:rPr>
        <w:t>Derry</w:t>
      </w:r>
      <w:proofErr w:type="gramEnd"/>
      <w:r w:rsidR="00B57F33" w:rsidRPr="00623252">
        <w:rPr>
          <w:rFonts w:ascii="Calibri" w:hAnsi="Calibri"/>
          <w:sz w:val="24"/>
          <w:szCs w:val="24"/>
        </w:rPr>
        <w:t xml:space="preserve">, Fermanagh, </w:t>
      </w:r>
      <w:proofErr w:type="spellStart"/>
      <w:r w:rsidR="00B57F33" w:rsidRPr="00623252">
        <w:rPr>
          <w:rFonts w:ascii="Calibri" w:hAnsi="Calibri"/>
          <w:sz w:val="24"/>
          <w:szCs w:val="24"/>
        </w:rPr>
        <w:t>Limavady</w:t>
      </w:r>
      <w:proofErr w:type="spellEnd"/>
      <w:r w:rsidR="00B57F33" w:rsidRPr="00623252">
        <w:rPr>
          <w:rFonts w:ascii="Calibri" w:hAnsi="Calibri"/>
          <w:sz w:val="24"/>
          <w:szCs w:val="24"/>
        </w:rPr>
        <w:t xml:space="preserve">, </w:t>
      </w:r>
      <w:proofErr w:type="spellStart"/>
      <w:r w:rsidR="00B57F33" w:rsidRPr="00623252">
        <w:rPr>
          <w:rFonts w:ascii="Calibri" w:hAnsi="Calibri"/>
          <w:sz w:val="24"/>
          <w:szCs w:val="24"/>
        </w:rPr>
        <w:t>Omagh</w:t>
      </w:r>
      <w:proofErr w:type="spellEnd"/>
      <w:r w:rsidR="00B57F33" w:rsidRPr="00623252">
        <w:rPr>
          <w:rFonts w:ascii="Calibri" w:hAnsi="Calibri"/>
          <w:sz w:val="24"/>
          <w:szCs w:val="24"/>
        </w:rPr>
        <w:t xml:space="preserve"> and </w:t>
      </w:r>
      <w:proofErr w:type="spellStart"/>
      <w:r w:rsidR="00B57F33" w:rsidRPr="00623252">
        <w:rPr>
          <w:rFonts w:ascii="Calibri" w:hAnsi="Calibri"/>
          <w:sz w:val="24"/>
          <w:szCs w:val="24"/>
        </w:rPr>
        <w:t>Strabane</w:t>
      </w:r>
      <w:proofErr w:type="spellEnd"/>
      <w:r w:rsidR="00B57F33" w:rsidRPr="00623252">
        <w:rPr>
          <w:rFonts w:ascii="Calibri" w:hAnsi="Calibri"/>
          <w:sz w:val="24"/>
          <w:szCs w:val="24"/>
        </w:rPr>
        <w:t xml:space="preserve"> Councils and has a population o</w:t>
      </w:r>
      <w:r>
        <w:rPr>
          <w:rFonts w:ascii="Calibri" w:hAnsi="Calibri"/>
          <w:sz w:val="24"/>
          <w:szCs w:val="24"/>
        </w:rPr>
        <w:t xml:space="preserve">f almost 300,000 people. There are </w:t>
      </w:r>
      <w:r w:rsidR="00B57F33" w:rsidRPr="00623252">
        <w:rPr>
          <w:rFonts w:ascii="Calibri" w:hAnsi="Calibri"/>
          <w:sz w:val="24"/>
          <w:szCs w:val="24"/>
        </w:rPr>
        <w:t>43 post-primary schools and 183 primary schools</w:t>
      </w:r>
      <w:r>
        <w:rPr>
          <w:rFonts w:ascii="Calibri" w:hAnsi="Calibri"/>
          <w:sz w:val="24"/>
          <w:szCs w:val="24"/>
        </w:rPr>
        <w:t xml:space="preserve"> in the Board area</w:t>
      </w:r>
      <w:r w:rsidR="00E748F1" w:rsidRPr="00623252">
        <w:rPr>
          <w:rFonts w:ascii="Calibri" w:hAnsi="Calibri"/>
          <w:sz w:val="24"/>
          <w:szCs w:val="24"/>
        </w:rPr>
        <w:t>. The WELB received 1,175 responses to the questionnaire, 32 letters/statements and 6,422 respondents associated with petitions – in total 7,629 replies to the consultation process.</w:t>
      </w:r>
    </w:p>
    <w:p w:rsidR="00E748F1" w:rsidRPr="00623252" w:rsidRDefault="00E748F1" w:rsidP="00623252">
      <w:pPr>
        <w:jc w:val="both"/>
        <w:rPr>
          <w:rFonts w:ascii="Calibri" w:hAnsi="Calibri"/>
          <w:sz w:val="24"/>
          <w:szCs w:val="24"/>
        </w:rPr>
      </w:pPr>
      <w:r w:rsidRPr="00623252">
        <w:rPr>
          <w:rFonts w:ascii="Calibri" w:hAnsi="Calibri"/>
          <w:sz w:val="24"/>
          <w:szCs w:val="24"/>
        </w:rPr>
        <w:t>Using data from the WELB’s own report (</w:t>
      </w:r>
      <w:r w:rsidR="006C4192" w:rsidRPr="00623252">
        <w:rPr>
          <w:rFonts w:ascii="Calibri" w:hAnsi="Calibri"/>
          <w:b/>
          <w:i/>
          <w:sz w:val="24"/>
          <w:szCs w:val="24"/>
        </w:rPr>
        <w:t xml:space="preserve">WELB: Strategic Area Plan: Post Primary Provision - </w:t>
      </w:r>
      <w:r w:rsidRPr="00623252">
        <w:rPr>
          <w:rFonts w:ascii="Calibri" w:hAnsi="Calibri"/>
          <w:b/>
          <w:i/>
          <w:sz w:val="24"/>
          <w:szCs w:val="24"/>
        </w:rPr>
        <w:t>Consultation Analysis</w:t>
      </w:r>
      <w:r w:rsidRPr="00623252">
        <w:rPr>
          <w:rFonts w:ascii="Calibri" w:hAnsi="Calibri"/>
          <w:sz w:val="24"/>
          <w:szCs w:val="24"/>
        </w:rPr>
        <w:t>, Dece</w:t>
      </w:r>
      <w:r w:rsidR="00AA1603" w:rsidRPr="00623252">
        <w:rPr>
          <w:rFonts w:ascii="Calibri" w:hAnsi="Calibri"/>
          <w:sz w:val="24"/>
          <w:szCs w:val="24"/>
        </w:rPr>
        <w:t xml:space="preserve">mber 2012) we select </w:t>
      </w:r>
      <w:r w:rsidR="00AA1603" w:rsidRPr="00795139">
        <w:rPr>
          <w:rFonts w:ascii="Calibri" w:hAnsi="Calibri"/>
          <w:sz w:val="24"/>
          <w:szCs w:val="24"/>
          <w:u w:val="single"/>
        </w:rPr>
        <w:t>four</w:t>
      </w:r>
      <w:r w:rsidR="00E15D82" w:rsidRPr="00623252">
        <w:rPr>
          <w:rFonts w:ascii="Calibri" w:hAnsi="Calibri"/>
          <w:sz w:val="24"/>
          <w:szCs w:val="24"/>
        </w:rPr>
        <w:t xml:space="preserve"> </w:t>
      </w:r>
      <w:r w:rsidRPr="00623252">
        <w:rPr>
          <w:rFonts w:ascii="Calibri" w:hAnsi="Calibri"/>
          <w:sz w:val="24"/>
          <w:szCs w:val="24"/>
        </w:rPr>
        <w:t xml:space="preserve">sample questions and their responses </w:t>
      </w:r>
      <w:r w:rsidR="006C4192" w:rsidRPr="00623252">
        <w:rPr>
          <w:rFonts w:ascii="Calibri" w:hAnsi="Calibri"/>
          <w:sz w:val="24"/>
          <w:szCs w:val="24"/>
        </w:rPr>
        <w:t>as a way of examining feedback on the area plan for post-primary schools</w:t>
      </w:r>
      <w:r w:rsidR="006C4192" w:rsidRPr="00623252">
        <w:rPr>
          <w:rStyle w:val="FootnoteReference"/>
          <w:rFonts w:ascii="Calibri" w:hAnsi="Calibri"/>
          <w:sz w:val="24"/>
          <w:szCs w:val="24"/>
        </w:rPr>
        <w:footnoteReference w:id="1"/>
      </w:r>
      <w:r w:rsidR="006C4192" w:rsidRPr="00623252">
        <w:rPr>
          <w:rFonts w:ascii="Calibri" w:hAnsi="Calibri"/>
          <w:sz w:val="24"/>
          <w:szCs w:val="24"/>
        </w:rPr>
        <w:t>.</w:t>
      </w:r>
    </w:p>
    <w:p w:rsidR="006C4192" w:rsidRPr="00623252" w:rsidRDefault="006C4192" w:rsidP="00623252">
      <w:pPr>
        <w:jc w:val="both"/>
        <w:rPr>
          <w:rFonts w:ascii="Calibri" w:hAnsi="Calibri"/>
          <w:sz w:val="24"/>
          <w:szCs w:val="24"/>
        </w:rPr>
      </w:pPr>
      <w:r w:rsidRPr="00623252">
        <w:rPr>
          <w:rFonts w:ascii="Calibri" w:hAnsi="Calibri"/>
          <w:b/>
          <w:sz w:val="24"/>
          <w:szCs w:val="24"/>
          <w:u w:val="single"/>
        </w:rPr>
        <w:t>Question 1</w:t>
      </w:r>
      <w:r w:rsidRPr="00623252">
        <w:rPr>
          <w:rFonts w:ascii="Calibri" w:hAnsi="Calibri"/>
          <w:sz w:val="24"/>
          <w:szCs w:val="24"/>
        </w:rPr>
        <w:t xml:space="preserve">:  The Strategic Area Plan for Post-Primary Provision </w:t>
      </w:r>
      <w:r w:rsidRPr="00542CED">
        <w:rPr>
          <w:rFonts w:ascii="Calibri" w:hAnsi="Calibri"/>
          <w:b/>
          <w:sz w:val="24"/>
          <w:szCs w:val="24"/>
        </w:rPr>
        <w:t>shows a way forward</w:t>
      </w:r>
      <w:r w:rsidRPr="00623252">
        <w:rPr>
          <w:rFonts w:ascii="Calibri" w:hAnsi="Calibri"/>
          <w:sz w:val="24"/>
          <w:szCs w:val="24"/>
        </w:rPr>
        <w:t xml:space="preserve"> in the WELB area</w:t>
      </w:r>
      <w:r w:rsidR="0081302A">
        <w:rPr>
          <w:rFonts w:ascii="Calibri" w:hAnsi="Calibri"/>
          <w:sz w:val="24"/>
          <w:szCs w:val="24"/>
        </w:rPr>
        <w:t xml:space="preserve"> (table 1)</w:t>
      </w:r>
      <w:r w:rsidRPr="00623252">
        <w:rPr>
          <w:rFonts w:ascii="Calibri" w:hAnsi="Calibri"/>
          <w:sz w:val="24"/>
          <w:szCs w:val="24"/>
        </w:rPr>
        <w:t>.</w:t>
      </w:r>
    </w:p>
    <w:tbl>
      <w:tblPr>
        <w:tblStyle w:val="LightGrid-Accent2"/>
        <w:tblW w:w="0" w:type="auto"/>
        <w:tblLook w:val="04A0"/>
      </w:tblPr>
      <w:tblGrid>
        <w:gridCol w:w="1071"/>
        <w:gridCol w:w="1396"/>
        <w:gridCol w:w="1291"/>
        <w:gridCol w:w="1470"/>
        <w:gridCol w:w="1417"/>
        <w:gridCol w:w="1407"/>
        <w:gridCol w:w="1190"/>
      </w:tblGrid>
      <w:tr w:rsidR="0081302A" w:rsidRPr="00623252" w:rsidTr="00BA0D12">
        <w:trPr>
          <w:cnfStyle w:val="100000000000"/>
        </w:trPr>
        <w:tc>
          <w:tcPr>
            <w:cnfStyle w:val="001000000000"/>
            <w:tcW w:w="9242" w:type="dxa"/>
            <w:gridSpan w:val="7"/>
          </w:tcPr>
          <w:p w:rsidR="0081302A" w:rsidRPr="00623252" w:rsidRDefault="0081302A" w:rsidP="0081302A">
            <w:pPr>
              <w:jc w:val="center"/>
              <w:rPr>
                <w:rFonts w:ascii="Calibri" w:hAnsi="Calibri"/>
                <w:sz w:val="24"/>
                <w:szCs w:val="24"/>
              </w:rPr>
            </w:pPr>
            <w:r>
              <w:rPr>
                <w:rFonts w:ascii="Calibri" w:hAnsi="Calibri"/>
                <w:sz w:val="24"/>
                <w:szCs w:val="24"/>
              </w:rPr>
              <w:t>Table 1: Area plan</w:t>
            </w:r>
            <w:r w:rsidR="00B96596">
              <w:rPr>
                <w:rFonts w:ascii="Calibri" w:hAnsi="Calibri"/>
                <w:sz w:val="24"/>
                <w:szCs w:val="24"/>
              </w:rPr>
              <w:t xml:space="preserve"> </w:t>
            </w:r>
            <w:r>
              <w:rPr>
                <w:rFonts w:ascii="Calibri" w:hAnsi="Calibri"/>
                <w:sz w:val="24"/>
                <w:szCs w:val="24"/>
              </w:rPr>
              <w:t xml:space="preserve">shows </w:t>
            </w:r>
            <w:r w:rsidR="003E3C3F">
              <w:rPr>
                <w:rFonts w:ascii="Calibri" w:hAnsi="Calibri"/>
                <w:sz w:val="24"/>
                <w:szCs w:val="24"/>
              </w:rPr>
              <w:t xml:space="preserve">a </w:t>
            </w:r>
            <w:r>
              <w:rPr>
                <w:rFonts w:ascii="Calibri" w:hAnsi="Calibri"/>
                <w:sz w:val="24"/>
                <w:szCs w:val="24"/>
              </w:rPr>
              <w:t>way forward for WELB area</w:t>
            </w:r>
          </w:p>
        </w:tc>
      </w:tr>
      <w:tr w:rsidR="00446C49" w:rsidRPr="00623252" w:rsidTr="00CD6054">
        <w:trPr>
          <w:cnfStyle w:val="000000100000"/>
        </w:trPr>
        <w:tc>
          <w:tcPr>
            <w:cnfStyle w:val="001000000000"/>
            <w:tcW w:w="1071" w:type="dxa"/>
          </w:tcPr>
          <w:p w:rsidR="00446C49" w:rsidRPr="00623252" w:rsidRDefault="00446C49" w:rsidP="00623252">
            <w:pPr>
              <w:jc w:val="both"/>
              <w:rPr>
                <w:rFonts w:ascii="Calibri" w:hAnsi="Calibri"/>
                <w:sz w:val="24"/>
                <w:szCs w:val="24"/>
              </w:rPr>
            </w:pPr>
          </w:p>
        </w:tc>
        <w:tc>
          <w:tcPr>
            <w:tcW w:w="1396"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Strongly agree</w:t>
            </w:r>
          </w:p>
        </w:tc>
        <w:tc>
          <w:tcPr>
            <w:tcW w:w="1291"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Agree</w:t>
            </w:r>
          </w:p>
        </w:tc>
        <w:tc>
          <w:tcPr>
            <w:tcW w:w="1470"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Uncertain</w:t>
            </w:r>
          </w:p>
        </w:tc>
        <w:tc>
          <w:tcPr>
            <w:tcW w:w="1417"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Disagree</w:t>
            </w:r>
          </w:p>
        </w:tc>
        <w:tc>
          <w:tcPr>
            <w:tcW w:w="1407"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Strongly disagree</w:t>
            </w:r>
          </w:p>
        </w:tc>
        <w:tc>
          <w:tcPr>
            <w:tcW w:w="1190"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Total</w:t>
            </w:r>
          </w:p>
        </w:tc>
      </w:tr>
      <w:tr w:rsidR="00446C49" w:rsidRPr="00623252" w:rsidTr="00CD6054">
        <w:trPr>
          <w:cnfStyle w:val="000000010000"/>
        </w:trPr>
        <w:tc>
          <w:tcPr>
            <w:cnfStyle w:val="001000000000"/>
            <w:tcW w:w="1071" w:type="dxa"/>
          </w:tcPr>
          <w:p w:rsidR="00446C49" w:rsidRPr="00623252" w:rsidRDefault="00446C49" w:rsidP="00623252">
            <w:pPr>
              <w:jc w:val="both"/>
              <w:rPr>
                <w:rFonts w:ascii="Calibri" w:hAnsi="Calibri"/>
                <w:sz w:val="24"/>
                <w:szCs w:val="24"/>
              </w:rPr>
            </w:pPr>
            <w:r w:rsidRPr="00623252">
              <w:rPr>
                <w:rFonts w:ascii="Calibri" w:hAnsi="Calibri"/>
                <w:sz w:val="24"/>
                <w:szCs w:val="24"/>
              </w:rPr>
              <w:t>%</w:t>
            </w:r>
          </w:p>
        </w:tc>
        <w:tc>
          <w:tcPr>
            <w:tcW w:w="1396" w:type="dxa"/>
          </w:tcPr>
          <w:p w:rsidR="00446C49" w:rsidRPr="00623252" w:rsidRDefault="00446C49" w:rsidP="00623252">
            <w:pPr>
              <w:jc w:val="both"/>
              <w:cnfStyle w:val="000000010000"/>
              <w:rPr>
                <w:rFonts w:ascii="Calibri" w:hAnsi="Calibri"/>
                <w:sz w:val="24"/>
                <w:szCs w:val="24"/>
              </w:rPr>
            </w:pPr>
            <w:r w:rsidRPr="00623252">
              <w:rPr>
                <w:rFonts w:ascii="Calibri" w:hAnsi="Calibri"/>
                <w:sz w:val="24"/>
                <w:szCs w:val="24"/>
              </w:rPr>
              <w:t>16.6</w:t>
            </w:r>
          </w:p>
        </w:tc>
        <w:tc>
          <w:tcPr>
            <w:tcW w:w="1291" w:type="dxa"/>
          </w:tcPr>
          <w:p w:rsidR="00446C49" w:rsidRPr="00623252" w:rsidRDefault="00446C49" w:rsidP="00623252">
            <w:pPr>
              <w:jc w:val="both"/>
              <w:cnfStyle w:val="000000010000"/>
              <w:rPr>
                <w:rFonts w:ascii="Calibri" w:hAnsi="Calibri"/>
                <w:sz w:val="24"/>
                <w:szCs w:val="24"/>
              </w:rPr>
            </w:pPr>
            <w:r w:rsidRPr="00623252">
              <w:rPr>
                <w:rFonts w:ascii="Calibri" w:hAnsi="Calibri"/>
                <w:sz w:val="24"/>
                <w:szCs w:val="24"/>
              </w:rPr>
              <w:t>12.5</w:t>
            </w:r>
          </w:p>
        </w:tc>
        <w:tc>
          <w:tcPr>
            <w:tcW w:w="1470" w:type="dxa"/>
          </w:tcPr>
          <w:p w:rsidR="00446C49" w:rsidRPr="00623252" w:rsidRDefault="00446C49" w:rsidP="00623252">
            <w:pPr>
              <w:jc w:val="both"/>
              <w:cnfStyle w:val="000000010000"/>
              <w:rPr>
                <w:rFonts w:ascii="Calibri" w:hAnsi="Calibri"/>
                <w:sz w:val="24"/>
                <w:szCs w:val="24"/>
              </w:rPr>
            </w:pPr>
            <w:r w:rsidRPr="00623252">
              <w:rPr>
                <w:rFonts w:ascii="Calibri" w:hAnsi="Calibri"/>
                <w:sz w:val="24"/>
                <w:szCs w:val="24"/>
              </w:rPr>
              <w:t>11.8</w:t>
            </w:r>
          </w:p>
        </w:tc>
        <w:tc>
          <w:tcPr>
            <w:tcW w:w="1417" w:type="dxa"/>
          </w:tcPr>
          <w:p w:rsidR="00446C49" w:rsidRPr="00623252" w:rsidRDefault="00446C49" w:rsidP="00623252">
            <w:pPr>
              <w:jc w:val="both"/>
              <w:cnfStyle w:val="000000010000"/>
              <w:rPr>
                <w:rFonts w:ascii="Calibri" w:hAnsi="Calibri"/>
                <w:sz w:val="24"/>
                <w:szCs w:val="24"/>
              </w:rPr>
            </w:pPr>
            <w:r w:rsidRPr="00623252">
              <w:rPr>
                <w:rFonts w:ascii="Calibri" w:hAnsi="Calibri"/>
                <w:sz w:val="24"/>
                <w:szCs w:val="24"/>
              </w:rPr>
              <w:t>10.8</w:t>
            </w:r>
          </w:p>
        </w:tc>
        <w:tc>
          <w:tcPr>
            <w:tcW w:w="1407" w:type="dxa"/>
          </w:tcPr>
          <w:p w:rsidR="00446C49" w:rsidRPr="00623252" w:rsidRDefault="00446C49" w:rsidP="00623252">
            <w:pPr>
              <w:jc w:val="both"/>
              <w:cnfStyle w:val="000000010000"/>
              <w:rPr>
                <w:rFonts w:ascii="Calibri" w:hAnsi="Calibri"/>
                <w:sz w:val="24"/>
                <w:szCs w:val="24"/>
              </w:rPr>
            </w:pPr>
            <w:r w:rsidRPr="00623252">
              <w:rPr>
                <w:rFonts w:ascii="Calibri" w:hAnsi="Calibri"/>
                <w:sz w:val="24"/>
                <w:szCs w:val="24"/>
              </w:rPr>
              <w:t>48.3</w:t>
            </w:r>
          </w:p>
        </w:tc>
        <w:tc>
          <w:tcPr>
            <w:tcW w:w="1190" w:type="dxa"/>
          </w:tcPr>
          <w:p w:rsidR="00446C49" w:rsidRPr="00623252" w:rsidRDefault="00446C49" w:rsidP="00623252">
            <w:pPr>
              <w:jc w:val="both"/>
              <w:cnfStyle w:val="000000010000"/>
              <w:rPr>
                <w:rFonts w:ascii="Calibri" w:hAnsi="Calibri"/>
                <w:sz w:val="24"/>
                <w:szCs w:val="24"/>
              </w:rPr>
            </w:pPr>
            <w:r w:rsidRPr="00623252">
              <w:rPr>
                <w:rFonts w:ascii="Calibri" w:hAnsi="Calibri"/>
                <w:sz w:val="24"/>
                <w:szCs w:val="24"/>
              </w:rPr>
              <w:t>100%</w:t>
            </w:r>
          </w:p>
        </w:tc>
      </w:tr>
      <w:tr w:rsidR="00446C49" w:rsidRPr="00623252" w:rsidTr="00CD6054">
        <w:trPr>
          <w:cnfStyle w:val="000000100000"/>
        </w:trPr>
        <w:tc>
          <w:tcPr>
            <w:cnfStyle w:val="001000000000"/>
            <w:tcW w:w="1071" w:type="dxa"/>
          </w:tcPr>
          <w:p w:rsidR="00446C49" w:rsidRPr="00623252" w:rsidRDefault="00446C49" w:rsidP="00623252">
            <w:pPr>
              <w:jc w:val="both"/>
              <w:rPr>
                <w:rFonts w:ascii="Calibri" w:hAnsi="Calibri"/>
                <w:sz w:val="24"/>
                <w:szCs w:val="24"/>
              </w:rPr>
            </w:pPr>
            <w:r w:rsidRPr="00623252">
              <w:rPr>
                <w:rFonts w:ascii="Calibri" w:hAnsi="Calibri"/>
                <w:sz w:val="24"/>
                <w:szCs w:val="24"/>
              </w:rPr>
              <w:t>N</w:t>
            </w:r>
          </w:p>
        </w:tc>
        <w:tc>
          <w:tcPr>
            <w:tcW w:w="1396"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170</w:t>
            </w:r>
          </w:p>
        </w:tc>
        <w:tc>
          <w:tcPr>
            <w:tcW w:w="1291"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128</w:t>
            </w:r>
          </w:p>
        </w:tc>
        <w:tc>
          <w:tcPr>
            <w:tcW w:w="1470"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121</w:t>
            </w:r>
          </w:p>
        </w:tc>
        <w:tc>
          <w:tcPr>
            <w:tcW w:w="1417"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109</w:t>
            </w:r>
          </w:p>
        </w:tc>
        <w:tc>
          <w:tcPr>
            <w:tcW w:w="1407"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494</w:t>
            </w:r>
          </w:p>
        </w:tc>
        <w:tc>
          <w:tcPr>
            <w:tcW w:w="1190" w:type="dxa"/>
          </w:tcPr>
          <w:p w:rsidR="00446C49" w:rsidRPr="00623252" w:rsidRDefault="00446C49" w:rsidP="00623252">
            <w:pPr>
              <w:jc w:val="both"/>
              <w:cnfStyle w:val="000000100000"/>
              <w:rPr>
                <w:rFonts w:ascii="Calibri" w:hAnsi="Calibri"/>
                <w:sz w:val="24"/>
                <w:szCs w:val="24"/>
              </w:rPr>
            </w:pPr>
            <w:r w:rsidRPr="00623252">
              <w:rPr>
                <w:rFonts w:ascii="Calibri" w:hAnsi="Calibri"/>
                <w:sz w:val="24"/>
                <w:szCs w:val="24"/>
              </w:rPr>
              <w:t>1022</w:t>
            </w:r>
          </w:p>
        </w:tc>
      </w:tr>
    </w:tbl>
    <w:p w:rsidR="006C4192" w:rsidRPr="00623252" w:rsidRDefault="006C4192" w:rsidP="00623252">
      <w:pPr>
        <w:jc w:val="both"/>
        <w:rPr>
          <w:rFonts w:ascii="Calibri" w:hAnsi="Calibri"/>
          <w:sz w:val="24"/>
          <w:szCs w:val="24"/>
        </w:rPr>
      </w:pPr>
    </w:p>
    <w:p w:rsidR="007B2C4A" w:rsidRPr="00623252" w:rsidRDefault="007B2C4A" w:rsidP="00623252">
      <w:pPr>
        <w:jc w:val="both"/>
        <w:rPr>
          <w:rFonts w:ascii="Calibri" w:hAnsi="Calibri"/>
          <w:sz w:val="24"/>
          <w:szCs w:val="24"/>
        </w:rPr>
      </w:pPr>
      <w:r w:rsidRPr="00623252">
        <w:rPr>
          <w:rFonts w:ascii="Calibri" w:hAnsi="Calibri"/>
          <w:sz w:val="24"/>
          <w:szCs w:val="24"/>
        </w:rPr>
        <w:t xml:space="preserve">Collapsing these categories and representing them in graph form </w:t>
      </w:r>
      <w:r w:rsidR="0081302A">
        <w:rPr>
          <w:rFonts w:ascii="Calibri" w:hAnsi="Calibri"/>
          <w:sz w:val="24"/>
          <w:szCs w:val="24"/>
        </w:rPr>
        <w:t>(</w:t>
      </w:r>
      <w:r w:rsidR="008C7C15">
        <w:rPr>
          <w:rFonts w:ascii="Calibri" w:hAnsi="Calibri"/>
          <w:sz w:val="24"/>
          <w:szCs w:val="24"/>
        </w:rPr>
        <w:t xml:space="preserve">see </w:t>
      </w:r>
      <w:r w:rsidR="0081302A">
        <w:rPr>
          <w:rFonts w:ascii="Calibri" w:hAnsi="Calibri"/>
          <w:sz w:val="24"/>
          <w:szCs w:val="24"/>
        </w:rPr>
        <w:t>figure 1)</w:t>
      </w:r>
      <w:r w:rsidR="008C7C15">
        <w:rPr>
          <w:rFonts w:ascii="Calibri" w:hAnsi="Calibri"/>
          <w:sz w:val="24"/>
          <w:szCs w:val="24"/>
        </w:rPr>
        <w:t>.</w:t>
      </w:r>
    </w:p>
    <w:p w:rsidR="007B2C4A" w:rsidRPr="00623252" w:rsidRDefault="007B2C4A" w:rsidP="00623252">
      <w:pPr>
        <w:jc w:val="both"/>
        <w:rPr>
          <w:rFonts w:ascii="Calibri" w:hAnsi="Calibri"/>
          <w:sz w:val="24"/>
          <w:szCs w:val="24"/>
        </w:rPr>
      </w:pPr>
    </w:p>
    <w:p w:rsidR="007B2C4A" w:rsidRPr="00623252" w:rsidRDefault="00661C84" w:rsidP="00623252">
      <w:pPr>
        <w:jc w:val="both"/>
        <w:rPr>
          <w:rFonts w:ascii="Calibri" w:hAnsi="Calibri"/>
          <w:sz w:val="24"/>
          <w:szCs w:val="24"/>
        </w:rPr>
      </w:pPr>
      <w:r w:rsidRPr="00623252">
        <w:rPr>
          <w:rFonts w:ascii="Calibri" w:hAnsi="Calibri"/>
          <w:noProof/>
          <w:sz w:val="24"/>
          <w:szCs w:val="24"/>
          <w:lang w:eastAsia="en-GB"/>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B2C4A" w:rsidRPr="00623252">
        <w:rPr>
          <w:rFonts w:ascii="Calibri" w:hAnsi="Calibri"/>
          <w:sz w:val="24"/>
          <w:szCs w:val="24"/>
        </w:rPr>
        <w:t xml:space="preserve"> </w:t>
      </w:r>
    </w:p>
    <w:p w:rsidR="00E15D82" w:rsidRPr="00623252" w:rsidRDefault="00E15D82" w:rsidP="00623252">
      <w:pPr>
        <w:jc w:val="both"/>
        <w:rPr>
          <w:rFonts w:ascii="Calibri" w:hAnsi="Calibri"/>
          <w:sz w:val="24"/>
          <w:szCs w:val="24"/>
        </w:rPr>
      </w:pPr>
      <w:r w:rsidRPr="00623252">
        <w:rPr>
          <w:rFonts w:ascii="Calibri" w:hAnsi="Calibri"/>
          <w:b/>
          <w:sz w:val="24"/>
          <w:szCs w:val="24"/>
          <w:u w:val="single"/>
        </w:rPr>
        <w:t>Question 2</w:t>
      </w:r>
      <w:r w:rsidRPr="00623252">
        <w:rPr>
          <w:rFonts w:ascii="Calibri" w:hAnsi="Calibri"/>
          <w:sz w:val="24"/>
          <w:szCs w:val="24"/>
        </w:rPr>
        <w:t xml:space="preserve">: The Strategic Area Plan for Post-Primary Provision will lead to a network of sustainable schools in the WELB area which will </w:t>
      </w:r>
      <w:r w:rsidRPr="0028081F">
        <w:rPr>
          <w:rFonts w:ascii="Calibri" w:hAnsi="Calibri"/>
          <w:b/>
          <w:sz w:val="24"/>
          <w:szCs w:val="24"/>
        </w:rPr>
        <w:t>meet the need of all pupils</w:t>
      </w:r>
      <w:r w:rsidRPr="00623252">
        <w:rPr>
          <w:rFonts w:ascii="Calibri" w:hAnsi="Calibri"/>
          <w:sz w:val="24"/>
          <w:szCs w:val="24"/>
        </w:rPr>
        <w:t xml:space="preserve"> in the longer term</w:t>
      </w:r>
      <w:r w:rsidR="0081302A">
        <w:rPr>
          <w:rFonts w:ascii="Calibri" w:hAnsi="Calibri"/>
          <w:sz w:val="24"/>
          <w:szCs w:val="24"/>
        </w:rPr>
        <w:t xml:space="preserve"> (table 2).</w:t>
      </w:r>
    </w:p>
    <w:tbl>
      <w:tblPr>
        <w:tblStyle w:val="LightGrid-Accent2"/>
        <w:tblW w:w="0" w:type="auto"/>
        <w:tblLook w:val="04A0"/>
      </w:tblPr>
      <w:tblGrid>
        <w:gridCol w:w="1071"/>
        <w:gridCol w:w="1396"/>
        <w:gridCol w:w="1291"/>
        <w:gridCol w:w="1470"/>
        <w:gridCol w:w="1417"/>
        <w:gridCol w:w="1407"/>
        <w:gridCol w:w="1190"/>
      </w:tblGrid>
      <w:tr w:rsidR="0081302A" w:rsidRPr="00623252" w:rsidTr="00BA0D12">
        <w:trPr>
          <w:cnfStyle w:val="100000000000"/>
        </w:trPr>
        <w:tc>
          <w:tcPr>
            <w:cnfStyle w:val="001000000000"/>
            <w:tcW w:w="9242" w:type="dxa"/>
            <w:gridSpan w:val="7"/>
          </w:tcPr>
          <w:p w:rsidR="0081302A" w:rsidRPr="00623252" w:rsidRDefault="0081302A" w:rsidP="0081302A">
            <w:pPr>
              <w:jc w:val="center"/>
              <w:rPr>
                <w:rFonts w:ascii="Calibri" w:hAnsi="Calibri"/>
                <w:sz w:val="24"/>
                <w:szCs w:val="24"/>
              </w:rPr>
            </w:pPr>
            <w:r>
              <w:rPr>
                <w:rFonts w:ascii="Calibri" w:hAnsi="Calibri"/>
                <w:sz w:val="24"/>
                <w:szCs w:val="24"/>
              </w:rPr>
              <w:t>Table 2: Area plan meets needs of all pupils in longer term</w:t>
            </w:r>
          </w:p>
        </w:tc>
      </w:tr>
      <w:tr w:rsidR="00155491" w:rsidRPr="00623252" w:rsidTr="00CD6054">
        <w:trPr>
          <w:cnfStyle w:val="000000100000"/>
        </w:trPr>
        <w:tc>
          <w:tcPr>
            <w:cnfStyle w:val="001000000000"/>
            <w:tcW w:w="1071" w:type="dxa"/>
          </w:tcPr>
          <w:p w:rsidR="00155491" w:rsidRPr="00623252" w:rsidRDefault="00155491" w:rsidP="00623252">
            <w:pPr>
              <w:jc w:val="both"/>
              <w:rPr>
                <w:rFonts w:ascii="Calibri" w:hAnsi="Calibri"/>
                <w:sz w:val="24"/>
                <w:szCs w:val="24"/>
              </w:rPr>
            </w:pPr>
          </w:p>
        </w:tc>
        <w:tc>
          <w:tcPr>
            <w:tcW w:w="1396"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Strongly agree</w:t>
            </w:r>
          </w:p>
        </w:tc>
        <w:tc>
          <w:tcPr>
            <w:tcW w:w="1291"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Agree</w:t>
            </w:r>
          </w:p>
        </w:tc>
        <w:tc>
          <w:tcPr>
            <w:tcW w:w="1470"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Uncertain</w:t>
            </w:r>
          </w:p>
        </w:tc>
        <w:tc>
          <w:tcPr>
            <w:tcW w:w="1417"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Disagree</w:t>
            </w:r>
          </w:p>
        </w:tc>
        <w:tc>
          <w:tcPr>
            <w:tcW w:w="1407"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Strongly disagree</w:t>
            </w:r>
          </w:p>
        </w:tc>
        <w:tc>
          <w:tcPr>
            <w:tcW w:w="1190"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Total</w:t>
            </w:r>
          </w:p>
        </w:tc>
      </w:tr>
      <w:tr w:rsidR="00155491" w:rsidRPr="00623252" w:rsidTr="00CD6054">
        <w:trPr>
          <w:cnfStyle w:val="000000010000"/>
        </w:trPr>
        <w:tc>
          <w:tcPr>
            <w:cnfStyle w:val="001000000000"/>
            <w:tcW w:w="1071" w:type="dxa"/>
          </w:tcPr>
          <w:p w:rsidR="00155491" w:rsidRPr="00623252" w:rsidRDefault="00155491" w:rsidP="00623252">
            <w:pPr>
              <w:jc w:val="both"/>
              <w:rPr>
                <w:rFonts w:ascii="Calibri" w:hAnsi="Calibri"/>
                <w:sz w:val="24"/>
                <w:szCs w:val="24"/>
              </w:rPr>
            </w:pPr>
            <w:r w:rsidRPr="00623252">
              <w:rPr>
                <w:rFonts w:ascii="Calibri" w:hAnsi="Calibri"/>
                <w:sz w:val="24"/>
                <w:szCs w:val="24"/>
              </w:rPr>
              <w:t>%</w:t>
            </w:r>
          </w:p>
        </w:tc>
        <w:tc>
          <w:tcPr>
            <w:tcW w:w="1396" w:type="dxa"/>
          </w:tcPr>
          <w:p w:rsidR="00155491" w:rsidRPr="00623252" w:rsidRDefault="00155491" w:rsidP="00623252">
            <w:pPr>
              <w:jc w:val="both"/>
              <w:cnfStyle w:val="000000010000"/>
              <w:rPr>
                <w:rFonts w:ascii="Calibri" w:hAnsi="Calibri"/>
                <w:sz w:val="24"/>
                <w:szCs w:val="24"/>
              </w:rPr>
            </w:pPr>
            <w:r w:rsidRPr="00623252">
              <w:rPr>
                <w:rFonts w:ascii="Calibri" w:hAnsi="Calibri"/>
                <w:sz w:val="24"/>
                <w:szCs w:val="24"/>
              </w:rPr>
              <w:t>18.0</w:t>
            </w:r>
          </w:p>
        </w:tc>
        <w:tc>
          <w:tcPr>
            <w:tcW w:w="1291" w:type="dxa"/>
          </w:tcPr>
          <w:p w:rsidR="00155491" w:rsidRPr="00623252" w:rsidRDefault="00155491" w:rsidP="00623252">
            <w:pPr>
              <w:jc w:val="both"/>
              <w:cnfStyle w:val="000000010000"/>
              <w:rPr>
                <w:rFonts w:ascii="Calibri" w:hAnsi="Calibri"/>
                <w:sz w:val="24"/>
                <w:szCs w:val="24"/>
              </w:rPr>
            </w:pPr>
            <w:r w:rsidRPr="00623252">
              <w:rPr>
                <w:rFonts w:ascii="Calibri" w:hAnsi="Calibri"/>
                <w:sz w:val="24"/>
                <w:szCs w:val="24"/>
              </w:rPr>
              <w:t>10.6</w:t>
            </w:r>
          </w:p>
        </w:tc>
        <w:tc>
          <w:tcPr>
            <w:tcW w:w="1470" w:type="dxa"/>
          </w:tcPr>
          <w:p w:rsidR="00155491" w:rsidRPr="00623252" w:rsidRDefault="00155491" w:rsidP="00623252">
            <w:pPr>
              <w:jc w:val="both"/>
              <w:cnfStyle w:val="000000010000"/>
              <w:rPr>
                <w:rFonts w:ascii="Calibri" w:hAnsi="Calibri"/>
                <w:sz w:val="24"/>
                <w:szCs w:val="24"/>
              </w:rPr>
            </w:pPr>
            <w:r w:rsidRPr="00623252">
              <w:rPr>
                <w:rFonts w:ascii="Calibri" w:hAnsi="Calibri"/>
                <w:sz w:val="24"/>
                <w:szCs w:val="24"/>
              </w:rPr>
              <w:t>10.8</w:t>
            </w:r>
          </w:p>
        </w:tc>
        <w:tc>
          <w:tcPr>
            <w:tcW w:w="1417" w:type="dxa"/>
          </w:tcPr>
          <w:p w:rsidR="00155491" w:rsidRPr="00623252" w:rsidRDefault="00155491" w:rsidP="00623252">
            <w:pPr>
              <w:jc w:val="both"/>
              <w:cnfStyle w:val="000000010000"/>
              <w:rPr>
                <w:rFonts w:ascii="Calibri" w:hAnsi="Calibri"/>
                <w:sz w:val="24"/>
                <w:szCs w:val="24"/>
              </w:rPr>
            </w:pPr>
            <w:r w:rsidRPr="00623252">
              <w:rPr>
                <w:rFonts w:ascii="Calibri" w:hAnsi="Calibri"/>
                <w:sz w:val="24"/>
                <w:szCs w:val="24"/>
              </w:rPr>
              <w:t>26.8</w:t>
            </w:r>
          </w:p>
        </w:tc>
        <w:tc>
          <w:tcPr>
            <w:tcW w:w="1407" w:type="dxa"/>
          </w:tcPr>
          <w:p w:rsidR="00155491" w:rsidRPr="00623252" w:rsidRDefault="00155491" w:rsidP="00623252">
            <w:pPr>
              <w:jc w:val="both"/>
              <w:cnfStyle w:val="000000010000"/>
              <w:rPr>
                <w:rFonts w:ascii="Calibri" w:hAnsi="Calibri"/>
                <w:sz w:val="24"/>
                <w:szCs w:val="24"/>
              </w:rPr>
            </w:pPr>
            <w:r w:rsidRPr="00623252">
              <w:rPr>
                <w:rFonts w:ascii="Calibri" w:hAnsi="Calibri"/>
                <w:sz w:val="24"/>
                <w:szCs w:val="24"/>
              </w:rPr>
              <w:t>33.8</w:t>
            </w:r>
          </w:p>
        </w:tc>
        <w:tc>
          <w:tcPr>
            <w:tcW w:w="1190" w:type="dxa"/>
          </w:tcPr>
          <w:p w:rsidR="00155491" w:rsidRPr="00623252" w:rsidRDefault="00155491" w:rsidP="00623252">
            <w:pPr>
              <w:jc w:val="both"/>
              <w:cnfStyle w:val="000000010000"/>
              <w:rPr>
                <w:rFonts w:ascii="Calibri" w:hAnsi="Calibri"/>
                <w:sz w:val="24"/>
                <w:szCs w:val="24"/>
              </w:rPr>
            </w:pPr>
            <w:r w:rsidRPr="00623252">
              <w:rPr>
                <w:rFonts w:ascii="Calibri" w:hAnsi="Calibri"/>
                <w:sz w:val="24"/>
                <w:szCs w:val="24"/>
              </w:rPr>
              <w:t>100%</w:t>
            </w:r>
          </w:p>
        </w:tc>
      </w:tr>
      <w:tr w:rsidR="00155491" w:rsidRPr="00623252" w:rsidTr="00CD6054">
        <w:trPr>
          <w:cnfStyle w:val="000000100000"/>
        </w:trPr>
        <w:tc>
          <w:tcPr>
            <w:cnfStyle w:val="001000000000"/>
            <w:tcW w:w="1071" w:type="dxa"/>
          </w:tcPr>
          <w:p w:rsidR="00155491" w:rsidRPr="00623252" w:rsidRDefault="00155491" w:rsidP="00623252">
            <w:pPr>
              <w:jc w:val="both"/>
              <w:rPr>
                <w:rFonts w:ascii="Calibri" w:hAnsi="Calibri"/>
                <w:sz w:val="24"/>
                <w:szCs w:val="24"/>
              </w:rPr>
            </w:pPr>
            <w:r w:rsidRPr="00623252">
              <w:rPr>
                <w:rFonts w:ascii="Calibri" w:hAnsi="Calibri"/>
                <w:sz w:val="24"/>
                <w:szCs w:val="24"/>
              </w:rPr>
              <w:t>N</w:t>
            </w:r>
          </w:p>
        </w:tc>
        <w:tc>
          <w:tcPr>
            <w:tcW w:w="1396"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176</w:t>
            </w:r>
          </w:p>
        </w:tc>
        <w:tc>
          <w:tcPr>
            <w:tcW w:w="1291"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104</w:t>
            </w:r>
          </w:p>
        </w:tc>
        <w:tc>
          <w:tcPr>
            <w:tcW w:w="1470"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105</w:t>
            </w:r>
          </w:p>
        </w:tc>
        <w:tc>
          <w:tcPr>
            <w:tcW w:w="1417"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262</w:t>
            </w:r>
          </w:p>
        </w:tc>
        <w:tc>
          <w:tcPr>
            <w:tcW w:w="1407"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330</w:t>
            </w:r>
          </w:p>
        </w:tc>
        <w:tc>
          <w:tcPr>
            <w:tcW w:w="1190" w:type="dxa"/>
          </w:tcPr>
          <w:p w:rsidR="00155491" w:rsidRPr="00623252" w:rsidRDefault="00155491" w:rsidP="00623252">
            <w:pPr>
              <w:jc w:val="both"/>
              <w:cnfStyle w:val="000000100000"/>
              <w:rPr>
                <w:rFonts w:ascii="Calibri" w:hAnsi="Calibri"/>
                <w:sz w:val="24"/>
                <w:szCs w:val="24"/>
              </w:rPr>
            </w:pPr>
            <w:r w:rsidRPr="00623252">
              <w:rPr>
                <w:rFonts w:ascii="Calibri" w:hAnsi="Calibri"/>
                <w:sz w:val="24"/>
                <w:szCs w:val="24"/>
              </w:rPr>
              <w:t>977</w:t>
            </w:r>
          </w:p>
        </w:tc>
      </w:tr>
    </w:tbl>
    <w:p w:rsidR="0028081F" w:rsidRDefault="0028081F" w:rsidP="00C31E70">
      <w:pPr>
        <w:spacing w:before="240"/>
        <w:jc w:val="both"/>
        <w:rPr>
          <w:rFonts w:ascii="Calibri" w:hAnsi="Calibri"/>
          <w:sz w:val="24"/>
          <w:szCs w:val="24"/>
        </w:rPr>
      </w:pPr>
      <w:r w:rsidRPr="00623252">
        <w:rPr>
          <w:rFonts w:ascii="Calibri" w:hAnsi="Calibri"/>
          <w:sz w:val="24"/>
          <w:szCs w:val="24"/>
        </w:rPr>
        <w:t xml:space="preserve">Collapsing these categories and representing them in graph form </w:t>
      </w:r>
      <w:r w:rsidR="0081302A">
        <w:rPr>
          <w:rFonts w:ascii="Calibri" w:hAnsi="Calibri"/>
          <w:sz w:val="24"/>
          <w:szCs w:val="24"/>
        </w:rPr>
        <w:t>(</w:t>
      </w:r>
      <w:r w:rsidR="008C7C15">
        <w:rPr>
          <w:rFonts w:ascii="Calibri" w:hAnsi="Calibri"/>
          <w:sz w:val="24"/>
          <w:szCs w:val="24"/>
        </w:rPr>
        <w:t xml:space="preserve">see </w:t>
      </w:r>
      <w:r w:rsidR="0081302A">
        <w:rPr>
          <w:rFonts w:ascii="Calibri" w:hAnsi="Calibri"/>
          <w:sz w:val="24"/>
          <w:szCs w:val="24"/>
        </w:rPr>
        <w:t>figure 2)</w:t>
      </w:r>
      <w:r w:rsidR="008C7C15">
        <w:rPr>
          <w:rFonts w:ascii="Calibri" w:hAnsi="Calibri"/>
          <w:sz w:val="24"/>
          <w:szCs w:val="24"/>
        </w:rPr>
        <w:t>.</w:t>
      </w:r>
    </w:p>
    <w:p w:rsidR="00B3310F" w:rsidRPr="00623252" w:rsidRDefault="00B3310F" w:rsidP="00623252">
      <w:pPr>
        <w:jc w:val="both"/>
        <w:rPr>
          <w:rFonts w:ascii="Calibri" w:hAnsi="Calibri"/>
          <w:sz w:val="24"/>
          <w:szCs w:val="24"/>
        </w:rPr>
      </w:pPr>
      <w:r w:rsidRPr="00623252">
        <w:rPr>
          <w:rFonts w:ascii="Calibri" w:hAnsi="Calibri"/>
          <w:noProof/>
          <w:sz w:val="24"/>
          <w:szCs w:val="24"/>
          <w:lang w:eastAsia="en-GB"/>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1603" w:rsidRPr="0081302A" w:rsidRDefault="00AA1603" w:rsidP="00623252">
      <w:pPr>
        <w:jc w:val="both"/>
        <w:rPr>
          <w:rFonts w:ascii="Calibri" w:hAnsi="Calibri"/>
          <w:sz w:val="24"/>
          <w:szCs w:val="24"/>
        </w:rPr>
      </w:pPr>
      <w:r w:rsidRPr="00623252">
        <w:rPr>
          <w:rFonts w:ascii="Calibri" w:hAnsi="Calibri"/>
          <w:b/>
          <w:sz w:val="24"/>
          <w:szCs w:val="24"/>
          <w:u w:val="single"/>
        </w:rPr>
        <w:lastRenderedPageBreak/>
        <w:t>Question 3</w:t>
      </w:r>
      <w:r w:rsidRPr="00623252">
        <w:rPr>
          <w:rFonts w:ascii="Calibri" w:hAnsi="Calibri"/>
          <w:sz w:val="24"/>
          <w:szCs w:val="24"/>
        </w:rPr>
        <w:t xml:space="preserve">: The Strategic Area Plan for Post-Primary Provision will lead to a network of sustainable schools in the WELB area which will </w:t>
      </w:r>
      <w:r w:rsidRPr="0028081F">
        <w:rPr>
          <w:rFonts w:ascii="Calibri" w:hAnsi="Calibri"/>
          <w:b/>
          <w:sz w:val="24"/>
          <w:szCs w:val="24"/>
        </w:rPr>
        <w:t>enhance the quality of provision and raise standards</w:t>
      </w:r>
      <w:r w:rsidR="0081302A">
        <w:rPr>
          <w:rFonts w:ascii="Calibri" w:hAnsi="Calibri"/>
          <w:b/>
          <w:sz w:val="24"/>
          <w:szCs w:val="24"/>
        </w:rPr>
        <w:t xml:space="preserve"> </w:t>
      </w:r>
      <w:r w:rsidR="0081302A" w:rsidRPr="0081302A">
        <w:rPr>
          <w:rFonts w:ascii="Calibri" w:hAnsi="Calibri"/>
          <w:sz w:val="24"/>
          <w:szCs w:val="24"/>
        </w:rPr>
        <w:t xml:space="preserve">(table </w:t>
      </w:r>
      <w:r w:rsidR="008C7C15">
        <w:rPr>
          <w:rFonts w:ascii="Calibri" w:hAnsi="Calibri"/>
          <w:sz w:val="24"/>
          <w:szCs w:val="24"/>
        </w:rPr>
        <w:t>3</w:t>
      </w:r>
      <w:r w:rsidR="0081302A" w:rsidRPr="0081302A">
        <w:rPr>
          <w:rFonts w:ascii="Calibri" w:hAnsi="Calibri"/>
          <w:sz w:val="24"/>
          <w:szCs w:val="24"/>
        </w:rPr>
        <w:t>)</w:t>
      </w:r>
      <w:r w:rsidRPr="0081302A">
        <w:rPr>
          <w:rFonts w:ascii="Calibri" w:hAnsi="Calibri"/>
          <w:sz w:val="24"/>
          <w:szCs w:val="24"/>
        </w:rPr>
        <w:t>.</w:t>
      </w:r>
    </w:p>
    <w:tbl>
      <w:tblPr>
        <w:tblStyle w:val="LightGrid-Accent2"/>
        <w:tblW w:w="0" w:type="auto"/>
        <w:tblLook w:val="04A0"/>
      </w:tblPr>
      <w:tblGrid>
        <w:gridCol w:w="1071"/>
        <w:gridCol w:w="1396"/>
        <w:gridCol w:w="1291"/>
        <w:gridCol w:w="1470"/>
        <w:gridCol w:w="1417"/>
        <w:gridCol w:w="1407"/>
        <w:gridCol w:w="1190"/>
      </w:tblGrid>
      <w:tr w:rsidR="008C7C15" w:rsidRPr="00623252" w:rsidTr="00BA0D12">
        <w:trPr>
          <w:cnfStyle w:val="100000000000"/>
        </w:trPr>
        <w:tc>
          <w:tcPr>
            <w:cnfStyle w:val="001000000000"/>
            <w:tcW w:w="9242" w:type="dxa"/>
            <w:gridSpan w:val="7"/>
          </w:tcPr>
          <w:p w:rsidR="008C7C15" w:rsidRPr="00623252" w:rsidRDefault="008C7C15" w:rsidP="008C7C15">
            <w:pPr>
              <w:jc w:val="center"/>
              <w:rPr>
                <w:rFonts w:ascii="Calibri" w:hAnsi="Calibri"/>
                <w:sz w:val="24"/>
                <w:szCs w:val="24"/>
              </w:rPr>
            </w:pPr>
            <w:r>
              <w:rPr>
                <w:rFonts w:ascii="Calibri" w:hAnsi="Calibri"/>
                <w:sz w:val="24"/>
                <w:szCs w:val="24"/>
              </w:rPr>
              <w:t>Table 3: Enhances quality and raises education standards</w:t>
            </w:r>
          </w:p>
        </w:tc>
      </w:tr>
      <w:tr w:rsidR="00AA1603" w:rsidRPr="00623252" w:rsidTr="00CD6054">
        <w:trPr>
          <w:cnfStyle w:val="000000100000"/>
        </w:trPr>
        <w:tc>
          <w:tcPr>
            <w:cnfStyle w:val="001000000000"/>
            <w:tcW w:w="1071" w:type="dxa"/>
          </w:tcPr>
          <w:p w:rsidR="00AA1603" w:rsidRPr="00623252" w:rsidRDefault="00AA1603" w:rsidP="00623252">
            <w:pPr>
              <w:jc w:val="both"/>
              <w:rPr>
                <w:rFonts w:ascii="Calibri" w:hAnsi="Calibri"/>
                <w:sz w:val="24"/>
                <w:szCs w:val="24"/>
              </w:rPr>
            </w:pPr>
          </w:p>
        </w:tc>
        <w:tc>
          <w:tcPr>
            <w:tcW w:w="1396"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Strongly agree</w:t>
            </w:r>
          </w:p>
        </w:tc>
        <w:tc>
          <w:tcPr>
            <w:tcW w:w="1291"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Agree</w:t>
            </w:r>
          </w:p>
        </w:tc>
        <w:tc>
          <w:tcPr>
            <w:tcW w:w="1470"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Uncertain</w:t>
            </w:r>
          </w:p>
        </w:tc>
        <w:tc>
          <w:tcPr>
            <w:tcW w:w="1417"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Disagree</w:t>
            </w:r>
          </w:p>
        </w:tc>
        <w:tc>
          <w:tcPr>
            <w:tcW w:w="1407"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Strongly disagree</w:t>
            </w:r>
          </w:p>
        </w:tc>
        <w:tc>
          <w:tcPr>
            <w:tcW w:w="1190"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Total</w:t>
            </w:r>
          </w:p>
        </w:tc>
      </w:tr>
      <w:tr w:rsidR="00AA1603" w:rsidRPr="00623252" w:rsidTr="00CD6054">
        <w:trPr>
          <w:cnfStyle w:val="000000010000"/>
        </w:trPr>
        <w:tc>
          <w:tcPr>
            <w:cnfStyle w:val="001000000000"/>
            <w:tcW w:w="1071" w:type="dxa"/>
          </w:tcPr>
          <w:p w:rsidR="00AA1603" w:rsidRPr="00623252" w:rsidRDefault="00AA1603" w:rsidP="00623252">
            <w:pPr>
              <w:jc w:val="both"/>
              <w:rPr>
                <w:rFonts w:ascii="Calibri" w:hAnsi="Calibri"/>
                <w:sz w:val="24"/>
                <w:szCs w:val="24"/>
              </w:rPr>
            </w:pPr>
            <w:r w:rsidRPr="00623252">
              <w:rPr>
                <w:rFonts w:ascii="Calibri" w:hAnsi="Calibri"/>
                <w:sz w:val="24"/>
                <w:szCs w:val="24"/>
              </w:rPr>
              <w:t>%</w:t>
            </w:r>
          </w:p>
        </w:tc>
        <w:tc>
          <w:tcPr>
            <w:tcW w:w="1396" w:type="dxa"/>
          </w:tcPr>
          <w:p w:rsidR="00AA1603" w:rsidRPr="00623252" w:rsidRDefault="00AA1603" w:rsidP="00623252">
            <w:pPr>
              <w:jc w:val="both"/>
              <w:cnfStyle w:val="000000010000"/>
              <w:rPr>
                <w:rFonts w:ascii="Calibri" w:hAnsi="Calibri"/>
                <w:sz w:val="24"/>
                <w:szCs w:val="24"/>
              </w:rPr>
            </w:pPr>
            <w:r w:rsidRPr="00623252">
              <w:rPr>
                <w:rFonts w:ascii="Calibri" w:hAnsi="Calibri"/>
                <w:sz w:val="24"/>
                <w:szCs w:val="24"/>
              </w:rPr>
              <w:t>16.1</w:t>
            </w:r>
          </w:p>
        </w:tc>
        <w:tc>
          <w:tcPr>
            <w:tcW w:w="1291" w:type="dxa"/>
          </w:tcPr>
          <w:p w:rsidR="00AA1603" w:rsidRPr="00623252" w:rsidRDefault="00AA1603" w:rsidP="00623252">
            <w:pPr>
              <w:jc w:val="both"/>
              <w:cnfStyle w:val="000000010000"/>
              <w:rPr>
                <w:rFonts w:ascii="Calibri" w:hAnsi="Calibri"/>
                <w:sz w:val="24"/>
                <w:szCs w:val="24"/>
              </w:rPr>
            </w:pPr>
            <w:r w:rsidRPr="00623252">
              <w:rPr>
                <w:rFonts w:ascii="Calibri" w:hAnsi="Calibri"/>
                <w:sz w:val="24"/>
                <w:szCs w:val="24"/>
              </w:rPr>
              <w:t>11.0</w:t>
            </w:r>
          </w:p>
        </w:tc>
        <w:tc>
          <w:tcPr>
            <w:tcW w:w="1470" w:type="dxa"/>
          </w:tcPr>
          <w:p w:rsidR="00AA1603" w:rsidRPr="00623252" w:rsidRDefault="00AA1603" w:rsidP="00623252">
            <w:pPr>
              <w:jc w:val="both"/>
              <w:cnfStyle w:val="000000010000"/>
              <w:rPr>
                <w:rFonts w:ascii="Calibri" w:hAnsi="Calibri"/>
                <w:sz w:val="24"/>
                <w:szCs w:val="24"/>
              </w:rPr>
            </w:pPr>
            <w:r w:rsidRPr="00623252">
              <w:rPr>
                <w:rFonts w:ascii="Calibri" w:hAnsi="Calibri"/>
                <w:sz w:val="24"/>
                <w:szCs w:val="24"/>
              </w:rPr>
              <w:t>12.5</w:t>
            </w:r>
          </w:p>
        </w:tc>
        <w:tc>
          <w:tcPr>
            <w:tcW w:w="1417" w:type="dxa"/>
          </w:tcPr>
          <w:p w:rsidR="00AA1603" w:rsidRPr="00623252" w:rsidRDefault="00AA1603" w:rsidP="00623252">
            <w:pPr>
              <w:jc w:val="both"/>
              <w:cnfStyle w:val="000000010000"/>
              <w:rPr>
                <w:rFonts w:ascii="Calibri" w:hAnsi="Calibri"/>
                <w:sz w:val="24"/>
                <w:szCs w:val="24"/>
              </w:rPr>
            </w:pPr>
            <w:r w:rsidRPr="00623252">
              <w:rPr>
                <w:rFonts w:ascii="Calibri" w:hAnsi="Calibri"/>
                <w:sz w:val="24"/>
                <w:szCs w:val="24"/>
              </w:rPr>
              <w:t>27.8</w:t>
            </w:r>
          </w:p>
        </w:tc>
        <w:tc>
          <w:tcPr>
            <w:tcW w:w="1407" w:type="dxa"/>
          </w:tcPr>
          <w:p w:rsidR="00AA1603" w:rsidRPr="00623252" w:rsidRDefault="00AA1603" w:rsidP="00623252">
            <w:pPr>
              <w:jc w:val="both"/>
              <w:cnfStyle w:val="000000010000"/>
              <w:rPr>
                <w:rFonts w:ascii="Calibri" w:hAnsi="Calibri"/>
                <w:sz w:val="24"/>
                <w:szCs w:val="24"/>
              </w:rPr>
            </w:pPr>
            <w:r w:rsidRPr="00623252">
              <w:rPr>
                <w:rFonts w:ascii="Calibri" w:hAnsi="Calibri"/>
                <w:sz w:val="24"/>
                <w:szCs w:val="24"/>
              </w:rPr>
              <w:t>32.6</w:t>
            </w:r>
          </w:p>
        </w:tc>
        <w:tc>
          <w:tcPr>
            <w:tcW w:w="1190" w:type="dxa"/>
          </w:tcPr>
          <w:p w:rsidR="00AA1603" w:rsidRPr="00623252" w:rsidRDefault="00AA1603" w:rsidP="00623252">
            <w:pPr>
              <w:jc w:val="both"/>
              <w:cnfStyle w:val="000000010000"/>
              <w:rPr>
                <w:rFonts w:ascii="Calibri" w:hAnsi="Calibri"/>
                <w:sz w:val="24"/>
                <w:szCs w:val="24"/>
              </w:rPr>
            </w:pPr>
            <w:r w:rsidRPr="00623252">
              <w:rPr>
                <w:rFonts w:ascii="Calibri" w:hAnsi="Calibri"/>
                <w:sz w:val="24"/>
                <w:szCs w:val="24"/>
              </w:rPr>
              <w:t>100%</w:t>
            </w:r>
          </w:p>
        </w:tc>
      </w:tr>
      <w:tr w:rsidR="00AA1603" w:rsidRPr="00623252" w:rsidTr="00CD6054">
        <w:trPr>
          <w:cnfStyle w:val="000000100000"/>
        </w:trPr>
        <w:tc>
          <w:tcPr>
            <w:cnfStyle w:val="001000000000"/>
            <w:tcW w:w="1071" w:type="dxa"/>
          </w:tcPr>
          <w:p w:rsidR="00AA1603" w:rsidRPr="00623252" w:rsidRDefault="00AA1603" w:rsidP="00623252">
            <w:pPr>
              <w:jc w:val="both"/>
              <w:rPr>
                <w:rFonts w:ascii="Calibri" w:hAnsi="Calibri"/>
                <w:sz w:val="24"/>
                <w:szCs w:val="24"/>
              </w:rPr>
            </w:pPr>
            <w:r w:rsidRPr="00623252">
              <w:rPr>
                <w:rFonts w:ascii="Calibri" w:hAnsi="Calibri"/>
                <w:sz w:val="24"/>
                <w:szCs w:val="24"/>
              </w:rPr>
              <w:t>N</w:t>
            </w:r>
          </w:p>
        </w:tc>
        <w:tc>
          <w:tcPr>
            <w:tcW w:w="1396"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156</w:t>
            </w:r>
          </w:p>
        </w:tc>
        <w:tc>
          <w:tcPr>
            <w:tcW w:w="1291"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106</w:t>
            </w:r>
          </w:p>
        </w:tc>
        <w:tc>
          <w:tcPr>
            <w:tcW w:w="1470"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121</w:t>
            </w:r>
          </w:p>
        </w:tc>
        <w:tc>
          <w:tcPr>
            <w:tcW w:w="1417"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268</w:t>
            </w:r>
          </w:p>
        </w:tc>
        <w:tc>
          <w:tcPr>
            <w:tcW w:w="1407"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315</w:t>
            </w:r>
          </w:p>
        </w:tc>
        <w:tc>
          <w:tcPr>
            <w:tcW w:w="1190" w:type="dxa"/>
          </w:tcPr>
          <w:p w:rsidR="00AA1603" w:rsidRPr="00623252" w:rsidRDefault="00AA1603" w:rsidP="00623252">
            <w:pPr>
              <w:jc w:val="both"/>
              <w:cnfStyle w:val="000000100000"/>
              <w:rPr>
                <w:rFonts w:ascii="Calibri" w:hAnsi="Calibri"/>
                <w:sz w:val="24"/>
                <w:szCs w:val="24"/>
              </w:rPr>
            </w:pPr>
            <w:r w:rsidRPr="00623252">
              <w:rPr>
                <w:rFonts w:ascii="Calibri" w:hAnsi="Calibri"/>
                <w:sz w:val="24"/>
                <w:szCs w:val="24"/>
              </w:rPr>
              <w:t>966</w:t>
            </w:r>
          </w:p>
        </w:tc>
      </w:tr>
    </w:tbl>
    <w:p w:rsidR="0028081F" w:rsidRDefault="0028081F" w:rsidP="0028081F">
      <w:pPr>
        <w:jc w:val="both"/>
        <w:rPr>
          <w:rFonts w:ascii="Calibri" w:hAnsi="Calibri"/>
          <w:sz w:val="24"/>
          <w:szCs w:val="24"/>
        </w:rPr>
      </w:pPr>
    </w:p>
    <w:p w:rsidR="0028081F" w:rsidRPr="00623252" w:rsidRDefault="0028081F" w:rsidP="0028081F">
      <w:pPr>
        <w:jc w:val="both"/>
        <w:rPr>
          <w:rFonts w:ascii="Calibri" w:hAnsi="Calibri"/>
          <w:sz w:val="24"/>
          <w:szCs w:val="24"/>
        </w:rPr>
      </w:pPr>
      <w:r w:rsidRPr="00623252">
        <w:rPr>
          <w:rFonts w:ascii="Calibri" w:hAnsi="Calibri"/>
          <w:sz w:val="24"/>
          <w:szCs w:val="24"/>
        </w:rPr>
        <w:t xml:space="preserve">Collapsing these categories and representing them in graph form </w:t>
      </w:r>
      <w:r w:rsidR="008C7C15">
        <w:rPr>
          <w:rFonts w:ascii="Calibri" w:hAnsi="Calibri"/>
          <w:sz w:val="24"/>
          <w:szCs w:val="24"/>
        </w:rPr>
        <w:t xml:space="preserve">(figure 3) </w:t>
      </w:r>
      <w:r w:rsidRPr="00623252">
        <w:rPr>
          <w:rFonts w:ascii="Calibri" w:hAnsi="Calibri"/>
          <w:sz w:val="24"/>
          <w:szCs w:val="24"/>
        </w:rPr>
        <w:t>shows:</w:t>
      </w:r>
    </w:p>
    <w:p w:rsidR="00AA1603" w:rsidRPr="00623252" w:rsidRDefault="00AA1603" w:rsidP="00623252">
      <w:pPr>
        <w:jc w:val="both"/>
        <w:rPr>
          <w:rFonts w:ascii="Calibri" w:hAnsi="Calibri"/>
          <w:sz w:val="24"/>
          <w:szCs w:val="24"/>
        </w:rPr>
      </w:pPr>
      <w:r w:rsidRPr="00623252">
        <w:rPr>
          <w:rFonts w:ascii="Calibri" w:hAnsi="Calibri"/>
          <w:noProof/>
          <w:sz w:val="24"/>
          <w:szCs w:val="24"/>
          <w:lang w:eastAsia="en-GB"/>
        </w:rPr>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1603" w:rsidRPr="00623252" w:rsidRDefault="00AA1603" w:rsidP="00623252">
      <w:pPr>
        <w:jc w:val="both"/>
        <w:rPr>
          <w:rFonts w:ascii="Calibri" w:hAnsi="Calibri"/>
          <w:sz w:val="24"/>
          <w:szCs w:val="24"/>
        </w:rPr>
      </w:pPr>
    </w:p>
    <w:p w:rsidR="00AA1603" w:rsidRPr="008C7C15" w:rsidRDefault="00AA1603" w:rsidP="00623252">
      <w:pPr>
        <w:jc w:val="both"/>
        <w:rPr>
          <w:rFonts w:ascii="Calibri" w:hAnsi="Calibri"/>
          <w:sz w:val="24"/>
          <w:szCs w:val="24"/>
        </w:rPr>
      </w:pPr>
      <w:r w:rsidRPr="00623252">
        <w:rPr>
          <w:rFonts w:ascii="Calibri" w:hAnsi="Calibri"/>
          <w:b/>
          <w:sz w:val="24"/>
          <w:szCs w:val="24"/>
          <w:u w:val="single"/>
        </w:rPr>
        <w:t>Question 4</w:t>
      </w:r>
      <w:r w:rsidRPr="00623252">
        <w:rPr>
          <w:rFonts w:ascii="Calibri" w:hAnsi="Calibri"/>
          <w:sz w:val="24"/>
          <w:szCs w:val="24"/>
        </w:rPr>
        <w:t xml:space="preserve">: </w:t>
      </w:r>
      <w:r w:rsidR="00096173" w:rsidRPr="00623252">
        <w:rPr>
          <w:rFonts w:ascii="Calibri" w:hAnsi="Calibri"/>
          <w:sz w:val="24"/>
          <w:szCs w:val="24"/>
        </w:rPr>
        <w:t xml:space="preserve">The Strategic Area Plan for Post-Primary Provision identifies realistic, innovative and creative solutions to address need in the WELB which: includes </w:t>
      </w:r>
      <w:r w:rsidR="00096173" w:rsidRPr="008C7C15">
        <w:rPr>
          <w:rFonts w:ascii="Calibri" w:hAnsi="Calibri"/>
          <w:b/>
          <w:sz w:val="24"/>
          <w:szCs w:val="24"/>
        </w:rPr>
        <w:t>opportunities</w:t>
      </w:r>
      <w:r w:rsidR="00096173" w:rsidRPr="00623252">
        <w:rPr>
          <w:rFonts w:ascii="Calibri" w:hAnsi="Calibri"/>
          <w:sz w:val="24"/>
          <w:szCs w:val="24"/>
        </w:rPr>
        <w:t xml:space="preserve"> </w:t>
      </w:r>
      <w:r w:rsidR="005D4C98">
        <w:rPr>
          <w:rFonts w:ascii="Calibri" w:hAnsi="Calibri"/>
          <w:b/>
          <w:sz w:val="24"/>
          <w:szCs w:val="24"/>
        </w:rPr>
        <w:t>for shared schooling on a cross-</w:t>
      </w:r>
      <w:proofErr w:type="spellStart"/>
      <w:r w:rsidR="00096173" w:rsidRPr="00926A6D">
        <w:rPr>
          <w:rFonts w:ascii="Calibri" w:hAnsi="Calibri"/>
          <w:b/>
          <w:sz w:val="24"/>
          <w:szCs w:val="24"/>
        </w:rPr>
        <w:t>sectoral</w:t>
      </w:r>
      <w:proofErr w:type="spellEnd"/>
      <w:r w:rsidR="00096173" w:rsidRPr="00926A6D">
        <w:rPr>
          <w:rFonts w:ascii="Calibri" w:hAnsi="Calibri"/>
          <w:b/>
          <w:sz w:val="24"/>
          <w:szCs w:val="24"/>
        </w:rPr>
        <w:t xml:space="preserve"> basis</w:t>
      </w:r>
      <w:r w:rsidR="008C7C15">
        <w:rPr>
          <w:rFonts w:ascii="Calibri" w:hAnsi="Calibri"/>
          <w:b/>
          <w:sz w:val="24"/>
          <w:szCs w:val="24"/>
        </w:rPr>
        <w:t xml:space="preserve"> </w:t>
      </w:r>
      <w:r w:rsidR="008C7C15" w:rsidRPr="008C7C15">
        <w:rPr>
          <w:rFonts w:ascii="Calibri" w:hAnsi="Calibri"/>
          <w:sz w:val="24"/>
          <w:szCs w:val="24"/>
        </w:rPr>
        <w:t>(table 4)</w:t>
      </w:r>
      <w:r w:rsidR="00096173" w:rsidRPr="008C7C15">
        <w:rPr>
          <w:rFonts w:ascii="Calibri" w:hAnsi="Calibri"/>
          <w:sz w:val="24"/>
          <w:szCs w:val="24"/>
        </w:rPr>
        <w:t>.</w:t>
      </w:r>
    </w:p>
    <w:tbl>
      <w:tblPr>
        <w:tblStyle w:val="LightGrid-Accent2"/>
        <w:tblW w:w="0" w:type="auto"/>
        <w:tblLook w:val="04A0"/>
      </w:tblPr>
      <w:tblGrid>
        <w:gridCol w:w="1071"/>
        <w:gridCol w:w="1396"/>
        <w:gridCol w:w="1291"/>
        <w:gridCol w:w="1470"/>
        <w:gridCol w:w="1417"/>
        <w:gridCol w:w="1407"/>
        <w:gridCol w:w="1190"/>
      </w:tblGrid>
      <w:tr w:rsidR="008C7C15" w:rsidRPr="00623252" w:rsidTr="00BA0D12">
        <w:trPr>
          <w:cnfStyle w:val="100000000000"/>
        </w:trPr>
        <w:tc>
          <w:tcPr>
            <w:cnfStyle w:val="001000000000"/>
            <w:tcW w:w="9242" w:type="dxa"/>
            <w:gridSpan w:val="7"/>
          </w:tcPr>
          <w:p w:rsidR="008C7C15" w:rsidRPr="00623252" w:rsidRDefault="008C7C15" w:rsidP="008C7C15">
            <w:pPr>
              <w:jc w:val="center"/>
              <w:rPr>
                <w:rFonts w:ascii="Calibri" w:hAnsi="Calibri"/>
                <w:sz w:val="24"/>
                <w:szCs w:val="24"/>
              </w:rPr>
            </w:pPr>
            <w:r>
              <w:rPr>
                <w:rFonts w:ascii="Calibri" w:hAnsi="Calibri"/>
                <w:sz w:val="24"/>
                <w:szCs w:val="24"/>
              </w:rPr>
              <w:t>Table 4: Opportunities for shared cross-</w:t>
            </w:r>
            <w:proofErr w:type="spellStart"/>
            <w:r>
              <w:rPr>
                <w:rFonts w:ascii="Calibri" w:hAnsi="Calibri"/>
                <w:sz w:val="24"/>
                <w:szCs w:val="24"/>
              </w:rPr>
              <w:t>sectoral</w:t>
            </w:r>
            <w:proofErr w:type="spellEnd"/>
            <w:r>
              <w:rPr>
                <w:rFonts w:ascii="Calibri" w:hAnsi="Calibri"/>
                <w:sz w:val="24"/>
                <w:szCs w:val="24"/>
              </w:rPr>
              <w:t xml:space="preserve"> schooling</w:t>
            </w:r>
          </w:p>
        </w:tc>
      </w:tr>
      <w:tr w:rsidR="00096173" w:rsidRPr="00623252" w:rsidTr="00CD6054">
        <w:trPr>
          <w:cnfStyle w:val="000000100000"/>
        </w:trPr>
        <w:tc>
          <w:tcPr>
            <w:cnfStyle w:val="001000000000"/>
            <w:tcW w:w="1071" w:type="dxa"/>
          </w:tcPr>
          <w:p w:rsidR="00096173" w:rsidRPr="00623252" w:rsidRDefault="00096173" w:rsidP="00623252">
            <w:pPr>
              <w:jc w:val="both"/>
              <w:rPr>
                <w:rFonts w:ascii="Calibri" w:hAnsi="Calibri"/>
                <w:sz w:val="24"/>
                <w:szCs w:val="24"/>
              </w:rPr>
            </w:pPr>
          </w:p>
        </w:tc>
        <w:tc>
          <w:tcPr>
            <w:tcW w:w="1396"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Strongly agree</w:t>
            </w:r>
          </w:p>
        </w:tc>
        <w:tc>
          <w:tcPr>
            <w:tcW w:w="1291"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Agree</w:t>
            </w:r>
          </w:p>
        </w:tc>
        <w:tc>
          <w:tcPr>
            <w:tcW w:w="1470"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Uncertain</w:t>
            </w:r>
          </w:p>
        </w:tc>
        <w:tc>
          <w:tcPr>
            <w:tcW w:w="1417"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Disagree</w:t>
            </w:r>
          </w:p>
        </w:tc>
        <w:tc>
          <w:tcPr>
            <w:tcW w:w="1407"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Strongly disagree</w:t>
            </w:r>
          </w:p>
        </w:tc>
        <w:tc>
          <w:tcPr>
            <w:tcW w:w="1190"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Total</w:t>
            </w:r>
          </w:p>
        </w:tc>
      </w:tr>
      <w:tr w:rsidR="00096173" w:rsidRPr="00623252" w:rsidTr="00CD6054">
        <w:trPr>
          <w:cnfStyle w:val="000000010000"/>
        </w:trPr>
        <w:tc>
          <w:tcPr>
            <w:cnfStyle w:val="001000000000"/>
            <w:tcW w:w="1071" w:type="dxa"/>
          </w:tcPr>
          <w:p w:rsidR="00096173" w:rsidRPr="00623252" w:rsidRDefault="00096173" w:rsidP="00623252">
            <w:pPr>
              <w:jc w:val="both"/>
              <w:rPr>
                <w:rFonts w:ascii="Calibri" w:hAnsi="Calibri"/>
                <w:sz w:val="24"/>
                <w:szCs w:val="24"/>
              </w:rPr>
            </w:pPr>
            <w:r w:rsidRPr="00623252">
              <w:rPr>
                <w:rFonts w:ascii="Calibri" w:hAnsi="Calibri"/>
                <w:sz w:val="24"/>
                <w:szCs w:val="24"/>
              </w:rPr>
              <w:t>%</w:t>
            </w:r>
          </w:p>
        </w:tc>
        <w:tc>
          <w:tcPr>
            <w:tcW w:w="1396" w:type="dxa"/>
          </w:tcPr>
          <w:p w:rsidR="00096173" w:rsidRPr="00623252" w:rsidRDefault="00096173" w:rsidP="00623252">
            <w:pPr>
              <w:jc w:val="both"/>
              <w:cnfStyle w:val="000000010000"/>
              <w:rPr>
                <w:rFonts w:ascii="Calibri" w:hAnsi="Calibri"/>
                <w:sz w:val="24"/>
                <w:szCs w:val="24"/>
              </w:rPr>
            </w:pPr>
            <w:r w:rsidRPr="00623252">
              <w:rPr>
                <w:rFonts w:ascii="Calibri" w:hAnsi="Calibri"/>
                <w:sz w:val="24"/>
                <w:szCs w:val="24"/>
              </w:rPr>
              <w:t>9.7</w:t>
            </w:r>
          </w:p>
        </w:tc>
        <w:tc>
          <w:tcPr>
            <w:tcW w:w="1291" w:type="dxa"/>
          </w:tcPr>
          <w:p w:rsidR="00096173" w:rsidRPr="00623252" w:rsidRDefault="00096173" w:rsidP="00623252">
            <w:pPr>
              <w:jc w:val="both"/>
              <w:cnfStyle w:val="000000010000"/>
              <w:rPr>
                <w:rFonts w:ascii="Calibri" w:hAnsi="Calibri"/>
                <w:sz w:val="24"/>
                <w:szCs w:val="24"/>
              </w:rPr>
            </w:pPr>
            <w:r w:rsidRPr="00623252">
              <w:rPr>
                <w:rFonts w:ascii="Calibri" w:hAnsi="Calibri"/>
                <w:sz w:val="24"/>
                <w:szCs w:val="24"/>
              </w:rPr>
              <w:t>16.5</w:t>
            </w:r>
          </w:p>
        </w:tc>
        <w:tc>
          <w:tcPr>
            <w:tcW w:w="1470" w:type="dxa"/>
          </w:tcPr>
          <w:p w:rsidR="00096173" w:rsidRPr="00623252" w:rsidRDefault="00096173" w:rsidP="00623252">
            <w:pPr>
              <w:jc w:val="both"/>
              <w:cnfStyle w:val="000000010000"/>
              <w:rPr>
                <w:rFonts w:ascii="Calibri" w:hAnsi="Calibri"/>
                <w:sz w:val="24"/>
                <w:szCs w:val="24"/>
              </w:rPr>
            </w:pPr>
            <w:r w:rsidRPr="00623252">
              <w:rPr>
                <w:rFonts w:ascii="Calibri" w:hAnsi="Calibri"/>
                <w:sz w:val="24"/>
                <w:szCs w:val="24"/>
              </w:rPr>
              <w:t>21.1</w:t>
            </w:r>
          </w:p>
        </w:tc>
        <w:tc>
          <w:tcPr>
            <w:tcW w:w="1417" w:type="dxa"/>
          </w:tcPr>
          <w:p w:rsidR="00096173" w:rsidRPr="00623252" w:rsidRDefault="00096173" w:rsidP="00623252">
            <w:pPr>
              <w:jc w:val="both"/>
              <w:cnfStyle w:val="000000010000"/>
              <w:rPr>
                <w:rFonts w:ascii="Calibri" w:hAnsi="Calibri"/>
                <w:sz w:val="24"/>
                <w:szCs w:val="24"/>
              </w:rPr>
            </w:pPr>
            <w:r w:rsidRPr="00623252">
              <w:rPr>
                <w:rFonts w:ascii="Calibri" w:hAnsi="Calibri"/>
                <w:sz w:val="24"/>
                <w:szCs w:val="24"/>
              </w:rPr>
              <w:t>27.8</w:t>
            </w:r>
          </w:p>
        </w:tc>
        <w:tc>
          <w:tcPr>
            <w:tcW w:w="1407" w:type="dxa"/>
          </w:tcPr>
          <w:p w:rsidR="00096173" w:rsidRPr="00623252" w:rsidRDefault="00096173" w:rsidP="00623252">
            <w:pPr>
              <w:jc w:val="both"/>
              <w:cnfStyle w:val="000000010000"/>
              <w:rPr>
                <w:rFonts w:ascii="Calibri" w:hAnsi="Calibri"/>
                <w:sz w:val="24"/>
                <w:szCs w:val="24"/>
              </w:rPr>
            </w:pPr>
            <w:r w:rsidRPr="00623252">
              <w:rPr>
                <w:rFonts w:ascii="Calibri" w:hAnsi="Calibri"/>
                <w:sz w:val="24"/>
                <w:szCs w:val="24"/>
              </w:rPr>
              <w:t>24.9</w:t>
            </w:r>
          </w:p>
        </w:tc>
        <w:tc>
          <w:tcPr>
            <w:tcW w:w="1190" w:type="dxa"/>
          </w:tcPr>
          <w:p w:rsidR="00096173" w:rsidRPr="00623252" w:rsidRDefault="00096173" w:rsidP="00623252">
            <w:pPr>
              <w:jc w:val="both"/>
              <w:cnfStyle w:val="000000010000"/>
              <w:rPr>
                <w:rFonts w:ascii="Calibri" w:hAnsi="Calibri"/>
                <w:sz w:val="24"/>
                <w:szCs w:val="24"/>
              </w:rPr>
            </w:pPr>
            <w:r w:rsidRPr="00623252">
              <w:rPr>
                <w:rFonts w:ascii="Calibri" w:hAnsi="Calibri"/>
                <w:sz w:val="24"/>
                <w:szCs w:val="24"/>
              </w:rPr>
              <w:t>100%</w:t>
            </w:r>
          </w:p>
        </w:tc>
      </w:tr>
      <w:tr w:rsidR="00096173" w:rsidRPr="00623252" w:rsidTr="00CD6054">
        <w:trPr>
          <w:cnfStyle w:val="000000100000"/>
        </w:trPr>
        <w:tc>
          <w:tcPr>
            <w:cnfStyle w:val="001000000000"/>
            <w:tcW w:w="1071" w:type="dxa"/>
          </w:tcPr>
          <w:p w:rsidR="00096173" w:rsidRPr="00623252" w:rsidRDefault="00096173" w:rsidP="00623252">
            <w:pPr>
              <w:jc w:val="both"/>
              <w:rPr>
                <w:rFonts w:ascii="Calibri" w:hAnsi="Calibri"/>
                <w:sz w:val="24"/>
                <w:szCs w:val="24"/>
              </w:rPr>
            </w:pPr>
            <w:r w:rsidRPr="00623252">
              <w:rPr>
                <w:rFonts w:ascii="Calibri" w:hAnsi="Calibri"/>
                <w:sz w:val="24"/>
                <w:szCs w:val="24"/>
              </w:rPr>
              <w:t>N</w:t>
            </w:r>
          </w:p>
        </w:tc>
        <w:tc>
          <w:tcPr>
            <w:tcW w:w="1396"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92</w:t>
            </w:r>
          </w:p>
        </w:tc>
        <w:tc>
          <w:tcPr>
            <w:tcW w:w="1291"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157</w:t>
            </w:r>
          </w:p>
        </w:tc>
        <w:tc>
          <w:tcPr>
            <w:tcW w:w="1470"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200</w:t>
            </w:r>
          </w:p>
        </w:tc>
        <w:tc>
          <w:tcPr>
            <w:tcW w:w="1417"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264</w:t>
            </w:r>
          </w:p>
        </w:tc>
        <w:tc>
          <w:tcPr>
            <w:tcW w:w="1407"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237</w:t>
            </w:r>
          </w:p>
        </w:tc>
        <w:tc>
          <w:tcPr>
            <w:tcW w:w="1190" w:type="dxa"/>
          </w:tcPr>
          <w:p w:rsidR="00096173" w:rsidRPr="00623252" w:rsidRDefault="00096173" w:rsidP="00623252">
            <w:pPr>
              <w:jc w:val="both"/>
              <w:cnfStyle w:val="000000100000"/>
              <w:rPr>
                <w:rFonts w:ascii="Calibri" w:hAnsi="Calibri"/>
                <w:sz w:val="24"/>
                <w:szCs w:val="24"/>
              </w:rPr>
            </w:pPr>
            <w:r w:rsidRPr="00623252">
              <w:rPr>
                <w:rFonts w:ascii="Calibri" w:hAnsi="Calibri"/>
                <w:sz w:val="24"/>
                <w:szCs w:val="24"/>
              </w:rPr>
              <w:t>950</w:t>
            </w:r>
          </w:p>
        </w:tc>
      </w:tr>
    </w:tbl>
    <w:p w:rsidR="00096173" w:rsidRDefault="00096173" w:rsidP="00623252">
      <w:pPr>
        <w:jc w:val="both"/>
        <w:rPr>
          <w:rFonts w:ascii="Calibri" w:hAnsi="Calibri"/>
          <w:sz w:val="24"/>
          <w:szCs w:val="24"/>
        </w:rPr>
      </w:pPr>
    </w:p>
    <w:p w:rsidR="00926A6D" w:rsidRPr="00623252" w:rsidRDefault="00926A6D" w:rsidP="00926A6D">
      <w:pPr>
        <w:jc w:val="both"/>
        <w:rPr>
          <w:rFonts w:ascii="Calibri" w:hAnsi="Calibri"/>
          <w:sz w:val="24"/>
          <w:szCs w:val="24"/>
        </w:rPr>
      </w:pPr>
      <w:r w:rsidRPr="00623252">
        <w:rPr>
          <w:rFonts w:ascii="Calibri" w:hAnsi="Calibri"/>
          <w:sz w:val="24"/>
          <w:szCs w:val="24"/>
        </w:rPr>
        <w:t>Collapsing these categories and repr</w:t>
      </w:r>
      <w:r w:rsidR="008C7C15">
        <w:rPr>
          <w:rFonts w:ascii="Calibri" w:hAnsi="Calibri"/>
          <w:sz w:val="24"/>
          <w:szCs w:val="24"/>
        </w:rPr>
        <w:t>esenting them in graph form (see figure 4).</w:t>
      </w:r>
    </w:p>
    <w:p w:rsidR="00926A6D" w:rsidRPr="00623252" w:rsidRDefault="00926A6D" w:rsidP="00623252">
      <w:pPr>
        <w:jc w:val="both"/>
        <w:rPr>
          <w:rFonts w:ascii="Calibri" w:hAnsi="Calibri"/>
          <w:sz w:val="24"/>
          <w:szCs w:val="24"/>
        </w:rPr>
      </w:pPr>
    </w:p>
    <w:p w:rsidR="00096173" w:rsidRPr="00623252" w:rsidRDefault="00096173" w:rsidP="00623252">
      <w:pPr>
        <w:jc w:val="both"/>
        <w:rPr>
          <w:rFonts w:ascii="Calibri" w:hAnsi="Calibri"/>
          <w:sz w:val="24"/>
          <w:szCs w:val="24"/>
        </w:rPr>
      </w:pPr>
      <w:r w:rsidRPr="00623252">
        <w:rPr>
          <w:rFonts w:ascii="Calibri" w:hAnsi="Calibri"/>
          <w:noProof/>
          <w:sz w:val="24"/>
          <w:szCs w:val="24"/>
          <w:lang w:eastAsia="en-GB"/>
        </w:rPr>
        <w:lastRenderedPageBreak/>
        <w:drawing>
          <wp:inline distT="0" distB="0" distL="0" distR="0">
            <wp:extent cx="5486400" cy="32004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6A6D" w:rsidRDefault="00926A6D" w:rsidP="00623252">
      <w:pPr>
        <w:jc w:val="both"/>
        <w:rPr>
          <w:rFonts w:ascii="Calibri" w:hAnsi="Calibri"/>
          <w:sz w:val="24"/>
          <w:szCs w:val="24"/>
        </w:rPr>
      </w:pPr>
    </w:p>
    <w:p w:rsidR="00B45212" w:rsidRPr="00623252" w:rsidRDefault="009752E2" w:rsidP="00623252">
      <w:pPr>
        <w:jc w:val="both"/>
        <w:rPr>
          <w:rFonts w:ascii="Calibri" w:hAnsi="Calibri"/>
          <w:sz w:val="24"/>
          <w:szCs w:val="24"/>
        </w:rPr>
      </w:pPr>
      <w:r>
        <w:rPr>
          <w:rFonts w:ascii="Calibri" w:hAnsi="Calibri"/>
          <w:sz w:val="24"/>
          <w:szCs w:val="24"/>
        </w:rPr>
        <w:t>In summary, t</w:t>
      </w:r>
      <w:r w:rsidR="00926A6D">
        <w:rPr>
          <w:rFonts w:ascii="Calibri" w:hAnsi="Calibri"/>
          <w:sz w:val="24"/>
          <w:szCs w:val="24"/>
        </w:rPr>
        <w:t>he answers given to these 4 key questions show that</w:t>
      </w:r>
      <w:r>
        <w:rPr>
          <w:rFonts w:ascii="Calibri" w:hAnsi="Calibri"/>
          <w:sz w:val="24"/>
          <w:szCs w:val="24"/>
        </w:rPr>
        <w:t>,</w:t>
      </w:r>
      <w:r w:rsidR="00926A6D">
        <w:rPr>
          <w:rFonts w:ascii="Calibri" w:hAnsi="Calibri"/>
          <w:sz w:val="24"/>
          <w:szCs w:val="24"/>
        </w:rPr>
        <w:t xml:space="preserve"> on average</w:t>
      </w:r>
      <w:r>
        <w:rPr>
          <w:rFonts w:ascii="Calibri" w:hAnsi="Calibri"/>
          <w:sz w:val="24"/>
          <w:szCs w:val="24"/>
        </w:rPr>
        <w:t>,</w:t>
      </w:r>
      <w:r w:rsidR="00926A6D">
        <w:rPr>
          <w:rFonts w:ascii="Calibri" w:hAnsi="Calibri"/>
          <w:sz w:val="24"/>
          <w:szCs w:val="24"/>
        </w:rPr>
        <w:t xml:space="preserve"> just over one-quarter of all respondents </w:t>
      </w:r>
      <w:r w:rsidR="00926A6D" w:rsidRPr="00D22745">
        <w:rPr>
          <w:rFonts w:ascii="Calibri" w:hAnsi="Calibri"/>
          <w:sz w:val="24"/>
          <w:szCs w:val="24"/>
          <w:u w:val="single"/>
        </w:rPr>
        <w:t>agreed</w:t>
      </w:r>
      <w:r>
        <w:rPr>
          <w:rFonts w:ascii="Calibri" w:hAnsi="Calibri"/>
          <w:sz w:val="24"/>
          <w:szCs w:val="24"/>
        </w:rPr>
        <w:t xml:space="preserve"> with the findings of the area plan</w:t>
      </w:r>
      <w:r w:rsidR="00926A6D">
        <w:rPr>
          <w:rFonts w:ascii="Calibri" w:hAnsi="Calibri"/>
          <w:sz w:val="24"/>
          <w:szCs w:val="24"/>
        </w:rPr>
        <w:t xml:space="preserve"> for the future of</w:t>
      </w:r>
      <w:r>
        <w:rPr>
          <w:rFonts w:ascii="Calibri" w:hAnsi="Calibri"/>
          <w:sz w:val="24"/>
          <w:szCs w:val="24"/>
        </w:rPr>
        <w:t xml:space="preserve"> post-primary school provision in the WELB constituency covering five district council areas</w:t>
      </w:r>
      <w:r w:rsidR="00926A6D">
        <w:rPr>
          <w:rFonts w:ascii="Calibri" w:hAnsi="Calibri"/>
          <w:sz w:val="24"/>
          <w:szCs w:val="24"/>
        </w:rPr>
        <w:t xml:space="preserve">. </w:t>
      </w:r>
      <w:r w:rsidR="00492A97" w:rsidRPr="00623252">
        <w:rPr>
          <w:rFonts w:ascii="Calibri" w:hAnsi="Calibri"/>
          <w:sz w:val="24"/>
          <w:szCs w:val="24"/>
        </w:rPr>
        <w:t>Did the very negati</w:t>
      </w:r>
      <w:r w:rsidR="00926A6D">
        <w:rPr>
          <w:rFonts w:ascii="Calibri" w:hAnsi="Calibri"/>
          <w:sz w:val="24"/>
          <w:szCs w:val="24"/>
        </w:rPr>
        <w:t>ve public consultation response</w:t>
      </w:r>
      <w:r>
        <w:rPr>
          <w:rFonts w:ascii="Calibri" w:hAnsi="Calibri"/>
          <w:sz w:val="24"/>
          <w:szCs w:val="24"/>
        </w:rPr>
        <w:t>s</w:t>
      </w:r>
      <w:r w:rsidR="00926A6D">
        <w:rPr>
          <w:rFonts w:ascii="Calibri" w:hAnsi="Calibri"/>
          <w:sz w:val="24"/>
          <w:szCs w:val="24"/>
        </w:rPr>
        <w:t xml:space="preserve"> </w:t>
      </w:r>
      <w:r w:rsidR="00492A97" w:rsidRPr="00623252">
        <w:rPr>
          <w:rFonts w:ascii="Calibri" w:hAnsi="Calibri"/>
          <w:sz w:val="24"/>
          <w:szCs w:val="24"/>
        </w:rPr>
        <w:t xml:space="preserve">encourage a rethink of the strategic plan by the WELB?  </w:t>
      </w:r>
    </w:p>
    <w:p w:rsidR="00462807" w:rsidRDefault="00462807">
      <w:pPr>
        <w:rPr>
          <w:rFonts w:ascii="Calibri" w:hAnsi="Calibri"/>
          <w:b/>
          <w:sz w:val="28"/>
          <w:szCs w:val="28"/>
        </w:rPr>
      </w:pPr>
      <w:r>
        <w:rPr>
          <w:rFonts w:ascii="Calibri" w:hAnsi="Calibri"/>
          <w:b/>
          <w:sz w:val="28"/>
          <w:szCs w:val="28"/>
        </w:rPr>
        <w:br w:type="page"/>
      </w:r>
    </w:p>
    <w:p w:rsidR="00BC2DBA" w:rsidRPr="00BC2DBA" w:rsidRDefault="0081302A" w:rsidP="00623252">
      <w:pPr>
        <w:jc w:val="both"/>
        <w:rPr>
          <w:rFonts w:ascii="Calibri" w:hAnsi="Calibri"/>
          <w:b/>
          <w:sz w:val="28"/>
          <w:szCs w:val="28"/>
        </w:rPr>
      </w:pPr>
      <w:r w:rsidRPr="00BC2DBA">
        <w:rPr>
          <w:rFonts w:ascii="Calibri" w:hAnsi="Calibri"/>
          <w:b/>
          <w:sz w:val="28"/>
          <w:szCs w:val="28"/>
        </w:rPr>
        <w:lastRenderedPageBreak/>
        <w:t>Fermanagh District Council</w:t>
      </w:r>
      <w:r w:rsidR="00A87EBC" w:rsidRPr="00BC2DBA">
        <w:rPr>
          <w:rFonts w:ascii="Calibri" w:hAnsi="Calibri"/>
          <w:b/>
          <w:sz w:val="28"/>
          <w:szCs w:val="28"/>
        </w:rPr>
        <w:t xml:space="preserve"> (post-primary schools)</w:t>
      </w:r>
    </w:p>
    <w:p w:rsidR="00CC4937" w:rsidRPr="00623252" w:rsidRDefault="004A29E9" w:rsidP="00623252">
      <w:pPr>
        <w:jc w:val="both"/>
        <w:rPr>
          <w:rFonts w:ascii="Calibri" w:hAnsi="Calibri"/>
          <w:sz w:val="24"/>
          <w:szCs w:val="24"/>
        </w:rPr>
      </w:pPr>
      <w:r w:rsidRPr="00623252">
        <w:rPr>
          <w:rFonts w:ascii="Calibri" w:hAnsi="Calibri"/>
          <w:sz w:val="24"/>
          <w:szCs w:val="24"/>
        </w:rPr>
        <w:t>By way of example</w:t>
      </w:r>
      <w:r w:rsidR="00926A6D">
        <w:rPr>
          <w:rFonts w:ascii="Calibri" w:hAnsi="Calibri"/>
          <w:sz w:val="24"/>
          <w:szCs w:val="24"/>
        </w:rPr>
        <w:t>,</w:t>
      </w:r>
      <w:r w:rsidRPr="00623252">
        <w:rPr>
          <w:rFonts w:ascii="Calibri" w:hAnsi="Calibri"/>
          <w:sz w:val="24"/>
          <w:szCs w:val="24"/>
        </w:rPr>
        <w:t xml:space="preserve"> consider the original proposals for Fermanagh District Council and the final recommendations</w:t>
      </w:r>
      <w:r w:rsidR="005D4C98">
        <w:rPr>
          <w:rFonts w:ascii="Calibri" w:hAnsi="Calibri"/>
          <w:sz w:val="24"/>
          <w:szCs w:val="24"/>
        </w:rPr>
        <w:t xml:space="preserve"> (see table 5)</w:t>
      </w:r>
      <w:r w:rsidR="009752E2">
        <w:rPr>
          <w:rFonts w:ascii="Calibri" w:hAnsi="Calibri"/>
          <w:sz w:val="24"/>
          <w:szCs w:val="24"/>
        </w:rPr>
        <w:t>.</w:t>
      </w:r>
    </w:p>
    <w:tbl>
      <w:tblPr>
        <w:tblStyle w:val="LightGrid-Accent2"/>
        <w:tblW w:w="5000" w:type="pct"/>
        <w:tblLook w:val="04A0"/>
      </w:tblPr>
      <w:tblGrid>
        <w:gridCol w:w="3136"/>
        <w:gridCol w:w="3054"/>
        <w:gridCol w:w="3052"/>
      </w:tblGrid>
      <w:tr w:rsidR="00235B9F" w:rsidRPr="00623252" w:rsidTr="00235B9F">
        <w:trPr>
          <w:cnfStyle w:val="100000000000"/>
        </w:trPr>
        <w:tc>
          <w:tcPr>
            <w:cnfStyle w:val="001000000000"/>
            <w:tcW w:w="5000" w:type="pct"/>
            <w:gridSpan w:val="3"/>
          </w:tcPr>
          <w:p w:rsidR="00235B9F" w:rsidRDefault="00235B9F" w:rsidP="00926A6D">
            <w:pPr>
              <w:jc w:val="center"/>
              <w:rPr>
                <w:rFonts w:ascii="Calibri" w:hAnsi="Calibri"/>
                <w:bCs w:val="0"/>
                <w:sz w:val="24"/>
                <w:szCs w:val="24"/>
              </w:rPr>
            </w:pPr>
            <w:r>
              <w:rPr>
                <w:rFonts w:ascii="Calibri" w:hAnsi="Calibri"/>
                <w:bCs w:val="0"/>
                <w:sz w:val="24"/>
                <w:szCs w:val="24"/>
              </w:rPr>
              <w:t xml:space="preserve">Table 5: </w:t>
            </w:r>
            <w:r w:rsidRPr="00926A6D">
              <w:rPr>
                <w:rFonts w:ascii="Calibri" w:hAnsi="Calibri"/>
                <w:bCs w:val="0"/>
                <w:sz w:val="24"/>
                <w:szCs w:val="24"/>
              </w:rPr>
              <w:t>Fermanagh District Council Area</w:t>
            </w:r>
          </w:p>
        </w:tc>
      </w:tr>
      <w:tr w:rsidR="00235B9F" w:rsidRPr="00623252" w:rsidTr="00235B9F">
        <w:trPr>
          <w:cnfStyle w:val="000000100000"/>
        </w:trPr>
        <w:tc>
          <w:tcPr>
            <w:cnfStyle w:val="001000000000"/>
            <w:tcW w:w="1697" w:type="pct"/>
          </w:tcPr>
          <w:p w:rsidR="00235B9F" w:rsidRPr="00926A6D" w:rsidRDefault="00235B9F" w:rsidP="00926A6D">
            <w:pPr>
              <w:pStyle w:val="Default"/>
              <w:jc w:val="center"/>
              <w:rPr>
                <w:rFonts w:ascii="Calibri" w:hAnsi="Calibri"/>
              </w:rPr>
            </w:pPr>
            <w:r w:rsidRPr="00926A6D">
              <w:rPr>
                <w:rFonts w:ascii="Calibri" w:hAnsi="Calibri"/>
              </w:rPr>
              <w:t>Pre-consultation</w:t>
            </w:r>
          </w:p>
        </w:tc>
        <w:tc>
          <w:tcPr>
            <w:tcW w:w="1652" w:type="pct"/>
          </w:tcPr>
          <w:p w:rsidR="00235B9F" w:rsidRPr="00926A6D" w:rsidRDefault="00235B9F" w:rsidP="00926A6D">
            <w:pPr>
              <w:pStyle w:val="Default"/>
              <w:jc w:val="center"/>
              <w:cnfStyle w:val="000000100000"/>
              <w:rPr>
                <w:rFonts w:ascii="Calibri" w:hAnsi="Calibri"/>
                <w:b/>
              </w:rPr>
            </w:pPr>
            <w:r w:rsidRPr="00926A6D">
              <w:rPr>
                <w:rFonts w:ascii="Calibri" w:hAnsi="Calibri"/>
                <w:b/>
              </w:rPr>
              <w:t>Post consultation</w:t>
            </w:r>
          </w:p>
        </w:tc>
        <w:tc>
          <w:tcPr>
            <w:tcW w:w="1651" w:type="pct"/>
          </w:tcPr>
          <w:p w:rsidR="00235B9F" w:rsidRPr="00926A6D" w:rsidRDefault="00235B9F" w:rsidP="00926A6D">
            <w:pPr>
              <w:pStyle w:val="Default"/>
              <w:jc w:val="center"/>
              <w:cnfStyle w:val="000000100000"/>
              <w:rPr>
                <w:rFonts w:ascii="Calibri" w:hAnsi="Calibri"/>
                <w:b/>
              </w:rPr>
            </w:pPr>
            <w:r>
              <w:rPr>
                <w:rFonts w:ascii="Calibri" w:hAnsi="Calibri"/>
                <w:b/>
              </w:rPr>
              <w:t>Final plan submitted to DE</w:t>
            </w:r>
          </w:p>
        </w:tc>
      </w:tr>
      <w:tr w:rsidR="00235B9F" w:rsidRPr="00623252" w:rsidTr="00235B9F">
        <w:trPr>
          <w:cnfStyle w:val="000000010000"/>
        </w:trPr>
        <w:tc>
          <w:tcPr>
            <w:cnfStyle w:val="001000000000"/>
            <w:tcW w:w="1697" w:type="pct"/>
          </w:tcPr>
          <w:p w:rsidR="00235B9F" w:rsidRPr="00623252" w:rsidRDefault="00235B9F" w:rsidP="009752E2">
            <w:pPr>
              <w:pStyle w:val="Default"/>
              <w:rPr>
                <w:rFonts w:ascii="Calibri" w:hAnsi="Calibri"/>
                <w:b w:val="0"/>
              </w:rPr>
            </w:pPr>
            <w:r w:rsidRPr="00623252">
              <w:rPr>
                <w:rFonts w:ascii="Calibri" w:hAnsi="Calibri"/>
                <w:b w:val="0"/>
              </w:rPr>
              <w:t xml:space="preserve">Approval by the DE to the Economic Appraisal for Controlled/Voluntary Post Primary Education in Co Fermanagh </w:t>
            </w:r>
          </w:p>
        </w:tc>
        <w:tc>
          <w:tcPr>
            <w:tcW w:w="1652" w:type="pct"/>
          </w:tcPr>
          <w:p w:rsidR="00235B9F" w:rsidRPr="00623252" w:rsidRDefault="00235B9F" w:rsidP="009752E2">
            <w:pPr>
              <w:pStyle w:val="Default"/>
              <w:cnfStyle w:val="000000010000"/>
              <w:rPr>
                <w:rFonts w:ascii="Calibri" w:hAnsi="Calibri"/>
              </w:rPr>
            </w:pPr>
            <w:r w:rsidRPr="00623252">
              <w:rPr>
                <w:rFonts w:ascii="Calibri" w:hAnsi="Calibri"/>
              </w:rPr>
              <w:t xml:space="preserve">Controlled/Voluntary Post Primary Education in Co Fermanagh – 2 new post primary schools required (academic and vocational) </w:t>
            </w:r>
          </w:p>
        </w:tc>
        <w:tc>
          <w:tcPr>
            <w:tcW w:w="1651" w:type="pct"/>
          </w:tcPr>
          <w:p w:rsidR="00235B9F" w:rsidRPr="00623252" w:rsidRDefault="00235B9F" w:rsidP="009752E2">
            <w:pPr>
              <w:pStyle w:val="Default"/>
              <w:cnfStyle w:val="000000010000"/>
              <w:rPr>
                <w:rFonts w:ascii="Calibri" w:hAnsi="Calibri"/>
              </w:rPr>
            </w:pPr>
            <w:r>
              <w:rPr>
                <w:rFonts w:ascii="Calibri" w:hAnsi="Calibri"/>
              </w:rPr>
              <w:t>Two new builds for the Controlled/Voluntary post primary sector in Co. Fermanagh</w:t>
            </w:r>
          </w:p>
        </w:tc>
      </w:tr>
      <w:tr w:rsidR="00235B9F" w:rsidRPr="00623252" w:rsidTr="00235B9F">
        <w:trPr>
          <w:cnfStyle w:val="000000100000"/>
        </w:trPr>
        <w:tc>
          <w:tcPr>
            <w:cnfStyle w:val="001000000000"/>
            <w:tcW w:w="1697" w:type="pct"/>
          </w:tcPr>
          <w:p w:rsidR="00235B9F" w:rsidRPr="00623252" w:rsidRDefault="00235B9F" w:rsidP="009752E2">
            <w:pPr>
              <w:pStyle w:val="Default"/>
              <w:rPr>
                <w:rFonts w:ascii="Calibri" w:hAnsi="Calibri"/>
                <w:b w:val="0"/>
              </w:rPr>
            </w:pPr>
            <w:r w:rsidRPr="00623252">
              <w:rPr>
                <w:rFonts w:ascii="Calibri" w:hAnsi="Calibri"/>
                <w:b w:val="0"/>
              </w:rPr>
              <w:t>The WELB and CCMS to explore the proposal for the establishment of a cross-</w:t>
            </w:r>
            <w:proofErr w:type="spellStart"/>
            <w:r w:rsidRPr="00623252">
              <w:rPr>
                <w:rFonts w:ascii="Calibri" w:hAnsi="Calibri"/>
                <w:b w:val="0"/>
              </w:rPr>
              <w:t>sectoral</w:t>
            </w:r>
            <w:proofErr w:type="spellEnd"/>
            <w:r w:rsidRPr="00623252">
              <w:rPr>
                <w:rFonts w:ascii="Calibri" w:hAnsi="Calibri"/>
                <w:b w:val="0"/>
              </w:rPr>
              <w:t xml:space="preserve"> federated model to deliver a multi-campus solution for the </w:t>
            </w:r>
            <w:r>
              <w:rPr>
                <w:rFonts w:ascii="Calibri" w:hAnsi="Calibri"/>
                <w:b w:val="0"/>
              </w:rPr>
              <w:t xml:space="preserve">(South East Fermanagh) </w:t>
            </w:r>
            <w:r w:rsidRPr="00623252">
              <w:rPr>
                <w:rFonts w:ascii="Calibri" w:hAnsi="Calibri"/>
                <w:b w:val="0"/>
              </w:rPr>
              <w:t xml:space="preserve">Area by October 2012 </w:t>
            </w:r>
          </w:p>
        </w:tc>
        <w:tc>
          <w:tcPr>
            <w:tcW w:w="1652" w:type="pct"/>
          </w:tcPr>
          <w:p w:rsidR="00235B9F" w:rsidRPr="00623252" w:rsidRDefault="00235B9F" w:rsidP="009752E2">
            <w:pPr>
              <w:pStyle w:val="Default"/>
              <w:cnfStyle w:val="000000100000"/>
              <w:rPr>
                <w:rFonts w:ascii="Calibri" w:hAnsi="Calibri"/>
              </w:rPr>
            </w:pPr>
            <w:r w:rsidRPr="00623252">
              <w:rPr>
                <w:rFonts w:ascii="Calibri" w:hAnsi="Calibri"/>
              </w:rPr>
              <w:t>The WELB and CCMS to further explore the proposal for a cross-</w:t>
            </w:r>
            <w:proofErr w:type="spellStart"/>
            <w:r w:rsidRPr="00623252">
              <w:rPr>
                <w:rFonts w:ascii="Calibri" w:hAnsi="Calibri"/>
              </w:rPr>
              <w:t>sectoral</w:t>
            </w:r>
            <w:proofErr w:type="spellEnd"/>
            <w:r w:rsidRPr="00623252">
              <w:rPr>
                <w:rFonts w:ascii="Calibri" w:hAnsi="Calibri"/>
              </w:rPr>
              <w:t xml:space="preserve"> federated model to deliver a multi-campus solution for the Area </w:t>
            </w:r>
            <w:r>
              <w:rPr>
                <w:rFonts w:ascii="Calibri" w:hAnsi="Calibri"/>
              </w:rPr>
              <w:t>(South East Fermanagh)</w:t>
            </w:r>
          </w:p>
        </w:tc>
        <w:tc>
          <w:tcPr>
            <w:tcW w:w="1651" w:type="pct"/>
          </w:tcPr>
          <w:p w:rsidR="00235B9F" w:rsidRPr="00623252" w:rsidRDefault="00235B9F" w:rsidP="009752E2">
            <w:pPr>
              <w:pStyle w:val="Default"/>
              <w:cnfStyle w:val="000000100000"/>
              <w:rPr>
                <w:rFonts w:ascii="Calibri" w:hAnsi="Calibri"/>
              </w:rPr>
            </w:pPr>
            <w:r>
              <w:rPr>
                <w:rFonts w:ascii="Calibri" w:hAnsi="Calibri"/>
              </w:rPr>
              <w:t>The WELB and the CCMS to explore the proposal for the establishment of a cross-</w:t>
            </w:r>
            <w:proofErr w:type="spellStart"/>
            <w:r>
              <w:rPr>
                <w:rFonts w:ascii="Calibri" w:hAnsi="Calibri"/>
              </w:rPr>
              <w:t>sectoral</w:t>
            </w:r>
            <w:proofErr w:type="spellEnd"/>
            <w:r>
              <w:rPr>
                <w:rFonts w:ascii="Calibri" w:hAnsi="Calibri"/>
              </w:rPr>
              <w:t xml:space="preserve"> federated model to deliver a multi-campus solution for the </w:t>
            </w:r>
            <w:r w:rsidR="00D15962">
              <w:rPr>
                <w:rFonts w:ascii="Calibri" w:hAnsi="Calibri"/>
              </w:rPr>
              <w:t xml:space="preserve">Area </w:t>
            </w:r>
            <w:r>
              <w:rPr>
                <w:rFonts w:ascii="Calibri" w:hAnsi="Calibri"/>
              </w:rPr>
              <w:t>(South East Fermanagh</w:t>
            </w:r>
            <w:r w:rsidR="00D15962">
              <w:rPr>
                <w:rFonts w:ascii="Calibri" w:hAnsi="Calibri"/>
              </w:rPr>
              <w:t>) by April 2013</w:t>
            </w:r>
          </w:p>
        </w:tc>
      </w:tr>
      <w:tr w:rsidR="00235B9F" w:rsidRPr="00623252" w:rsidTr="00235B9F">
        <w:trPr>
          <w:cnfStyle w:val="000000010000"/>
        </w:trPr>
        <w:tc>
          <w:tcPr>
            <w:cnfStyle w:val="001000000000"/>
            <w:tcW w:w="1697" w:type="pct"/>
          </w:tcPr>
          <w:p w:rsidR="00235B9F" w:rsidRPr="00623252" w:rsidRDefault="00235B9F" w:rsidP="009752E2">
            <w:pPr>
              <w:pStyle w:val="Default"/>
              <w:rPr>
                <w:rFonts w:ascii="Calibri" w:hAnsi="Calibri"/>
                <w:b w:val="0"/>
              </w:rPr>
            </w:pPr>
            <w:r w:rsidRPr="00623252">
              <w:rPr>
                <w:rFonts w:ascii="Calibri" w:hAnsi="Calibri"/>
                <w:b w:val="0"/>
              </w:rPr>
              <w:t xml:space="preserve">Progress the Recommendations of the </w:t>
            </w:r>
            <w:proofErr w:type="spellStart"/>
            <w:r w:rsidRPr="00623252">
              <w:rPr>
                <w:rFonts w:ascii="Calibri" w:hAnsi="Calibri"/>
                <w:b w:val="0"/>
              </w:rPr>
              <w:t>Clogher</w:t>
            </w:r>
            <w:proofErr w:type="spellEnd"/>
            <w:r w:rsidRPr="00623252">
              <w:rPr>
                <w:rFonts w:ascii="Calibri" w:hAnsi="Calibri"/>
                <w:b w:val="0"/>
              </w:rPr>
              <w:t xml:space="preserve"> and </w:t>
            </w:r>
            <w:proofErr w:type="spellStart"/>
            <w:r w:rsidRPr="00623252">
              <w:rPr>
                <w:rFonts w:ascii="Calibri" w:hAnsi="Calibri"/>
                <w:b w:val="0"/>
              </w:rPr>
              <w:t>Kilmore</w:t>
            </w:r>
            <w:proofErr w:type="spellEnd"/>
            <w:r w:rsidRPr="00623252">
              <w:rPr>
                <w:rFonts w:ascii="Calibri" w:hAnsi="Calibri"/>
                <w:b w:val="0"/>
              </w:rPr>
              <w:t xml:space="preserve"> Diocesan Programme Board. </w:t>
            </w:r>
          </w:p>
        </w:tc>
        <w:tc>
          <w:tcPr>
            <w:tcW w:w="1652" w:type="pct"/>
          </w:tcPr>
          <w:p w:rsidR="00235B9F" w:rsidRPr="00623252" w:rsidRDefault="00235B9F" w:rsidP="009752E2">
            <w:pPr>
              <w:pStyle w:val="Default"/>
              <w:cnfStyle w:val="000000010000"/>
              <w:rPr>
                <w:rFonts w:ascii="Calibri" w:hAnsi="Calibri"/>
              </w:rPr>
            </w:pPr>
            <w:r w:rsidRPr="00623252">
              <w:rPr>
                <w:rFonts w:ascii="Calibri" w:hAnsi="Calibri"/>
              </w:rPr>
              <w:t xml:space="preserve">Progress the Proposals of the </w:t>
            </w:r>
            <w:proofErr w:type="spellStart"/>
            <w:r w:rsidRPr="00623252">
              <w:rPr>
                <w:rFonts w:ascii="Calibri" w:hAnsi="Calibri"/>
              </w:rPr>
              <w:t>Clogher</w:t>
            </w:r>
            <w:proofErr w:type="spellEnd"/>
            <w:r w:rsidRPr="00623252">
              <w:rPr>
                <w:rFonts w:ascii="Calibri" w:hAnsi="Calibri"/>
              </w:rPr>
              <w:t xml:space="preserve"> and </w:t>
            </w:r>
            <w:proofErr w:type="spellStart"/>
            <w:r w:rsidRPr="00623252">
              <w:rPr>
                <w:rFonts w:ascii="Calibri" w:hAnsi="Calibri"/>
              </w:rPr>
              <w:t>Kilmore</w:t>
            </w:r>
            <w:proofErr w:type="spellEnd"/>
            <w:r w:rsidRPr="00623252">
              <w:rPr>
                <w:rFonts w:ascii="Calibri" w:hAnsi="Calibri"/>
              </w:rPr>
              <w:t xml:space="preserve"> Diocesan Programme Board – with revised timetables of April 2013 </w:t>
            </w:r>
          </w:p>
        </w:tc>
        <w:tc>
          <w:tcPr>
            <w:tcW w:w="1651" w:type="pct"/>
          </w:tcPr>
          <w:p w:rsidR="00235B9F" w:rsidRPr="00623252" w:rsidRDefault="00D15962" w:rsidP="009752E2">
            <w:pPr>
              <w:pStyle w:val="Default"/>
              <w:cnfStyle w:val="000000010000"/>
              <w:rPr>
                <w:rFonts w:ascii="Calibri" w:hAnsi="Calibri"/>
              </w:rPr>
            </w:pPr>
            <w:r>
              <w:rPr>
                <w:rFonts w:ascii="Calibri" w:hAnsi="Calibri"/>
              </w:rPr>
              <w:t xml:space="preserve">Progress the proposals of the </w:t>
            </w:r>
            <w:proofErr w:type="spellStart"/>
            <w:r>
              <w:rPr>
                <w:rFonts w:ascii="Calibri" w:hAnsi="Calibri"/>
              </w:rPr>
              <w:t>Clogher</w:t>
            </w:r>
            <w:proofErr w:type="spellEnd"/>
            <w:r>
              <w:rPr>
                <w:rFonts w:ascii="Calibri" w:hAnsi="Calibri"/>
              </w:rPr>
              <w:t xml:space="preserve"> and </w:t>
            </w:r>
            <w:proofErr w:type="spellStart"/>
            <w:r>
              <w:rPr>
                <w:rFonts w:ascii="Calibri" w:hAnsi="Calibri"/>
              </w:rPr>
              <w:t>Klimore</w:t>
            </w:r>
            <w:proofErr w:type="spellEnd"/>
            <w:r>
              <w:rPr>
                <w:rFonts w:ascii="Calibri" w:hAnsi="Calibri"/>
              </w:rPr>
              <w:t xml:space="preserve"> Diocesan Programme Board</w:t>
            </w:r>
          </w:p>
        </w:tc>
      </w:tr>
      <w:tr w:rsidR="00235B9F" w:rsidRPr="00623252" w:rsidTr="00235B9F">
        <w:trPr>
          <w:cnfStyle w:val="000000100000"/>
        </w:trPr>
        <w:tc>
          <w:tcPr>
            <w:cnfStyle w:val="001000000000"/>
            <w:tcW w:w="1697" w:type="pct"/>
          </w:tcPr>
          <w:p w:rsidR="00235B9F" w:rsidRPr="00623252" w:rsidRDefault="00235B9F" w:rsidP="009752E2">
            <w:pPr>
              <w:pStyle w:val="Default"/>
              <w:rPr>
                <w:rFonts w:ascii="Calibri" w:hAnsi="Calibri"/>
                <w:b w:val="0"/>
              </w:rPr>
            </w:pPr>
            <w:r w:rsidRPr="00623252">
              <w:rPr>
                <w:rFonts w:ascii="Calibri" w:hAnsi="Calibri"/>
                <w:b w:val="0"/>
              </w:rPr>
              <w:t xml:space="preserve">Investigation into the impact of a proposed increased capacity within the Integrated Sector on the Controlled, Maintained and Voluntary Sectors </w:t>
            </w:r>
          </w:p>
        </w:tc>
        <w:tc>
          <w:tcPr>
            <w:tcW w:w="1652" w:type="pct"/>
          </w:tcPr>
          <w:p w:rsidR="00235B9F" w:rsidRPr="00623252" w:rsidRDefault="00235B9F" w:rsidP="009752E2">
            <w:pPr>
              <w:pStyle w:val="Default"/>
              <w:cnfStyle w:val="000000100000"/>
              <w:rPr>
                <w:rFonts w:ascii="Calibri" w:hAnsi="Calibri"/>
              </w:rPr>
            </w:pPr>
            <w:r w:rsidRPr="00623252">
              <w:rPr>
                <w:rFonts w:ascii="Calibri" w:hAnsi="Calibri"/>
              </w:rPr>
              <w:t xml:space="preserve">Investigation into the impact of a proposed increased capacity within the Integrated Sector on the Controlled, Maintained and Voluntary Sectors – undertaken by the Putting Pupils First: Shaping Our Future Working Group pending receipt of an increase in capacity request. </w:t>
            </w:r>
          </w:p>
        </w:tc>
        <w:tc>
          <w:tcPr>
            <w:tcW w:w="1651" w:type="pct"/>
          </w:tcPr>
          <w:p w:rsidR="00235B9F" w:rsidRPr="00623252" w:rsidRDefault="00235B9F" w:rsidP="009752E2">
            <w:pPr>
              <w:pStyle w:val="Default"/>
              <w:cnfStyle w:val="000000100000"/>
              <w:rPr>
                <w:rFonts w:ascii="Calibri" w:hAnsi="Calibri"/>
              </w:rPr>
            </w:pPr>
          </w:p>
        </w:tc>
      </w:tr>
    </w:tbl>
    <w:p w:rsidR="004A29E9" w:rsidRDefault="004A29E9" w:rsidP="00623252">
      <w:pPr>
        <w:jc w:val="both"/>
        <w:rPr>
          <w:rFonts w:ascii="Calibri" w:hAnsi="Calibri"/>
          <w:sz w:val="24"/>
          <w:szCs w:val="24"/>
        </w:rPr>
      </w:pPr>
    </w:p>
    <w:p w:rsidR="005918EA" w:rsidRPr="00373B96" w:rsidRDefault="00F93BD9" w:rsidP="005918EA">
      <w:pPr>
        <w:jc w:val="both"/>
        <w:rPr>
          <w:sz w:val="24"/>
          <w:szCs w:val="24"/>
        </w:rPr>
      </w:pPr>
      <w:r w:rsidRPr="00373B96">
        <w:rPr>
          <w:rFonts w:ascii="Calibri" w:hAnsi="Calibri"/>
          <w:sz w:val="24"/>
          <w:szCs w:val="24"/>
        </w:rPr>
        <w:t>Taking one example from this area planning process illustrates the tokenism of consultation. In South East Fermanagh</w:t>
      </w:r>
      <w:r w:rsidR="005918EA" w:rsidRPr="00373B96">
        <w:rPr>
          <w:rFonts w:ascii="Calibri" w:hAnsi="Calibri"/>
          <w:sz w:val="24"/>
          <w:szCs w:val="24"/>
        </w:rPr>
        <w:t>,</w:t>
      </w:r>
      <w:r w:rsidR="00683D4D" w:rsidRPr="00373B96">
        <w:rPr>
          <w:rFonts w:ascii="Calibri" w:hAnsi="Calibri"/>
          <w:sz w:val="24"/>
          <w:szCs w:val="24"/>
        </w:rPr>
        <w:t xml:space="preserve"> t</w:t>
      </w:r>
      <w:r w:rsidR="005918EA" w:rsidRPr="00373B96">
        <w:rPr>
          <w:sz w:val="24"/>
          <w:szCs w:val="24"/>
        </w:rPr>
        <w:t>he draft area plan for the post-primary schools stated that CCMS &amp; WELB will work together to explore the feasibility of the proposal for the establishment of a cross-</w:t>
      </w:r>
      <w:proofErr w:type="spellStart"/>
      <w:r w:rsidR="005918EA" w:rsidRPr="00373B96">
        <w:rPr>
          <w:sz w:val="24"/>
          <w:szCs w:val="24"/>
        </w:rPr>
        <w:t>sectoral</w:t>
      </w:r>
      <w:proofErr w:type="spellEnd"/>
      <w:r w:rsidR="005918EA" w:rsidRPr="00373B96">
        <w:rPr>
          <w:sz w:val="24"/>
          <w:szCs w:val="24"/>
        </w:rPr>
        <w:t xml:space="preserve"> federated model </w:t>
      </w:r>
      <w:r w:rsidR="00683D4D" w:rsidRPr="00373B96">
        <w:rPr>
          <w:sz w:val="24"/>
          <w:szCs w:val="24"/>
        </w:rPr>
        <w:t>between 4 schools (</w:t>
      </w:r>
      <w:proofErr w:type="spellStart"/>
      <w:r w:rsidR="00683D4D" w:rsidRPr="00373B96">
        <w:rPr>
          <w:sz w:val="24"/>
          <w:szCs w:val="24"/>
        </w:rPr>
        <w:t>Lisnaskea</w:t>
      </w:r>
      <w:proofErr w:type="spellEnd"/>
      <w:r w:rsidR="00683D4D" w:rsidRPr="00373B96">
        <w:rPr>
          <w:sz w:val="24"/>
          <w:szCs w:val="24"/>
        </w:rPr>
        <w:t xml:space="preserve"> High School, St Aidan’s </w:t>
      </w:r>
      <w:proofErr w:type="spellStart"/>
      <w:r w:rsidR="00683D4D" w:rsidRPr="00373B96">
        <w:rPr>
          <w:sz w:val="24"/>
          <w:szCs w:val="24"/>
        </w:rPr>
        <w:t>Derrylin</w:t>
      </w:r>
      <w:proofErr w:type="spellEnd"/>
      <w:r w:rsidR="00683D4D" w:rsidRPr="00373B96">
        <w:rPr>
          <w:sz w:val="24"/>
          <w:szCs w:val="24"/>
        </w:rPr>
        <w:t xml:space="preserve">, St Eugene’s College Rosslea, and St </w:t>
      </w:r>
      <w:proofErr w:type="spellStart"/>
      <w:r w:rsidR="00683D4D" w:rsidRPr="00373B96">
        <w:rPr>
          <w:sz w:val="24"/>
          <w:szCs w:val="24"/>
        </w:rPr>
        <w:t>Comhghall’s</w:t>
      </w:r>
      <w:proofErr w:type="spellEnd"/>
      <w:r w:rsidR="00683D4D" w:rsidRPr="00373B96">
        <w:rPr>
          <w:sz w:val="24"/>
          <w:szCs w:val="24"/>
        </w:rPr>
        <w:t xml:space="preserve"> School, </w:t>
      </w:r>
      <w:proofErr w:type="spellStart"/>
      <w:r w:rsidR="00683D4D" w:rsidRPr="00373B96">
        <w:rPr>
          <w:sz w:val="24"/>
          <w:szCs w:val="24"/>
        </w:rPr>
        <w:t>Lisnaskea</w:t>
      </w:r>
      <w:proofErr w:type="spellEnd"/>
      <w:r w:rsidR="00683D4D" w:rsidRPr="00373B96">
        <w:rPr>
          <w:sz w:val="24"/>
          <w:szCs w:val="24"/>
        </w:rPr>
        <w:t xml:space="preserve">) </w:t>
      </w:r>
      <w:r w:rsidR="005918EA" w:rsidRPr="00373B96">
        <w:rPr>
          <w:sz w:val="24"/>
          <w:szCs w:val="24"/>
        </w:rPr>
        <w:t xml:space="preserve">to deliver a multi-campus solution in this area and report by October 2012.  </w:t>
      </w:r>
    </w:p>
    <w:p w:rsidR="005918EA" w:rsidRPr="00623252" w:rsidRDefault="005918EA" w:rsidP="00623252">
      <w:pPr>
        <w:jc w:val="both"/>
        <w:rPr>
          <w:rFonts w:ascii="Calibri" w:hAnsi="Calibri"/>
          <w:sz w:val="24"/>
          <w:szCs w:val="24"/>
        </w:rPr>
      </w:pPr>
      <w:r w:rsidRPr="00373B96">
        <w:rPr>
          <w:sz w:val="24"/>
          <w:szCs w:val="24"/>
        </w:rPr>
        <w:lastRenderedPageBreak/>
        <w:t>The final area plan also states that WELB is</w:t>
      </w:r>
      <w:r w:rsidR="00D22745">
        <w:rPr>
          <w:sz w:val="24"/>
          <w:szCs w:val="24"/>
        </w:rPr>
        <w:t xml:space="preserve"> aware of the Shared Education p</w:t>
      </w:r>
      <w:r w:rsidRPr="00373B96">
        <w:rPr>
          <w:sz w:val="24"/>
          <w:szCs w:val="24"/>
        </w:rPr>
        <w:t>roposals for the South East Fermanagh area.  WELB and CCMS, as the statutory authorities for the schools involved, will work together to explore the feasibility of the proposal for the establishment of a cross-</w:t>
      </w:r>
      <w:proofErr w:type="spellStart"/>
      <w:r w:rsidRPr="00373B96">
        <w:rPr>
          <w:sz w:val="24"/>
          <w:szCs w:val="24"/>
        </w:rPr>
        <w:t>sectoral</w:t>
      </w:r>
      <w:proofErr w:type="spellEnd"/>
      <w:r w:rsidRPr="00373B96">
        <w:rPr>
          <w:sz w:val="24"/>
          <w:szCs w:val="24"/>
        </w:rPr>
        <w:t xml:space="preserve"> federated model to deliver a multi-campus solution for the area and report by April 2013.  However the WELB unilaterally, has published </w:t>
      </w:r>
      <w:r w:rsidR="00373B96">
        <w:rPr>
          <w:sz w:val="24"/>
          <w:szCs w:val="24"/>
        </w:rPr>
        <w:t>development p</w:t>
      </w:r>
      <w:r w:rsidRPr="00373B96">
        <w:rPr>
          <w:sz w:val="24"/>
          <w:szCs w:val="24"/>
        </w:rPr>
        <w:t xml:space="preserve">roposals for the closure of </w:t>
      </w:r>
      <w:proofErr w:type="spellStart"/>
      <w:r w:rsidRPr="00373B96">
        <w:rPr>
          <w:sz w:val="24"/>
          <w:szCs w:val="24"/>
        </w:rPr>
        <w:t>Lisnaskea</w:t>
      </w:r>
      <w:proofErr w:type="spellEnd"/>
      <w:r w:rsidRPr="00373B96">
        <w:rPr>
          <w:sz w:val="24"/>
          <w:szCs w:val="24"/>
        </w:rPr>
        <w:t xml:space="preserve"> High School and the amalgamation with Devenish College, before the above mentioned feasibility report into a cross-</w:t>
      </w:r>
      <w:proofErr w:type="spellStart"/>
      <w:r w:rsidRPr="00373B96">
        <w:rPr>
          <w:sz w:val="24"/>
          <w:szCs w:val="24"/>
        </w:rPr>
        <w:t>sectoral</w:t>
      </w:r>
      <w:proofErr w:type="spellEnd"/>
      <w:r w:rsidRPr="00373B96">
        <w:rPr>
          <w:sz w:val="24"/>
          <w:szCs w:val="24"/>
        </w:rPr>
        <w:t xml:space="preserve"> federated model was undertaken.  A local action group </w:t>
      </w:r>
      <w:r w:rsidR="00373B96">
        <w:rPr>
          <w:sz w:val="24"/>
          <w:szCs w:val="24"/>
        </w:rPr>
        <w:t xml:space="preserve">including politicians </w:t>
      </w:r>
      <w:r w:rsidRPr="00373B96">
        <w:rPr>
          <w:sz w:val="24"/>
          <w:szCs w:val="24"/>
        </w:rPr>
        <w:t xml:space="preserve">has been established to explore options for keeping </w:t>
      </w:r>
      <w:proofErr w:type="spellStart"/>
      <w:r w:rsidRPr="00373B96">
        <w:rPr>
          <w:sz w:val="24"/>
          <w:szCs w:val="24"/>
        </w:rPr>
        <w:t>Lisnaskea</w:t>
      </w:r>
      <w:proofErr w:type="spellEnd"/>
      <w:r w:rsidRPr="00373B96">
        <w:rPr>
          <w:sz w:val="24"/>
          <w:szCs w:val="24"/>
        </w:rPr>
        <w:t xml:space="preserve"> High School o</w:t>
      </w:r>
      <w:r w:rsidR="00373B96">
        <w:rPr>
          <w:sz w:val="24"/>
          <w:szCs w:val="24"/>
        </w:rPr>
        <w:t>pen and raise</w:t>
      </w:r>
      <w:r w:rsidR="00D22745">
        <w:rPr>
          <w:sz w:val="24"/>
          <w:szCs w:val="24"/>
        </w:rPr>
        <w:t>d</w:t>
      </w:r>
      <w:r w:rsidR="00373B96">
        <w:rPr>
          <w:sz w:val="24"/>
          <w:szCs w:val="24"/>
        </w:rPr>
        <w:t xml:space="preserve"> concern</w:t>
      </w:r>
      <w:r w:rsidR="00D22745">
        <w:rPr>
          <w:sz w:val="24"/>
          <w:szCs w:val="24"/>
        </w:rPr>
        <w:t>s</w:t>
      </w:r>
      <w:r w:rsidR="00373B96">
        <w:rPr>
          <w:sz w:val="24"/>
          <w:szCs w:val="24"/>
        </w:rPr>
        <w:t xml:space="preserve"> about the WELB</w:t>
      </w:r>
      <w:r w:rsidR="00D22745">
        <w:rPr>
          <w:sz w:val="24"/>
          <w:szCs w:val="24"/>
        </w:rPr>
        <w:t>’s</w:t>
      </w:r>
      <w:r w:rsidR="00373B96">
        <w:rPr>
          <w:sz w:val="24"/>
          <w:szCs w:val="24"/>
        </w:rPr>
        <w:t xml:space="preserve"> proposals. </w:t>
      </w:r>
    </w:p>
    <w:p w:rsidR="00D15962" w:rsidRDefault="00373B96" w:rsidP="00D15962">
      <w:pPr>
        <w:jc w:val="both"/>
        <w:rPr>
          <w:rFonts w:ascii="Calibri" w:hAnsi="Calibri"/>
          <w:sz w:val="24"/>
          <w:szCs w:val="24"/>
        </w:rPr>
      </w:pPr>
      <w:r>
        <w:rPr>
          <w:rFonts w:ascii="Calibri" w:hAnsi="Calibri"/>
          <w:sz w:val="24"/>
          <w:szCs w:val="24"/>
        </w:rPr>
        <w:t>The Fermanagh District Council case study</w:t>
      </w:r>
      <w:r w:rsidR="00B45212" w:rsidRPr="00623252">
        <w:rPr>
          <w:rFonts w:ascii="Calibri" w:hAnsi="Calibri"/>
          <w:sz w:val="24"/>
          <w:szCs w:val="24"/>
        </w:rPr>
        <w:t xml:space="preserve"> illustrates that final recommendations simply tinker at the margins of the original proposals, yet </w:t>
      </w:r>
      <w:r w:rsidR="00B45212" w:rsidRPr="00623252">
        <w:rPr>
          <w:rFonts w:ascii="Calibri" w:hAnsi="Calibri"/>
          <w:b/>
          <w:sz w:val="24"/>
          <w:szCs w:val="24"/>
        </w:rPr>
        <w:t>75%</w:t>
      </w:r>
      <w:r w:rsidR="00B45212" w:rsidRPr="00623252">
        <w:rPr>
          <w:rFonts w:ascii="Calibri" w:hAnsi="Calibri"/>
          <w:sz w:val="24"/>
          <w:szCs w:val="24"/>
        </w:rPr>
        <w:t xml:space="preserve"> of all respondents in Fermanagh District Council recorded that the strategic plan ‘did </w:t>
      </w:r>
      <w:r w:rsidR="00B45212" w:rsidRPr="00926A6D">
        <w:rPr>
          <w:rFonts w:ascii="Calibri" w:hAnsi="Calibri"/>
          <w:b/>
          <w:sz w:val="24"/>
          <w:szCs w:val="24"/>
        </w:rPr>
        <w:t>not</w:t>
      </w:r>
      <w:r w:rsidR="00B45212" w:rsidRPr="00623252">
        <w:rPr>
          <w:rFonts w:ascii="Calibri" w:hAnsi="Calibri"/>
          <w:sz w:val="24"/>
          <w:szCs w:val="24"/>
        </w:rPr>
        <w:t xml:space="preserve"> show a way forward for post –primary </w:t>
      </w:r>
      <w:r w:rsidR="009752E2">
        <w:rPr>
          <w:rFonts w:ascii="Calibri" w:hAnsi="Calibri"/>
          <w:sz w:val="24"/>
          <w:szCs w:val="24"/>
        </w:rPr>
        <w:t xml:space="preserve">education </w:t>
      </w:r>
      <w:r w:rsidR="00B45212" w:rsidRPr="00623252">
        <w:rPr>
          <w:rFonts w:ascii="Calibri" w:hAnsi="Calibri"/>
          <w:sz w:val="24"/>
          <w:szCs w:val="24"/>
        </w:rPr>
        <w:t>provision in the council area</w:t>
      </w:r>
      <w:r w:rsidR="007924BD" w:rsidRPr="00623252">
        <w:rPr>
          <w:rFonts w:ascii="Calibri" w:hAnsi="Calibri"/>
          <w:sz w:val="24"/>
          <w:szCs w:val="24"/>
        </w:rPr>
        <w:t>’</w:t>
      </w:r>
      <w:r w:rsidR="00B45212" w:rsidRPr="00623252">
        <w:rPr>
          <w:rFonts w:ascii="Calibri" w:hAnsi="Calibri"/>
          <w:sz w:val="24"/>
          <w:szCs w:val="24"/>
        </w:rPr>
        <w:t>.</w:t>
      </w:r>
      <w:r w:rsidR="00F54CC7">
        <w:rPr>
          <w:rFonts w:ascii="Calibri" w:hAnsi="Calibri"/>
          <w:sz w:val="24"/>
          <w:szCs w:val="24"/>
        </w:rPr>
        <w:t xml:space="preserve"> </w:t>
      </w:r>
    </w:p>
    <w:p w:rsidR="00BC2DBA" w:rsidRPr="00BC2DBA" w:rsidRDefault="00EC21F1" w:rsidP="00D15962">
      <w:pPr>
        <w:jc w:val="both"/>
        <w:rPr>
          <w:rFonts w:ascii="Calibri" w:hAnsi="Calibri"/>
          <w:b/>
          <w:sz w:val="28"/>
          <w:szCs w:val="28"/>
        </w:rPr>
      </w:pPr>
      <w:proofErr w:type="spellStart"/>
      <w:r w:rsidRPr="00BC2DBA">
        <w:rPr>
          <w:rFonts w:ascii="Calibri" w:hAnsi="Calibri"/>
          <w:b/>
          <w:sz w:val="28"/>
          <w:szCs w:val="28"/>
        </w:rPr>
        <w:t>Limavady</w:t>
      </w:r>
      <w:proofErr w:type="spellEnd"/>
      <w:r w:rsidRPr="00BC2DBA">
        <w:rPr>
          <w:rFonts w:ascii="Calibri" w:hAnsi="Calibri"/>
          <w:b/>
          <w:sz w:val="28"/>
          <w:szCs w:val="28"/>
        </w:rPr>
        <w:t xml:space="preserve"> Borough </w:t>
      </w:r>
      <w:r w:rsidR="007A5EAC" w:rsidRPr="00BC2DBA">
        <w:rPr>
          <w:rFonts w:ascii="Calibri" w:hAnsi="Calibri"/>
          <w:b/>
          <w:sz w:val="28"/>
          <w:szCs w:val="28"/>
        </w:rPr>
        <w:t>Council</w:t>
      </w:r>
    </w:p>
    <w:p w:rsidR="007A5EAC" w:rsidRDefault="007A5EAC" w:rsidP="00D15962">
      <w:pPr>
        <w:jc w:val="both"/>
        <w:rPr>
          <w:rFonts w:ascii="Calibri" w:hAnsi="Calibri"/>
          <w:sz w:val="24"/>
          <w:szCs w:val="24"/>
        </w:rPr>
      </w:pPr>
      <w:proofErr w:type="spellStart"/>
      <w:r>
        <w:rPr>
          <w:rFonts w:ascii="Calibri" w:hAnsi="Calibri"/>
          <w:sz w:val="24"/>
          <w:szCs w:val="24"/>
        </w:rPr>
        <w:t>Limavady</w:t>
      </w:r>
      <w:proofErr w:type="spellEnd"/>
      <w:r>
        <w:rPr>
          <w:rFonts w:ascii="Calibri" w:hAnsi="Calibri"/>
          <w:sz w:val="24"/>
          <w:szCs w:val="24"/>
        </w:rPr>
        <w:t xml:space="preserve"> offers another example</w:t>
      </w:r>
      <w:r>
        <w:rPr>
          <w:rStyle w:val="FootnoteReference"/>
          <w:rFonts w:ascii="Calibri" w:hAnsi="Calibri"/>
          <w:sz w:val="24"/>
          <w:szCs w:val="24"/>
        </w:rPr>
        <w:footnoteReference w:id="2"/>
      </w:r>
      <w:r>
        <w:rPr>
          <w:rFonts w:ascii="Calibri" w:hAnsi="Calibri"/>
          <w:sz w:val="24"/>
          <w:szCs w:val="24"/>
        </w:rPr>
        <w:t xml:space="preserve"> in the Western Education and Library Board area </w:t>
      </w:r>
      <w:r w:rsidR="00462807">
        <w:rPr>
          <w:rFonts w:ascii="Calibri" w:hAnsi="Calibri"/>
          <w:sz w:val="24"/>
          <w:szCs w:val="24"/>
        </w:rPr>
        <w:t xml:space="preserve">where </w:t>
      </w:r>
      <w:proofErr w:type="spellStart"/>
      <w:r>
        <w:rPr>
          <w:rFonts w:ascii="Calibri" w:hAnsi="Calibri"/>
          <w:sz w:val="24"/>
          <w:szCs w:val="24"/>
        </w:rPr>
        <w:t>Limavady</w:t>
      </w:r>
      <w:proofErr w:type="spellEnd"/>
      <w:r>
        <w:rPr>
          <w:rFonts w:ascii="Calibri" w:hAnsi="Calibri"/>
          <w:sz w:val="24"/>
          <w:szCs w:val="24"/>
        </w:rPr>
        <w:t xml:space="preserve"> High School, St Mary’s </w:t>
      </w:r>
      <w:proofErr w:type="spellStart"/>
      <w:r>
        <w:rPr>
          <w:rFonts w:ascii="Calibri" w:hAnsi="Calibri"/>
          <w:sz w:val="24"/>
          <w:szCs w:val="24"/>
        </w:rPr>
        <w:t>Limavady</w:t>
      </w:r>
      <w:proofErr w:type="spellEnd"/>
      <w:r>
        <w:rPr>
          <w:rFonts w:ascii="Calibri" w:hAnsi="Calibri"/>
          <w:sz w:val="24"/>
          <w:szCs w:val="24"/>
        </w:rPr>
        <w:t xml:space="preserve"> and </w:t>
      </w:r>
      <w:proofErr w:type="spellStart"/>
      <w:r>
        <w:rPr>
          <w:rFonts w:ascii="Calibri" w:hAnsi="Calibri"/>
          <w:sz w:val="24"/>
          <w:szCs w:val="24"/>
        </w:rPr>
        <w:t>Limavady</w:t>
      </w:r>
      <w:proofErr w:type="spellEnd"/>
      <w:r>
        <w:rPr>
          <w:rFonts w:ascii="Calibri" w:hAnsi="Calibri"/>
          <w:sz w:val="24"/>
          <w:szCs w:val="24"/>
        </w:rPr>
        <w:t xml:space="preserve"> Grammar have a strong tradition of working together in terms of KS4 and KS5 provision. The principles of shared education are embedded in the schools including a synchronised timetable which extends curriculum choice to pupils in the collaborating schools.</w:t>
      </w:r>
      <w:r w:rsidR="00F768FF">
        <w:rPr>
          <w:rFonts w:ascii="Calibri" w:hAnsi="Calibri"/>
          <w:sz w:val="24"/>
          <w:szCs w:val="24"/>
        </w:rPr>
        <w:t xml:space="preserve"> The schools also play a central role in the Roe Valley Learning Community.</w:t>
      </w:r>
    </w:p>
    <w:p w:rsidR="00F768FF" w:rsidRPr="005D1D3B" w:rsidRDefault="00F768FF" w:rsidP="00D15962">
      <w:pPr>
        <w:jc w:val="both"/>
        <w:rPr>
          <w:sz w:val="24"/>
          <w:szCs w:val="24"/>
        </w:rPr>
      </w:pPr>
      <w:r w:rsidRPr="005D1D3B">
        <w:rPr>
          <w:rFonts w:ascii="Calibri" w:hAnsi="Calibri"/>
          <w:sz w:val="24"/>
          <w:szCs w:val="24"/>
        </w:rPr>
        <w:t xml:space="preserve">The WELB consultation document paid lip-service to the long-standing </w:t>
      </w:r>
      <w:r w:rsidR="00E736D8" w:rsidRPr="005D1D3B">
        <w:rPr>
          <w:rFonts w:ascii="Calibri" w:hAnsi="Calibri"/>
          <w:sz w:val="24"/>
          <w:szCs w:val="24"/>
        </w:rPr>
        <w:t xml:space="preserve">tradition of </w:t>
      </w:r>
      <w:r w:rsidRPr="005D1D3B">
        <w:rPr>
          <w:rFonts w:ascii="Calibri" w:hAnsi="Calibri"/>
          <w:sz w:val="24"/>
          <w:szCs w:val="24"/>
        </w:rPr>
        <w:t xml:space="preserve">the schools </w:t>
      </w:r>
      <w:r w:rsidR="00E736D8" w:rsidRPr="005D1D3B">
        <w:rPr>
          <w:rFonts w:ascii="Calibri" w:hAnsi="Calibri"/>
          <w:sz w:val="24"/>
          <w:szCs w:val="24"/>
        </w:rPr>
        <w:t>working together</w:t>
      </w:r>
      <w:r w:rsidR="00462807">
        <w:rPr>
          <w:rFonts w:ascii="Calibri" w:hAnsi="Calibri"/>
          <w:sz w:val="24"/>
          <w:szCs w:val="24"/>
        </w:rPr>
        <w:t>,</w:t>
      </w:r>
      <w:r w:rsidR="00E736D8" w:rsidRPr="005D1D3B">
        <w:rPr>
          <w:rFonts w:ascii="Calibri" w:hAnsi="Calibri"/>
          <w:sz w:val="24"/>
          <w:szCs w:val="24"/>
        </w:rPr>
        <w:t xml:space="preserve"> </w:t>
      </w:r>
      <w:r w:rsidRPr="005D1D3B">
        <w:rPr>
          <w:rFonts w:ascii="Calibri" w:hAnsi="Calibri"/>
          <w:sz w:val="24"/>
          <w:szCs w:val="24"/>
        </w:rPr>
        <w:t xml:space="preserve">stating </w:t>
      </w:r>
      <w:r w:rsidR="00462807">
        <w:rPr>
          <w:rFonts w:ascii="Calibri" w:hAnsi="Calibri"/>
          <w:sz w:val="24"/>
          <w:szCs w:val="24"/>
        </w:rPr>
        <w:t xml:space="preserve">simply </w:t>
      </w:r>
      <w:r w:rsidRPr="005D1D3B">
        <w:rPr>
          <w:rFonts w:ascii="Calibri" w:hAnsi="Calibri"/>
          <w:sz w:val="24"/>
          <w:szCs w:val="24"/>
        </w:rPr>
        <w:t>that the close proximity of all post-prim</w:t>
      </w:r>
      <w:r w:rsidR="00E736D8" w:rsidRPr="005D1D3B">
        <w:rPr>
          <w:rFonts w:ascii="Calibri" w:hAnsi="Calibri"/>
          <w:sz w:val="24"/>
          <w:szCs w:val="24"/>
        </w:rPr>
        <w:t xml:space="preserve">ary providers in </w:t>
      </w:r>
      <w:proofErr w:type="spellStart"/>
      <w:r w:rsidR="00E736D8" w:rsidRPr="005D1D3B">
        <w:rPr>
          <w:rFonts w:ascii="Calibri" w:hAnsi="Calibri"/>
          <w:sz w:val="24"/>
          <w:szCs w:val="24"/>
        </w:rPr>
        <w:t>Limavady</w:t>
      </w:r>
      <w:proofErr w:type="spellEnd"/>
      <w:r w:rsidR="00E736D8" w:rsidRPr="005D1D3B">
        <w:rPr>
          <w:rFonts w:ascii="Calibri" w:hAnsi="Calibri"/>
          <w:sz w:val="24"/>
          <w:szCs w:val="24"/>
        </w:rPr>
        <w:t xml:space="preserve"> allowed</w:t>
      </w:r>
      <w:r w:rsidRPr="005D1D3B">
        <w:rPr>
          <w:rFonts w:ascii="Calibri" w:hAnsi="Calibri"/>
          <w:sz w:val="24"/>
          <w:szCs w:val="24"/>
        </w:rPr>
        <w:t xml:space="preserve"> for sharing of education and collaboration</w:t>
      </w:r>
      <w:r w:rsidR="00E736D8" w:rsidRPr="005D1D3B">
        <w:rPr>
          <w:rFonts w:ascii="Calibri" w:hAnsi="Calibri"/>
          <w:sz w:val="24"/>
          <w:szCs w:val="24"/>
        </w:rPr>
        <w:t xml:space="preserve">. Although the </w:t>
      </w:r>
      <w:r w:rsidR="00462807">
        <w:rPr>
          <w:rFonts w:ascii="Calibri" w:hAnsi="Calibri"/>
          <w:sz w:val="24"/>
          <w:szCs w:val="24"/>
        </w:rPr>
        <w:t>schools did not fully meet the E</w:t>
      </w:r>
      <w:r w:rsidR="00E736D8" w:rsidRPr="005D1D3B">
        <w:rPr>
          <w:rFonts w:ascii="Calibri" w:hAnsi="Calibri"/>
          <w:sz w:val="24"/>
          <w:szCs w:val="24"/>
        </w:rPr>
        <w:t xml:space="preserve">ntitlement </w:t>
      </w:r>
      <w:r w:rsidR="00462807">
        <w:rPr>
          <w:rFonts w:ascii="Calibri" w:hAnsi="Calibri"/>
          <w:sz w:val="24"/>
          <w:szCs w:val="24"/>
        </w:rPr>
        <w:t xml:space="preserve">Framework </w:t>
      </w:r>
      <w:r w:rsidR="00E736D8" w:rsidRPr="005D1D3B">
        <w:rPr>
          <w:rFonts w:ascii="Calibri" w:hAnsi="Calibri"/>
          <w:sz w:val="24"/>
          <w:szCs w:val="24"/>
        </w:rPr>
        <w:t>requirements, there was no suggestion in the draft plan about deepening the already established partnership.</w:t>
      </w:r>
      <w:r w:rsidR="005D1D3B" w:rsidRPr="005D1D3B">
        <w:rPr>
          <w:rFonts w:ascii="Calibri" w:hAnsi="Calibri"/>
          <w:sz w:val="24"/>
          <w:szCs w:val="24"/>
        </w:rPr>
        <w:t xml:space="preserve"> </w:t>
      </w:r>
      <w:r w:rsidR="005D1D3B" w:rsidRPr="005D1D3B">
        <w:rPr>
          <w:sz w:val="24"/>
          <w:szCs w:val="24"/>
        </w:rPr>
        <w:t>The schools highlighted the weaknesses in the WELB/CCMS proposals and suggested how</w:t>
      </w:r>
      <w:r w:rsidR="00462807">
        <w:rPr>
          <w:sz w:val="24"/>
          <w:szCs w:val="24"/>
        </w:rPr>
        <w:t>,</w:t>
      </w:r>
      <w:r w:rsidR="005D1D3B" w:rsidRPr="005D1D3B">
        <w:rPr>
          <w:sz w:val="24"/>
          <w:szCs w:val="24"/>
        </w:rPr>
        <w:t xml:space="preserve"> by working together</w:t>
      </w:r>
      <w:r w:rsidR="00462807">
        <w:rPr>
          <w:sz w:val="24"/>
          <w:szCs w:val="24"/>
        </w:rPr>
        <w:t>,</w:t>
      </w:r>
      <w:r w:rsidR="005D1D3B" w:rsidRPr="005D1D3B">
        <w:rPr>
          <w:sz w:val="24"/>
          <w:szCs w:val="24"/>
        </w:rPr>
        <w:t xml:space="preserve"> they could improve educational outcomes, reduce duplication, address surplus places and provide enhanced educational opportunities for all pupils. Despite full engagement </w:t>
      </w:r>
      <w:r w:rsidR="005D1D3B">
        <w:rPr>
          <w:sz w:val="24"/>
          <w:szCs w:val="24"/>
        </w:rPr>
        <w:t xml:space="preserve">by the schools </w:t>
      </w:r>
      <w:r w:rsidR="005D1D3B" w:rsidRPr="005D1D3B">
        <w:rPr>
          <w:sz w:val="24"/>
          <w:szCs w:val="24"/>
        </w:rPr>
        <w:t xml:space="preserve">with the consultation process, the revised plans produced in 2013 were exactly the same as the original plans.  </w:t>
      </w:r>
      <w:proofErr w:type="gramStart"/>
      <w:r w:rsidR="005D1D3B">
        <w:rPr>
          <w:sz w:val="24"/>
          <w:szCs w:val="24"/>
        </w:rPr>
        <w:t xml:space="preserve">This, despite the fact that </w:t>
      </w:r>
      <w:r w:rsidR="00EC21F1" w:rsidRPr="00462807">
        <w:rPr>
          <w:b/>
          <w:sz w:val="24"/>
          <w:szCs w:val="24"/>
        </w:rPr>
        <w:t>only</w:t>
      </w:r>
      <w:r w:rsidR="00EC21F1">
        <w:rPr>
          <w:sz w:val="24"/>
          <w:szCs w:val="24"/>
        </w:rPr>
        <w:t xml:space="preserve"> </w:t>
      </w:r>
      <w:r w:rsidR="00077271">
        <w:rPr>
          <w:sz w:val="24"/>
          <w:szCs w:val="24"/>
        </w:rPr>
        <w:t>16.4</w:t>
      </w:r>
      <w:r w:rsidR="005D1D3B">
        <w:rPr>
          <w:sz w:val="24"/>
          <w:szCs w:val="24"/>
        </w:rPr>
        <w:t>% of respondents</w:t>
      </w:r>
      <w:r w:rsidR="00077271">
        <w:rPr>
          <w:sz w:val="24"/>
          <w:szCs w:val="24"/>
        </w:rPr>
        <w:t xml:space="preserve"> </w:t>
      </w:r>
      <w:r w:rsidR="00462807">
        <w:rPr>
          <w:sz w:val="24"/>
          <w:szCs w:val="24"/>
        </w:rPr>
        <w:t>‘</w:t>
      </w:r>
      <w:r w:rsidR="005D1D3B">
        <w:rPr>
          <w:sz w:val="24"/>
          <w:szCs w:val="24"/>
        </w:rPr>
        <w:t xml:space="preserve">agreed or strongly </w:t>
      </w:r>
      <w:r w:rsidR="00EC21F1">
        <w:rPr>
          <w:sz w:val="24"/>
          <w:szCs w:val="24"/>
        </w:rPr>
        <w:t>agreed</w:t>
      </w:r>
      <w:r w:rsidR="00462807">
        <w:rPr>
          <w:sz w:val="24"/>
          <w:szCs w:val="24"/>
        </w:rPr>
        <w:t>’</w:t>
      </w:r>
      <w:r w:rsidR="00EC21F1">
        <w:rPr>
          <w:sz w:val="24"/>
          <w:szCs w:val="24"/>
        </w:rPr>
        <w:t xml:space="preserve"> that </w:t>
      </w:r>
      <w:r w:rsidR="005D1D3B">
        <w:rPr>
          <w:sz w:val="24"/>
          <w:szCs w:val="24"/>
        </w:rPr>
        <w:t xml:space="preserve">the </w:t>
      </w:r>
      <w:proofErr w:type="spellStart"/>
      <w:r w:rsidR="005D1D3B">
        <w:rPr>
          <w:sz w:val="24"/>
          <w:szCs w:val="24"/>
        </w:rPr>
        <w:t>Limavady</w:t>
      </w:r>
      <w:proofErr w:type="spellEnd"/>
      <w:r w:rsidR="005D1D3B">
        <w:rPr>
          <w:sz w:val="24"/>
          <w:szCs w:val="24"/>
        </w:rPr>
        <w:t xml:space="preserve"> proposals</w:t>
      </w:r>
      <w:r w:rsidR="00EC21F1">
        <w:rPr>
          <w:sz w:val="24"/>
          <w:szCs w:val="24"/>
        </w:rPr>
        <w:t xml:space="preserve"> showed a way forward for the council area.</w:t>
      </w:r>
      <w:proofErr w:type="gramEnd"/>
      <w:r w:rsidR="00E26E43">
        <w:rPr>
          <w:sz w:val="24"/>
          <w:szCs w:val="24"/>
        </w:rPr>
        <w:t xml:space="preserve">  Notwithstanding</w:t>
      </w:r>
      <w:r w:rsidR="00462807">
        <w:rPr>
          <w:sz w:val="24"/>
          <w:szCs w:val="24"/>
        </w:rPr>
        <w:t>,</w:t>
      </w:r>
      <w:r w:rsidR="00E26E43">
        <w:rPr>
          <w:sz w:val="24"/>
          <w:szCs w:val="24"/>
        </w:rPr>
        <w:t xml:space="preserve"> the same proposals were submitted to DE for consideration and approval.</w:t>
      </w:r>
    </w:p>
    <w:p w:rsidR="00462807" w:rsidRDefault="00462807">
      <w:pPr>
        <w:rPr>
          <w:rFonts w:ascii="Calibri" w:hAnsi="Calibri"/>
          <w:b/>
          <w:sz w:val="28"/>
          <w:szCs w:val="28"/>
        </w:rPr>
      </w:pPr>
      <w:r>
        <w:rPr>
          <w:rFonts w:ascii="Calibri" w:hAnsi="Calibri"/>
          <w:b/>
          <w:sz w:val="28"/>
          <w:szCs w:val="28"/>
        </w:rPr>
        <w:br w:type="page"/>
      </w:r>
    </w:p>
    <w:p w:rsidR="00462807" w:rsidRPr="00462807" w:rsidRDefault="0081302A" w:rsidP="00623252">
      <w:pPr>
        <w:jc w:val="both"/>
        <w:rPr>
          <w:rFonts w:ascii="Calibri" w:hAnsi="Calibri"/>
          <w:b/>
          <w:sz w:val="28"/>
          <w:szCs w:val="28"/>
        </w:rPr>
      </w:pPr>
      <w:r w:rsidRPr="00462807">
        <w:rPr>
          <w:rFonts w:ascii="Calibri" w:hAnsi="Calibri"/>
          <w:b/>
          <w:sz w:val="28"/>
          <w:szCs w:val="28"/>
        </w:rPr>
        <w:lastRenderedPageBreak/>
        <w:t>The WELB response</w:t>
      </w:r>
    </w:p>
    <w:p w:rsidR="00B45212" w:rsidRPr="00623252" w:rsidRDefault="00B45212" w:rsidP="00623252">
      <w:pPr>
        <w:jc w:val="both"/>
        <w:rPr>
          <w:rFonts w:ascii="Calibri" w:hAnsi="Calibri"/>
          <w:sz w:val="24"/>
          <w:szCs w:val="24"/>
        </w:rPr>
      </w:pPr>
      <w:r w:rsidRPr="00623252">
        <w:rPr>
          <w:rFonts w:ascii="Calibri" w:hAnsi="Calibri"/>
          <w:sz w:val="24"/>
          <w:szCs w:val="24"/>
        </w:rPr>
        <w:t>The official response to the consultation exercise from the WELB contained in its report (</w:t>
      </w:r>
      <w:r w:rsidRPr="00623252">
        <w:rPr>
          <w:rFonts w:ascii="Calibri" w:hAnsi="Calibri"/>
          <w:b/>
          <w:i/>
          <w:sz w:val="24"/>
          <w:szCs w:val="24"/>
        </w:rPr>
        <w:t>WELB: Strategic Area Plan: Post Primary Provision - Consultation Analysis</w:t>
      </w:r>
      <w:r w:rsidRPr="00623252">
        <w:rPr>
          <w:rFonts w:ascii="Calibri" w:hAnsi="Calibri"/>
          <w:sz w:val="24"/>
          <w:szCs w:val="24"/>
        </w:rPr>
        <w:t>, December 2012: 32) was as follows:</w:t>
      </w:r>
    </w:p>
    <w:p w:rsidR="00B45212" w:rsidRPr="00623252" w:rsidRDefault="00B45212" w:rsidP="00623252">
      <w:pPr>
        <w:ind w:left="720"/>
        <w:jc w:val="both"/>
        <w:rPr>
          <w:rFonts w:ascii="Calibri" w:hAnsi="Calibri"/>
          <w:sz w:val="24"/>
          <w:szCs w:val="24"/>
        </w:rPr>
      </w:pPr>
      <w:r w:rsidRPr="00623252">
        <w:rPr>
          <w:rFonts w:ascii="Calibri" w:hAnsi="Calibri"/>
          <w:sz w:val="24"/>
          <w:szCs w:val="24"/>
        </w:rPr>
        <w:t xml:space="preserve">While many of the proposals contained in the draft Plan have not changed dramatically, the volume of responses has given the WELB and the </w:t>
      </w:r>
      <w:r w:rsidRPr="009752E2">
        <w:rPr>
          <w:rFonts w:ascii="Calibri" w:hAnsi="Calibri"/>
          <w:i/>
          <w:sz w:val="24"/>
          <w:szCs w:val="24"/>
        </w:rPr>
        <w:t>Putting Pupils First: Shaping Our Future</w:t>
      </w:r>
      <w:r w:rsidRPr="00623252">
        <w:rPr>
          <w:rFonts w:ascii="Calibri" w:hAnsi="Calibri"/>
          <w:sz w:val="24"/>
          <w:szCs w:val="24"/>
        </w:rPr>
        <w:t xml:space="preserve"> Working Group many issues for further consideration in taking forward Strategic Area Planning in the WELB Area.</w:t>
      </w:r>
    </w:p>
    <w:p w:rsidR="0071293D" w:rsidRPr="00623252" w:rsidRDefault="00B45212" w:rsidP="00623252">
      <w:pPr>
        <w:jc w:val="both"/>
        <w:rPr>
          <w:rFonts w:ascii="Calibri" w:hAnsi="Calibri"/>
          <w:sz w:val="24"/>
          <w:szCs w:val="24"/>
        </w:rPr>
      </w:pPr>
      <w:r w:rsidRPr="00623252">
        <w:rPr>
          <w:rFonts w:ascii="Calibri" w:hAnsi="Calibri"/>
          <w:sz w:val="24"/>
          <w:szCs w:val="24"/>
        </w:rPr>
        <w:t xml:space="preserve">This reads as official ‘speak’ for ignoring the consultation responses. </w:t>
      </w:r>
      <w:r w:rsidR="0071293D" w:rsidRPr="00623252">
        <w:rPr>
          <w:rFonts w:ascii="Calibri" w:hAnsi="Calibri"/>
          <w:sz w:val="24"/>
          <w:szCs w:val="24"/>
        </w:rPr>
        <w:t xml:space="preserve"> </w:t>
      </w:r>
    </w:p>
    <w:p w:rsidR="007924BD" w:rsidRDefault="00B45212" w:rsidP="003C2337">
      <w:pPr>
        <w:jc w:val="both"/>
        <w:rPr>
          <w:rFonts w:ascii="Calibri" w:hAnsi="Calibri"/>
          <w:sz w:val="24"/>
          <w:szCs w:val="24"/>
        </w:rPr>
      </w:pPr>
      <w:r w:rsidRPr="00623252">
        <w:rPr>
          <w:rFonts w:ascii="Calibri" w:hAnsi="Calibri"/>
          <w:sz w:val="24"/>
          <w:szCs w:val="24"/>
        </w:rPr>
        <w:t xml:space="preserve">In short, little changed as a result of the </w:t>
      </w:r>
      <w:r w:rsidR="007924BD" w:rsidRPr="00623252">
        <w:rPr>
          <w:rFonts w:ascii="Calibri" w:hAnsi="Calibri"/>
          <w:sz w:val="24"/>
          <w:szCs w:val="24"/>
        </w:rPr>
        <w:t xml:space="preserve">WELB </w:t>
      </w:r>
      <w:r w:rsidRPr="00623252">
        <w:rPr>
          <w:rFonts w:ascii="Calibri" w:hAnsi="Calibri"/>
          <w:sz w:val="24"/>
          <w:szCs w:val="24"/>
        </w:rPr>
        <w:t>consultation exercise – the views of 7,629 people were ignored.</w:t>
      </w:r>
      <w:r w:rsidR="0071293D" w:rsidRPr="00623252">
        <w:rPr>
          <w:rFonts w:ascii="Calibri" w:hAnsi="Calibri"/>
          <w:sz w:val="24"/>
          <w:szCs w:val="24"/>
        </w:rPr>
        <w:t xml:space="preserve"> </w:t>
      </w:r>
    </w:p>
    <w:p w:rsidR="00462807" w:rsidRPr="00462807" w:rsidRDefault="003C2337" w:rsidP="003C2337">
      <w:pPr>
        <w:jc w:val="both"/>
        <w:rPr>
          <w:rFonts w:ascii="Calibri" w:hAnsi="Calibri"/>
          <w:b/>
          <w:sz w:val="28"/>
          <w:szCs w:val="28"/>
        </w:rPr>
      </w:pPr>
      <w:r w:rsidRPr="00462807">
        <w:rPr>
          <w:rFonts w:ascii="Calibri" w:hAnsi="Calibri"/>
          <w:b/>
          <w:sz w:val="28"/>
          <w:szCs w:val="28"/>
        </w:rPr>
        <w:t>Views across the five ELBs</w:t>
      </w:r>
    </w:p>
    <w:p w:rsidR="003C2337" w:rsidRPr="0059752C" w:rsidRDefault="003C2337" w:rsidP="003C2337">
      <w:pPr>
        <w:jc w:val="both"/>
        <w:rPr>
          <w:rFonts w:ascii="Calibri" w:hAnsi="Calibri"/>
          <w:sz w:val="24"/>
          <w:szCs w:val="24"/>
        </w:rPr>
      </w:pPr>
      <w:r w:rsidRPr="0059752C">
        <w:rPr>
          <w:rFonts w:ascii="Calibri" w:hAnsi="Calibri"/>
          <w:sz w:val="24"/>
          <w:szCs w:val="24"/>
        </w:rPr>
        <w:t xml:space="preserve"> Table 6 sets out the responses to the consultation process across the five </w:t>
      </w:r>
      <w:proofErr w:type="gramStart"/>
      <w:r w:rsidRPr="0059752C">
        <w:rPr>
          <w:rFonts w:ascii="Calibri" w:hAnsi="Calibri"/>
          <w:sz w:val="24"/>
          <w:szCs w:val="24"/>
        </w:rPr>
        <w:t>education</w:t>
      </w:r>
      <w:proofErr w:type="gramEnd"/>
      <w:r w:rsidRPr="0059752C">
        <w:rPr>
          <w:rFonts w:ascii="Calibri" w:hAnsi="Calibri"/>
          <w:sz w:val="24"/>
          <w:szCs w:val="24"/>
        </w:rPr>
        <w:t xml:space="preserve"> and library boards (source: Central Management Unit, SELB Summary Report, December 2012). There were four categories of responses</w:t>
      </w:r>
    </w:p>
    <w:p w:rsidR="003C2337" w:rsidRPr="0059752C" w:rsidRDefault="003C2337" w:rsidP="003C2337">
      <w:pPr>
        <w:pStyle w:val="Default"/>
        <w:numPr>
          <w:ilvl w:val="0"/>
          <w:numId w:val="2"/>
        </w:numPr>
        <w:jc w:val="both"/>
        <w:rPr>
          <w:rFonts w:ascii="Calibri" w:hAnsi="Calibri"/>
        </w:rPr>
      </w:pPr>
      <w:r w:rsidRPr="0059752C">
        <w:rPr>
          <w:rFonts w:ascii="Calibri" w:hAnsi="Calibri"/>
        </w:rPr>
        <w:t xml:space="preserve">Completion of the on-line survey – </w:t>
      </w:r>
      <w:hyperlink r:id="rId14" w:history="1">
        <w:r w:rsidRPr="0059752C">
          <w:rPr>
            <w:rStyle w:val="Hyperlink"/>
            <w:rFonts w:ascii="Calibri" w:hAnsi="Calibri"/>
          </w:rPr>
          <w:t>www.puttingpupilsfirst.com</w:t>
        </w:r>
      </w:hyperlink>
      <w:r w:rsidRPr="0059752C">
        <w:rPr>
          <w:rFonts w:ascii="Calibri" w:hAnsi="Calibri"/>
        </w:rPr>
        <w:t xml:space="preserve"> </w:t>
      </w:r>
    </w:p>
    <w:p w:rsidR="003C2337" w:rsidRPr="0059752C" w:rsidRDefault="003C2337" w:rsidP="003C2337">
      <w:pPr>
        <w:pStyle w:val="Default"/>
        <w:numPr>
          <w:ilvl w:val="0"/>
          <w:numId w:val="2"/>
        </w:numPr>
        <w:jc w:val="both"/>
        <w:rPr>
          <w:rFonts w:ascii="Calibri" w:hAnsi="Calibri"/>
        </w:rPr>
      </w:pPr>
      <w:r w:rsidRPr="0059752C">
        <w:rPr>
          <w:rFonts w:ascii="Calibri" w:hAnsi="Calibri"/>
        </w:rPr>
        <w:t>Hard copy submissions of the on-line survey</w:t>
      </w:r>
      <w:r w:rsidRPr="0059752C">
        <w:rPr>
          <w:rStyle w:val="FootnoteReference"/>
          <w:rFonts w:ascii="Calibri" w:hAnsi="Calibri"/>
        </w:rPr>
        <w:footnoteReference w:id="3"/>
      </w:r>
    </w:p>
    <w:p w:rsidR="003C2337" w:rsidRPr="0059752C" w:rsidRDefault="003C2337" w:rsidP="003C2337">
      <w:pPr>
        <w:pStyle w:val="Default"/>
        <w:numPr>
          <w:ilvl w:val="0"/>
          <w:numId w:val="2"/>
        </w:numPr>
        <w:jc w:val="both"/>
        <w:rPr>
          <w:rFonts w:ascii="Calibri" w:hAnsi="Calibri"/>
        </w:rPr>
      </w:pPr>
      <w:r w:rsidRPr="0059752C">
        <w:rPr>
          <w:rFonts w:ascii="Calibri" w:hAnsi="Calibri"/>
        </w:rPr>
        <w:t xml:space="preserve">Views on the area plans expressed by letter or submission </w:t>
      </w:r>
    </w:p>
    <w:p w:rsidR="003C2337" w:rsidRPr="0059752C" w:rsidRDefault="003C2337" w:rsidP="003C2337">
      <w:pPr>
        <w:pStyle w:val="Default"/>
        <w:numPr>
          <w:ilvl w:val="0"/>
          <w:numId w:val="2"/>
        </w:numPr>
        <w:jc w:val="both"/>
        <w:rPr>
          <w:rFonts w:ascii="Calibri" w:hAnsi="Calibri"/>
        </w:rPr>
      </w:pPr>
      <w:r w:rsidRPr="0059752C">
        <w:rPr>
          <w:rFonts w:ascii="Calibri" w:hAnsi="Calibri"/>
        </w:rPr>
        <w:t xml:space="preserve">Other consultation (e.g. petitions) </w:t>
      </w:r>
    </w:p>
    <w:p w:rsidR="003C2337" w:rsidRPr="0059752C" w:rsidRDefault="003C2337" w:rsidP="003C2337">
      <w:pPr>
        <w:pStyle w:val="Default"/>
        <w:jc w:val="both"/>
        <w:rPr>
          <w:rFonts w:ascii="Calibri" w:hAnsi="Calibri"/>
        </w:rPr>
      </w:pPr>
    </w:p>
    <w:tbl>
      <w:tblPr>
        <w:tblStyle w:val="LightGrid-Accent2"/>
        <w:tblW w:w="5000" w:type="pct"/>
        <w:tblLook w:val="04A0"/>
      </w:tblPr>
      <w:tblGrid>
        <w:gridCol w:w="1647"/>
        <w:gridCol w:w="1401"/>
        <w:gridCol w:w="1401"/>
        <w:gridCol w:w="1856"/>
        <w:gridCol w:w="1536"/>
        <w:gridCol w:w="1401"/>
      </w:tblGrid>
      <w:tr w:rsidR="003C2337" w:rsidRPr="0059752C" w:rsidTr="00BA0D12">
        <w:trPr>
          <w:cnfStyle w:val="100000000000"/>
        </w:trPr>
        <w:tc>
          <w:tcPr>
            <w:cnfStyle w:val="001000000000"/>
            <w:tcW w:w="5000" w:type="pct"/>
            <w:gridSpan w:val="6"/>
          </w:tcPr>
          <w:p w:rsidR="003C2337" w:rsidRPr="0059752C" w:rsidRDefault="003C2337" w:rsidP="00BA0D12">
            <w:pPr>
              <w:pStyle w:val="Default"/>
              <w:jc w:val="center"/>
              <w:rPr>
                <w:rFonts w:ascii="Calibri" w:hAnsi="Calibri"/>
                <w:b w:val="0"/>
                <w:bCs w:val="0"/>
              </w:rPr>
            </w:pPr>
            <w:r w:rsidRPr="0059752C">
              <w:rPr>
                <w:rFonts w:ascii="Calibri" w:hAnsi="Calibri"/>
              </w:rPr>
              <w:t>Table 6</w:t>
            </w:r>
            <w:r>
              <w:t>: Levels of r</w:t>
            </w:r>
            <w:r w:rsidRPr="0059752C">
              <w:rPr>
                <w:rFonts w:ascii="Calibri" w:hAnsi="Calibri"/>
              </w:rPr>
              <w:t>esponse</w:t>
            </w:r>
          </w:p>
        </w:tc>
      </w:tr>
      <w:tr w:rsidR="003C2337" w:rsidRPr="0059752C" w:rsidTr="00BA0D12">
        <w:trPr>
          <w:cnfStyle w:val="000000100000"/>
        </w:trPr>
        <w:tc>
          <w:tcPr>
            <w:cnfStyle w:val="001000000000"/>
            <w:tcW w:w="891" w:type="pct"/>
          </w:tcPr>
          <w:p w:rsidR="003C2337" w:rsidRPr="0059752C" w:rsidRDefault="003C2337" w:rsidP="00BA0D12">
            <w:pPr>
              <w:pStyle w:val="Default"/>
              <w:jc w:val="both"/>
              <w:rPr>
                <w:rFonts w:ascii="Calibri" w:hAnsi="Calibri"/>
              </w:rPr>
            </w:pPr>
            <w:r w:rsidRPr="0059752C">
              <w:rPr>
                <w:rFonts w:ascii="Calibri" w:hAnsi="Calibri"/>
                <w:b w:val="0"/>
                <w:bCs w:val="0"/>
              </w:rPr>
              <w:t>Board</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b/>
                <w:bCs/>
              </w:rPr>
              <w:t>On-line</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b/>
                <w:bCs/>
              </w:rPr>
              <w:t>Hard Copy</w:t>
            </w:r>
          </w:p>
        </w:tc>
        <w:tc>
          <w:tcPr>
            <w:tcW w:w="1004" w:type="pct"/>
          </w:tcPr>
          <w:p w:rsidR="003C2337" w:rsidRPr="0059752C" w:rsidRDefault="003C2337" w:rsidP="00BA0D12">
            <w:pPr>
              <w:pStyle w:val="Default"/>
              <w:jc w:val="both"/>
              <w:cnfStyle w:val="000000100000"/>
              <w:rPr>
                <w:rFonts w:ascii="Calibri" w:hAnsi="Calibri"/>
              </w:rPr>
            </w:pPr>
            <w:r w:rsidRPr="0059752C">
              <w:rPr>
                <w:rFonts w:ascii="Calibri" w:hAnsi="Calibri"/>
                <w:b/>
                <w:bCs/>
              </w:rPr>
              <w:t>Letter or Submission</w:t>
            </w:r>
          </w:p>
        </w:tc>
        <w:tc>
          <w:tcPr>
            <w:tcW w:w="831" w:type="pct"/>
          </w:tcPr>
          <w:p w:rsidR="003C2337" w:rsidRPr="0059752C" w:rsidRDefault="003C2337" w:rsidP="00BA0D12">
            <w:pPr>
              <w:pStyle w:val="Default"/>
              <w:jc w:val="both"/>
              <w:cnfStyle w:val="000000100000"/>
              <w:rPr>
                <w:rFonts w:ascii="Calibri" w:hAnsi="Calibri"/>
              </w:rPr>
            </w:pPr>
            <w:r w:rsidRPr="0059752C">
              <w:rPr>
                <w:rFonts w:ascii="Calibri" w:hAnsi="Calibri"/>
                <w:b/>
                <w:bCs/>
              </w:rPr>
              <w:t>Other*</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b/>
                <w:bCs/>
              </w:rPr>
              <w:t>Totals</w:t>
            </w:r>
          </w:p>
        </w:tc>
      </w:tr>
      <w:tr w:rsidR="003C2337" w:rsidRPr="0059752C" w:rsidTr="00BA0D12">
        <w:trPr>
          <w:cnfStyle w:val="000000010000"/>
        </w:trPr>
        <w:tc>
          <w:tcPr>
            <w:cnfStyle w:val="001000000000"/>
            <w:tcW w:w="891" w:type="pct"/>
          </w:tcPr>
          <w:p w:rsidR="003C2337" w:rsidRPr="0059752C" w:rsidRDefault="003C2337" w:rsidP="00BA0D12">
            <w:pPr>
              <w:pStyle w:val="Default"/>
              <w:jc w:val="both"/>
              <w:rPr>
                <w:rFonts w:ascii="Calibri" w:hAnsi="Calibri"/>
              </w:rPr>
            </w:pPr>
            <w:r w:rsidRPr="0059752C">
              <w:rPr>
                <w:rFonts w:ascii="Calibri" w:hAnsi="Calibri"/>
              </w:rPr>
              <w:t>BELB</w:t>
            </w:r>
          </w:p>
        </w:tc>
        <w:tc>
          <w:tcPr>
            <w:tcW w:w="758" w:type="pct"/>
          </w:tcPr>
          <w:p w:rsidR="003C2337" w:rsidRPr="0059752C" w:rsidRDefault="003C2337" w:rsidP="00BA0D12">
            <w:pPr>
              <w:pStyle w:val="Default"/>
              <w:jc w:val="both"/>
              <w:cnfStyle w:val="000000010000"/>
              <w:rPr>
                <w:rFonts w:ascii="Calibri" w:hAnsi="Calibri"/>
              </w:rPr>
            </w:pPr>
            <w:r w:rsidRPr="0059752C">
              <w:rPr>
                <w:rFonts w:ascii="Calibri" w:hAnsi="Calibri"/>
              </w:rPr>
              <w:t>484</w:t>
            </w:r>
          </w:p>
        </w:tc>
        <w:tc>
          <w:tcPr>
            <w:tcW w:w="758" w:type="pct"/>
          </w:tcPr>
          <w:p w:rsidR="003C2337" w:rsidRPr="0059752C" w:rsidRDefault="003C2337" w:rsidP="00BA0D12">
            <w:pPr>
              <w:pStyle w:val="Default"/>
              <w:jc w:val="both"/>
              <w:cnfStyle w:val="000000010000"/>
              <w:rPr>
                <w:rFonts w:ascii="Calibri" w:hAnsi="Calibri"/>
              </w:rPr>
            </w:pPr>
            <w:r w:rsidRPr="0059752C">
              <w:rPr>
                <w:rFonts w:ascii="Calibri" w:hAnsi="Calibri"/>
              </w:rPr>
              <w:t>3266</w:t>
            </w:r>
          </w:p>
        </w:tc>
        <w:tc>
          <w:tcPr>
            <w:tcW w:w="1004" w:type="pct"/>
          </w:tcPr>
          <w:p w:rsidR="003C2337" w:rsidRPr="0059752C" w:rsidRDefault="003C2337" w:rsidP="00BA0D12">
            <w:pPr>
              <w:pStyle w:val="Default"/>
              <w:jc w:val="both"/>
              <w:cnfStyle w:val="000000010000"/>
              <w:rPr>
                <w:rFonts w:ascii="Calibri" w:hAnsi="Calibri"/>
              </w:rPr>
            </w:pPr>
            <w:r w:rsidRPr="0059752C">
              <w:rPr>
                <w:rFonts w:ascii="Calibri" w:hAnsi="Calibri"/>
              </w:rPr>
              <w:t>8</w:t>
            </w:r>
          </w:p>
        </w:tc>
        <w:tc>
          <w:tcPr>
            <w:tcW w:w="831" w:type="pct"/>
          </w:tcPr>
          <w:p w:rsidR="003C2337" w:rsidRPr="0059752C" w:rsidRDefault="003C2337" w:rsidP="00BA0D12">
            <w:pPr>
              <w:pStyle w:val="Default"/>
              <w:jc w:val="both"/>
              <w:cnfStyle w:val="000000010000"/>
              <w:rPr>
                <w:rFonts w:ascii="Calibri" w:hAnsi="Calibri"/>
              </w:rPr>
            </w:pPr>
            <w:r w:rsidRPr="0059752C">
              <w:rPr>
                <w:rFonts w:ascii="Calibri" w:hAnsi="Calibri"/>
              </w:rPr>
              <w:t>0</w:t>
            </w:r>
          </w:p>
        </w:tc>
        <w:tc>
          <w:tcPr>
            <w:tcW w:w="758" w:type="pct"/>
          </w:tcPr>
          <w:p w:rsidR="003C2337" w:rsidRPr="0059752C" w:rsidRDefault="003C2337" w:rsidP="00BA0D12">
            <w:pPr>
              <w:pStyle w:val="Default"/>
              <w:jc w:val="both"/>
              <w:cnfStyle w:val="000000010000"/>
              <w:rPr>
                <w:rFonts w:ascii="Calibri" w:hAnsi="Calibri"/>
              </w:rPr>
            </w:pPr>
            <w:r w:rsidRPr="0059752C">
              <w:rPr>
                <w:rFonts w:ascii="Calibri" w:hAnsi="Calibri"/>
              </w:rPr>
              <w:t>3758</w:t>
            </w:r>
          </w:p>
        </w:tc>
      </w:tr>
      <w:tr w:rsidR="003C2337" w:rsidRPr="0059752C" w:rsidTr="00BA0D12">
        <w:trPr>
          <w:cnfStyle w:val="000000100000"/>
        </w:trPr>
        <w:tc>
          <w:tcPr>
            <w:cnfStyle w:val="001000000000"/>
            <w:tcW w:w="891" w:type="pct"/>
          </w:tcPr>
          <w:p w:rsidR="003C2337" w:rsidRPr="0059752C" w:rsidRDefault="003C2337" w:rsidP="00BA0D12">
            <w:pPr>
              <w:pStyle w:val="Default"/>
              <w:jc w:val="both"/>
              <w:rPr>
                <w:rFonts w:ascii="Calibri" w:hAnsi="Calibri"/>
              </w:rPr>
            </w:pPr>
            <w:r w:rsidRPr="0059752C">
              <w:rPr>
                <w:rFonts w:ascii="Calibri" w:hAnsi="Calibri"/>
              </w:rPr>
              <w:t>NEELB</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rPr>
              <w:t>10064</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rPr>
              <w:t>208</w:t>
            </w:r>
          </w:p>
        </w:tc>
        <w:tc>
          <w:tcPr>
            <w:tcW w:w="1004" w:type="pct"/>
          </w:tcPr>
          <w:p w:rsidR="003C2337" w:rsidRPr="0059752C" w:rsidRDefault="003C2337" w:rsidP="00BA0D12">
            <w:pPr>
              <w:pStyle w:val="Default"/>
              <w:jc w:val="both"/>
              <w:cnfStyle w:val="000000100000"/>
              <w:rPr>
                <w:rFonts w:ascii="Calibri" w:hAnsi="Calibri"/>
              </w:rPr>
            </w:pPr>
            <w:r w:rsidRPr="0059752C">
              <w:rPr>
                <w:rFonts w:ascii="Calibri" w:hAnsi="Calibri"/>
              </w:rPr>
              <w:t>427</w:t>
            </w:r>
          </w:p>
        </w:tc>
        <w:tc>
          <w:tcPr>
            <w:tcW w:w="831" w:type="pct"/>
          </w:tcPr>
          <w:p w:rsidR="003C2337" w:rsidRPr="0059752C" w:rsidRDefault="003C2337" w:rsidP="00BA0D12">
            <w:pPr>
              <w:pStyle w:val="Default"/>
              <w:jc w:val="both"/>
              <w:cnfStyle w:val="000000100000"/>
              <w:rPr>
                <w:rFonts w:ascii="Calibri" w:hAnsi="Calibri"/>
              </w:rPr>
            </w:pPr>
            <w:r w:rsidRPr="0059752C">
              <w:rPr>
                <w:rFonts w:ascii="Calibri" w:hAnsi="Calibri"/>
              </w:rPr>
              <w:t>1(13412)</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rPr>
              <w:t>24111</w:t>
            </w:r>
          </w:p>
        </w:tc>
      </w:tr>
      <w:tr w:rsidR="003C2337" w:rsidRPr="0059752C" w:rsidTr="00BA0D12">
        <w:trPr>
          <w:cnfStyle w:val="000000010000"/>
        </w:trPr>
        <w:tc>
          <w:tcPr>
            <w:cnfStyle w:val="001000000000"/>
            <w:tcW w:w="891" w:type="pct"/>
          </w:tcPr>
          <w:p w:rsidR="003C2337" w:rsidRPr="0059752C" w:rsidRDefault="003C2337" w:rsidP="00BA0D12">
            <w:pPr>
              <w:pStyle w:val="Default"/>
              <w:jc w:val="both"/>
              <w:rPr>
                <w:rFonts w:ascii="Calibri" w:hAnsi="Calibri"/>
              </w:rPr>
            </w:pPr>
            <w:r w:rsidRPr="0059752C">
              <w:rPr>
                <w:rFonts w:ascii="Calibri" w:hAnsi="Calibri"/>
              </w:rPr>
              <w:t>SEELB</w:t>
            </w:r>
          </w:p>
        </w:tc>
        <w:tc>
          <w:tcPr>
            <w:tcW w:w="758" w:type="pct"/>
          </w:tcPr>
          <w:p w:rsidR="003C2337" w:rsidRPr="0059752C" w:rsidRDefault="003C2337" w:rsidP="00BA0D12">
            <w:pPr>
              <w:pStyle w:val="Default"/>
              <w:jc w:val="both"/>
              <w:cnfStyle w:val="000000010000"/>
              <w:rPr>
                <w:rFonts w:ascii="Calibri" w:hAnsi="Calibri"/>
              </w:rPr>
            </w:pPr>
            <w:r w:rsidRPr="0059752C">
              <w:rPr>
                <w:rFonts w:ascii="Calibri" w:hAnsi="Calibri"/>
              </w:rPr>
              <w:t>957</w:t>
            </w:r>
          </w:p>
        </w:tc>
        <w:tc>
          <w:tcPr>
            <w:tcW w:w="758" w:type="pct"/>
          </w:tcPr>
          <w:p w:rsidR="003C2337" w:rsidRPr="0059752C" w:rsidRDefault="003C2337" w:rsidP="00BA0D12">
            <w:pPr>
              <w:pStyle w:val="Default"/>
              <w:jc w:val="both"/>
              <w:cnfStyle w:val="000000010000"/>
              <w:rPr>
                <w:rFonts w:ascii="Calibri" w:hAnsi="Calibri"/>
              </w:rPr>
            </w:pPr>
            <w:r w:rsidRPr="0059752C">
              <w:rPr>
                <w:rFonts w:ascii="Calibri" w:hAnsi="Calibri"/>
              </w:rPr>
              <w:t>60</w:t>
            </w:r>
          </w:p>
        </w:tc>
        <w:tc>
          <w:tcPr>
            <w:tcW w:w="1004" w:type="pct"/>
          </w:tcPr>
          <w:p w:rsidR="003C2337" w:rsidRPr="0059752C" w:rsidRDefault="003C2337" w:rsidP="00BA0D12">
            <w:pPr>
              <w:pStyle w:val="Default"/>
              <w:jc w:val="both"/>
              <w:cnfStyle w:val="000000010000"/>
              <w:rPr>
                <w:rFonts w:ascii="Calibri" w:hAnsi="Calibri"/>
              </w:rPr>
            </w:pPr>
            <w:r w:rsidRPr="0059752C">
              <w:rPr>
                <w:rFonts w:ascii="Calibri" w:hAnsi="Calibri"/>
              </w:rPr>
              <w:t>23</w:t>
            </w:r>
          </w:p>
        </w:tc>
        <w:tc>
          <w:tcPr>
            <w:tcW w:w="831" w:type="pct"/>
          </w:tcPr>
          <w:p w:rsidR="003C2337" w:rsidRPr="0059752C" w:rsidRDefault="003C2337" w:rsidP="00BA0D12">
            <w:pPr>
              <w:pStyle w:val="Default"/>
              <w:jc w:val="both"/>
              <w:cnfStyle w:val="000000010000"/>
              <w:rPr>
                <w:rFonts w:ascii="Calibri" w:hAnsi="Calibri"/>
              </w:rPr>
            </w:pPr>
            <w:r w:rsidRPr="0059752C">
              <w:rPr>
                <w:rFonts w:ascii="Calibri" w:hAnsi="Calibri"/>
              </w:rPr>
              <w:t>1(240)</w:t>
            </w:r>
          </w:p>
        </w:tc>
        <w:tc>
          <w:tcPr>
            <w:tcW w:w="758" w:type="pct"/>
          </w:tcPr>
          <w:p w:rsidR="003C2337" w:rsidRPr="0059752C" w:rsidRDefault="003C2337" w:rsidP="00BA0D12">
            <w:pPr>
              <w:pStyle w:val="Default"/>
              <w:jc w:val="both"/>
              <w:cnfStyle w:val="000000010000"/>
              <w:rPr>
                <w:rFonts w:ascii="Calibri" w:hAnsi="Calibri"/>
              </w:rPr>
            </w:pPr>
            <w:r w:rsidRPr="0059752C">
              <w:rPr>
                <w:rFonts w:ascii="Calibri" w:hAnsi="Calibri"/>
              </w:rPr>
              <w:t>1280</w:t>
            </w:r>
          </w:p>
        </w:tc>
      </w:tr>
      <w:tr w:rsidR="003C2337" w:rsidRPr="0059752C" w:rsidTr="00BA0D12">
        <w:trPr>
          <w:cnfStyle w:val="000000100000"/>
        </w:trPr>
        <w:tc>
          <w:tcPr>
            <w:cnfStyle w:val="001000000000"/>
            <w:tcW w:w="891" w:type="pct"/>
          </w:tcPr>
          <w:p w:rsidR="003C2337" w:rsidRPr="0059752C" w:rsidRDefault="003C2337" w:rsidP="00BA0D12">
            <w:pPr>
              <w:pStyle w:val="Default"/>
              <w:jc w:val="both"/>
              <w:rPr>
                <w:rFonts w:ascii="Calibri" w:hAnsi="Calibri"/>
              </w:rPr>
            </w:pPr>
            <w:r w:rsidRPr="0059752C">
              <w:rPr>
                <w:rFonts w:ascii="Calibri" w:hAnsi="Calibri"/>
              </w:rPr>
              <w:t>SELB</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rPr>
              <w:t>4552</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rPr>
              <w:t>1641</w:t>
            </w:r>
          </w:p>
        </w:tc>
        <w:tc>
          <w:tcPr>
            <w:tcW w:w="1004" w:type="pct"/>
          </w:tcPr>
          <w:p w:rsidR="003C2337" w:rsidRPr="0059752C" w:rsidRDefault="003C2337" w:rsidP="00BA0D12">
            <w:pPr>
              <w:pStyle w:val="Default"/>
              <w:jc w:val="both"/>
              <w:cnfStyle w:val="000000100000"/>
              <w:rPr>
                <w:rFonts w:ascii="Calibri" w:hAnsi="Calibri"/>
              </w:rPr>
            </w:pPr>
            <w:r w:rsidRPr="0059752C">
              <w:rPr>
                <w:rFonts w:ascii="Calibri" w:hAnsi="Calibri"/>
              </w:rPr>
              <w:t>41</w:t>
            </w:r>
          </w:p>
        </w:tc>
        <w:tc>
          <w:tcPr>
            <w:tcW w:w="831" w:type="pct"/>
          </w:tcPr>
          <w:p w:rsidR="003C2337" w:rsidRPr="0059752C" w:rsidRDefault="003C2337" w:rsidP="00BA0D12">
            <w:pPr>
              <w:pStyle w:val="Default"/>
              <w:jc w:val="both"/>
              <w:cnfStyle w:val="000000100000"/>
              <w:rPr>
                <w:rFonts w:ascii="Calibri" w:hAnsi="Calibri"/>
              </w:rPr>
            </w:pPr>
            <w:r w:rsidRPr="0059752C">
              <w:rPr>
                <w:rFonts w:ascii="Calibri" w:hAnsi="Calibri"/>
              </w:rPr>
              <w:t>1(6403)</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rPr>
              <w:t>12637</w:t>
            </w:r>
          </w:p>
        </w:tc>
      </w:tr>
      <w:tr w:rsidR="003C2337" w:rsidRPr="0059752C" w:rsidTr="00BA0D12">
        <w:trPr>
          <w:cnfStyle w:val="000000010000"/>
        </w:trPr>
        <w:tc>
          <w:tcPr>
            <w:cnfStyle w:val="001000000000"/>
            <w:tcW w:w="891" w:type="pct"/>
          </w:tcPr>
          <w:p w:rsidR="003C2337" w:rsidRPr="0059752C" w:rsidRDefault="003C2337" w:rsidP="00BA0D12">
            <w:pPr>
              <w:pStyle w:val="Default"/>
              <w:jc w:val="both"/>
              <w:rPr>
                <w:rFonts w:ascii="Calibri" w:hAnsi="Calibri"/>
              </w:rPr>
            </w:pPr>
            <w:r w:rsidRPr="0059752C">
              <w:rPr>
                <w:rFonts w:ascii="Calibri" w:hAnsi="Calibri"/>
              </w:rPr>
              <w:t>WELB</w:t>
            </w:r>
          </w:p>
        </w:tc>
        <w:tc>
          <w:tcPr>
            <w:tcW w:w="758" w:type="pct"/>
          </w:tcPr>
          <w:p w:rsidR="003C2337" w:rsidRPr="0059752C" w:rsidRDefault="003C2337" w:rsidP="00BA0D12">
            <w:pPr>
              <w:pStyle w:val="Default"/>
              <w:jc w:val="both"/>
              <w:cnfStyle w:val="000000010000"/>
              <w:rPr>
                <w:rFonts w:ascii="Calibri" w:hAnsi="Calibri"/>
              </w:rPr>
            </w:pPr>
            <w:r w:rsidRPr="0059752C">
              <w:rPr>
                <w:rFonts w:ascii="Calibri" w:hAnsi="Calibri"/>
              </w:rPr>
              <w:t>956</w:t>
            </w:r>
          </w:p>
        </w:tc>
        <w:tc>
          <w:tcPr>
            <w:tcW w:w="758" w:type="pct"/>
          </w:tcPr>
          <w:p w:rsidR="003C2337" w:rsidRPr="0059752C" w:rsidRDefault="003C2337" w:rsidP="00BA0D12">
            <w:pPr>
              <w:pStyle w:val="Default"/>
              <w:jc w:val="both"/>
              <w:cnfStyle w:val="000000010000"/>
              <w:rPr>
                <w:rFonts w:ascii="Calibri" w:hAnsi="Calibri"/>
              </w:rPr>
            </w:pPr>
            <w:r w:rsidRPr="0059752C">
              <w:rPr>
                <w:rFonts w:ascii="Calibri" w:hAnsi="Calibri"/>
              </w:rPr>
              <w:t>219</w:t>
            </w:r>
          </w:p>
        </w:tc>
        <w:tc>
          <w:tcPr>
            <w:tcW w:w="1004" w:type="pct"/>
          </w:tcPr>
          <w:p w:rsidR="003C2337" w:rsidRPr="0059752C" w:rsidRDefault="003C2337" w:rsidP="00BA0D12">
            <w:pPr>
              <w:pStyle w:val="Default"/>
              <w:jc w:val="both"/>
              <w:cnfStyle w:val="000000010000"/>
              <w:rPr>
                <w:rFonts w:ascii="Calibri" w:hAnsi="Calibri"/>
              </w:rPr>
            </w:pPr>
            <w:r w:rsidRPr="0059752C">
              <w:rPr>
                <w:rFonts w:ascii="Calibri" w:hAnsi="Calibri"/>
              </w:rPr>
              <w:t>32</w:t>
            </w:r>
          </w:p>
        </w:tc>
        <w:tc>
          <w:tcPr>
            <w:tcW w:w="831" w:type="pct"/>
          </w:tcPr>
          <w:p w:rsidR="003C2337" w:rsidRPr="0059752C" w:rsidRDefault="003C2337" w:rsidP="00BA0D12">
            <w:pPr>
              <w:pStyle w:val="Default"/>
              <w:jc w:val="both"/>
              <w:cnfStyle w:val="000000010000"/>
              <w:rPr>
                <w:rFonts w:ascii="Calibri" w:hAnsi="Calibri"/>
              </w:rPr>
            </w:pPr>
            <w:r w:rsidRPr="0059752C">
              <w:rPr>
                <w:rFonts w:ascii="Calibri" w:hAnsi="Calibri"/>
              </w:rPr>
              <w:t>4(6422)</w:t>
            </w:r>
          </w:p>
        </w:tc>
        <w:tc>
          <w:tcPr>
            <w:tcW w:w="758" w:type="pct"/>
          </w:tcPr>
          <w:p w:rsidR="003C2337" w:rsidRPr="0059752C" w:rsidRDefault="003C2337" w:rsidP="00BA0D12">
            <w:pPr>
              <w:pStyle w:val="Default"/>
              <w:jc w:val="both"/>
              <w:cnfStyle w:val="000000010000"/>
              <w:rPr>
                <w:rFonts w:ascii="Calibri" w:hAnsi="Calibri"/>
              </w:rPr>
            </w:pPr>
            <w:r w:rsidRPr="0059752C">
              <w:rPr>
                <w:rFonts w:ascii="Calibri" w:hAnsi="Calibri"/>
              </w:rPr>
              <w:t>7629</w:t>
            </w:r>
          </w:p>
        </w:tc>
      </w:tr>
      <w:tr w:rsidR="003C2337" w:rsidRPr="0059752C" w:rsidTr="00BA0D12">
        <w:trPr>
          <w:cnfStyle w:val="000000100000"/>
        </w:trPr>
        <w:tc>
          <w:tcPr>
            <w:cnfStyle w:val="001000000000"/>
            <w:tcW w:w="891" w:type="pct"/>
          </w:tcPr>
          <w:p w:rsidR="003C2337" w:rsidRPr="0059752C" w:rsidRDefault="003C2337" w:rsidP="00BA0D12">
            <w:pPr>
              <w:pStyle w:val="Default"/>
              <w:jc w:val="both"/>
              <w:rPr>
                <w:rFonts w:ascii="Calibri" w:hAnsi="Calibri"/>
              </w:rPr>
            </w:pPr>
            <w:r w:rsidRPr="0059752C">
              <w:rPr>
                <w:rFonts w:ascii="Calibri" w:hAnsi="Calibri"/>
              </w:rPr>
              <w:t>Totals</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rPr>
              <w:t>17013</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rPr>
              <w:t>5394</w:t>
            </w:r>
          </w:p>
        </w:tc>
        <w:tc>
          <w:tcPr>
            <w:tcW w:w="1004" w:type="pct"/>
          </w:tcPr>
          <w:p w:rsidR="003C2337" w:rsidRPr="0059752C" w:rsidRDefault="003C2337" w:rsidP="00BA0D12">
            <w:pPr>
              <w:pStyle w:val="Default"/>
              <w:jc w:val="both"/>
              <w:cnfStyle w:val="000000100000"/>
              <w:rPr>
                <w:rFonts w:ascii="Calibri" w:hAnsi="Calibri"/>
              </w:rPr>
            </w:pPr>
            <w:r w:rsidRPr="0059752C">
              <w:rPr>
                <w:rFonts w:ascii="Calibri" w:hAnsi="Calibri"/>
              </w:rPr>
              <w:t>531</w:t>
            </w:r>
          </w:p>
        </w:tc>
        <w:tc>
          <w:tcPr>
            <w:tcW w:w="831" w:type="pct"/>
          </w:tcPr>
          <w:p w:rsidR="003C2337" w:rsidRPr="0059752C" w:rsidRDefault="003C2337" w:rsidP="00BA0D12">
            <w:pPr>
              <w:pStyle w:val="Default"/>
              <w:jc w:val="both"/>
              <w:cnfStyle w:val="000000100000"/>
              <w:rPr>
                <w:rFonts w:ascii="Calibri" w:hAnsi="Calibri"/>
              </w:rPr>
            </w:pPr>
            <w:r w:rsidRPr="0059752C">
              <w:rPr>
                <w:rFonts w:ascii="Calibri" w:hAnsi="Calibri"/>
              </w:rPr>
              <w:t>7(26477)</w:t>
            </w:r>
          </w:p>
        </w:tc>
        <w:tc>
          <w:tcPr>
            <w:tcW w:w="758" w:type="pct"/>
          </w:tcPr>
          <w:p w:rsidR="003C2337" w:rsidRPr="0059752C" w:rsidRDefault="003C2337" w:rsidP="00BA0D12">
            <w:pPr>
              <w:pStyle w:val="Default"/>
              <w:jc w:val="both"/>
              <w:cnfStyle w:val="000000100000"/>
              <w:rPr>
                <w:rFonts w:ascii="Calibri" w:hAnsi="Calibri"/>
              </w:rPr>
            </w:pPr>
            <w:r w:rsidRPr="0059752C">
              <w:rPr>
                <w:rFonts w:ascii="Calibri" w:hAnsi="Calibri"/>
              </w:rPr>
              <w:t>49415</w:t>
            </w:r>
          </w:p>
        </w:tc>
      </w:tr>
    </w:tbl>
    <w:p w:rsidR="003C2337" w:rsidRPr="0059752C" w:rsidRDefault="003C2337" w:rsidP="003C2337">
      <w:pPr>
        <w:pStyle w:val="Default"/>
        <w:jc w:val="both"/>
        <w:rPr>
          <w:rFonts w:ascii="Calibri" w:hAnsi="Calibri"/>
        </w:rPr>
      </w:pPr>
    </w:p>
    <w:p w:rsidR="003C2337" w:rsidRPr="0059752C" w:rsidRDefault="003C2337" w:rsidP="003C2337">
      <w:pPr>
        <w:pStyle w:val="Default"/>
        <w:jc w:val="both"/>
        <w:rPr>
          <w:rFonts w:ascii="Calibri" w:hAnsi="Calibri"/>
        </w:rPr>
      </w:pPr>
    </w:p>
    <w:p w:rsidR="003C2337" w:rsidRPr="0059752C" w:rsidRDefault="003C2337" w:rsidP="003C2337">
      <w:pPr>
        <w:pStyle w:val="Default"/>
        <w:spacing w:after="200" w:line="276" w:lineRule="auto"/>
        <w:jc w:val="both"/>
        <w:rPr>
          <w:rFonts w:ascii="Calibri" w:hAnsi="Calibri"/>
        </w:rPr>
      </w:pPr>
      <w:r w:rsidRPr="0059752C">
        <w:rPr>
          <w:rFonts w:ascii="Calibri" w:hAnsi="Calibri"/>
        </w:rPr>
        <w:t xml:space="preserve">Results from the Belfast Education and Library Board are skewed because 3,158 paper copy submissions of the survey questionnaire were received from one </w:t>
      </w:r>
      <w:r w:rsidR="00C60C99">
        <w:rPr>
          <w:rFonts w:ascii="Calibri" w:hAnsi="Calibri"/>
        </w:rPr>
        <w:t xml:space="preserve">campaigning </w:t>
      </w:r>
      <w:r w:rsidRPr="0059752C">
        <w:rPr>
          <w:rFonts w:ascii="Calibri" w:hAnsi="Calibri"/>
        </w:rPr>
        <w:t>school (St Louise’s Comprehensive College).</w:t>
      </w:r>
    </w:p>
    <w:p w:rsidR="003C2337" w:rsidRPr="0059752C" w:rsidRDefault="003C2337" w:rsidP="003C2337">
      <w:pPr>
        <w:pStyle w:val="Default"/>
        <w:jc w:val="both"/>
        <w:rPr>
          <w:rFonts w:ascii="Calibri" w:hAnsi="Calibri"/>
        </w:rPr>
      </w:pPr>
    </w:p>
    <w:p w:rsidR="003C2337" w:rsidRPr="0059752C" w:rsidRDefault="003C2337" w:rsidP="00302453">
      <w:pPr>
        <w:pStyle w:val="Default"/>
        <w:spacing w:after="200" w:line="276" w:lineRule="auto"/>
        <w:jc w:val="both"/>
        <w:rPr>
          <w:rFonts w:ascii="Calibri" w:hAnsi="Calibri"/>
        </w:rPr>
      </w:pPr>
      <w:r w:rsidRPr="003C2337">
        <w:rPr>
          <w:rFonts w:ascii="Calibri" w:hAnsi="Calibri"/>
        </w:rPr>
        <w:lastRenderedPageBreak/>
        <w:t>The Central Management Unit (of the Southern Education and Library Board) provides an overall analysis of the generic questionnaires - designed to facilitate those respondents who wished to comment generally about each of the ELBs plans, rather than individual council areas therein. If we discount the St Louise’s submission to the on-line survey, the generic results of the 5 ELBs across the four selected questions are set out in figure 5.</w:t>
      </w:r>
    </w:p>
    <w:p w:rsidR="003C2337" w:rsidRDefault="003C2337" w:rsidP="003C2337">
      <w:pPr>
        <w:rPr>
          <w:noProof/>
          <w:lang w:eastAsia="en-GB"/>
        </w:rPr>
        <w:sectPr w:rsidR="003C2337" w:rsidSect="00B57134">
          <w:footerReference w:type="default" r:id="rId15"/>
          <w:pgSz w:w="11906" w:h="16838"/>
          <w:pgMar w:top="1440" w:right="1440" w:bottom="1440" w:left="1440" w:header="708" w:footer="708" w:gutter="0"/>
          <w:pgBorders w:display="firstPage">
            <w:top w:val="single" w:sz="4" w:space="1" w:color="FF0000"/>
            <w:left w:val="single" w:sz="4" w:space="4" w:color="FF0000"/>
            <w:bottom w:val="single" w:sz="4" w:space="1" w:color="FF0000"/>
            <w:right w:val="single" w:sz="4" w:space="4" w:color="FF0000"/>
          </w:pgBorders>
          <w:cols w:space="708"/>
          <w:titlePg/>
          <w:docGrid w:linePitch="360"/>
        </w:sectPr>
      </w:pPr>
    </w:p>
    <w:p w:rsidR="003C2337" w:rsidRDefault="003C2337" w:rsidP="003C2337">
      <w:pPr>
        <w:rPr>
          <w:noProof/>
          <w:lang w:eastAsia="en-GB"/>
        </w:rPr>
      </w:pPr>
    </w:p>
    <w:p w:rsidR="003C2337" w:rsidRDefault="003C2337" w:rsidP="003C2337">
      <w:r>
        <w:rPr>
          <w:noProof/>
          <w:lang w:eastAsia="en-GB"/>
        </w:rPr>
        <w:drawing>
          <wp:inline distT="0" distB="0" distL="0" distR="0">
            <wp:extent cx="8449089" cy="4365266"/>
            <wp:effectExtent l="19050" t="0" r="28161"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2337" w:rsidRDefault="003C2337" w:rsidP="003C2337">
      <w:pPr>
        <w:sectPr w:rsidR="003C2337" w:rsidSect="00BA0D12">
          <w:pgSz w:w="16838" w:h="11906" w:orient="landscape"/>
          <w:pgMar w:top="1440" w:right="1440" w:bottom="1440" w:left="1440" w:header="708" w:footer="708" w:gutter="0"/>
          <w:cols w:space="708"/>
          <w:docGrid w:linePitch="360"/>
        </w:sectPr>
      </w:pPr>
    </w:p>
    <w:p w:rsidR="003C2337" w:rsidRPr="00496BEC" w:rsidRDefault="003C2337" w:rsidP="003C2337">
      <w:pPr>
        <w:jc w:val="both"/>
        <w:rPr>
          <w:rFonts w:ascii="Calibri" w:hAnsi="Calibri"/>
          <w:sz w:val="24"/>
          <w:szCs w:val="24"/>
        </w:rPr>
      </w:pPr>
      <w:r w:rsidRPr="00496BEC">
        <w:rPr>
          <w:rFonts w:ascii="Calibri" w:hAnsi="Calibri"/>
          <w:sz w:val="24"/>
          <w:szCs w:val="24"/>
        </w:rPr>
        <w:lastRenderedPageBreak/>
        <w:t xml:space="preserve">There are a number of observations which can be made about this analysis. First, the BELB data are based on the smallest number of responses (n=484) and appear to be at odds with the four other Education and Library Boards. Second, the North Eastern Education and Library Board </w:t>
      </w:r>
      <w:proofErr w:type="gramStart"/>
      <w:r w:rsidRPr="00496BEC">
        <w:rPr>
          <w:rFonts w:ascii="Calibri" w:hAnsi="Calibri"/>
          <w:sz w:val="24"/>
          <w:szCs w:val="24"/>
        </w:rPr>
        <w:t>shows</w:t>
      </w:r>
      <w:proofErr w:type="gramEnd"/>
      <w:r w:rsidRPr="00496BEC">
        <w:rPr>
          <w:rFonts w:ascii="Calibri" w:hAnsi="Calibri"/>
          <w:sz w:val="24"/>
          <w:szCs w:val="24"/>
        </w:rPr>
        <w:t xml:space="preserve"> the least agreement with the draft area plans for post-primary schools. Third, it is concerning to see just how few respondents considered the area plans as ‘leading to  </w:t>
      </w:r>
      <w:r w:rsidR="00C60C99">
        <w:rPr>
          <w:rFonts w:ascii="Calibri" w:hAnsi="Calibri"/>
          <w:sz w:val="24"/>
          <w:szCs w:val="24"/>
        </w:rPr>
        <w:t xml:space="preserve">a </w:t>
      </w:r>
      <w:r w:rsidRPr="00496BEC">
        <w:rPr>
          <w:rFonts w:ascii="Calibri" w:hAnsi="Calibri"/>
          <w:sz w:val="24"/>
          <w:szCs w:val="24"/>
        </w:rPr>
        <w:t>network of sustainable schools which will enhance the quality of education provision and raise standards’ – the whole purpose of education reforms. Finally, given the low level of agreement expressed through the consultation process, what guarantee does the public have that their concerns have been addressed in the revised plans which were submitted to the Department of Education for approval?</w:t>
      </w:r>
    </w:p>
    <w:p w:rsidR="003C2337" w:rsidRPr="00496BEC" w:rsidRDefault="003C2337" w:rsidP="003C2337">
      <w:pPr>
        <w:jc w:val="both"/>
        <w:rPr>
          <w:rFonts w:ascii="Calibri" w:hAnsi="Calibri"/>
          <w:sz w:val="24"/>
          <w:szCs w:val="24"/>
        </w:rPr>
      </w:pPr>
      <w:r w:rsidRPr="00496BEC">
        <w:rPr>
          <w:rFonts w:ascii="Calibri" w:hAnsi="Calibri"/>
          <w:sz w:val="24"/>
          <w:szCs w:val="24"/>
        </w:rPr>
        <w:t xml:space="preserve">Qualitative data/comments were also analysed in the </w:t>
      </w:r>
      <w:r w:rsidR="00C60C99">
        <w:rPr>
          <w:rFonts w:ascii="Calibri" w:hAnsi="Calibri"/>
          <w:sz w:val="24"/>
          <w:szCs w:val="24"/>
        </w:rPr>
        <w:t xml:space="preserve">consultation </w:t>
      </w:r>
      <w:r w:rsidRPr="00496BEC">
        <w:rPr>
          <w:rFonts w:ascii="Calibri" w:hAnsi="Calibri"/>
          <w:sz w:val="24"/>
          <w:szCs w:val="24"/>
        </w:rPr>
        <w:t>submissions around themes. The following emerged as significant based on recurrence across at least 4 of the 5 ELBs (in no order of importance):</w:t>
      </w:r>
    </w:p>
    <w:p w:rsidR="00F54CC7" w:rsidRDefault="00F54CC7" w:rsidP="00F54CC7">
      <w:pPr>
        <w:pStyle w:val="ListParagraph"/>
        <w:numPr>
          <w:ilvl w:val="0"/>
          <w:numId w:val="3"/>
        </w:numPr>
        <w:jc w:val="both"/>
        <w:rPr>
          <w:rFonts w:ascii="Calibri" w:hAnsi="Calibri"/>
          <w:sz w:val="24"/>
          <w:szCs w:val="24"/>
        </w:rPr>
      </w:pPr>
      <w:r w:rsidRPr="00496BEC">
        <w:rPr>
          <w:rFonts w:ascii="Calibri" w:hAnsi="Calibri"/>
          <w:sz w:val="24"/>
          <w:szCs w:val="24"/>
        </w:rPr>
        <w:t>Impact on local communities.</w:t>
      </w:r>
    </w:p>
    <w:p w:rsidR="00F54CC7" w:rsidRPr="00F54CC7" w:rsidRDefault="00F54CC7" w:rsidP="00F54CC7">
      <w:pPr>
        <w:pStyle w:val="ListParagraph"/>
        <w:numPr>
          <w:ilvl w:val="0"/>
          <w:numId w:val="3"/>
        </w:numPr>
        <w:jc w:val="both"/>
        <w:rPr>
          <w:rFonts w:ascii="Calibri" w:hAnsi="Calibri"/>
          <w:sz w:val="24"/>
          <w:szCs w:val="24"/>
        </w:rPr>
      </w:pPr>
      <w:r w:rsidRPr="00496BEC">
        <w:rPr>
          <w:rFonts w:ascii="Calibri" w:hAnsi="Calibri"/>
          <w:sz w:val="24"/>
          <w:szCs w:val="24"/>
        </w:rPr>
        <w:t>Impact on the quality of education provided</w:t>
      </w:r>
      <w:r>
        <w:rPr>
          <w:rFonts w:ascii="Calibri" w:hAnsi="Calibri"/>
          <w:sz w:val="24"/>
          <w:szCs w:val="24"/>
        </w:rPr>
        <w:t>.</w:t>
      </w:r>
    </w:p>
    <w:p w:rsidR="003C2337" w:rsidRPr="00496BEC" w:rsidRDefault="003C2337" w:rsidP="003C2337">
      <w:pPr>
        <w:pStyle w:val="ListParagraph"/>
        <w:numPr>
          <w:ilvl w:val="0"/>
          <w:numId w:val="3"/>
        </w:numPr>
        <w:jc w:val="both"/>
        <w:rPr>
          <w:rFonts w:ascii="Calibri" w:hAnsi="Calibri"/>
          <w:sz w:val="24"/>
          <w:szCs w:val="24"/>
        </w:rPr>
      </w:pPr>
      <w:r w:rsidRPr="00496BEC">
        <w:rPr>
          <w:rFonts w:ascii="Calibri" w:hAnsi="Calibri"/>
          <w:sz w:val="24"/>
          <w:szCs w:val="24"/>
        </w:rPr>
        <w:t>Cross-</w:t>
      </w:r>
      <w:proofErr w:type="spellStart"/>
      <w:r w:rsidRPr="00496BEC">
        <w:rPr>
          <w:rFonts w:ascii="Calibri" w:hAnsi="Calibri"/>
          <w:sz w:val="24"/>
          <w:szCs w:val="24"/>
        </w:rPr>
        <w:t>sectoral</w:t>
      </w:r>
      <w:proofErr w:type="spellEnd"/>
      <w:r w:rsidRPr="00496BEC">
        <w:rPr>
          <w:rFonts w:ascii="Calibri" w:hAnsi="Calibri"/>
          <w:sz w:val="24"/>
          <w:szCs w:val="24"/>
        </w:rPr>
        <w:t xml:space="preserve"> provision and collaboration</w:t>
      </w:r>
      <w:r w:rsidR="00F54CC7">
        <w:rPr>
          <w:rFonts w:ascii="Calibri" w:hAnsi="Calibri"/>
          <w:sz w:val="24"/>
          <w:szCs w:val="24"/>
        </w:rPr>
        <w:t>.</w:t>
      </w:r>
    </w:p>
    <w:p w:rsidR="003C2337" w:rsidRPr="00496BEC" w:rsidRDefault="003C2337" w:rsidP="003C2337">
      <w:pPr>
        <w:pStyle w:val="ListParagraph"/>
        <w:numPr>
          <w:ilvl w:val="0"/>
          <w:numId w:val="3"/>
        </w:numPr>
        <w:jc w:val="both"/>
        <w:rPr>
          <w:rFonts w:ascii="Calibri" w:hAnsi="Calibri"/>
          <w:sz w:val="24"/>
          <w:szCs w:val="24"/>
        </w:rPr>
      </w:pPr>
      <w:r w:rsidRPr="00496BEC">
        <w:rPr>
          <w:rFonts w:ascii="Calibri" w:hAnsi="Calibri"/>
          <w:sz w:val="24"/>
          <w:szCs w:val="24"/>
        </w:rPr>
        <w:t>Travel distances and time for pupils</w:t>
      </w:r>
      <w:r w:rsidR="00F54CC7">
        <w:rPr>
          <w:rFonts w:ascii="Calibri" w:hAnsi="Calibri"/>
          <w:sz w:val="24"/>
          <w:szCs w:val="24"/>
        </w:rPr>
        <w:t>.</w:t>
      </w:r>
    </w:p>
    <w:p w:rsidR="003C2337" w:rsidRPr="00496BEC" w:rsidRDefault="003C2337" w:rsidP="003C2337">
      <w:pPr>
        <w:pStyle w:val="ListParagraph"/>
        <w:numPr>
          <w:ilvl w:val="0"/>
          <w:numId w:val="3"/>
        </w:numPr>
        <w:jc w:val="both"/>
        <w:rPr>
          <w:rFonts w:ascii="Calibri" w:hAnsi="Calibri"/>
          <w:sz w:val="24"/>
          <w:szCs w:val="24"/>
        </w:rPr>
      </w:pPr>
      <w:r w:rsidRPr="00496BEC">
        <w:rPr>
          <w:rFonts w:ascii="Calibri" w:hAnsi="Calibri"/>
          <w:sz w:val="24"/>
          <w:szCs w:val="24"/>
        </w:rPr>
        <w:t>Impact on the integrated school sector</w:t>
      </w:r>
      <w:r w:rsidR="00F54CC7">
        <w:rPr>
          <w:rFonts w:ascii="Calibri" w:hAnsi="Calibri"/>
          <w:sz w:val="24"/>
          <w:szCs w:val="24"/>
        </w:rPr>
        <w:t>.</w:t>
      </w:r>
    </w:p>
    <w:p w:rsidR="003C2337" w:rsidRPr="00496BEC" w:rsidRDefault="003C2337" w:rsidP="003C2337">
      <w:pPr>
        <w:pStyle w:val="ListParagraph"/>
        <w:numPr>
          <w:ilvl w:val="0"/>
          <w:numId w:val="3"/>
        </w:numPr>
        <w:jc w:val="both"/>
        <w:rPr>
          <w:rFonts w:ascii="Calibri" w:hAnsi="Calibri"/>
          <w:sz w:val="24"/>
          <w:szCs w:val="24"/>
        </w:rPr>
      </w:pPr>
      <w:r w:rsidRPr="00496BEC">
        <w:rPr>
          <w:rFonts w:ascii="Calibri" w:hAnsi="Calibri"/>
          <w:sz w:val="24"/>
          <w:szCs w:val="24"/>
        </w:rPr>
        <w:t>Role of further education sector</w:t>
      </w:r>
      <w:r w:rsidR="00F54CC7">
        <w:rPr>
          <w:rFonts w:ascii="Calibri" w:hAnsi="Calibri"/>
          <w:sz w:val="24"/>
          <w:szCs w:val="24"/>
        </w:rPr>
        <w:t>.</w:t>
      </w:r>
    </w:p>
    <w:p w:rsidR="003C2337" w:rsidRPr="00496BEC" w:rsidRDefault="003C2337" w:rsidP="003C2337">
      <w:pPr>
        <w:pStyle w:val="ListParagraph"/>
        <w:numPr>
          <w:ilvl w:val="0"/>
          <w:numId w:val="3"/>
        </w:numPr>
        <w:jc w:val="both"/>
        <w:rPr>
          <w:rFonts w:ascii="Calibri" w:hAnsi="Calibri"/>
          <w:sz w:val="24"/>
          <w:szCs w:val="24"/>
        </w:rPr>
      </w:pPr>
      <w:r w:rsidRPr="00496BEC">
        <w:rPr>
          <w:rFonts w:ascii="Calibri" w:hAnsi="Calibri"/>
          <w:sz w:val="24"/>
          <w:szCs w:val="24"/>
        </w:rPr>
        <w:t>Sixth form provision</w:t>
      </w:r>
      <w:r w:rsidR="00F54CC7">
        <w:rPr>
          <w:rFonts w:ascii="Calibri" w:hAnsi="Calibri"/>
          <w:sz w:val="24"/>
          <w:szCs w:val="24"/>
        </w:rPr>
        <w:t>.</w:t>
      </w:r>
    </w:p>
    <w:p w:rsidR="003C2337" w:rsidRPr="00496BEC" w:rsidRDefault="003C2337" w:rsidP="003C2337">
      <w:pPr>
        <w:pStyle w:val="ListParagraph"/>
        <w:numPr>
          <w:ilvl w:val="0"/>
          <w:numId w:val="3"/>
        </w:numPr>
        <w:jc w:val="both"/>
        <w:rPr>
          <w:rFonts w:ascii="Calibri" w:hAnsi="Calibri"/>
          <w:sz w:val="24"/>
          <w:szCs w:val="24"/>
        </w:rPr>
      </w:pPr>
      <w:r w:rsidRPr="00496BEC">
        <w:rPr>
          <w:rFonts w:ascii="Calibri" w:hAnsi="Calibri"/>
          <w:sz w:val="24"/>
          <w:szCs w:val="24"/>
        </w:rPr>
        <w:t>Grammar school education and selection</w:t>
      </w:r>
      <w:r w:rsidR="00F54CC7">
        <w:rPr>
          <w:rFonts w:ascii="Calibri" w:hAnsi="Calibri"/>
          <w:sz w:val="24"/>
          <w:szCs w:val="24"/>
        </w:rPr>
        <w:t>.</w:t>
      </w:r>
    </w:p>
    <w:p w:rsidR="003C2337" w:rsidRPr="00496BEC" w:rsidRDefault="003C2337" w:rsidP="003C2337">
      <w:pPr>
        <w:pStyle w:val="ListParagraph"/>
        <w:numPr>
          <w:ilvl w:val="0"/>
          <w:numId w:val="3"/>
        </w:numPr>
        <w:jc w:val="both"/>
        <w:rPr>
          <w:rFonts w:ascii="Calibri" w:hAnsi="Calibri"/>
          <w:sz w:val="24"/>
          <w:szCs w:val="24"/>
        </w:rPr>
      </w:pPr>
      <w:r w:rsidRPr="00496BEC">
        <w:rPr>
          <w:rFonts w:ascii="Calibri" w:hAnsi="Calibri"/>
          <w:sz w:val="24"/>
          <w:szCs w:val="24"/>
        </w:rPr>
        <w:t>Impact on the choice of schools and sectors</w:t>
      </w:r>
      <w:r w:rsidR="00F54CC7">
        <w:rPr>
          <w:rFonts w:ascii="Calibri" w:hAnsi="Calibri"/>
          <w:sz w:val="24"/>
          <w:szCs w:val="24"/>
        </w:rPr>
        <w:t>.</w:t>
      </w:r>
    </w:p>
    <w:p w:rsidR="003C2337" w:rsidRPr="00496BEC" w:rsidRDefault="003C2337" w:rsidP="003C2337">
      <w:pPr>
        <w:pStyle w:val="ListParagraph"/>
        <w:numPr>
          <w:ilvl w:val="0"/>
          <w:numId w:val="3"/>
        </w:numPr>
        <w:jc w:val="both"/>
        <w:rPr>
          <w:rFonts w:ascii="Calibri" w:hAnsi="Calibri"/>
          <w:sz w:val="24"/>
          <w:szCs w:val="24"/>
        </w:rPr>
      </w:pPr>
      <w:r w:rsidRPr="00496BEC">
        <w:rPr>
          <w:rFonts w:ascii="Calibri" w:hAnsi="Calibri"/>
          <w:sz w:val="24"/>
          <w:szCs w:val="24"/>
        </w:rPr>
        <w:t>Impact on the local economy and jobs</w:t>
      </w:r>
      <w:r w:rsidR="00F54CC7">
        <w:rPr>
          <w:rFonts w:ascii="Calibri" w:hAnsi="Calibri"/>
          <w:sz w:val="24"/>
          <w:szCs w:val="24"/>
        </w:rPr>
        <w:t>.</w:t>
      </w:r>
    </w:p>
    <w:p w:rsidR="003C2337" w:rsidRDefault="003C2337" w:rsidP="003C2337">
      <w:pPr>
        <w:jc w:val="both"/>
        <w:rPr>
          <w:rFonts w:ascii="Calibri" w:hAnsi="Calibri"/>
          <w:sz w:val="24"/>
          <w:szCs w:val="24"/>
        </w:rPr>
      </w:pPr>
      <w:r w:rsidRPr="00496BEC">
        <w:rPr>
          <w:rFonts w:ascii="Calibri" w:hAnsi="Calibri"/>
          <w:sz w:val="24"/>
          <w:szCs w:val="24"/>
        </w:rPr>
        <w:t>In sum, this analysis suggests that the public consultation process around post-primar</w:t>
      </w:r>
      <w:r w:rsidR="00B5002D">
        <w:rPr>
          <w:rFonts w:ascii="Calibri" w:hAnsi="Calibri"/>
          <w:sz w:val="24"/>
          <w:szCs w:val="24"/>
        </w:rPr>
        <w:t>y education provision is tokenistic</w:t>
      </w:r>
      <w:r w:rsidRPr="00496BEC">
        <w:rPr>
          <w:rFonts w:ascii="Calibri" w:hAnsi="Calibri"/>
          <w:sz w:val="24"/>
          <w:szCs w:val="24"/>
        </w:rPr>
        <w:t xml:space="preserve">. It also raises questions about how serious the school managing authorities (ELBs and CCMS) are in conducting a similar but much larger public consultation exercise currently underway for the 854 primary schools in Northern Ireland. Vested </w:t>
      </w:r>
      <w:proofErr w:type="spellStart"/>
      <w:r w:rsidRPr="00496BEC">
        <w:rPr>
          <w:rFonts w:ascii="Calibri" w:hAnsi="Calibri"/>
          <w:sz w:val="24"/>
          <w:szCs w:val="24"/>
        </w:rPr>
        <w:t>sectoral</w:t>
      </w:r>
      <w:proofErr w:type="spellEnd"/>
      <w:r w:rsidRPr="00496BEC">
        <w:rPr>
          <w:rFonts w:ascii="Calibri" w:hAnsi="Calibri"/>
          <w:sz w:val="24"/>
          <w:szCs w:val="24"/>
        </w:rPr>
        <w:t xml:space="preserve"> interests seem resistant to change even in the face of widespread public support for radical thinking in the way education is provided.</w:t>
      </w:r>
      <w:r w:rsidR="0084710A">
        <w:rPr>
          <w:rFonts w:ascii="Calibri" w:hAnsi="Calibri"/>
          <w:sz w:val="24"/>
          <w:szCs w:val="24"/>
        </w:rPr>
        <w:t xml:space="preserve"> To illustrate this we move to consider the primary school consultation process, retaining a focus on the Western Education and Library Board as a case study.</w:t>
      </w:r>
    </w:p>
    <w:p w:rsidR="00BC2DBA" w:rsidRPr="00BC2DBA" w:rsidRDefault="0084710A" w:rsidP="003C2337">
      <w:pPr>
        <w:jc w:val="both"/>
        <w:rPr>
          <w:rFonts w:ascii="Calibri" w:hAnsi="Calibri"/>
          <w:b/>
          <w:sz w:val="28"/>
          <w:szCs w:val="28"/>
        </w:rPr>
      </w:pPr>
      <w:r w:rsidRPr="00BC2DBA">
        <w:rPr>
          <w:rFonts w:ascii="Calibri" w:hAnsi="Calibri"/>
          <w:b/>
          <w:sz w:val="28"/>
          <w:szCs w:val="28"/>
        </w:rPr>
        <w:t>Primary Schools Consultation</w:t>
      </w:r>
    </w:p>
    <w:p w:rsidR="0084710A" w:rsidRDefault="0084710A" w:rsidP="003C2337">
      <w:pPr>
        <w:jc w:val="both"/>
        <w:rPr>
          <w:rFonts w:ascii="Calibri" w:hAnsi="Calibri"/>
          <w:sz w:val="24"/>
          <w:szCs w:val="24"/>
        </w:rPr>
      </w:pPr>
      <w:r>
        <w:rPr>
          <w:rFonts w:ascii="Calibri" w:hAnsi="Calibri"/>
          <w:sz w:val="24"/>
          <w:szCs w:val="24"/>
        </w:rPr>
        <w:t>The primary school consultation process was launched on 19</w:t>
      </w:r>
      <w:r w:rsidRPr="0084710A">
        <w:rPr>
          <w:rFonts w:ascii="Calibri" w:hAnsi="Calibri"/>
          <w:sz w:val="24"/>
          <w:szCs w:val="24"/>
          <w:vertAlign w:val="superscript"/>
        </w:rPr>
        <w:t>th</w:t>
      </w:r>
      <w:r>
        <w:rPr>
          <w:rFonts w:ascii="Calibri" w:hAnsi="Calibri"/>
          <w:sz w:val="24"/>
          <w:szCs w:val="24"/>
        </w:rPr>
        <w:t xml:space="preserve"> March 2013</w:t>
      </w:r>
      <w:r w:rsidR="00BA0D12">
        <w:rPr>
          <w:rFonts w:ascii="Calibri" w:hAnsi="Calibri"/>
          <w:sz w:val="24"/>
          <w:szCs w:val="24"/>
        </w:rPr>
        <w:t xml:space="preserve">, </w:t>
      </w:r>
      <w:r>
        <w:rPr>
          <w:rFonts w:ascii="Calibri" w:hAnsi="Calibri"/>
          <w:sz w:val="24"/>
          <w:szCs w:val="24"/>
        </w:rPr>
        <w:t>will close on 30</w:t>
      </w:r>
      <w:r w:rsidRPr="0084710A">
        <w:rPr>
          <w:rFonts w:ascii="Calibri" w:hAnsi="Calibri"/>
          <w:sz w:val="24"/>
          <w:szCs w:val="24"/>
          <w:vertAlign w:val="superscript"/>
        </w:rPr>
        <w:t>th</w:t>
      </w:r>
      <w:r>
        <w:rPr>
          <w:rFonts w:ascii="Calibri" w:hAnsi="Calibri"/>
          <w:sz w:val="24"/>
          <w:szCs w:val="24"/>
        </w:rPr>
        <w:t xml:space="preserve"> June 2013</w:t>
      </w:r>
      <w:r w:rsidR="00C60C99">
        <w:rPr>
          <w:rFonts w:ascii="Calibri" w:hAnsi="Calibri"/>
          <w:sz w:val="24"/>
          <w:szCs w:val="24"/>
        </w:rPr>
        <w:t>,</w:t>
      </w:r>
      <w:r>
        <w:rPr>
          <w:rFonts w:ascii="Calibri" w:hAnsi="Calibri"/>
          <w:sz w:val="24"/>
          <w:szCs w:val="24"/>
        </w:rPr>
        <w:t xml:space="preserve"> and is billed as ‘an opportunity to put forward your views to help finalise the Strategic area plans</w:t>
      </w:r>
      <w:r w:rsidR="00741D36">
        <w:rPr>
          <w:rFonts w:ascii="Calibri" w:hAnsi="Calibri"/>
          <w:sz w:val="24"/>
          <w:szCs w:val="24"/>
        </w:rPr>
        <w:t>’. The format for the consultation is the same as the post-primary process – an on-line questionnaire</w:t>
      </w:r>
      <w:r w:rsidR="003E3C3F">
        <w:rPr>
          <w:rFonts w:ascii="Calibri" w:hAnsi="Calibri"/>
          <w:sz w:val="24"/>
          <w:szCs w:val="24"/>
        </w:rPr>
        <w:t xml:space="preserve"> (with an option to re</w:t>
      </w:r>
      <w:r w:rsidR="00C60C99">
        <w:rPr>
          <w:rFonts w:ascii="Calibri" w:hAnsi="Calibri"/>
          <w:sz w:val="24"/>
          <w:szCs w:val="24"/>
        </w:rPr>
        <w:t>turn in hard copy form) directly</w:t>
      </w:r>
      <w:r w:rsidR="003E3C3F">
        <w:rPr>
          <w:rFonts w:ascii="Calibri" w:hAnsi="Calibri"/>
          <w:sz w:val="24"/>
          <w:szCs w:val="24"/>
        </w:rPr>
        <w:t xml:space="preserve"> related to each constituent local council area in the relevant ELB. Interestingly however, there is no option to complete a generic response</w:t>
      </w:r>
      <w:r w:rsidR="00C60C99">
        <w:rPr>
          <w:rFonts w:ascii="Calibri" w:hAnsi="Calibri"/>
          <w:sz w:val="24"/>
          <w:szCs w:val="24"/>
        </w:rPr>
        <w:t xml:space="preserve"> which was available to post-primary </w:t>
      </w:r>
      <w:r w:rsidR="00C60C99">
        <w:rPr>
          <w:rFonts w:ascii="Calibri" w:hAnsi="Calibri"/>
          <w:sz w:val="24"/>
          <w:szCs w:val="24"/>
        </w:rPr>
        <w:lastRenderedPageBreak/>
        <w:t>respondents</w:t>
      </w:r>
      <w:r w:rsidR="003E3C3F">
        <w:rPr>
          <w:rFonts w:ascii="Calibri" w:hAnsi="Calibri"/>
          <w:sz w:val="24"/>
          <w:szCs w:val="24"/>
        </w:rPr>
        <w:t xml:space="preserve">. </w:t>
      </w:r>
      <w:r w:rsidR="00BA0D12">
        <w:rPr>
          <w:rFonts w:ascii="Calibri" w:hAnsi="Calibri"/>
          <w:sz w:val="24"/>
          <w:szCs w:val="24"/>
        </w:rPr>
        <w:t>The questions posed are similar to</w:t>
      </w:r>
      <w:r w:rsidR="00675904">
        <w:rPr>
          <w:rFonts w:ascii="Calibri" w:hAnsi="Calibri"/>
          <w:sz w:val="24"/>
          <w:szCs w:val="24"/>
        </w:rPr>
        <w:t xml:space="preserve"> the post-primary questionnaire in that they seek public reaction to the terms of reference of the strategic area planning process outlined above.</w:t>
      </w:r>
      <w:r w:rsidR="00BA0D12">
        <w:rPr>
          <w:rFonts w:ascii="Calibri" w:hAnsi="Calibri"/>
          <w:sz w:val="24"/>
          <w:szCs w:val="24"/>
        </w:rPr>
        <w:t xml:space="preserve"> </w:t>
      </w:r>
      <w:r w:rsidR="00675904">
        <w:rPr>
          <w:rFonts w:ascii="Calibri" w:hAnsi="Calibri"/>
          <w:sz w:val="24"/>
          <w:szCs w:val="24"/>
        </w:rPr>
        <w:t xml:space="preserve">One </w:t>
      </w:r>
      <w:r w:rsidR="00BA0D12">
        <w:rPr>
          <w:rFonts w:ascii="Calibri" w:hAnsi="Calibri"/>
          <w:sz w:val="24"/>
          <w:szCs w:val="24"/>
        </w:rPr>
        <w:t xml:space="preserve">noticeable change </w:t>
      </w:r>
      <w:r w:rsidR="00675904">
        <w:rPr>
          <w:rFonts w:ascii="Calibri" w:hAnsi="Calibri"/>
          <w:sz w:val="24"/>
          <w:szCs w:val="24"/>
        </w:rPr>
        <w:t xml:space="preserve">however </w:t>
      </w:r>
      <w:r w:rsidR="00BA0D12">
        <w:rPr>
          <w:rFonts w:ascii="Calibri" w:hAnsi="Calibri"/>
          <w:sz w:val="24"/>
          <w:szCs w:val="24"/>
        </w:rPr>
        <w:t xml:space="preserve">is that respondents are not </w:t>
      </w:r>
      <w:r w:rsidR="00675904">
        <w:rPr>
          <w:rFonts w:ascii="Calibri" w:hAnsi="Calibri"/>
          <w:sz w:val="24"/>
          <w:szCs w:val="24"/>
        </w:rPr>
        <w:t xml:space="preserve">asked for </w:t>
      </w:r>
      <w:r w:rsidR="00BA0D12">
        <w:rPr>
          <w:rFonts w:ascii="Calibri" w:hAnsi="Calibri"/>
          <w:sz w:val="24"/>
          <w:szCs w:val="24"/>
        </w:rPr>
        <w:t>their views on whether the area pla</w:t>
      </w:r>
      <w:r w:rsidR="00C60C99">
        <w:rPr>
          <w:rFonts w:ascii="Calibri" w:hAnsi="Calibri"/>
          <w:sz w:val="24"/>
          <w:szCs w:val="24"/>
        </w:rPr>
        <w:t>n ‘shows a way forward for (post)</w:t>
      </w:r>
      <w:r w:rsidR="00BA0D12">
        <w:rPr>
          <w:rFonts w:ascii="Calibri" w:hAnsi="Calibri"/>
          <w:sz w:val="24"/>
          <w:szCs w:val="24"/>
        </w:rPr>
        <w:t>primary</w:t>
      </w:r>
      <w:r w:rsidR="00675904">
        <w:rPr>
          <w:rFonts w:ascii="Calibri" w:hAnsi="Calibri"/>
          <w:sz w:val="24"/>
          <w:szCs w:val="24"/>
        </w:rPr>
        <w:t xml:space="preserve"> provision in the Board’s area’ which is now replaced by a more subtle question </w:t>
      </w:r>
      <w:r w:rsidR="00C60C99">
        <w:rPr>
          <w:rFonts w:ascii="Calibri" w:hAnsi="Calibri"/>
          <w:sz w:val="24"/>
          <w:szCs w:val="24"/>
        </w:rPr>
        <w:t xml:space="preserve">seeking reaction to the statement </w:t>
      </w:r>
      <w:r w:rsidR="00675904">
        <w:rPr>
          <w:rFonts w:ascii="Calibri" w:hAnsi="Calibri"/>
          <w:sz w:val="24"/>
          <w:szCs w:val="24"/>
        </w:rPr>
        <w:t xml:space="preserve">‘that this plan articulates a clear vision for primary education in this Council area’. </w:t>
      </w:r>
      <w:r w:rsidR="00BA0D12">
        <w:rPr>
          <w:rFonts w:ascii="Calibri" w:hAnsi="Calibri"/>
          <w:sz w:val="24"/>
          <w:szCs w:val="24"/>
        </w:rPr>
        <w:t xml:space="preserve"> </w:t>
      </w:r>
    </w:p>
    <w:p w:rsidR="00BC2DBA" w:rsidRPr="00BC2DBA" w:rsidRDefault="00D9123C" w:rsidP="003C2337">
      <w:pPr>
        <w:jc w:val="both"/>
        <w:rPr>
          <w:rFonts w:ascii="Calibri" w:hAnsi="Calibri"/>
          <w:sz w:val="28"/>
          <w:szCs w:val="28"/>
        </w:rPr>
      </w:pPr>
      <w:r w:rsidRPr="00BC2DBA">
        <w:rPr>
          <w:rFonts w:ascii="Calibri" w:hAnsi="Calibri"/>
          <w:b/>
          <w:sz w:val="28"/>
          <w:szCs w:val="28"/>
        </w:rPr>
        <w:t>Fermanagh District Council (Primary Schools)</w:t>
      </w:r>
    </w:p>
    <w:p w:rsidR="00D9123C" w:rsidRDefault="00A87EBC" w:rsidP="003C2337">
      <w:pPr>
        <w:jc w:val="both"/>
        <w:rPr>
          <w:rFonts w:ascii="Calibri" w:hAnsi="Calibri"/>
          <w:sz w:val="24"/>
          <w:szCs w:val="24"/>
        </w:rPr>
      </w:pPr>
      <w:r>
        <w:rPr>
          <w:rFonts w:ascii="Calibri" w:hAnsi="Calibri"/>
          <w:sz w:val="24"/>
          <w:szCs w:val="24"/>
        </w:rPr>
        <w:t>By way of illustration there are 43 primary schools in the Fermanagh District Council area. The viability audit data show that: 2 primary schools are oversubscribed; 22 primary schools fall below the ‘rural’ minimum threshold of 105 pupils; and 11 primary schools do not meet the minimum threshold of 4 teachers.</w:t>
      </w:r>
      <w:r w:rsidR="00A930EC">
        <w:rPr>
          <w:rFonts w:ascii="Calibri" w:hAnsi="Calibri"/>
          <w:sz w:val="24"/>
          <w:szCs w:val="24"/>
        </w:rPr>
        <w:t xml:space="preserve"> The Western Education </w:t>
      </w:r>
      <w:r w:rsidR="001A321F">
        <w:rPr>
          <w:rFonts w:ascii="Calibri" w:hAnsi="Calibri"/>
          <w:sz w:val="24"/>
          <w:szCs w:val="24"/>
        </w:rPr>
        <w:t>and Library Board draft plan currently</w:t>
      </w:r>
      <w:r w:rsidR="00A930EC">
        <w:rPr>
          <w:rFonts w:ascii="Calibri" w:hAnsi="Calibri"/>
          <w:sz w:val="24"/>
          <w:szCs w:val="24"/>
        </w:rPr>
        <w:t xml:space="preserve"> out for consultation essentially does two things:</w:t>
      </w:r>
    </w:p>
    <w:p w:rsidR="00A930EC" w:rsidRDefault="00A930EC" w:rsidP="00A930EC">
      <w:pPr>
        <w:pStyle w:val="ListParagraph"/>
        <w:numPr>
          <w:ilvl w:val="0"/>
          <w:numId w:val="4"/>
        </w:numPr>
        <w:jc w:val="both"/>
        <w:rPr>
          <w:rFonts w:ascii="Calibri" w:hAnsi="Calibri"/>
          <w:sz w:val="24"/>
          <w:szCs w:val="24"/>
        </w:rPr>
      </w:pPr>
      <w:r>
        <w:rPr>
          <w:rFonts w:ascii="Calibri" w:hAnsi="Calibri"/>
          <w:sz w:val="24"/>
          <w:szCs w:val="24"/>
        </w:rPr>
        <w:t>It proposes no changes to those primary schools above the threshold of 105 pupils.</w:t>
      </w:r>
    </w:p>
    <w:p w:rsidR="00A930EC" w:rsidRPr="00A930EC" w:rsidRDefault="00A930EC" w:rsidP="00A930EC">
      <w:pPr>
        <w:pStyle w:val="ListParagraph"/>
        <w:numPr>
          <w:ilvl w:val="0"/>
          <w:numId w:val="4"/>
        </w:numPr>
        <w:jc w:val="both"/>
        <w:rPr>
          <w:rFonts w:ascii="Calibri" w:hAnsi="Calibri"/>
          <w:sz w:val="24"/>
          <w:szCs w:val="24"/>
        </w:rPr>
      </w:pPr>
      <w:r>
        <w:rPr>
          <w:rFonts w:ascii="Calibri" w:hAnsi="Calibri"/>
          <w:sz w:val="24"/>
          <w:szCs w:val="24"/>
        </w:rPr>
        <w:t>It proposes the exploration of a ‘local are</w:t>
      </w:r>
      <w:r w:rsidR="001A321F">
        <w:rPr>
          <w:rFonts w:ascii="Calibri" w:hAnsi="Calibri"/>
          <w:sz w:val="24"/>
          <w:szCs w:val="24"/>
        </w:rPr>
        <w:t>a</w:t>
      </w:r>
      <w:r>
        <w:rPr>
          <w:rFonts w:ascii="Calibri" w:hAnsi="Calibri"/>
          <w:sz w:val="24"/>
          <w:szCs w:val="24"/>
        </w:rPr>
        <w:t xml:space="preserve"> solution’ for schools below the threshold.</w:t>
      </w:r>
    </w:p>
    <w:p w:rsidR="00D9123C" w:rsidRDefault="001A321F" w:rsidP="003C2337">
      <w:pPr>
        <w:jc w:val="both"/>
        <w:rPr>
          <w:rFonts w:ascii="Calibri" w:hAnsi="Calibri"/>
          <w:sz w:val="24"/>
          <w:szCs w:val="24"/>
        </w:rPr>
      </w:pPr>
      <w:r>
        <w:rPr>
          <w:rFonts w:ascii="Calibri" w:hAnsi="Calibri"/>
          <w:sz w:val="24"/>
          <w:szCs w:val="24"/>
        </w:rPr>
        <w:t>In summary</w:t>
      </w:r>
      <w:r w:rsidR="00ED7C5B">
        <w:rPr>
          <w:rFonts w:ascii="Calibri" w:hAnsi="Calibri"/>
          <w:sz w:val="24"/>
          <w:szCs w:val="24"/>
        </w:rPr>
        <w:t xml:space="preserve"> therefore</w:t>
      </w:r>
      <w:r>
        <w:rPr>
          <w:rFonts w:ascii="Calibri" w:hAnsi="Calibri"/>
          <w:sz w:val="24"/>
          <w:szCs w:val="24"/>
        </w:rPr>
        <w:t>,</w:t>
      </w:r>
      <w:r w:rsidR="00ED7C5B">
        <w:rPr>
          <w:rFonts w:ascii="Calibri" w:hAnsi="Calibri"/>
          <w:sz w:val="24"/>
          <w:szCs w:val="24"/>
        </w:rPr>
        <w:t xml:space="preserve"> the area plan consultation document proposes ‘no change’ for 19 primary schools in Fermanagh, 1 school closure (St Eugene’s Primary School) </w:t>
      </w:r>
      <w:proofErr w:type="spellStart"/>
      <w:r w:rsidR="00ED7C5B">
        <w:rPr>
          <w:rFonts w:ascii="Calibri" w:hAnsi="Calibri"/>
          <w:sz w:val="24"/>
          <w:szCs w:val="24"/>
        </w:rPr>
        <w:t>Lisnaskea</w:t>
      </w:r>
      <w:proofErr w:type="spellEnd"/>
      <w:r w:rsidR="00ED7C5B">
        <w:rPr>
          <w:rFonts w:ascii="Calibri" w:hAnsi="Calibri"/>
          <w:sz w:val="24"/>
          <w:szCs w:val="24"/>
        </w:rPr>
        <w:t>, and 24 primary schools where ‘local area solution</w:t>
      </w:r>
      <w:r w:rsidR="00F01B3D">
        <w:rPr>
          <w:rFonts w:ascii="Calibri" w:hAnsi="Calibri"/>
          <w:sz w:val="24"/>
          <w:szCs w:val="24"/>
        </w:rPr>
        <w:t>s</w:t>
      </w:r>
      <w:r w:rsidR="00ED7C5B">
        <w:rPr>
          <w:rFonts w:ascii="Calibri" w:hAnsi="Calibri"/>
          <w:sz w:val="24"/>
          <w:szCs w:val="24"/>
        </w:rPr>
        <w:t xml:space="preserve"> should be explored’.</w:t>
      </w:r>
    </w:p>
    <w:p w:rsidR="00ED7C5B" w:rsidRDefault="00ED7C5B" w:rsidP="003C2337">
      <w:pPr>
        <w:jc w:val="both"/>
        <w:rPr>
          <w:rFonts w:ascii="Calibri" w:hAnsi="Calibri"/>
          <w:sz w:val="24"/>
          <w:szCs w:val="24"/>
        </w:rPr>
      </w:pPr>
      <w:r>
        <w:rPr>
          <w:rFonts w:ascii="Calibri" w:hAnsi="Calibri"/>
          <w:sz w:val="24"/>
          <w:szCs w:val="24"/>
        </w:rPr>
        <w:t xml:space="preserve">The obvious question is </w:t>
      </w:r>
      <w:r w:rsidRPr="00F01B3D">
        <w:rPr>
          <w:rFonts w:ascii="Calibri" w:hAnsi="Calibri"/>
          <w:b/>
          <w:sz w:val="24"/>
          <w:szCs w:val="24"/>
        </w:rPr>
        <w:t>what are people being consulted about?</w:t>
      </w:r>
      <w:r>
        <w:rPr>
          <w:rFonts w:ascii="Calibri" w:hAnsi="Calibri"/>
          <w:sz w:val="24"/>
          <w:szCs w:val="24"/>
        </w:rPr>
        <w:t xml:space="preserve"> The rather strange response to this question in the WELB draft area plan is as follows:</w:t>
      </w:r>
    </w:p>
    <w:p w:rsidR="00ED7C5B" w:rsidRDefault="00ED7C5B" w:rsidP="00ED7C5B">
      <w:pPr>
        <w:ind w:left="720"/>
        <w:jc w:val="both"/>
        <w:rPr>
          <w:rFonts w:ascii="Calibri" w:hAnsi="Calibri"/>
          <w:sz w:val="24"/>
          <w:szCs w:val="24"/>
        </w:rPr>
      </w:pPr>
      <w:r>
        <w:rPr>
          <w:rFonts w:ascii="Calibri" w:hAnsi="Calibri"/>
          <w:sz w:val="24"/>
          <w:szCs w:val="24"/>
        </w:rPr>
        <w:t>The process of taking forward proposals is complex and it will take time to carry out the strategic area plan and it will be a process which will continue over a number of years. In implementing this plan</w:t>
      </w:r>
      <w:r w:rsidR="00907DD6">
        <w:rPr>
          <w:rFonts w:ascii="Calibri" w:hAnsi="Calibri"/>
          <w:sz w:val="24"/>
          <w:szCs w:val="24"/>
        </w:rPr>
        <w:t xml:space="preserve">, the WELB has its own priorities, and the DE will also have a role to play in </w:t>
      </w:r>
      <w:r w:rsidR="00F01B3D">
        <w:rPr>
          <w:rFonts w:ascii="Calibri" w:hAnsi="Calibri"/>
          <w:sz w:val="24"/>
          <w:szCs w:val="24"/>
        </w:rPr>
        <w:t>determining</w:t>
      </w:r>
      <w:r w:rsidR="00907DD6">
        <w:rPr>
          <w:rFonts w:ascii="Calibri" w:hAnsi="Calibri"/>
          <w:sz w:val="24"/>
          <w:szCs w:val="24"/>
        </w:rPr>
        <w:t xml:space="preserve"> what can be afforded (WELB Draft Strategic </w:t>
      </w:r>
      <w:r w:rsidR="009C2120">
        <w:rPr>
          <w:rFonts w:ascii="Calibri" w:hAnsi="Calibri"/>
          <w:sz w:val="24"/>
          <w:szCs w:val="24"/>
        </w:rPr>
        <w:t xml:space="preserve">Area Plan for Primary Schools, Consultation Document, </w:t>
      </w:r>
      <w:proofErr w:type="gramStart"/>
      <w:r w:rsidR="009C2120">
        <w:rPr>
          <w:rFonts w:ascii="Calibri" w:hAnsi="Calibri"/>
          <w:sz w:val="24"/>
          <w:szCs w:val="24"/>
        </w:rPr>
        <w:t>2013</w:t>
      </w:r>
      <w:proofErr w:type="gramEnd"/>
      <w:r w:rsidR="009C2120">
        <w:rPr>
          <w:rFonts w:ascii="Calibri" w:hAnsi="Calibri"/>
          <w:sz w:val="24"/>
          <w:szCs w:val="24"/>
        </w:rPr>
        <w:t>: 39).</w:t>
      </w:r>
    </w:p>
    <w:p w:rsidR="00F01B3D" w:rsidRDefault="00F01B3D" w:rsidP="00F01B3D">
      <w:pPr>
        <w:jc w:val="both"/>
        <w:rPr>
          <w:rFonts w:ascii="Calibri" w:hAnsi="Calibri"/>
          <w:sz w:val="24"/>
          <w:szCs w:val="24"/>
        </w:rPr>
      </w:pPr>
      <w:r>
        <w:rPr>
          <w:rFonts w:ascii="Calibri" w:hAnsi="Calibri"/>
          <w:sz w:val="24"/>
          <w:szCs w:val="24"/>
        </w:rPr>
        <w:t>To re-interpret, proposals for 56% of primary schools are still being considered and the remainder are above the viability threshold, so how can respondents sensibly respond to a questionnaire which asked for their views on the ‘plans’ for the area? Notwithstanding, the suggestion</w:t>
      </w:r>
      <w:r w:rsidR="001A321F">
        <w:rPr>
          <w:rFonts w:ascii="Calibri" w:hAnsi="Calibri"/>
          <w:sz w:val="24"/>
          <w:szCs w:val="24"/>
        </w:rPr>
        <w:t xml:space="preserve"> from the WELB is that </w:t>
      </w:r>
      <w:r>
        <w:rPr>
          <w:rFonts w:ascii="Calibri" w:hAnsi="Calibri"/>
          <w:sz w:val="24"/>
          <w:szCs w:val="24"/>
        </w:rPr>
        <w:t xml:space="preserve">it is all a ‘moving target’ anyway and entirely subject to the availability of </w:t>
      </w:r>
      <w:r w:rsidR="001A321F">
        <w:rPr>
          <w:rFonts w:ascii="Calibri" w:hAnsi="Calibri"/>
          <w:sz w:val="24"/>
          <w:szCs w:val="24"/>
        </w:rPr>
        <w:t xml:space="preserve">future </w:t>
      </w:r>
      <w:r>
        <w:rPr>
          <w:rFonts w:ascii="Calibri" w:hAnsi="Calibri"/>
          <w:sz w:val="24"/>
          <w:szCs w:val="24"/>
        </w:rPr>
        <w:t>funding.</w:t>
      </w:r>
    </w:p>
    <w:p w:rsidR="00B31EB9" w:rsidRDefault="00C27C7E" w:rsidP="00F01B3D">
      <w:pPr>
        <w:jc w:val="both"/>
        <w:rPr>
          <w:rFonts w:ascii="Calibri" w:hAnsi="Calibri"/>
          <w:sz w:val="24"/>
          <w:szCs w:val="24"/>
        </w:rPr>
      </w:pPr>
      <w:r>
        <w:rPr>
          <w:rFonts w:ascii="Calibri" w:hAnsi="Calibri"/>
          <w:sz w:val="24"/>
          <w:szCs w:val="24"/>
        </w:rPr>
        <w:t xml:space="preserve">Beyond the absurdness of such a consultation is more concerning </w:t>
      </w:r>
      <w:r w:rsidR="00D53EA5">
        <w:rPr>
          <w:rFonts w:ascii="Calibri" w:hAnsi="Calibri"/>
          <w:sz w:val="24"/>
          <w:szCs w:val="24"/>
        </w:rPr>
        <w:t>evidence that the WEL</w:t>
      </w:r>
      <w:r w:rsidR="00F21AFF">
        <w:rPr>
          <w:rFonts w:ascii="Calibri" w:hAnsi="Calibri"/>
          <w:sz w:val="24"/>
          <w:szCs w:val="24"/>
        </w:rPr>
        <w:t>B</w:t>
      </w:r>
      <w:r w:rsidR="00D53EA5">
        <w:rPr>
          <w:rFonts w:ascii="Calibri" w:hAnsi="Calibri"/>
          <w:sz w:val="24"/>
          <w:szCs w:val="24"/>
        </w:rPr>
        <w:t xml:space="preserve"> appears to be ignoring views expressed by schools which have taken the consultation process seri</w:t>
      </w:r>
      <w:r w:rsidR="001A321F">
        <w:rPr>
          <w:rFonts w:ascii="Calibri" w:hAnsi="Calibri"/>
          <w:sz w:val="24"/>
          <w:szCs w:val="24"/>
        </w:rPr>
        <w:t xml:space="preserve">ously and sought to input local </w:t>
      </w:r>
      <w:r w:rsidR="00D53EA5">
        <w:rPr>
          <w:rFonts w:ascii="Calibri" w:hAnsi="Calibri"/>
          <w:sz w:val="24"/>
          <w:szCs w:val="24"/>
        </w:rPr>
        <w:t>views.</w:t>
      </w:r>
      <w:r w:rsidR="00B31EB9">
        <w:rPr>
          <w:rFonts w:ascii="Calibri" w:hAnsi="Calibri"/>
          <w:sz w:val="24"/>
          <w:szCs w:val="24"/>
        </w:rPr>
        <w:t xml:space="preserve"> There is evidence from schools which have been </w:t>
      </w:r>
      <w:r w:rsidR="00B31EB9" w:rsidRPr="00B31EB9">
        <w:rPr>
          <w:rFonts w:ascii="Calibri" w:hAnsi="Calibri"/>
          <w:sz w:val="24"/>
          <w:szCs w:val="24"/>
        </w:rPr>
        <w:t xml:space="preserve">working to develop </w:t>
      </w:r>
      <w:r w:rsidR="00B31EB9">
        <w:rPr>
          <w:rFonts w:ascii="Calibri" w:hAnsi="Calibri"/>
          <w:sz w:val="24"/>
          <w:szCs w:val="24"/>
        </w:rPr>
        <w:t>‘</w:t>
      </w:r>
      <w:r w:rsidR="00B31EB9" w:rsidRPr="00B31EB9">
        <w:rPr>
          <w:rFonts w:ascii="Calibri" w:hAnsi="Calibri"/>
          <w:sz w:val="24"/>
          <w:szCs w:val="24"/>
        </w:rPr>
        <w:t xml:space="preserve">realistic, innovative and creative solutions to address need, including opportunities for shared schooling on a cross </w:t>
      </w:r>
      <w:proofErr w:type="spellStart"/>
      <w:r w:rsidR="00B31EB9" w:rsidRPr="00B31EB9">
        <w:rPr>
          <w:rFonts w:ascii="Calibri" w:hAnsi="Calibri"/>
          <w:sz w:val="24"/>
          <w:szCs w:val="24"/>
        </w:rPr>
        <w:t>sectoral</w:t>
      </w:r>
      <w:proofErr w:type="spellEnd"/>
      <w:r w:rsidR="00B31EB9" w:rsidRPr="00B31EB9">
        <w:rPr>
          <w:rFonts w:ascii="Calibri" w:hAnsi="Calibri"/>
          <w:sz w:val="24"/>
          <w:szCs w:val="24"/>
        </w:rPr>
        <w:t xml:space="preserve"> basis</w:t>
      </w:r>
      <w:r w:rsidR="00B31EB9">
        <w:rPr>
          <w:rFonts w:ascii="Calibri" w:hAnsi="Calibri"/>
          <w:sz w:val="24"/>
          <w:szCs w:val="24"/>
        </w:rPr>
        <w:t xml:space="preserve">’ (in accordance with </w:t>
      </w:r>
      <w:r w:rsidR="00B31EB9">
        <w:rPr>
          <w:rFonts w:ascii="Calibri" w:hAnsi="Calibri"/>
          <w:sz w:val="24"/>
          <w:szCs w:val="24"/>
        </w:rPr>
        <w:lastRenderedPageBreak/>
        <w:t>the terms of reference of area planning) that their expressed written preferences have simply not appeared in the draft plans for consultation.</w:t>
      </w:r>
      <w:r w:rsidR="004E07D6">
        <w:rPr>
          <w:rFonts w:ascii="Calibri" w:hAnsi="Calibri"/>
          <w:sz w:val="24"/>
          <w:szCs w:val="24"/>
        </w:rPr>
        <w:t xml:space="preserve"> Here are some examples</w:t>
      </w:r>
      <w:r w:rsidR="007A5EAC">
        <w:rPr>
          <w:rStyle w:val="FootnoteReference"/>
          <w:rFonts w:ascii="Calibri" w:hAnsi="Calibri"/>
          <w:sz w:val="24"/>
          <w:szCs w:val="24"/>
        </w:rPr>
        <w:footnoteReference w:id="4"/>
      </w:r>
      <w:r w:rsidR="004E07D6">
        <w:rPr>
          <w:rFonts w:ascii="Calibri" w:hAnsi="Calibri"/>
          <w:sz w:val="24"/>
          <w:szCs w:val="24"/>
        </w:rPr>
        <w:t>:</w:t>
      </w:r>
    </w:p>
    <w:p w:rsidR="0036483C" w:rsidRDefault="00B31EB9" w:rsidP="004E07D6">
      <w:pPr>
        <w:pStyle w:val="ListParagraph"/>
        <w:numPr>
          <w:ilvl w:val="0"/>
          <w:numId w:val="5"/>
        </w:numPr>
        <w:jc w:val="both"/>
        <w:rPr>
          <w:sz w:val="24"/>
          <w:szCs w:val="24"/>
        </w:rPr>
      </w:pPr>
      <w:r w:rsidRPr="004E07D6">
        <w:rPr>
          <w:rFonts w:ascii="Calibri" w:hAnsi="Calibri"/>
          <w:sz w:val="24"/>
          <w:szCs w:val="24"/>
        </w:rPr>
        <w:t xml:space="preserve">St Mary’s Primary School </w:t>
      </w:r>
      <w:proofErr w:type="spellStart"/>
      <w:r w:rsidRPr="004E07D6">
        <w:rPr>
          <w:rFonts w:ascii="Calibri" w:hAnsi="Calibri"/>
          <w:sz w:val="24"/>
          <w:szCs w:val="24"/>
        </w:rPr>
        <w:t>Brookeborough</w:t>
      </w:r>
      <w:proofErr w:type="spellEnd"/>
      <w:r w:rsidRPr="004E07D6">
        <w:rPr>
          <w:rFonts w:ascii="Calibri" w:hAnsi="Calibri"/>
          <w:sz w:val="24"/>
          <w:szCs w:val="24"/>
        </w:rPr>
        <w:t xml:space="preserve"> and </w:t>
      </w:r>
      <w:proofErr w:type="spellStart"/>
      <w:r w:rsidRPr="004E07D6">
        <w:rPr>
          <w:rFonts w:ascii="Calibri" w:hAnsi="Calibri"/>
          <w:sz w:val="24"/>
          <w:szCs w:val="24"/>
        </w:rPr>
        <w:t>Brookeborough</w:t>
      </w:r>
      <w:proofErr w:type="spellEnd"/>
      <w:r w:rsidRPr="004E07D6">
        <w:rPr>
          <w:rFonts w:ascii="Calibri" w:hAnsi="Calibri"/>
          <w:sz w:val="24"/>
          <w:szCs w:val="24"/>
        </w:rPr>
        <w:t xml:space="preserve"> Controlled Primary School </w:t>
      </w:r>
      <w:r w:rsidR="004E07D6" w:rsidRPr="004E07D6">
        <w:rPr>
          <w:sz w:val="24"/>
          <w:szCs w:val="24"/>
        </w:rPr>
        <w:t>submitted a request to the W</w:t>
      </w:r>
      <w:r w:rsidR="001A321F">
        <w:rPr>
          <w:sz w:val="24"/>
          <w:szCs w:val="24"/>
        </w:rPr>
        <w:t>ELB Area Planning Working Group</w:t>
      </w:r>
      <w:r w:rsidR="004E07D6" w:rsidRPr="004E07D6">
        <w:rPr>
          <w:sz w:val="24"/>
          <w:szCs w:val="24"/>
        </w:rPr>
        <w:t xml:space="preserve"> for a shared educat</w:t>
      </w:r>
      <w:r w:rsidR="001A321F">
        <w:rPr>
          <w:sz w:val="24"/>
          <w:szCs w:val="24"/>
        </w:rPr>
        <w:t xml:space="preserve">ion solution to be explored between </w:t>
      </w:r>
      <w:r w:rsidR="004E07D6" w:rsidRPr="004E07D6">
        <w:rPr>
          <w:sz w:val="24"/>
          <w:szCs w:val="24"/>
        </w:rPr>
        <w:t>their schools.  However, this request has not been included in the draft area plan.</w:t>
      </w:r>
    </w:p>
    <w:p w:rsidR="004E07D6" w:rsidRDefault="004E07D6" w:rsidP="0036483C">
      <w:pPr>
        <w:pStyle w:val="ListParagraph"/>
        <w:ind w:left="1080"/>
        <w:jc w:val="both"/>
        <w:rPr>
          <w:sz w:val="24"/>
          <w:szCs w:val="24"/>
        </w:rPr>
      </w:pPr>
      <w:r w:rsidRPr="004E07D6">
        <w:rPr>
          <w:sz w:val="24"/>
          <w:szCs w:val="24"/>
        </w:rPr>
        <w:t xml:space="preserve">  </w:t>
      </w:r>
    </w:p>
    <w:p w:rsidR="0036483C" w:rsidRDefault="004E07D6" w:rsidP="0036483C">
      <w:pPr>
        <w:pStyle w:val="ListParagraph"/>
        <w:numPr>
          <w:ilvl w:val="0"/>
          <w:numId w:val="5"/>
        </w:numPr>
        <w:jc w:val="both"/>
        <w:rPr>
          <w:sz w:val="24"/>
          <w:szCs w:val="24"/>
        </w:rPr>
      </w:pPr>
      <w:proofErr w:type="spellStart"/>
      <w:r>
        <w:rPr>
          <w:sz w:val="24"/>
          <w:szCs w:val="24"/>
        </w:rPr>
        <w:t>Killyhommon</w:t>
      </w:r>
      <w:proofErr w:type="spellEnd"/>
      <w:r>
        <w:rPr>
          <w:sz w:val="24"/>
          <w:szCs w:val="24"/>
        </w:rPr>
        <w:t xml:space="preserve"> Primary School and </w:t>
      </w:r>
      <w:proofErr w:type="spellStart"/>
      <w:r>
        <w:rPr>
          <w:sz w:val="24"/>
          <w:szCs w:val="24"/>
        </w:rPr>
        <w:t>Derrygonnelly</w:t>
      </w:r>
      <w:proofErr w:type="spellEnd"/>
      <w:r>
        <w:rPr>
          <w:sz w:val="24"/>
          <w:szCs w:val="24"/>
        </w:rPr>
        <w:t xml:space="preserve"> Controlled Primary School </w:t>
      </w:r>
      <w:r w:rsidRPr="004E07D6">
        <w:rPr>
          <w:sz w:val="24"/>
          <w:szCs w:val="24"/>
        </w:rPr>
        <w:t>submitted a request to the WELB Area Planning Working Group, for a shared educat</w:t>
      </w:r>
      <w:r w:rsidR="001A321F">
        <w:rPr>
          <w:sz w:val="24"/>
          <w:szCs w:val="24"/>
        </w:rPr>
        <w:t xml:space="preserve">ion solution to be explored between </w:t>
      </w:r>
      <w:r w:rsidRPr="004E07D6">
        <w:rPr>
          <w:sz w:val="24"/>
          <w:szCs w:val="24"/>
        </w:rPr>
        <w:t xml:space="preserve">their schools.  However, this request has not been included in the draft area plan.  </w:t>
      </w:r>
    </w:p>
    <w:p w:rsidR="0036483C" w:rsidRDefault="0036483C" w:rsidP="0036483C">
      <w:pPr>
        <w:pStyle w:val="ListParagraph"/>
      </w:pPr>
    </w:p>
    <w:p w:rsidR="004E07D6" w:rsidRPr="001A321F" w:rsidRDefault="004E07D6" w:rsidP="0036483C">
      <w:pPr>
        <w:pStyle w:val="ListParagraph"/>
        <w:numPr>
          <w:ilvl w:val="0"/>
          <w:numId w:val="5"/>
        </w:numPr>
        <w:jc w:val="both"/>
        <w:rPr>
          <w:sz w:val="24"/>
          <w:szCs w:val="24"/>
        </w:rPr>
      </w:pPr>
      <w:r w:rsidRPr="001A321F">
        <w:rPr>
          <w:sz w:val="24"/>
          <w:szCs w:val="24"/>
        </w:rPr>
        <w:t xml:space="preserve">St Mary’s Primary School </w:t>
      </w:r>
      <w:proofErr w:type="spellStart"/>
      <w:r w:rsidRPr="001A321F">
        <w:rPr>
          <w:sz w:val="24"/>
          <w:szCs w:val="24"/>
        </w:rPr>
        <w:t>Newtownbutler</w:t>
      </w:r>
      <w:proofErr w:type="spellEnd"/>
      <w:r w:rsidRPr="001A321F">
        <w:rPr>
          <w:sz w:val="24"/>
          <w:szCs w:val="24"/>
        </w:rPr>
        <w:t xml:space="preserve">, St Joseph’s Primary School </w:t>
      </w:r>
      <w:proofErr w:type="spellStart"/>
      <w:r w:rsidRPr="001A321F">
        <w:rPr>
          <w:sz w:val="24"/>
          <w:szCs w:val="24"/>
        </w:rPr>
        <w:t>Donagh</w:t>
      </w:r>
      <w:proofErr w:type="spellEnd"/>
      <w:r w:rsidRPr="001A321F">
        <w:rPr>
          <w:sz w:val="24"/>
          <w:szCs w:val="24"/>
        </w:rPr>
        <w:t xml:space="preserve">, and </w:t>
      </w:r>
      <w:proofErr w:type="spellStart"/>
      <w:r w:rsidRPr="001A321F">
        <w:rPr>
          <w:sz w:val="24"/>
          <w:szCs w:val="24"/>
        </w:rPr>
        <w:t>Newtownbutler</w:t>
      </w:r>
      <w:proofErr w:type="spellEnd"/>
      <w:r w:rsidRPr="001A321F">
        <w:rPr>
          <w:sz w:val="24"/>
          <w:szCs w:val="24"/>
        </w:rPr>
        <w:t xml:space="preserve"> Controlled Primary School also submitted a request to the WELB Area Planning Working Group, for a shared education solution to be explore</w:t>
      </w:r>
      <w:r w:rsidR="001A321F" w:rsidRPr="001A321F">
        <w:rPr>
          <w:sz w:val="24"/>
          <w:szCs w:val="24"/>
        </w:rPr>
        <w:t xml:space="preserve">d between </w:t>
      </w:r>
      <w:r w:rsidR="00483157" w:rsidRPr="001A321F">
        <w:rPr>
          <w:sz w:val="24"/>
          <w:szCs w:val="24"/>
        </w:rPr>
        <w:t>their schools.  T</w:t>
      </w:r>
      <w:r w:rsidRPr="001A321F">
        <w:rPr>
          <w:sz w:val="24"/>
          <w:szCs w:val="24"/>
        </w:rPr>
        <w:t xml:space="preserve">his request has not been included in the draft area plan.  </w:t>
      </w:r>
      <w:r w:rsidR="00483157" w:rsidRPr="001A321F">
        <w:rPr>
          <w:sz w:val="24"/>
          <w:szCs w:val="24"/>
        </w:rPr>
        <w:t>However, the WELB</w:t>
      </w:r>
      <w:r w:rsidRPr="001A321F">
        <w:rPr>
          <w:sz w:val="24"/>
          <w:szCs w:val="24"/>
        </w:rPr>
        <w:t xml:space="preserve"> is working </w:t>
      </w:r>
      <w:r w:rsidR="00483157" w:rsidRPr="001A321F">
        <w:rPr>
          <w:sz w:val="24"/>
          <w:szCs w:val="24"/>
        </w:rPr>
        <w:t xml:space="preserve">behind the scenes </w:t>
      </w:r>
      <w:r w:rsidRPr="001A321F">
        <w:rPr>
          <w:sz w:val="24"/>
          <w:szCs w:val="24"/>
        </w:rPr>
        <w:t>on a proposal to amalgamate three local controlled schools (</w:t>
      </w:r>
      <w:proofErr w:type="spellStart"/>
      <w:r w:rsidRPr="001A321F">
        <w:rPr>
          <w:sz w:val="24"/>
          <w:szCs w:val="24"/>
        </w:rPr>
        <w:t>Newtownbutler</w:t>
      </w:r>
      <w:proofErr w:type="spellEnd"/>
      <w:r w:rsidRPr="001A321F">
        <w:rPr>
          <w:sz w:val="24"/>
          <w:szCs w:val="24"/>
        </w:rPr>
        <w:t xml:space="preserve"> PS, </w:t>
      </w:r>
      <w:proofErr w:type="spellStart"/>
      <w:r w:rsidRPr="001A321F">
        <w:rPr>
          <w:sz w:val="24"/>
          <w:szCs w:val="24"/>
        </w:rPr>
        <w:t>Aghadrumsee</w:t>
      </w:r>
      <w:proofErr w:type="spellEnd"/>
      <w:r w:rsidRPr="001A321F">
        <w:rPr>
          <w:sz w:val="24"/>
          <w:szCs w:val="24"/>
        </w:rPr>
        <w:t xml:space="preserve"> PS and Moat PS) and relocate to a newly refurbished school on the site of </w:t>
      </w:r>
      <w:proofErr w:type="spellStart"/>
      <w:r w:rsidRPr="001A321F">
        <w:rPr>
          <w:sz w:val="24"/>
          <w:szCs w:val="24"/>
        </w:rPr>
        <w:t>Lisnaksea</w:t>
      </w:r>
      <w:proofErr w:type="spellEnd"/>
      <w:r w:rsidRPr="001A321F">
        <w:rPr>
          <w:sz w:val="24"/>
          <w:szCs w:val="24"/>
        </w:rPr>
        <w:t xml:space="preserve"> High School (for which the WELB has a proposal to cl</w:t>
      </w:r>
      <w:r w:rsidR="00483157" w:rsidRPr="001A321F">
        <w:rPr>
          <w:sz w:val="24"/>
          <w:szCs w:val="24"/>
        </w:rPr>
        <w:t>ose and</w:t>
      </w:r>
      <w:r w:rsidRPr="001A321F">
        <w:rPr>
          <w:sz w:val="24"/>
          <w:szCs w:val="24"/>
        </w:rPr>
        <w:t xml:space="preserve"> amalgamate with Devenish College, in Enniskillen).  </w:t>
      </w:r>
    </w:p>
    <w:p w:rsidR="004E07D6" w:rsidRPr="001A321F" w:rsidRDefault="004E07D6" w:rsidP="004E07D6">
      <w:pPr>
        <w:pStyle w:val="ListParagraph"/>
        <w:ind w:left="1080"/>
        <w:jc w:val="both"/>
        <w:rPr>
          <w:sz w:val="24"/>
          <w:szCs w:val="24"/>
        </w:rPr>
      </w:pPr>
    </w:p>
    <w:p w:rsidR="004E07D6" w:rsidRPr="001A321F" w:rsidRDefault="004E07D6" w:rsidP="004E07D6">
      <w:pPr>
        <w:pStyle w:val="ListParagraph"/>
        <w:ind w:left="1080"/>
        <w:jc w:val="both"/>
        <w:rPr>
          <w:sz w:val="24"/>
          <w:szCs w:val="24"/>
        </w:rPr>
      </w:pPr>
      <w:r w:rsidRPr="001A321F">
        <w:rPr>
          <w:sz w:val="24"/>
          <w:szCs w:val="24"/>
        </w:rPr>
        <w:t xml:space="preserve">The fact that the WELB’s proposal to amalgamate the 3 controlled primary schools in this area was </w:t>
      </w:r>
      <w:r w:rsidRPr="001A321F">
        <w:rPr>
          <w:sz w:val="24"/>
          <w:szCs w:val="24"/>
          <w:u w:val="single"/>
        </w:rPr>
        <w:t>not</w:t>
      </w:r>
      <w:r w:rsidRPr="001A321F">
        <w:rPr>
          <w:sz w:val="24"/>
          <w:szCs w:val="24"/>
        </w:rPr>
        <w:t xml:space="preserve"> included in the area plan, clearly demonstrates lack of transparency and it calls into question the ‘bottom-up’ approach </w:t>
      </w:r>
      <w:r w:rsidR="00483157" w:rsidRPr="001A321F">
        <w:rPr>
          <w:sz w:val="24"/>
          <w:szCs w:val="24"/>
        </w:rPr>
        <w:t xml:space="preserve">to consultation </w:t>
      </w:r>
      <w:r w:rsidRPr="001A321F">
        <w:rPr>
          <w:sz w:val="24"/>
          <w:szCs w:val="24"/>
        </w:rPr>
        <w:t xml:space="preserve">that has </w:t>
      </w:r>
      <w:r w:rsidR="001A321F" w:rsidRPr="001A321F">
        <w:rPr>
          <w:sz w:val="24"/>
          <w:szCs w:val="24"/>
        </w:rPr>
        <w:t xml:space="preserve">ostensibly </w:t>
      </w:r>
      <w:r w:rsidRPr="001A321F">
        <w:rPr>
          <w:sz w:val="24"/>
          <w:szCs w:val="24"/>
        </w:rPr>
        <w:t xml:space="preserve">been </w:t>
      </w:r>
      <w:r w:rsidR="00483157" w:rsidRPr="001A321F">
        <w:rPr>
          <w:sz w:val="24"/>
          <w:szCs w:val="24"/>
        </w:rPr>
        <w:t>promoted both by the Department of Education and the School Managing Authorities.</w:t>
      </w:r>
      <w:r w:rsidRPr="001A321F">
        <w:rPr>
          <w:sz w:val="24"/>
          <w:szCs w:val="24"/>
        </w:rPr>
        <w:t xml:space="preserve">  </w:t>
      </w:r>
    </w:p>
    <w:p w:rsidR="0036483C" w:rsidRDefault="0036483C" w:rsidP="004E07D6">
      <w:pPr>
        <w:pStyle w:val="ListParagraph"/>
        <w:ind w:left="1080"/>
        <w:jc w:val="both"/>
      </w:pPr>
    </w:p>
    <w:p w:rsidR="00C27C7E" w:rsidRPr="0036483C" w:rsidRDefault="0036483C" w:rsidP="0036483C">
      <w:pPr>
        <w:pStyle w:val="ListParagraph"/>
        <w:numPr>
          <w:ilvl w:val="0"/>
          <w:numId w:val="5"/>
        </w:numPr>
        <w:jc w:val="both"/>
        <w:rPr>
          <w:rFonts w:ascii="Calibri" w:hAnsi="Calibri"/>
          <w:sz w:val="24"/>
          <w:szCs w:val="24"/>
        </w:rPr>
      </w:pPr>
      <w:proofErr w:type="spellStart"/>
      <w:r>
        <w:rPr>
          <w:sz w:val="24"/>
          <w:szCs w:val="24"/>
        </w:rPr>
        <w:t>Aghadrumsee</w:t>
      </w:r>
      <w:proofErr w:type="spellEnd"/>
      <w:r>
        <w:rPr>
          <w:sz w:val="24"/>
          <w:szCs w:val="24"/>
        </w:rPr>
        <w:t xml:space="preserve"> Primary School, St Tierney’s Primary School and St </w:t>
      </w:r>
      <w:proofErr w:type="spellStart"/>
      <w:r>
        <w:rPr>
          <w:sz w:val="24"/>
          <w:szCs w:val="24"/>
        </w:rPr>
        <w:t>Macartan’s</w:t>
      </w:r>
      <w:proofErr w:type="spellEnd"/>
      <w:r>
        <w:rPr>
          <w:sz w:val="24"/>
          <w:szCs w:val="24"/>
        </w:rPr>
        <w:t xml:space="preserve"> Primary School </w:t>
      </w:r>
      <w:r w:rsidRPr="0036483C">
        <w:rPr>
          <w:sz w:val="24"/>
          <w:szCs w:val="24"/>
        </w:rPr>
        <w:t>submitted a request to the WELB Area Planning Working Group, for a shared educat</w:t>
      </w:r>
      <w:r w:rsidR="001A321F">
        <w:rPr>
          <w:sz w:val="24"/>
          <w:szCs w:val="24"/>
        </w:rPr>
        <w:t xml:space="preserve">ion solution to be explored between </w:t>
      </w:r>
      <w:r w:rsidRPr="0036483C">
        <w:rPr>
          <w:sz w:val="24"/>
          <w:szCs w:val="24"/>
        </w:rPr>
        <w:t>their schools.  This request has not been included in the draft area plan.</w:t>
      </w:r>
      <w:r>
        <w:rPr>
          <w:sz w:val="24"/>
          <w:szCs w:val="24"/>
        </w:rPr>
        <w:t xml:space="preserve"> </w:t>
      </w:r>
      <w:r w:rsidR="00E93161">
        <w:rPr>
          <w:sz w:val="24"/>
          <w:szCs w:val="24"/>
        </w:rPr>
        <w:t xml:space="preserve">However, the WELB </w:t>
      </w:r>
      <w:r w:rsidRPr="0036483C">
        <w:rPr>
          <w:sz w:val="24"/>
          <w:szCs w:val="24"/>
        </w:rPr>
        <w:t>is working behind the scenes, on a proposal to amalgamate three local controlled schools (</w:t>
      </w:r>
      <w:proofErr w:type="spellStart"/>
      <w:r w:rsidRPr="0036483C">
        <w:rPr>
          <w:sz w:val="24"/>
          <w:szCs w:val="24"/>
        </w:rPr>
        <w:t>Newtownbutler</w:t>
      </w:r>
      <w:proofErr w:type="spellEnd"/>
      <w:r w:rsidRPr="0036483C">
        <w:rPr>
          <w:sz w:val="24"/>
          <w:szCs w:val="24"/>
        </w:rPr>
        <w:t xml:space="preserve"> PS, </w:t>
      </w:r>
      <w:proofErr w:type="spellStart"/>
      <w:r w:rsidRPr="0036483C">
        <w:rPr>
          <w:sz w:val="24"/>
          <w:szCs w:val="24"/>
        </w:rPr>
        <w:t>Aghadrumsee</w:t>
      </w:r>
      <w:proofErr w:type="spellEnd"/>
      <w:r w:rsidRPr="0036483C">
        <w:rPr>
          <w:sz w:val="24"/>
          <w:szCs w:val="24"/>
        </w:rPr>
        <w:t xml:space="preserve"> PS and Moat PS) and relocate to a newly refurbished school on the site of </w:t>
      </w:r>
      <w:proofErr w:type="spellStart"/>
      <w:r w:rsidRPr="0036483C">
        <w:rPr>
          <w:sz w:val="24"/>
          <w:szCs w:val="24"/>
        </w:rPr>
        <w:t>Lisnaksea</w:t>
      </w:r>
      <w:proofErr w:type="spellEnd"/>
      <w:r w:rsidRPr="0036483C">
        <w:rPr>
          <w:sz w:val="24"/>
          <w:szCs w:val="24"/>
        </w:rPr>
        <w:t xml:space="preserve"> High School (for which the WELB has a proposal to close &amp; amalgamate with Devenish College, in Enniskillen).  Again this calls into question the lack of transparency in the process </w:t>
      </w:r>
      <w:r w:rsidRPr="0036483C">
        <w:rPr>
          <w:sz w:val="24"/>
          <w:szCs w:val="24"/>
        </w:rPr>
        <w:lastRenderedPageBreak/>
        <w:t>being adopt</w:t>
      </w:r>
      <w:r w:rsidR="001A321F">
        <w:rPr>
          <w:sz w:val="24"/>
          <w:szCs w:val="24"/>
        </w:rPr>
        <w:t xml:space="preserve">ed by the Board and its disregard </w:t>
      </w:r>
      <w:r w:rsidRPr="0036483C">
        <w:rPr>
          <w:sz w:val="24"/>
          <w:szCs w:val="24"/>
        </w:rPr>
        <w:t>for ‘bottom-up’ suggested solutions.</w:t>
      </w:r>
      <w:r w:rsidRPr="0036483C">
        <w:rPr>
          <w:rFonts w:ascii="Calibri" w:hAnsi="Calibri"/>
          <w:sz w:val="24"/>
          <w:szCs w:val="24"/>
        </w:rPr>
        <w:t xml:space="preserve"> </w:t>
      </w:r>
    </w:p>
    <w:p w:rsidR="00ED7C5B" w:rsidRDefault="00B9637C" w:rsidP="003C2337">
      <w:pPr>
        <w:jc w:val="both"/>
        <w:rPr>
          <w:rFonts w:ascii="Calibri" w:hAnsi="Calibri"/>
          <w:sz w:val="24"/>
          <w:szCs w:val="24"/>
        </w:rPr>
      </w:pPr>
      <w:r>
        <w:rPr>
          <w:rFonts w:ascii="Calibri" w:hAnsi="Calibri"/>
          <w:sz w:val="24"/>
          <w:szCs w:val="24"/>
        </w:rPr>
        <w:t>These examples illustrate that the WELB appears to have learned nothing from their experience of participating in the post-primary review and, in fact, are acting in an arbitrary way</w:t>
      </w:r>
      <w:r w:rsidR="004A4B66">
        <w:rPr>
          <w:rFonts w:ascii="Calibri" w:hAnsi="Calibri"/>
          <w:sz w:val="24"/>
          <w:szCs w:val="24"/>
        </w:rPr>
        <w:t xml:space="preserve"> by ignoring ‘bottom-up’ cross-</w:t>
      </w:r>
      <w:proofErr w:type="spellStart"/>
      <w:r w:rsidR="004A4B66">
        <w:rPr>
          <w:rFonts w:ascii="Calibri" w:hAnsi="Calibri"/>
          <w:sz w:val="24"/>
          <w:szCs w:val="24"/>
        </w:rPr>
        <w:t>sectoral</w:t>
      </w:r>
      <w:proofErr w:type="spellEnd"/>
      <w:r w:rsidR="004A4B66">
        <w:rPr>
          <w:rFonts w:ascii="Calibri" w:hAnsi="Calibri"/>
          <w:sz w:val="24"/>
          <w:szCs w:val="24"/>
        </w:rPr>
        <w:t xml:space="preserve"> solutions despite explicit mention in the terms of reference for strategic planning to identify ‘opportunities for shared schooling on a cross-</w:t>
      </w:r>
      <w:proofErr w:type="spellStart"/>
      <w:r w:rsidR="004A4B66">
        <w:rPr>
          <w:rFonts w:ascii="Calibri" w:hAnsi="Calibri"/>
          <w:sz w:val="24"/>
          <w:szCs w:val="24"/>
        </w:rPr>
        <w:t>sectoral</w:t>
      </w:r>
      <w:proofErr w:type="spellEnd"/>
      <w:r w:rsidR="004A4B66">
        <w:rPr>
          <w:rFonts w:ascii="Calibri" w:hAnsi="Calibri"/>
          <w:sz w:val="24"/>
          <w:szCs w:val="24"/>
        </w:rPr>
        <w:t xml:space="preserve"> basis’. </w:t>
      </w:r>
    </w:p>
    <w:p w:rsidR="00BC2DBA" w:rsidRPr="00BC2DBA" w:rsidRDefault="0018320E" w:rsidP="003C2337">
      <w:pPr>
        <w:jc w:val="both"/>
        <w:rPr>
          <w:rFonts w:ascii="Calibri" w:hAnsi="Calibri"/>
          <w:b/>
          <w:sz w:val="28"/>
          <w:szCs w:val="28"/>
        </w:rPr>
      </w:pPr>
      <w:r w:rsidRPr="00BC2DBA">
        <w:rPr>
          <w:rFonts w:ascii="Calibri" w:hAnsi="Calibri"/>
          <w:b/>
          <w:sz w:val="28"/>
          <w:szCs w:val="28"/>
        </w:rPr>
        <w:t>Evidence of innovation</w:t>
      </w:r>
    </w:p>
    <w:p w:rsidR="0018320E" w:rsidRDefault="0018320E" w:rsidP="003C2337">
      <w:pPr>
        <w:jc w:val="both"/>
        <w:rPr>
          <w:rFonts w:ascii="Calibri" w:hAnsi="Calibri"/>
          <w:sz w:val="24"/>
          <w:szCs w:val="24"/>
        </w:rPr>
      </w:pPr>
      <w:r>
        <w:rPr>
          <w:rFonts w:ascii="Calibri" w:hAnsi="Calibri"/>
          <w:sz w:val="24"/>
          <w:szCs w:val="24"/>
        </w:rPr>
        <w:t>There are however examples where Boards have encouraged and responded to innovative and creative thinking</w:t>
      </w:r>
      <w:r w:rsidR="00403915">
        <w:rPr>
          <w:rStyle w:val="FootnoteReference"/>
          <w:rFonts w:ascii="Calibri" w:hAnsi="Calibri"/>
          <w:sz w:val="24"/>
          <w:szCs w:val="24"/>
        </w:rPr>
        <w:footnoteReference w:id="5"/>
      </w:r>
      <w:r>
        <w:rPr>
          <w:rFonts w:ascii="Calibri" w:hAnsi="Calibri"/>
          <w:sz w:val="24"/>
          <w:szCs w:val="24"/>
        </w:rPr>
        <w:t>.</w:t>
      </w:r>
      <w:r w:rsidR="00403915">
        <w:rPr>
          <w:rFonts w:ascii="Calibri" w:hAnsi="Calibri"/>
          <w:sz w:val="24"/>
          <w:szCs w:val="24"/>
        </w:rPr>
        <w:t xml:space="preserve"> Two case studies illustrate the point.</w:t>
      </w:r>
    </w:p>
    <w:p w:rsidR="00403915" w:rsidRDefault="00403915" w:rsidP="00BD44F0">
      <w:pPr>
        <w:pStyle w:val="ListParagraph"/>
        <w:numPr>
          <w:ilvl w:val="0"/>
          <w:numId w:val="6"/>
        </w:numPr>
        <w:jc w:val="both"/>
        <w:rPr>
          <w:rFonts w:ascii="Calibri" w:hAnsi="Calibri"/>
          <w:sz w:val="24"/>
          <w:szCs w:val="24"/>
        </w:rPr>
      </w:pPr>
      <w:proofErr w:type="spellStart"/>
      <w:r w:rsidRPr="00BD44F0">
        <w:rPr>
          <w:rFonts w:ascii="Calibri" w:hAnsi="Calibri"/>
          <w:b/>
          <w:sz w:val="24"/>
          <w:szCs w:val="24"/>
        </w:rPr>
        <w:t>Ballynahinch</w:t>
      </w:r>
      <w:proofErr w:type="spellEnd"/>
      <w:r w:rsidRPr="00BD44F0">
        <w:rPr>
          <w:rFonts w:ascii="Calibri" w:hAnsi="Calibri"/>
          <w:b/>
          <w:sz w:val="24"/>
          <w:szCs w:val="24"/>
        </w:rPr>
        <w:t>:</w:t>
      </w:r>
      <w:r w:rsidRPr="00BD44F0">
        <w:rPr>
          <w:rFonts w:ascii="Calibri" w:hAnsi="Calibri"/>
          <w:sz w:val="24"/>
          <w:szCs w:val="24"/>
        </w:rPr>
        <w:t xml:space="preserve"> The High School </w:t>
      </w:r>
      <w:proofErr w:type="spellStart"/>
      <w:r w:rsidRPr="00BD44F0">
        <w:rPr>
          <w:rFonts w:ascii="Calibri" w:hAnsi="Calibri"/>
          <w:sz w:val="24"/>
          <w:szCs w:val="24"/>
        </w:rPr>
        <w:t>Ballynahinch</w:t>
      </w:r>
      <w:proofErr w:type="spellEnd"/>
      <w:r w:rsidRPr="00BD44F0">
        <w:rPr>
          <w:rFonts w:ascii="Calibri" w:hAnsi="Calibri"/>
          <w:sz w:val="24"/>
          <w:szCs w:val="24"/>
        </w:rPr>
        <w:t xml:space="preserve"> and St Colman’s High School have a limited history of partnership working between the two schools</w:t>
      </w:r>
      <w:r w:rsidR="001B4D49" w:rsidRPr="00BD44F0">
        <w:rPr>
          <w:rFonts w:ascii="Calibri" w:hAnsi="Calibri"/>
          <w:sz w:val="24"/>
          <w:szCs w:val="24"/>
        </w:rPr>
        <w:t xml:space="preserve">. The draft area plan issued by the South Eastern Education and Library Board (SEELB) suggested a ‘strategic alliance’ between </w:t>
      </w:r>
      <w:proofErr w:type="spellStart"/>
      <w:r w:rsidR="001B4D49" w:rsidRPr="00BD44F0">
        <w:rPr>
          <w:rFonts w:ascii="Calibri" w:hAnsi="Calibri"/>
          <w:sz w:val="24"/>
          <w:szCs w:val="24"/>
        </w:rPr>
        <w:t>Ballynahinch</w:t>
      </w:r>
      <w:proofErr w:type="spellEnd"/>
      <w:r w:rsidR="001B4D49" w:rsidRPr="00BD44F0">
        <w:rPr>
          <w:rFonts w:ascii="Calibri" w:hAnsi="Calibri"/>
          <w:sz w:val="24"/>
          <w:szCs w:val="24"/>
        </w:rPr>
        <w:t xml:space="preserve"> High School and </w:t>
      </w:r>
      <w:proofErr w:type="spellStart"/>
      <w:r w:rsidR="001B4D49" w:rsidRPr="00BD44F0">
        <w:rPr>
          <w:rFonts w:ascii="Calibri" w:hAnsi="Calibri"/>
          <w:sz w:val="24"/>
          <w:szCs w:val="24"/>
        </w:rPr>
        <w:t>Saintfield</w:t>
      </w:r>
      <w:proofErr w:type="spellEnd"/>
      <w:r w:rsidR="001B4D49" w:rsidRPr="00BD44F0">
        <w:rPr>
          <w:rFonts w:ascii="Calibri" w:hAnsi="Calibri"/>
          <w:sz w:val="24"/>
          <w:szCs w:val="24"/>
        </w:rPr>
        <w:t xml:space="preserve"> High School and, separately, between Assumption Grammar (</w:t>
      </w:r>
      <w:proofErr w:type="spellStart"/>
      <w:r w:rsidR="001B4D49" w:rsidRPr="00BD44F0">
        <w:rPr>
          <w:rFonts w:ascii="Calibri" w:hAnsi="Calibri"/>
          <w:sz w:val="24"/>
          <w:szCs w:val="24"/>
        </w:rPr>
        <w:t>Saintfield</w:t>
      </w:r>
      <w:proofErr w:type="spellEnd"/>
      <w:r w:rsidR="001B4D49" w:rsidRPr="00BD44F0">
        <w:rPr>
          <w:rFonts w:ascii="Calibri" w:hAnsi="Calibri"/>
          <w:sz w:val="24"/>
          <w:szCs w:val="24"/>
        </w:rPr>
        <w:t>) and St Colman’s High School – an intra-</w:t>
      </w:r>
      <w:proofErr w:type="spellStart"/>
      <w:r w:rsidR="001B4D49" w:rsidRPr="00BD44F0">
        <w:rPr>
          <w:rFonts w:ascii="Calibri" w:hAnsi="Calibri"/>
          <w:sz w:val="24"/>
          <w:szCs w:val="24"/>
        </w:rPr>
        <w:t>sectoral</w:t>
      </w:r>
      <w:proofErr w:type="spellEnd"/>
      <w:r w:rsidR="001B4D49" w:rsidRPr="00BD44F0">
        <w:rPr>
          <w:rFonts w:ascii="Calibri" w:hAnsi="Calibri"/>
          <w:sz w:val="24"/>
          <w:szCs w:val="24"/>
        </w:rPr>
        <w:t xml:space="preserve"> ‘solution’.  Principals </w:t>
      </w:r>
      <w:r w:rsidR="0064562C" w:rsidRPr="00BD44F0">
        <w:rPr>
          <w:rFonts w:ascii="Calibri" w:hAnsi="Calibri"/>
          <w:sz w:val="24"/>
          <w:szCs w:val="24"/>
        </w:rPr>
        <w:t xml:space="preserve">in the area did </w:t>
      </w:r>
      <w:r w:rsidR="0064562C" w:rsidRPr="00B27F55">
        <w:rPr>
          <w:rFonts w:ascii="Calibri" w:hAnsi="Calibri"/>
          <w:sz w:val="24"/>
          <w:szCs w:val="24"/>
          <w:u w:val="single"/>
        </w:rPr>
        <w:t>not</w:t>
      </w:r>
      <w:r w:rsidR="0064562C" w:rsidRPr="00BD44F0">
        <w:rPr>
          <w:rFonts w:ascii="Calibri" w:hAnsi="Calibri"/>
          <w:sz w:val="24"/>
          <w:szCs w:val="24"/>
        </w:rPr>
        <w:t xml:space="preserve"> see these proposals as the most effective way to develop education for 11-19 year olds. As a result, they submitted an alternative model for provision to the consultation </w:t>
      </w:r>
      <w:r w:rsidR="00B27F55">
        <w:rPr>
          <w:rFonts w:ascii="Calibri" w:hAnsi="Calibri"/>
          <w:sz w:val="24"/>
          <w:szCs w:val="24"/>
        </w:rPr>
        <w:t xml:space="preserve">process </w:t>
      </w:r>
      <w:r w:rsidR="0064562C" w:rsidRPr="00BD44F0">
        <w:rPr>
          <w:rFonts w:ascii="Calibri" w:hAnsi="Calibri"/>
          <w:sz w:val="24"/>
          <w:szCs w:val="24"/>
        </w:rPr>
        <w:t xml:space="preserve">involving collaborative provision between the High School </w:t>
      </w:r>
      <w:proofErr w:type="spellStart"/>
      <w:r w:rsidR="0064562C" w:rsidRPr="00BD44F0">
        <w:rPr>
          <w:rFonts w:ascii="Calibri" w:hAnsi="Calibri"/>
          <w:sz w:val="24"/>
          <w:szCs w:val="24"/>
        </w:rPr>
        <w:t>Ballynahinch</w:t>
      </w:r>
      <w:proofErr w:type="spellEnd"/>
      <w:r w:rsidR="0064562C" w:rsidRPr="00BD44F0">
        <w:rPr>
          <w:rFonts w:ascii="Calibri" w:hAnsi="Calibri"/>
          <w:sz w:val="24"/>
          <w:szCs w:val="24"/>
        </w:rPr>
        <w:t xml:space="preserve"> and St Colman’s High School. The revised plans accepted these suggestions where the SEELB and CCMS would work towards a ‘</w:t>
      </w:r>
      <w:proofErr w:type="spellStart"/>
      <w:r w:rsidR="0064562C" w:rsidRPr="00BD44F0">
        <w:rPr>
          <w:rFonts w:ascii="Calibri" w:hAnsi="Calibri"/>
          <w:sz w:val="24"/>
          <w:szCs w:val="24"/>
        </w:rPr>
        <w:t>Ballynahinch</w:t>
      </w:r>
      <w:proofErr w:type="spellEnd"/>
      <w:r w:rsidR="0064562C" w:rsidRPr="00BD44F0">
        <w:rPr>
          <w:rFonts w:ascii="Calibri" w:hAnsi="Calibri"/>
          <w:sz w:val="24"/>
          <w:szCs w:val="24"/>
        </w:rPr>
        <w:t xml:space="preserve"> solution’ involving a significant amount of cross-</w:t>
      </w:r>
      <w:proofErr w:type="spellStart"/>
      <w:r w:rsidR="0064562C" w:rsidRPr="00BD44F0">
        <w:rPr>
          <w:rFonts w:ascii="Calibri" w:hAnsi="Calibri"/>
          <w:sz w:val="24"/>
          <w:szCs w:val="24"/>
        </w:rPr>
        <w:t>sectoral</w:t>
      </w:r>
      <w:proofErr w:type="spellEnd"/>
      <w:r w:rsidR="0064562C" w:rsidRPr="00BD44F0">
        <w:rPr>
          <w:rFonts w:ascii="Calibri" w:hAnsi="Calibri"/>
          <w:sz w:val="24"/>
          <w:szCs w:val="24"/>
        </w:rPr>
        <w:t xml:space="preserve"> collaboration.</w:t>
      </w:r>
      <w:r w:rsidR="002A4D14" w:rsidRPr="00BD44F0">
        <w:rPr>
          <w:rFonts w:ascii="Calibri" w:hAnsi="Calibri"/>
          <w:sz w:val="24"/>
          <w:szCs w:val="24"/>
        </w:rPr>
        <w:t xml:space="preserve"> Both CCMS and the SEELB have supported the model of shared education between the schools. This was as a result of lobbying and represents a significant change to the original plans.</w:t>
      </w:r>
    </w:p>
    <w:p w:rsidR="00BD44F0" w:rsidRPr="00BD44F0" w:rsidRDefault="00BD44F0" w:rsidP="00BD44F0">
      <w:pPr>
        <w:pStyle w:val="ListParagraph"/>
        <w:ind w:left="1080"/>
        <w:jc w:val="both"/>
        <w:rPr>
          <w:rFonts w:ascii="Calibri" w:hAnsi="Calibri"/>
          <w:sz w:val="24"/>
          <w:szCs w:val="24"/>
        </w:rPr>
      </w:pPr>
    </w:p>
    <w:p w:rsidR="002C7CD4" w:rsidRPr="00BD44F0" w:rsidRDefault="002C7CD4" w:rsidP="00BD44F0">
      <w:pPr>
        <w:pStyle w:val="ListParagraph"/>
        <w:numPr>
          <w:ilvl w:val="0"/>
          <w:numId w:val="6"/>
        </w:numPr>
        <w:jc w:val="both"/>
        <w:rPr>
          <w:rFonts w:ascii="Calibri" w:hAnsi="Calibri"/>
          <w:sz w:val="24"/>
          <w:szCs w:val="24"/>
        </w:rPr>
      </w:pPr>
      <w:proofErr w:type="spellStart"/>
      <w:r w:rsidRPr="00BD44F0">
        <w:rPr>
          <w:rFonts w:ascii="Calibri" w:hAnsi="Calibri"/>
          <w:b/>
          <w:sz w:val="24"/>
          <w:szCs w:val="24"/>
        </w:rPr>
        <w:t>Ballymoney</w:t>
      </w:r>
      <w:proofErr w:type="spellEnd"/>
      <w:r w:rsidRPr="00BD44F0">
        <w:rPr>
          <w:rFonts w:ascii="Calibri" w:hAnsi="Calibri"/>
          <w:b/>
          <w:sz w:val="24"/>
          <w:szCs w:val="24"/>
        </w:rPr>
        <w:t>:</w:t>
      </w:r>
      <w:r w:rsidRPr="00BD44F0">
        <w:rPr>
          <w:rFonts w:ascii="Calibri" w:hAnsi="Calibri"/>
          <w:sz w:val="24"/>
          <w:szCs w:val="24"/>
        </w:rPr>
        <w:t xml:space="preserve"> </w:t>
      </w:r>
      <w:proofErr w:type="spellStart"/>
      <w:r w:rsidRPr="00BD44F0">
        <w:rPr>
          <w:rFonts w:ascii="Calibri" w:hAnsi="Calibri"/>
          <w:sz w:val="24"/>
          <w:szCs w:val="24"/>
        </w:rPr>
        <w:t>Dalrida</w:t>
      </w:r>
      <w:proofErr w:type="spellEnd"/>
      <w:r w:rsidRPr="00BD44F0">
        <w:rPr>
          <w:rFonts w:ascii="Calibri" w:hAnsi="Calibri"/>
          <w:sz w:val="24"/>
          <w:szCs w:val="24"/>
        </w:rPr>
        <w:t xml:space="preserve"> and Our Lady of Lourdes have been working together to extend the curricular choice for pupils</w:t>
      </w:r>
      <w:r w:rsidR="00B27F55">
        <w:rPr>
          <w:rFonts w:ascii="Calibri" w:hAnsi="Calibri"/>
          <w:sz w:val="24"/>
          <w:szCs w:val="24"/>
        </w:rPr>
        <w:t>,</w:t>
      </w:r>
      <w:r w:rsidRPr="00BD44F0">
        <w:rPr>
          <w:rFonts w:ascii="Calibri" w:hAnsi="Calibri"/>
          <w:sz w:val="24"/>
          <w:szCs w:val="24"/>
        </w:rPr>
        <w:t xml:space="preserve"> and to a lesser extent with </w:t>
      </w:r>
      <w:proofErr w:type="spellStart"/>
      <w:r w:rsidRPr="00BD44F0">
        <w:rPr>
          <w:rFonts w:ascii="Calibri" w:hAnsi="Calibri"/>
          <w:sz w:val="24"/>
          <w:szCs w:val="24"/>
        </w:rPr>
        <w:t>Ballymoney</w:t>
      </w:r>
      <w:proofErr w:type="spellEnd"/>
      <w:r w:rsidRPr="00BD44F0">
        <w:rPr>
          <w:rFonts w:ascii="Calibri" w:hAnsi="Calibri"/>
          <w:sz w:val="24"/>
          <w:szCs w:val="24"/>
        </w:rPr>
        <w:t xml:space="preserve"> High School through the area learning community. The North Eastern Education and Library Board (NEELB) proposed</w:t>
      </w:r>
      <w:r w:rsidR="00B27F55">
        <w:rPr>
          <w:rFonts w:ascii="Calibri" w:hAnsi="Calibri"/>
          <w:sz w:val="24"/>
          <w:szCs w:val="24"/>
        </w:rPr>
        <w:t>,</w:t>
      </w:r>
      <w:r w:rsidRPr="00BD44F0">
        <w:rPr>
          <w:rFonts w:ascii="Calibri" w:hAnsi="Calibri"/>
          <w:sz w:val="24"/>
          <w:szCs w:val="24"/>
        </w:rPr>
        <w:t xml:space="preserve"> </w:t>
      </w:r>
      <w:r w:rsidR="002A4D14" w:rsidRPr="00BD44F0">
        <w:rPr>
          <w:rFonts w:ascii="Calibri" w:hAnsi="Calibri"/>
          <w:sz w:val="24"/>
          <w:szCs w:val="24"/>
        </w:rPr>
        <w:t>somewhat surprisingly</w:t>
      </w:r>
      <w:r w:rsidR="00B27F55">
        <w:rPr>
          <w:rFonts w:ascii="Calibri" w:hAnsi="Calibri"/>
          <w:sz w:val="24"/>
          <w:szCs w:val="24"/>
        </w:rPr>
        <w:t>,</w:t>
      </w:r>
      <w:r w:rsidR="002A4D14" w:rsidRPr="00BD44F0">
        <w:rPr>
          <w:rFonts w:ascii="Calibri" w:hAnsi="Calibri"/>
          <w:sz w:val="24"/>
          <w:szCs w:val="24"/>
        </w:rPr>
        <w:t xml:space="preserve"> </w:t>
      </w:r>
      <w:r w:rsidRPr="00BD44F0">
        <w:rPr>
          <w:rFonts w:ascii="Calibri" w:hAnsi="Calibri"/>
          <w:sz w:val="24"/>
          <w:szCs w:val="24"/>
        </w:rPr>
        <w:t xml:space="preserve">in the draft plan ‘to explore the establishment of a shared management 11-19 co-educational school incorporating </w:t>
      </w:r>
      <w:proofErr w:type="spellStart"/>
      <w:r w:rsidRPr="00BD44F0">
        <w:rPr>
          <w:rFonts w:ascii="Calibri" w:hAnsi="Calibri"/>
          <w:sz w:val="24"/>
          <w:szCs w:val="24"/>
        </w:rPr>
        <w:t>Ballymoney</w:t>
      </w:r>
      <w:proofErr w:type="spellEnd"/>
      <w:r w:rsidRPr="00BD44F0">
        <w:rPr>
          <w:rFonts w:ascii="Calibri" w:hAnsi="Calibri"/>
          <w:sz w:val="24"/>
          <w:szCs w:val="24"/>
        </w:rPr>
        <w:t xml:space="preserve"> High School and Our Lady of Lourdes High School from September 2014 operating on a split site’. </w:t>
      </w:r>
      <w:r w:rsidR="002A4D14" w:rsidRPr="00BD44F0">
        <w:rPr>
          <w:rFonts w:ascii="Calibri" w:hAnsi="Calibri"/>
          <w:sz w:val="24"/>
          <w:szCs w:val="24"/>
        </w:rPr>
        <w:t xml:space="preserve"> This was endorsed in the revised area plans and is seen as representing an excellent opportunity to provide a collaborative ‘town’ solution to 11-19 education</w:t>
      </w:r>
      <w:r w:rsidR="00B27F55">
        <w:rPr>
          <w:rFonts w:ascii="Calibri" w:hAnsi="Calibri"/>
          <w:sz w:val="24"/>
          <w:szCs w:val="24"/>
        </w:rPr>
        <w:t>,</w:t>
      </w:r>
      <w:r w:rsidR="002A4D14" w:rsidRPr="00BD44F0">
        <w:rPr>
          <w:rFonts w:ascii="Calibri" w:hAnsi="Calibri"/>
          <w:sz w:val="24"/>
          <w:szCs w:val="24"/>
        </w:rPr>
        <w:t xml:space="preserve"> as there exists maintained, controlled, selective and FE provision in the town. The provision of the entire 11-</w:t>
      </w:r>
      <w:r w:rsidR="002A4D14" w:rsidRPr="00BD44F0">
        <w:rPr>
          <w:rFonts w:ascii="Calibri" w:hAnsi="Calibri"/>
          <w:sz w:val="24"/>
          <w:szCs w:val="24"/>
        </w:rPr>
        <w:lastRenderedPageBreak/>
        <w:t>19 curriculum within the area will reduce duplication, allow providers to take a strategic view of need across all learners and implement more efficient delivery, rather than duplicating provision across all four providers. It also recognises that there is a minority Catholic community in the town, the removal of which would further isolate this community.</w:t>
      </w:r>
    </w:p>
    <w:p w:rsidR="0018320E" w:rsidRPr="00BC2DBA" w:rsidRDefault="00800990" w:rsidP="003C2337">
      <w:pPr>
        <w:jc w:val="both"/>
        <w:rPr>
          <w:rFonts w:ascii="Calibri" w:hAnsi="Calibri"/>
          <w:b/>
          <w:sz w:val="28"/>
          <w:szCs w:val="28"/>
        </w:rPr>
      </w:pPr>
      <w:r w:rsidRPr="00BC2DBA">
        <w:rPr>
          <w:rFonts w:ascii="Calibri" w:hAnsi="Calibri"/>
          <w:b/>
          <w:sz w:val="28"/>
          <w:szCs w:val="28"/>
        </w:rPr>
        <w:t>Conclusions</w:t>
      </w:r>
    </w:p>
    <w:p w:rsidR="008626AB" w:rsidRDefault="00800990" w:rsidP="003C2337">
      <w:pPr>
        <w:jc w:val="both"/>
        <w:rPr>
          <w:rFonts w:ascii="Calibri" w:hAnsi="Calibri"/>
          <w:sz w:val="24"/>
          <w:szCs w:val="24"/>
        </w:rPr>
      </w:pPr>
      <w:r>
        <w:rPr>
          <w:rFonts w:ascii="Calibri" w:hAnsi="Calibri"/>
          <w:sz w:val="24"/>
          <w:szCs w:val="24"/>
        </w:rPr>
        <w:t>There are several conclusions which can be drawn from this short paper. First, the massive response (</w:t>
      </w:r>
      <w:r w:rsidR="008F4483">
        <w:rPr>
          <w:rFonts w:ascii="Calibri" w:hAnsi="Calibri"/>
          <w:sz w:val="24"/>
          <w:szCs w:val="24"/>
        </w:rPr>
        <w:t xml:space="preserve">n = </w:t>
      </w:r>
      <w:r>
        <w:rPr>
          <w:rFonts w:ascii="Calibri" w:hAnsi="Calibri"/>
          <w:sz w:val="24"/>
          <w:szCs w:val="24"/>
        </w:rPr>
        <w:t xml:space="preserve">49,415) which the post-primary area plans attracted shows an appetite for consultation and involvement by the public in the future of education. This is hugely welcome but needs to be taken seriously by the managing authorities. Second, and notwithstanding the volume </w:t>
      </w:r>
      <w:r w:rsidR="00166B08">
        <w:rPr>
          <w:rFonts w:ascii="Calibri" w:hAnsi="Calibri"/>
          <w:sz w:val="24"/>
          <w:szCs w:val="24"/>
        </w:rPr>
        <w:t xml:space="preserve">of responses so far, the quantity </w:t>
      </w:r>
      <w:r>
        <w:rPr>
          <w:rFonts w:ascii="Calibri" w:hAnsi="Calibri"/>
          <w:sz w:val="24"/>
          <w:szCs w:val="24"/>
        </w:rPr>
        <w:t>of paperwork for the public to read and digest makes it inaccessible and tedious for large sections of the population and demands access to on-line resources. Although provision can be made for hard copy access, the default position is that the documents are available on-l</w:t>
      </w:r>
      <w:r w:rsidR="00A46023">
        <w:rPr>
          <w:rFonts w:ascii="Calibri" w:hAnsi="Calibri"/>
          <w:sz w:val="24"/>
          <w:szCs w:val="24"/>
        </w:rPr>
        <w:t xml:space="preserve">ine. This, in itself, can become an </w:t>
      </w:r>
      <w:r>
        <w:rPr>
          <w:rFonts w:ascii="Calibri" w:hAnsi="Calibri"/>
          <w:sz w:val="24"/>
          <w:szCs w:val="24"/>
        </w:rPr>
        <w:t xml:space="preserve">obstacle </w:t>
      </w:r>
      <w:r w:rsidR="00A46023">
        <w:rPr>
          <w:rFonts w:ascii="Calibri" w:hAnsi="Calibri"/>
          <w:sz w:val="24"/>
          <w:szCs w:val="24"/>
        </w:rPr>
        <w:t>when considering a</w:t>
      </w:r>
      <w:r>
        <w:rPr>
          <w:rFonts w:ascii="Calibri" w:hAnsi="Calibri"/>
          <w:sz w:val="24"/>
          <w:szCs w:val="24"/>
        </w:rPr>
        <w:t xml:space="preserve"> large volume of information. Third, this paper has evidenced how one </w:t>
      </w:r>
      <w:r w:rsidR="00A46023">
        <w:rPr>
          <w:rFonts w:ascii="Calibri" w:hAnsi="Calibri"/>
          <w:sz w:val="24"/>
          <w:szCs w:val="24"/>
        </w:rPr>
        <w:t xml:space="preserve">education and library </w:t>
      </w:r>
      <w:r>
        <w:rPr>
          <w:rFonts w:ascii="Calibri" w:hAnsi="Calibri"/>
          <w:sz w:val="24"/>
          <w:szCs w:val="24"/>
        </w:rPr>
        <w:t>board, in particular, has chosen to ignore</w:t>
      </w:r>
      <w:r w:rsidR="00420145">
        <w:rPr>
          <w:rFonts w:ascii="Calibri" w:hAnsi="Calibri"/>
          <w:sz w:val="24"/>
          <w:szCs w:val="24"/>
        </w:rPr>
        <w:t xml:space="preserve"> grassroots opinion </w:t>
      </w:r>
      <w:r w:rsidR="008F4483">
        <w:rPr>
          <w:rFonts w:ascii="Calibri" w:hAnsi="Calibri"/>
          <w:sz w:val="24"/>
          <w:szCs w:val="24"/>
        </w:rPr>
        <w:t>which offers</w:t>
      </w:r>
      <w:r w:rsidR="00420145">
        <w:rPr>
          <w:rFonts w:ascii="Calibri" w:hAnsi="Calibri"/>
          <w:sz w:val="24"/>
          <w:szCs w:val="24"/>
        </w:rPr>
        <w:t xml:space="preserve"> potential local solutions. This represents t</w:t>
      </w:r>
      <w:r w:rsidR="00736A82">
        <w:rPr>
          <w:rFonts w:ascii="Calibri" w:hAnsi="Calibri"/>
          <w:sz w:val="24"/>
          <w:szCs w:val="24"/>
        </w:rPr>
        <w:t>he</w:t>
      </w:r>
      <w:r w:rsidR="00420145">
        <w:rPr>
          <w:rFonts w:ascii="Calibri" w:hAnsi="Calibri"/>
          <w:sz w:val="24"/>
          <w:szCs w:val="24"/>
        </w:rPr>
        <w:t xml:space="preserve"> worse type of paternalism on the part</w:t>
      </w:r>
      <w:r w:rsidR="008F4483">
        <w:rPr>
          <w:rFonts w:ascii="Calibri" w:hAnsi="Calibri"/>
          <w:sz w:val="24"/>
          <w:szCs w:val="24"/>
        </w:rPr>
        <w:t xml:space="preserve"> of school managing authorities;</w:t>
      </w:r>
      <w:r w:rsidR="00420145">
        <w:rPr>
          <w:rFonts w:ascii="Calibri" w:hAnsi="Calibri"/>
          <w:sz w:val="24"/>
          <w:szCs w:val="24"/>
        </w:rPr>
        <w:t xml:space="preserve"> a ‘we know best attitude’ reinforced by a needs model in the area plans which is based on 3 separate sectors: controlled, maintain</w:t>
      </w:r>
      <w:r w:rsidR="00A46023">
        <w:rPr>
          <w:rFonts w:ascii="Calibri" w:hAnsi="Calibri"/>
          <w:sz w:val="24"/>
          <w:szCs w:val="24"/>
        </w:rPr>
        <w:t xml:space="preserve">ed and integrated schools. Such an approach </w:t>
      </w:r>
      <w:r w:rsidR="00420145">
        <w:rPr>
          <w:rFonts w:ascii="Calibri" w:hAnsi="Calibri"/>
          <w:sz w:val="24"/>
          <w:szCs w:val="24"/>
        </w:rPr>
        <w:t xml:space="preserve">stifles </w:t>
      </w:r>
      <w:r w:rsidR="00027DE3">
        <w:rPr>
          <w:rFonts w:ascii="Calibri" w:hAnsi="Calibri"/>
          <w:sz w:val="24"/>
          <w:szCs w:val="24"/>
        </w:rPr>
        <w:t>‘</w:t>
      </w:r>
      <w:r w:rsidR="00420145">
        <w:rPr>
          <w:rFonts w:ascii="Calibri" w:hAnsi="Calibri"/>
          <w:sz w:val="24"/>
          <w:szCs w:val="24"/>
        </w:rPr>
        <w:t>innovation and creativity</w:t>
      </w:r>
      <w:r w:rsidR="008F4483">
        <w:rPr>
          <w:rFonts w:ascii="Calibri" w:hAnsi="Calibri"/>
          <w:sz w:val="24"/>
          <w:szCs w:val="24"/>
        </w:rPr>
        <w:t>’ which DE implored the ELBs</w:t>
      </w:r>
      <w:r w:rsidR="00027DE3">
        <w:rPr>
          <w:rFonts w:ascii="Calibri" w:hAnsi="Calibri"/>
          <w:sz w:val="24"/>
          <w:szCs w:val="24"/>
        </w:rPr>
        <w:t xml:space="preserve"> and CCMS to </w:t>
      </w:r>
      <w:r w:rsidR="00736A82">
        <w:rPr>
          <w:rFonts w:ascii="Calibri" w:hAnsi="Calibri"/>
          <w:sz w:val="24"/>
          <w:szCs w:val="24"/>
        </w:rPr>
        <w:t>embrace in their approach to area planning.</w:t>
      </w:r>
      <w:r w:rsidR="008F4483">
        <w:rPr>
          <w:rFonts w:ascii="Calibri" w:hAnsi="Calibri"/>
          <w:sz w:val="24"/>
          <w:szCs w:val="24"/>
        </w:rPr>
        <w:t xml:space="preserve"> Finally, t</w:t>
      </w:r>
      <w:r w:rsidR="00BF4690">
        <w:rPr>
          <w:rFonts w:ascii="Calibri" w:hAnsi="Calibri"/>
          <w:sz w:val="24"/>
          <w:szCs w:val="24"/>
        </w:rPr>
        <w:t>he Education Minister has encouraged public engagement in the future reorganisation of the education estate, in particula</w:t>
      </w:r>
      <w:r w:rsidR="008F4483">
        <w:rPr>
          <w:rFonts w:ascii="Calibri" w:hAnsi="Calibri"/>
          <w:sz w:val="24"/>
          <w:szCs w:val="24"/>
        </w:rPr>
        <w:t xml:space="preserve">r bottom-up solutions. The </w:t>
      </w:r>
      <w:r w:rsidR="00BF4690">
        <w:rPr>
          <w:rFonts w:ascii="Calibri" w:hAnsi="Calibri"/>
          <w:sz w:val="24"/>
          <w:szCs w:val="24"/>
        </w:rPr>
        <w:t>evidence in this paper indicates that people are much more</w:t>
      </w:r>
      <w:r w:rsidR="008F4483">
        <w:rPr>
          <w:rFonts w:ascii="Calibri" w:hAnsi="Calibri"/>
          <w:sz w:val="24"/>
          <w:szCs w:val="24"/>
        </w:rPr>
        <w:t xml:space="preserve"> advanced in their thinking than</w:t>
      </w:r>
      <w:r w:rsidR="00BF4690">
        <w:rPr>
          <w:rFonts w:ascii="Calibri" w:hAnsi="Calibri"/>
          <w:sz w:val="24"/>
          <w:szCs w:val="24"/>
        </w:rPr>
        <w:t xml:space="preserve"> managing authorities which have acted as gatekeepers for local solutions and sought to protect their own </w:t>
      </w:r>
      <w:proofErr w:type="spellStart"/>
      <w:r w:rsidR="00BF4690">
        <w:rPr>
          <w:rFonts w:ascii="Calibri" w:hAnsi="Calibri"/>
          <w:sz w:val="24"/>
          <w:szCs w:val="24"/>
        </w:rPr>
        <w:t>sectoral</w:t>
      </w:r>
      <w:proofErr w:type="spellEnd"/>
      <w:r w:rsidR="00BF4690">
        <w:rPr>
          <w:rFonts w:ascii="Calibri" w:hAnsi="Calibri"/>
          <w:sz w:val="24"/>
          <w:szCs w:val="24"/>
        </w:rPr>
        <w:t xml:space="preserve"> interests. </w:t>
      </w:r>
      <w:r w:rsidR="00D837D6">
        <w:rPr>
          <w:rFonts w:ascii="Calibri" w:hAnsi="Calibri"/>
          <w:sz w:val="24"/>
          <w:szCs w:val="24"/>
        </w:rPr>
        <w:t xml:space="preserve">The </w:t>
      </w:r>
      <w:r w:rsidR="00BF4690">
        <w:rPr>
          <w:rFonts w:ascii="Calibri" w:hAnsi="Calibri"/>
          <w:sz w:val="24"/>
          <w:szCs w:val="24"/>
        </w:rPr>
        <w:t>indications are that consultation over the future of primary schools will repeat the same failed approach.</w:t>
      </w:r>
      <w:r w:rsidR="008626AB">
        <w:rPr>
          <w:rFonts w:ascii="Calibri" w:hAnsi="Calibri"/>
          <w:sz w:val="24"/>
          <w:szCs w:val="24"/>
        </w:rPr>
        <w:t xml:space="preserve"> Local communities are up for change. The key question is </w:t>
      </w:r>
      <w:r w:rsidR="008F4483">
        <w:rPr>
          <w:rFonts w:ascii="Calibri" w:hAnsi="Calibri"/>
          <w:sz w:val="24"/>
          <w:szCs w:val="24"/>
        </w:rPr>
        <w:t xml:space="preserve">whether their views will be taken </w:t>
      </w:r>
      <w:r w:rsidR="008626AB">
        <w:rPr>
          <w:rFonts w:ascii="Calibri" w:hAnsi="Calibri"/>
          <w:sz w:val="24"/>
          <w:szCs w:val="24"/>
        </w:rPr>
        <w:t xml:space="preserve">seriously by </w:t>
      </w:r>
      <w:r w:rsidR="008F4483">
        <w:rPr>
          <w:rFonts w:ascii="Calibri" w:hAnsi="Calibri"/>
          <w:sz w:val="24"/>
          <w:szCs w:val="24"/>
        </w:rPr>
        <w:t xml:space="preserve">school </w:t>
      </w:r>
      <w:r w:rsidR="008626AB">
        <w:rPr>
          <w:rFonts w:ascii="Calibri" w:hAnsi="Calibri"/>
          <w:sz w:val="24"/>
          <w:szCs w:val="24"/>
        </w:rPr>
        <w:t>managing authorities and the Department of Education</w:t>
      </w:r>
      <w:r w:rsidR="008F4483">
        <w:rPr>
          <w:rFonts w:ascii="Calibri" w:hAnsi="Calibri"/>
          <w:sz w:val="24"/>
          <w:szCs w:val="24"/>
        </w:rPr>
        <w:t xml:space="preserve"> – true public consultation or tokenism</w:t>
      </w:r>
      <w:r w:rsidR="008626AB">
        <w:rPr>
          <w:rFonts w:ascii="Calibri" w:hAnsi="Calibri"/>
          <w:sz w:val="24"/>
          <w:szCs w:val="24"/>
        </w:rPr>
        <w:t>?</w:t>
      </w:r>
    </w:p>
    <w:p w:rsidR="008626AB" w:rsidRDefault="008626AB" w:rsidP="003C2337">
      <w:pPr>
        <w:jc w:val="both"/>
        <w:rPr>
          <w:rFonts w:ascii="Calibri" w:hAnsi="Calibri"/>
          <w:sz w:val="24"/>
          <w:szCs w:val="24"/>
        </w:rPr>
      </w:pPr>
    </w:p>
    <w:p w:rsidR="003C2337" w:rsidRDefault="003C2337" w:rsidP="003C2337">
      <w:pPr>
        <w:jc w:val="both"/>
        <w:rPr>
          <w:rFonts w:ascii="Calibri" w:hAnsi="Calibri"/>
          <w:sz w:val="24"/>
          <w:szCs w:val="24"/>
        </w:rPr>
      </w:pPr>
    </w:p>
    <w:p w:rsidR="003C2337" w:rsidRPr="00623252" w:rsidRDefault="003C2337" w:rsidP="009752E2">
      <w:pPr>
        <w:spacing w:after="0" w:line="240" w:lineRule="auto"/>
        <w:jc w:val="both"/>
        <w:rPr>
          <w:rFonts w:ascii="Calibri" w:hAnsi="Calibri"/>
          <w:sz w:val="24"/>
          <w:szCs w:val="24"/>
        </w:rPr>
      </w:pPr>
    </w:p>
    <w:sectPr w:rsidR="003C2337" w:rsidRPr="00623252" w:rsidSect="001E6197">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F13" w:rsidRDefault="005C0F13" w:rsidP="006C4192">
      <w:pPr>
        <w:spacing w:after="0" w:line="240" w:lineRule="auto"/>
      </w:pPr>
      <w:r>
        <w:separator/>
      </w:r>
    </w:p>
  </w:endnote>
  <w:endnote w:type="continuationSeparator" w:id="0">
    <w:p w:rsidR="005C0F13" w:rsidRDefault="005C0F13" w:rsidP="006C4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01"/>
      <w:docPartObj>
        <w:docPartGallery w:val="Page Numbers (Bottom of Page)"/>
        <w:docPartUnique/>
      </w:docPartObj>
    </w:sdtPr>
    <w:sdtContent>
      <w:p w:rsidR="00225792" w:rsidRDefault="00FE3B7F">
        <w:pPr>
          <w:pStyle w:val="Footer"/>
          <w:jc w:val="right"/>
        </w:pPr>
        <w:fldSimple w:instr=" PAGE   \* MERGEFORMAT ">
          <w:r w:rsidR="002707FB">
            <w:rPr>
              <w:noProof/>
            </w:rPr>
            <w:t>12</w:t>
          </w:r>
        </w:fldSimple>
      </w:p>
    </w:sdtContent>
  </w:sdt>
  <w:p w:rsidR="00225792" w:rsidRDefault="00225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329"/>
      <w:docPartObj>
        <w:docPartGallery w:val="Page Numbers (Bottom of Page)"/>
        <w:docPartUnique/>
      </w:docPartObj>
    </w:sdtPr>
    <w:sdtContent>
      <w:p w:rsidR="00800990" w:rsidRDefault="00FE3B7F">
        <w:pPr>
          <w:pStyle w:val="Footer"/>
          <w:jc w:val="right"/>
        </w:pPr>
        <w:fldSimple w:instr=" PAGE   \* MERGEFORMAT ">
          <w:r w:rsidR="002707FB">
            <w:rPr>
              <w:noProof/>
            </w:rPr>
            <w:t>17</w:t>
          </w:r>
        </w:fldSimple>
      </w:p>
    </w:sdtContent>
  </w:sdt>
  <w:p w:rsidR="00800990" w:rsidRDefault="00800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F13" w:rsidRDefault="005C0F13" w:rsidP="006C4192">
      <w:pPr>
        <w:spacing w:after="0" w:line="240" w:lineRule="auto"/>
      </w:pPr>
      <w:r>
        <w:separator/>
      </w:r>
    </w:p>
  </w:footnote>
  <w:footnote w:type="continuationSeparator" w:id="0">
    <w:p w:rsidR="005C0F13" w:rsidRDefault="005C0F13" w:rsidP="006C4192">
      <w:pPr>
        <w:spacing w:after="0" w:line="240" w:lineRule="auto"/>
      </w:pPr>
      <w:r>
        <w:continuationSeparator/>
      </w:r>
    </w:p>
  </w:footnote>
  <w:footnote w:id="1">
    <w:p w:rsidR="00800990" w:rsidRDefault="00800990">
      <w:pPr>
        <w:pStyle w:val="FootnoteText"/>
      </w:pPr>
      <w:r>
        <w:rPr>
          <w:rStyle w:val="FootnoteReference"/>
        </w:rPr>
        <w:footnoteRef/>
      </w:r>
      <w:r>
        <w:t xml:space="preserve"> We have combined questionnaire responses given in a generic format (not linked to a specific council area) plus the 5 council areas as a way of providing an overview of the entire WELB constituency.</w:t>
      </w:r>
    </w:p>
  </w:footnote>
  <w:footnote w:id="2">
    <w:p w:rsidR="00800990" w:rsidRPr="007A5EAC" w:rsidRDefault="00800990">
      <w:pPr>
        <w:pStyle w:val="FootnoteText"/>
      </w:pPr>
      <w:r>
        <w:rPr>
          <w:rStyle w:val="FootnoteReference"/>
        </w:rPr>
        <w:footnoteRef/>
      </w:r>
      <w:r>
        <w:t xml:space="preserve"> </w:t>
      </w:r>
      <w:r w:rsidRPr="007A5EAC">
        <w:t xml:space="preserve">We wish to acknowledge </w:t>
      </w:r>
      <w:r>
        <w:t xml:space="preserve">and thank </w:t>
      </w:r>
      <w:r w:rsidRPr="007A5EAC">
        <w:t xml:space="preserve">Queen’s University, Belfast (Shared </w:t>
      </w:r>
      <w:r>
        <w:t>Education Programme) for examples provided.</w:t>
      </w:r>
    </w:p>
  </w:footnote>
  <w:footnote w:id="3">
    <w:p w:rsidR="00800990" w:rsidRDefault="00800990" w:rsidP="003C2337">
      <w:pPr>
        <w:pStyle w:val="FootnoteText"/>
      </w:pPr>
      <w:r w:rsidRPr="007A5EAC">
        <w:rPr>
          <w:rStyle w:val="FootnoteReference"/>
        </w:rPr>
        <w:footnoteRef/>
      </w:r>
      <w:r w:rsidRPr="007A5EAC">
        <w:t xml:space="preserve"> Details of the hard copy responses were keyed into the online facility, for inclusion in the statistical analysis</w:t>
      </w:r>
    </w:p>
  </w:footnote>
  <w:footnote w:id="4">
    <w:p w:rsidR="00800990" w:rsidRDefault="00800990">
      <w:pPr>
        <w:pStyle w:val="FootnoteText"/>
      </w:pPr>
      <w:r>
        <w:rPr>
          <w:rStyle w:val="FootnoteReference"/>
        </w:rPr>
        <w:footnoteRef/>
      </w:r>
      <w:r>
        <w:t xml:space="preserve"> We wish to acknowledge and thank the Fermanagh Trust (Shared Education Programme) for examples in this area.</w:t>
      </w:r>
    </w:p>
  </w:footnote>
  <w:footnote w:id="5">
    <w:p w:rsidR="00800990" w:rsidRDefault="00800990">
      <w:pPr>
        <w:pStyle w:val="FootnoteText"/>
      </w:pPr>
      <w:r>
        <w:rPr>
          <w:rStyle w:val="FootnoteReference"/>
        </w:rPr>
        <w:footnoteRef/>
      </w:r>
      <w:r>
        <w:t xml:space="preserve"> </w:t>
      </w:r>
      <w:r w:rsidRPr="007A5EAC">
        <w:t xml:space="preserve">We wish to acknowledge </w:t>
      </w:r>
      <w:r>
        <w:t xml:space="preserve">and thank </w:t>
      </w:r>
      <w:r w:rsidRPr="007A5EAC">
        <w:t xml:space="preserve">Queen’s University, Belfast (Shared </w:t>
      </w:r>
      <w:r>
        <w:t>Education Programme) for examples provided.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4FAE"/>
    <w:multiLevelType w:val="hybridMultilevel"/>
    <w:tmpl w:val="0958D2F8"/>
    <w:lvl w:ilvl="0" w:tplc="22A099FC">
      <w:start w:val="1"/>
      <w:numFmt w:val="lowerRoman"/>
      <w:lvlText w:val="(%1)"/>
      <w:lvlJc w:val="left"/>
      <w:pPr>
        <w:ind w:left="1080" w:hanging="72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2C1273"/>
    <w:multiLevelType w:val="hybridMultilevel"/>
    <w:tmpl w:val="E7BCA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0776A5"/>
    <w:multiLevelType w:val="hybridMultilevel"/>
    <w:tmpl w:val="B43E44AC"/>
    <w:lvl w:ilvl="0" w:tplc="309E708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F44BF2"/>
    <w:multiLevelType w:val="hybridMultilevel"/>
    <w:tmpl w:val="C6205EE6"/>
    <w:lvl w:ilvl="0" w:tplc="A3C070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BB13CF"/>
    <w:multiLevelType w:val="hybridMultilevel"/>
    <w:tmpl w:val="3AB469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2274E1"/>
    <w:multiLevelType w:val="hybridMultilevel"/>
    <w:tmpl w:val="5CACB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3502F2"/>
    <w:multiLevelType w:val="hybridMultilevel"/>
    <w:tmpl w:val="9CEEEF2A"/>
    <w:lvl w:ilvl="0" w:tplc="5704A3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534D"/>
    <w:rsid w:val="00027DE3"/>
    <w:rsid w:val="000419FD"/>
    <w:rsid w:val="0004226D"/>
    <w:rsid w:val="00045969"/>
    <w:rsid w:val="000732E8"/>
    <w:rsid w:val="00077271"/>
    <w:rsid w:val="00083D3A"/>
    <w:rsid w:val="00095AE2"/>
    <w:rsid w:val="00096173"/>
    <w:rsid w:val="000B2DE0"/>
    <w:rsid w:val="00154256"/>
    <w:rsid w:val="00155491"/>
    <w:rsid w:val="00162FD7"/>
    <w:rsid w:val="001664D2"/>
    <w:rsid w:val="00166B08"/>
    <w:rsid w:val="00175A76"/>
    <w:rsid w:val="001766AD"/>
    <w:rsid w:val="0018320E"/>
    <w:rsid w:val="001868CE"/>
    <w:rsid w:val="0019256A"/>
    <w:rsid w:val="001A321F"/>
    <w:rsid w:val="001B363E"/>
    <w:rsid w:val="001B4D49"/>
    <w:rsid w:val="001E5869"/>
    <w:rsid w:val="001E6197"/>
    <w:rsid w:val="00225792"/>
    <w:rsid w:val="00235B9F"/>
    <w:rsid w:val="002707FB"/>
    <w:rsid w:val="0028081F"/>
    <w:rsid w:val="00287AA9"/>
    <w:rsid w:val="002957FA"/>
    <w:rsid w:val="002A4448"/>
    <w:rsid w:val="002A4D14"/>
    <w:rsid w:val="002B7783"/>
    <w:rsid w:val="002C7CD4"/>
    <w:rsid w:val="002F6EEC"/>
    <w:rsid w:val="00302453"/>
    <w:rsid w:val="003436A7"/>
    <w:rsid w:val="0036483C"/>
    <w:rsid w:val="00373B96"/>
    <w:rsid w:val="003C16F5"/>
    <w:rsid w:val="003C2337"/>
    <w:rsid w:val="003E3C3F"/>
    <w:rsid w:val="00400E78"/>
    <w:rsid w:val="00402FEA"/>
    <w:rsid w:val="00403915"/>
    <w:rsid w:val="00420145"/>
    <w:rsid w:val="0044663F"/>
    <w:rsid w:val="00446C49"/>
    <w:rsid w:val="004572D0"/>
    <w:rsid w:val="00462807"/>
    <w:rsid w:val="00483157"/>
    <w:rsid w:val="00492A97"/>
    <w:rsid w:val="00493DD9"/>
    <w:rsid w:val="00496BEC"/>
    <w:rsid w:val="004A29E9"/>
    <w:rsid w:val="004A4B66"/>
    <w:rsid w:val="004E07D6"/>
    <w:rsid w:val="004E1CF8"/>
    <w:rsid w:val="00501D18"/>
    <w:rsid w:val="00542CED"/>
    <w:rsid w:val="00571621"/>
    <w:rsid w:val="005862FB"/>
    <w:rsid w:val="005918EA"/>
    <w:rsid w:val="00596407"/>
    <w:rsid w:val="005A4CC4"/>
    <w:rsid w:val="005B0E2F"/>
    <w:rsid w:val="005C0F13"/>
    <w:rsid w:val="005C4E1E"/>
    <w:rsid w:val="005D1D3B"/>
    <w:rsid w:val="005D4C98"/>
    <w:rsid w:val="005F3E16"/>
    <w:rsid w:val="00615361"/>
    <w:rsid w:val="00623252"/>
    <w:rsid w:val="00626206"/>
    <w:rsid w:val="0063140F"/>
    <w:rsid w:val="0064562C"/>
    <w:rsid w:val="00661C84"/>
    <w:rsid w:val="006752C0"/>
    <w:rsid w:val="00675904"/>
    <w:rsid w:val="00683D4D"/>
    <w:rsid w:val="006A56AD"/>
    <w:rsid w:val="006C4192"/>
    <w:rsid w:val="006E496F"/>
    <w:rsid w:val="0071293D"/>
    <w:rsid w:val="0073534D"/>
    <w:rsid w:val="00736A82"/>
    <w:rsid w:val="00741D36"/>
    <w:rsid w:val="00742ABF"/>
    <w:rsid w:val="00787C5D"/>
    <w:rsid w:val="007924BD"/>
    <w:rsid w:val="00795139"/>
    <w:rsid w:val="00796285"/>
    <w:rsid w:val="007A5EAC"/>
    <w:rsid w:val="007B2C4A"/>
    <w:rsid w:val="007C4A8D"/>
    <w:rsid w:val="007D3D45"/>
    <w:rsid w:val="007F03E6"/>
    <w:rsid w:val="00800990"/>
    <w:rsid w:val="0081302A"/>
    <w:rsid w:val="00815D66"/>
    <w:rsid w:val="00816927"/>
    <w:rsid w:val="00816A28"/>
    <w:rsid w:val="0084710A"/>
    <w:rsid w:val="0085718C"/>
    <w:rsid w:val="008626AB"/>
    <w:rsid w:val="00872AF9"/>
    <w:rsid w:val="00877A02"/>
    <w:rsid w:val="00886DA6"/>
    <w:rsid w:val="008C7ADE"/>
    <w:rsid w:val="008C7C15"/>
    <w:rsid w:val="008F4483"/>
    <w:rsid w:val="00907DD6"/>
    <w:rsid w:val="00926A6D"/>
    <w:rsid w:val="009331D2"/>
    <w:rsid w:val="00934D45"/>
    <w:rsid w:val="009752E2"/>
    <w:rsid w:val="00995ECD"/>
    <w:rsid w:val="009C2120"/>
    <w:rsid w:val="009F2B4B"/>
    <w:rsid w:val="00A317D8"/>
    <w:rsid w:val="00A46023"/>
    <w:rsid w:val="00A72205"/>
    <w:rsid w:val="00A84087"/>
    <w:rsid w:val="00A87EBC"/>
    <w:rsid w:val="00A930EC"/>
    <w:rsid w:val="00AA1603"/>
    <w:rsid w:val="00AC04C3"/>
    <w:rsid w:val="00AC6DE6"/>
    <w:rsid w:val="00AD7487"/>
    <w:rsid w:val="00B254CB"/>
    <w:rsid w:val="00B27F55"/>
    <w:rsid w:val="00B31EB9"/>
    <w:rsid w:val="00B3310F"/>
    <w:rsid w:val="00B34762"/>
    <w:rsid w:val="00B42C22"/>
    <w:rsid w:val="00B45212"/>
    <w:rsid w:val="00B5002D"/>
    <w:rsid w:val="00B56E00"/>
    <w:rsid w:val="00B57134"/>
    <w:rsid w:val="00B57F33"/>
    <w:rsid w:val="00B70A03"/>
    <w:rsid w:val="00B8416B"/>
    <w:rsid w:val="00B9637C"/>
    <w:rsid w:val="00B96596"/>
    <w:rsid w:val="00BA0D12"/>
    <w:rsid w:val="00BC2DBA"/>
    <w:rsid w:val="00BD44F0"/>
    <w:rsid w:val="00BE7D6B"/>
    <w:rsid w:val="00BE7DF7"/>
    <w:rsid w:val="00BF4690"/>
    <w:rsid w:val="00C233B2"/>
    <w:rsid w:val="00C235A8"/>
    <w:rsid w:val="00C27C7E"/>
    <w:rsid w:val="00C31E70"/>
    <w:rsid w:val="00C60C99"/>
    <w:rsid w:val="00C77369"/>
    <w:rsid w:val="00CC4937"/>
    <w:rsid w:val="00CD0FDA"/>
    <w:rsid w:val="00CD6054"/>
    <w:rsid w:val="00CF6673"/>
    <w:rsid w:val="00D077BE"/>
    <w:rsid w:val="00D15962"/>
    <w:rsid w:val="00D22745"/>
    <w:rsid w:val="00D26071"/>
    <w:rsid w:val="00D44CFE"/>
    <w:rsid w:val="00D47263"/>
    <w:rsid w:val="00D47CFD"/>
    <w:rsid w:val="00D53EA5"/>
    <w:rsid w:val="00D837D6"/>
    <w:rsid w:val="00D9123C"/>
    <w:rsid w:val="00DC07E0"/>
    <w:rsid w:val="00DE02AA"/>
    <w:rsid w:val="00DF76BD"/>
    <w:rsid w:val="00E04ACE"/>
    <w:rsid w:val="00E15D82"/>
    <w:rsid w:val="00E2472E"/>
    <w:rsid w:val="00E26E43"/>
    <w:rsid w:val="00E4413F"/>
    <w:rsid w:val="00E736D8"/>
    <w:rsid w:val="00E748F1"/>
    <w:rsid w:val="00E9138C"/>
    <w:rsid w:val="00E93161"/>
    <w:rsid w:val="00EC21F1"/>
    <w:rsid w:val="00EC68FF"/>
    <w:rsid w:val="00ED7C5B"/>
    <w:rsid w:val="00F01B3D"/>
    <w:rsid w:val="00F21AFF"/>
    <w:rsid w:val="00F50530"/>
    <w:rsid w:val="00F54CC7"/>
    <w:rsid w:val="00F70E57"/>
    <w:rsid w:val="00F768FF"/>
    <w:rsid w:val="00F85991"/>
    <w:rsid w:val="00F93BD9"/>
    <w:rsid w:val="00FE19E2"/>
    <w:rsid w:val="00FE3B7F"/>
    <w:rsid w:val="00FF7B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F3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C4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192"/>
    <w:rPr>
      <w:sz w:val="20"/>
      <w:szCs w:val="20"/>
    </w:rPr>
  </w:style>
  <w:style w:type="character" w:styleId="FootnoteReference">
    <w:name w:val="footnote reference"/>
    <w:basedOn w:val="DefaultParagraphFont"/>
    <w:uiPriority w:val="99"/>
    <w:semiHidden/>
    <w:unhideWhenUsed/>
    <w:rsid w:val="006C4192"/>
    <w:rPr>
      <w:vertAlign w:val="superscript"/>
    </w:rPr>
  </w:style>
  <w:style w:type="table" w:styleId="TableGrid">
    <w:name w:val="Table Grid"/>
    <w:basedOn w:val="TableNormal"/>
    <w:uiPriority w:val="59"/>
    <w:rsid w:val="006C4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84"/>
    <w:rPr>
      <w:rFonts w:ascii="Tahoma" w:hAnsi="Tahoma" w:cs="Tahoma"/>
      <w:sz w:val="16"/>
      <w:szCs w:val="16"/>
    </w:rPr>
  </w:style>
  <w:style w:type="table" w:styleId="LightGrid-Accent2">
    <w:name w:val="Light Grid Accent 2"/>
    <w:basedOn w:val="TableNormal"/>
    <w:uiPriority w:val="62"/>
    <w:rsid w:val="00CD605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2B778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semiHidden/>
    <w:unhideWhenUsed/>
    <w:rsid w:val="00CD0F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0FDA"/>
  </w:style>
  <w:style w:type="paragraph" w:styleId="Footer">
    <w:name w:val="footer"/>
    <w:basedOn w:val="Normal"/>
    <w:link w:val="FooterChar"/>
    <w:uiPriority w:val="99"/>
    <w:unhideWhenUsed/>
    <w:rsid w:val="00CD0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FDA"/>
  </w:style>
  <w:style w:type="character" w:styleId="Hyperlink">
    <w:name w:val="Hyperlink"/>
    <w:basedOn w:val="DefaultParagraphFont"/>
    <w:uiPriority w:val="99"/>
    <w:unhideWhenUsed/>
    <w:rsid w:val="003C2337"/>
    <w:rPr>
      <w:color w:val="0000FF" w:themeColor="hyperlink"/>
      <w:u w:val="single"/>
    </w:rPr>
  </w:style>
  <w:style w:type="paragraph" w:styleId="ListParagraph">
    <w:name w:val="List Paragraph"/>
    <w:basedOn w:val="Normal"/>
    <w:uiPriority w:val="34"/>
    <w:qFormat/>
    <w:rsid w:val="003C2337"/>
    <w:pPr>
      <w:ind w:left="720"/>
      <w:contextualSpacing/>
    </w:pPr>
  </w:style>
  <w:style w:type="character" w:styleId="FollowedHyperlink">
    <w:name w:val="FollowedHyperlink"/>
    <w:basedOn w:val="DefaultParagraphFont"/>
    <w:uiPriority w:val="99"/>
    <w:semiHidden/>
    <w:unhideWhenUsed/>
    <w:rsid w:val="003C23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2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borooah@ulster.ac.uk"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g.knox@ulster.ac.uk" TargetMode="External"/><Relationship Id="rId14" Type="http://schemas.openxmlformats.org/officeDocument/2006/relationships/hyperlink" Target="http://www.puttingpupilsfirst.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600"/>
              <a:t>Area</a:t>
            </a:r>
            <a:r>
              <a:rPr lang="en-US" sz="1600" baseline="0"/>
              <a:t> plan shows a way forward for WELB area</a:t>
            </a:r>
            <a:endParaRPr lang="en-US" sz="1600"/>
          </a:p>
        </c:rich>
      </c:tx>
    </c:title>
    <c:plotArea>
      <c:layout/>
      <c:barChart>
        <c:barDir val="bar"/>
        <c:grouping val="clustered"/>
        <c:ser>
          <c:idx val="0"/>
          <c:order val="0"/>
          <c:tx>
            <c:strRef>
              <c:f>Sheet1!$B$1</c:f>
              <c:strCache>
                <c:ptCount val="1"/>
                <c:pt idx="0">
                  <c:v>Series 1</c:v>
                </c:pt>
              </c:strCache>
            </c:strRef>
          </c:tx>
          <c:dLbls>
            <c:dLbl>
              <c:idx val="0"/>
              <c:tx>
                <c:rich>
                  <a:bodyPr/>
                  <a:lstStyle/>
                  <a:p>
                    <a:r>
                      <a:rPr lang="en-US"/>
                      <a:t>59.1%</a:t>
                    </a:r>
                  </a:p>
                </c:rich>
              </c:tx>
              <c:showVal val="1"/>
            </c:dLbl>
            <c:dLbl>
              <c:idx val="1"/>
              <c:tx>
                <c:rich>
                  <a:bodyPr/>
                  <a:lstStyle/>
                  <a:p>
                    <a:r>
                      <a:rPr lang="en-US"/>
                      <a:t>11.8%</a:t>
                    </a:r>
                  </a:p>
                </c:rich>
              </c:tx>
              <c:showVal val="1"/>
            </c:dLbl>
            <c:dLbl>
              <c:idx val="2"/>
              <c:tx>
                <c:rich>
                  <a:bodyPr/>
                  <a:lstStyle/>
                  <a:p>
                    <a:r>
                      <a:rPr lang="en-US"/>
                      <a:t>29.1%</a:t>
                    </a:r>
                  </a:p>
                </c:rich>
              </c:tx>
              <c:showVal val="1"/>
            </c:dLbl>
            <c:numFmt formatCode="General" sourceLinked="0"/>
            <c:showVal val="1"/>
          </c:dLbls>
          <c:cat>
            <c:strRef>
              <c:f>Sheet1!$A$2:$A$4</c:f>
              <c:strCache>
                <c:ptCount val="3"/>
                <c:pt idx="0">
                  <c:v>Strongly disagree &amp; disagree </c:v>
                </c:pt>
                <c:pt idx="1">
                  <c:v>Uncertain</c:v>
                </c:pt>
                <c:pt idx="2">
                  <c:v>Strongly agree &amp; agree</c:v>
                </c:pt>
              </c:strCache>
            </c:strRef>
          </c:cat>
          <c:val>
            <c:numRef>
              <c:f>Sheet1!$B$2:$B$4</c:f>
              <c:numCache>
                <c:formatCode>General</c:formatCode>
                <c:ptCount val="3"/>
                <c:pt idx="0">
                  <c:v>59</c:v>
                </c:pt>
                <c:pt idx="1">
                  <c:v>11.8</c:v>
                </c:pt>
                <c:pt idx="2">
                  <c:v>29.1</c:v>
                </c:pt>
              </c:numCache>
            </c:numRef>
          </c:val>
        </c:ser>
        <c:axId val="90008576"/>
        <c:axId val="90018560"/>
      </c:barChart>
      <c:catAx>
        <c:axId val="90008576"/>
        <c:scaling>
          <c:orientation val="minMax"/>
        </c:scaling>
        <c:axPos val="l"/>
        <c:tickLblPos val="nextTo"/>
        <c:crossAx val="90018560"/>
        <c:crosses val="autoZero"/>
        <c:auto val="1"/>
        <c:lblAlgn val="ctr"/>
        <c:lblOffset val="100"/>
      </c:catAx>
      <c:valAx>
        <c:axId val="90018560"/>
        <c:scaling>
          <c:orientation val="minMax"/>
        </c:scaling>
        <c:axPos val="b"/>
        <c:majorGridlines/>
        <c:title>
          <c:tx>
            <c:rich>
              <a:bodyPr/>
              <a:lstStyle/>
              <a:p>
                <a:pPr>
                  <a:defRPr/>
                </a:pPr>
                <a:r>
                  <a:rPr lang="en-GB"/>
                  <a:t>Figure 1</a:t>
                </a:r>
              </a:p>
            </c:rich>
          </c:tx>
        </c:title>
        <c:numFmt formatCode="General" sourceLinked="1"/>
        <c:tickLblPos val="nextTo"/>
        <c:crossAx val="900085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600" baseline="0"/>
              <a:t>Area plan meets needs of all pupils in longer term</a:t>
            </a:r>
            <a:endParaRPr lang="en-US" sz="1600"/>
          </a:p>
        </c:rich>
      </c:tx>
    </c:title>
    <c:plotArea>
      <c:layout/>
      <c:barChart>
        <c:barDir val="bar"/>
        <c:grouping val="clustered"/>
        <c:ser>
          <c:idx val="0"/>
          <c:order val="0"/>
          <c:tx>
            <c:strRef>
              <c:f>Sheet1!$B$1</c:f>
              <c:strCache>
                <c:ptCount val="1"/>
                <c:pt idx="0">
                  <c:v>Series 1</c:v>
                </c:pt>
              </c:strCache>
            </c:strRef>
          </c:tx>
          <c:dLbls>
            <c:dLbl>
              <c:idx val="0"/>
              <c:tx>
                <c:rich>
                  <a:bodyPr/>
                  <a:lstStyle/>
                  <a:p>
                    <a:r>
                      <a:rPr lang="en-US"/>
                      <a:t>60.6%</a:t>
                    </a:r>
                  </a:p>
                </c:rich>
              </c:tx>
              <c:showVal val="1"/>
            </c:dLbl>
            <c:dLbl>
              <c:idx val="1"/>
              <c:tx>
                <c:rich>
                  <a:bodyPr/>
                  <a:lstStyle/>
                  <a:p>
                    <a:r>
                      <a:rPr lang="en-US"/>
                      <a:t>10.8%</a:t>
                    </a:r>
                  </a:p>
                </c:rich>
              </c:tx>
              <c:showVal val="1"/>
            </c:dLbl>
            <c:dLbl>
              <c:idx val="2"/>
              <c:tx>
                <c:rich>
                  <a:bodyPr/>
                  <a:lstStyle/>
                  <a:p>
                    <a:r>
                      <a:rPr lang="en-US"/>
                      <a:t>28.6%</a:t>
                    </a:r>
                  </a:p>
                </c:rich>
              </c:tx>
              <c:showVal val="1"/>
            </c:dLbl>
            <c:showVal val="1"/>
          </c:dLbls>
          <c:cat>
            <c:strRef>
              <c:f>Sheet1!$A$2:$A$4</c:f>
              <c:strCache>
                <c:ptCount val="3"/>
                <c:pt idx="0">
                  <c:v>Strongly disagree &amp; disagree </c:v>
                </c:pt>
                <c:pt idx="1">
                  <c:v>Uncertain</c:v>
                </c:pt>
                <c:pt idx="2">
                  <c:v>Strongly agree &amp; agree</c:v>
                </c:pt>
              </c:strCache>
            </c:strRef>
          </c:cat>
          <c:val>
            <c:numRef>
              <c:f>Sheet1!$B$2:$B$4</c:f>
              <c:numCache>
                <c:formatCode>General</c:formatCode>
                <c:ptCount val="3"/>
                <c:pt idx="0">
                  <c:v>60.6</c:v>
                </c:pt>
                <c:pt idx="1">
                  <c:v>10.7</c:v>
                </c:pt>
                <c:pt idx="2">
                  <c:v>28.6</c:v>
                </c:pt>
              </c:numCache>
            </c:numRef>
          </c:val>
        </c:ser>
        <c:axId val="90026752"/>
        <c:axId val="90028288"/>
      </c:barChart>
      <c:catAx>
        <c:axId val="90026752"/>
        <c:scaling>
          <c:orientation val="minMax"/>
        </c:scaling>
        <c:axPos val="l"/>
        <c:tickLblPos val="nextTo"/>
        <c:crossAx val="90028288"/>
        <c:crosses val="autoZero"/>
        <c:auto val="1"/>
        <c:lblAlgn val="ctr"/>
        <c:lblOffset val="100"/>
      </c:catAx>
      <c:valAx>
        <c:axId val="90028288"/>
        <c:scaling>
          <c:orientation val="minMax"/>
        </c:scaling>
        <c:axPos val="b"/>
        <c:majorGridlines/>
        <c:title>
          <c:tx>
            <c:rich>
              <a:bodyPr/>
              <a:lstStyle/>
              <a:p>
                <a:pPr>
                  <a:defRPr/>
                </a:pPr>
                <a:r>
                  <a:rPr lang="en-GB"/>
                  <a:t>Figure</a:t>
                </a:r>
                <a:r>
                  <a:rPr lang="en-GB" baseline="0"/>
                  <a:t> 2</a:t>
                </a:r>
                <a:endParaRPr lang="en-GB"/>
              </a:p>
            </c:rich>
          </c:tx>
        </c:title>
        <c:numFmt formatCode="General" sourceLinked="1"/>
        <c:tickLblPos val="nextTo"/>
        <c:crossAx val="900267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600" baseline="0"/>
              <a:t>Enhances quality and raises education standards</a:t>
            </a:r>
            <a:endParaRPr lang="en-US" sz="1600"/>
          </a:p>
        </c:rich>
      </c:tx>
    </c:title>
    <c:plotArea>
      <c:layout/>
      <c:barChart>
        <c:barDir val="bar"/>
        <c:grouping val="clustered"/>
        <c:ser>
          <c:idx val="0"/>
          <c:order val="0"/>
          <c:tx>
            <c:strRef>
              <c:f>Sheet1!$B$1</c:f>
              <c:strCache>
                <c:ptCount val="1"/>
                <c:pt idx="0">
                  <c:v>Series 1</c:v>
                </c:pt>
              </c:strCache>
            </c:strRef>
          </c:tx>
          <c:dLbls>
            <c:dLbl>
              <c:idx val="0"/>
              <c:tx>
                <c:rich>
                  <a:bodyPr/>
                  <a:lstStyle/>
                  <a:p>
                    <a:r>
                      <a:rPr lang="en-US"/>
                      <a:t>60.4%</a:t>
                    </a:r>
                  </a:p>
                </c:rich>
              </c:tx>
              <c:showVal val="1"/>
            </c:dLbl>
            <c:dLbl>
              <c:idx val="1"/>
              <c:tx>
                <c:rich>
                  <a:bodyPr/>
                  <a:lstStyle/>
                  <a:p>
                    <a:r>
                      <a:rPr lang="en-US"/>
                      <a:t>12.5%</a:t>
                    </a:r>
                  </a:p>
                </c:rich>
              </c:tx>
              <c:showVal val="1"/>
            </c:dLbl>
            <c:dLbl>
              <c:idx val="2"/>
              <c:tx>
                <c:rich>
                  <a:bodyPr/>
                  <a:lstStyle/>
                  <a:p>
                    <a:r>
                      <a:rPr lang="en-US"/>
                      <a:t>27.1%</a:t>
                    </a:r>
                  </a:p>
                </c:rich>
              </c:tx>
              <c:showVal val="1"/>
            </c:dLbl>
            <c:showVal val="1"/>
          </c:dLbls>
          <c:cat>
            <c:strRef>
              <c:f>Sheet1!$A$2:$A$4</c:f>
              <c:strCache>
                <c:ptCount val="3"/>
                <c:pt idx="0">
                  <c:v>Strongly disagree &amp; disagree </c:v>
                </c:pt>
                <c:pt idx="1">
                  <c:v>Uncertain</c:v>
                </c:pt>
                <c:pt idx="2">
                  <c:v>Strongly agree &amp; agree</c:v>
                </c:pt>
              </c:strCache>
            </c:strRef>
          </c:cat>
          <c:val>
            <c:numRef>
              <c:f>Sheet1!$B$2:$B$4</c:f>
              <c:numCache>
                <c:formatCode>General</c:formatCode>
                <c:ptCount val="3"/>
                <c:pt idx="0">
                  <c:v>60.3</c:v>
                </c:pt>
                <c:pt idx="1">
                  <c:v>12.5</c:v>
                </c:pt>
                <c:pt idx="2">
                  <c:v>27.1</c:v>
                </c:pt>
              </c:numCache>
            </c:numRef>
          </c:val>
        </c:ser>
        <c:axId val="88922368"/>
        <c:axId val="90038272"/>
      </c:barChart>
      <c:catAx>
        <c:axId val="88922368"/>
        <c:scaling>
          <c:orientation val="minMax"/>
        </c:scaling>
        <c:axPos val="l"/>
        <c:tickLblPos val="nextTo"/>
        <c:crossAx val="90038272"/>
        <c:crosses val="autoZero"/>
        <c:auto val="1"/>
        <c:lblAlgn val="ctr"/>
        <c:lblOffset val="100"/>
      </c:catAx>
      <c:valAx>
        <c:axId val="90038272"/>
        <c:scaling>
          <c:orientation val="minMax"/>
        </c:scaling>
        <c:axPos val="b"/>
        <c:majorGridlines/>
        <c:title>
          <c:tx>
            <c:rich>
              <a:bodyPr/>
              <a:lstStyle/>
              <a:p>
                <a:pPr>
                  <a:defRPr/>
                </a:pPr>
                <a:r>
                  <a:rPr lang="en-GB"/>
                  <a:t>Figure 3</a:t>
                </a:r>
              </a:p>
            </c:rich>
          </c:tx>
        </c:title>
        <c:numFmt formatCode="General" sourceLinked="1"/>
        <c:tickLblPos val="nextTo"/>
        <c:crossAx val="8892236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600" baseline="0"/>
              <a:t>Opportunities for shared cross-sectoral schooling </a:t>
            </a:r>
            <a:endParaRPr lang="en-US" sz="1600"/>
          </a:p>
        </c:rich>
      </c:tx>
    </c:title>
    <c:plotArea>
      <c:layout/>
      <c:barChart>
        <c:barDir val="bar"/>
        <c:grouping val="clustered"/>
        <c:ser>
          <c:idx val="0"/>
          <c:order val="0"/>
          <c:tx>
            <c:strRef>
              <c:f>Sheet1!$B$1</c:f>
              <c:strCache>
                <c:ptCount val="1"/>
                <c:pt idx="0">
                  <c:v>Series 1</c:v>
                </c:pt>
              </c:strCache>
            </c:strRef>
          </c:tx>
          <c:dLbls>
            <c:dLbl>
              <c:idx val="0"/>
              <c:tx>
                <c:rich>
                  <a:bodyPr/>
                  <a:lstStyle/>
                  <a:p>
                    <a:r>
                      <a:rPr lang="en-US"/>
                      <a:t>52.7%</a:t>
                    </a:r>
                  </a:p>
                </c:rich>
              </c:tx>
              <c:showVal val="1"/>
            </c:dLbl>
            <c:dLbl>
              <c:idx val="1"/>
              <c:tx>
                <c:rich>
                  <a:bodyPr/>
                  <a:lstStyle/>
                  <a:p>
                    <a:r>
                      <a:rPr lang="en-US"/>
                      <a:t>21.1%</a:t>
                    </a:r>
                  </a:p>
                </c:rich>
              </c:tx>
              <c:showVal val="1"/>
            </c:dLbl>
            <c:dLbl>
              <c:idx val="2"/>
              <c:tx>
                <c:rich>
                  <a:bodyPr/>
                  <a:lstStyle/>
                  <a:p>
                    <a:r>
                      <a:rPr lang="en-US"/>
                      <a:t>26.2%</a:t>
                    </a:r>
                  </a:p>
                </c:rich>
              </c:tx>
              <c:showVal val="1"/>
            </c:dLbl>
            <c:showVal val="1"/>
          </c:dLbls>
          <c:cat>
            <c:strRef>
              <c:f>Sheet1!$A$2:$A$4</c:f>
              <c:strCache>
                <c:ptCount val="3"/>
                <c:pt idx="0">
                  <c:v>Strongly disagree &amp; disagree </c:v>
                </c:pt>
                <c:pt idx="1">
                  <c:v>Uncertain</c:v>
                </c:pt>
                <c:pt idx="2">
                  <c:v>Strongly agree &amp; agree</c:v>
                </c:pt>
              </c:strCache>
            </c:strRef>
          </c:cat>
          <c:val>
            <c:numRef>
              <c:f>Sheet1!$B$2:$B$4</c:f>
              <c:numCache>
                <c:formatCode>General</c:formatCode>
                <c:ptCount val="3"/>
                <c:pt idx="0">
                  <c:v>52.7</c:v>
                </c:pt>
                <c:pt idx="1">
                  <c:v>21.1</c:v>
                </c:pt>
                <c:pt idx="2">
                  <c:v>26.2</c:v>
                </c:pt>
              </c:numCache>
            </c:numRef>
          </c:val>
        </c:ser>
        <c:axId val="88911872"/>
        <c:axId val="88913408"/>
      </c:barChart>
      <c:catAx>
        <c:axId val="88911872"/>
        <c:scaling>
          <c:orientation val="minMax"/>
        </c:scaling>
        <c:axPos val="l"/>
        <c:tickLblPos val="nextTo"/>
        <c:crossAx val="88913408"/>
        <c:crosses val="autoZero"/>
        <c:auto val="1"/>
        <c:lblAlgn val="ctr"/>
        <c:lblOffset val="100"/>
      </c:catAx>
      <c:valAx>
        <c:axId val="88913408"/>
        <c:scaling>
          <c:orientation val="minMax"/>
        </c:scaling>
        <c:axPos val="b"/>
        <c:majorGridlines/>
        <c:title>
          <c:tx>
            <c:rich>
              <a:bodyPr/>
              <a:lstStyle/>
              <a:p>
                <a:pPr>
                  <a:defRPr/>
                </a:pPr>
                <a:r>
                  <a:rPr lang="en-GB"/>
                  <a:t>Figure</a:t>
                </a:r>
                <a:r>
                  <a:rPr lang="en-GB" baseline="0"/>
                  <a:t> 4</a:t>
                </a:r>
                <a:endParaRPr lang="en-GB"/>
              </a:p>
            </c:rich>
          </c:tx>
        </c:title>
        <c:numFmt formatCode="General" sourceLinked="1"/>
        <c:tickLblPos val="nextTo"/>
        <c:crossAx val="8891187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Generic</a:t>
            </a:r>
            <a:r>
              <a:rPr lang="en-GB" baseline="0"/>
              <a:t> r</a:t>
            </a:r>
            <a:r>
              <a:rPr lang="en-GB"/>
              <a:t>esponses</a:t>
            </a:r>
            <a:r>
              <a:rPr lang="en-GB" baseline="0"/>
              <a:t> to area plans on post-primary schools</a:t>
            </a:r>
            <a:endParaRPr lang="en-GB"/>
          </a:p>
        </c:rich>
      </c:tx>
    </c:title>
    <c:plotArea>
      <c:layout/>
      <c:barChart>
        <c:barDir val="col"/>
        <c:grouping val="clustered"/>
        <c:ser>
          <c:idx val="0"/>
          <c:order val="0"/>
          <c:tx>
            <c:strRef>
              <c:f>Sheet1!$B$1</c:f>
              <c:strCache>
                <c:ptCount val="1"/>
                <c:pt idx="0">
                  <c:v>Area plan shows way forward</c:v>
                </c:pt>
              </c:strCache>
            </c:strRef>
          </c:tx>
          <c:cat>
            <c:strRef>
              <c:f>Sheet1!$A$2:$A$6</c:f>
              <c:strCache>
                <c:ptCount val="5"/>
                <c:pt idx="0">
                  <c:v>Belfast (%)</c:v>
                </c:pt>
                <c:pt idx="1">
                  <c:v>NEELB (%)</c:v>
                </c:pt>
                <c:pt idx="2">
                  <c:v>SEELB (%)</c:v>
                </c:pt>
                <c:pt idx="3">
                  <c:v>SELB (%)</c:v>
                </c:pt>
                <c:pt idx="4">
                  <c:v>WELB (%)</c:v>
                </c:pt>
              </c:strCache>
            </c:strRef>
          </c:cat>
          <c:val>
            <c:numRef>
              <c:f>Sheet1!$B$2:$B$6</c:f>
              <c:numCache>
                <c:formatCode>General</c:formatCode>
                <c:ptCount val="5"/>
                <c:pt idx="0">
                  <c:v>50.7</c:v>
                </c:pt>
                <c:pt idx="1">
                  <c:v>9.4</c:v>
                </c:pt>
                <c:pt idx="2">
                  <c:v>24.3</c:v>
                </c:pt>
                <c:pt idx="3">
                  <c:v>19.7</c:v>
                </c:pt>
                <c:pt idx="4">
                  <c:v>34.300000000000004</c:v>
                </c:pt>
              </c:numCache>
            </c:numRef>
          </c:val>
        </c:ser>
        <c:ser>
          <c:idx val="1"/>
          <c:order val="1"/>
          <c:tx>
            <c:strRef>
              <c:f>Sheet1!$C$1</c:f>
              <c:strCache>
                <c:ptCount val="1"/>
                <c:pt idx="0">
                  <c:v>Area plan meets needs of all pupils in longer term</c:v>
                </c:pt>
              </c:strCache>
            </c:strRef>
          </c:tx>
          <c:cat>
            <c:strRef>
              <c:f>Sheet1!$A$2:$A$6</c:f>
              <c:strCache>
                <c:ptCount val="5"/>
                <c:pt idx="0">
                  <c:v>Belfast (%)</c:v>
                </c:pt>
                <c:pt idx="1">
                  <c:v>NEELB (%)</c:v>
                </c:pt>
                <c:pt idx="2">
                  <c:v>SEELB (%)</c:v>
                </c:pt>
                <c:pt idx="3">
                  <c:v>SELB (%)</c:v>
                </c:pt>
                <c:pt idx="4">
                  <c:v>WELB (%)</c:v>
                </c:pt>
              </c:strCache>
            </c:strRef>
          </c:cat>
          <c:val>
            <c:numRef>
              <c:f>Sheet1!$C$2:$C$6</c:f>
              <c:numCache>
                <c:formatCode>General</c:formatCode>
                <c:ptCount val="5"/>
                <c:pt idx="0">
                  <c:v>51.7</c:v>
                </c:pt>
                <c:pt idx="1">
                  <c:v>9.8000000000000007</c:v>
                </c:pt>
                <c:pt idx="2">
                  <c:v>26.2</c:v>
                </c:pt>
                <c:pt idx="3">
                  <c:v>33.1</c:v>
                </c:pt>
                <c:pt idx="4">
                  <c:v>38.300000000000004</c:v>
                </c:pt>
              </c:numCache>
            </c:numRef>
          </c:val>
        </c:ser>
        <c:ser>
          <c:idx val="2"/>
          <c:order val="2"/>
          <c:tx>
            <c:strRef>
              <c:f>Sheet1!$D$1</c:f>
              <c:strCache>
                <c:ptCount val="1"/>
                <c:pt idx="0">
                  <c:v>Enhances quality and raises education standards</c:v>
                </c:pt>
              </c:strCache>
            </c:strRef>
          </c:tx>
          <c:cat>
            <c:strRef>
              <c:f>Sheet1!$A$2:$A$6</c:f>
              <c:strCache>
                <c:ptCount val="5"/>
                <c:pt idx="0">
                  <c:v>Belfast (%)</c:v>
                </c:pt>
                <c:pt idx="1">
                  <c:v>NEELB (%)</c:v>
                </c:pt>
                <c:pt idx="2">
                  <c:v>SEELB (%)</c:v>
                </c:pt>
                <c:pt idx="3">
                  <c:v>SELB (%)</c:v>
                </c:pt>
                <c:pt idx="4">
                  <c:v>WELB (%)</c:v>
                </c:pt>
              </c:strCache>
            </c:strRef>
          </c:cat>
          <c:val>
            <c:numRef>
              <c:f>Sheet1!$D$2:$D$6</c:f>
              <c:numCache>
                <c:formatCode>General</c:formatCode>
                <c:ptCount val="5"/>
                <c:pt idx="0">
                  <c:v>46.5</c:v>
                </c:pt>
                <c:pt idx="1">
                  <c:v>9.3000000000000007</c:v>
                </c:pt>
                <c:pt idx="2">
                  <c:v>23.9</c:v>
                </c:pt>
                <c:pt idx="3">
                  <c:v>31.8</c:v>
                </c:pt>
                <c:pt idx="4">
                  <c:v>34</c:v>
                </c:pt>
              </c:numCache>
            </c:numRef>
          </c:val>
        </c:ser>
        <c:ser>
          <c:idx val="3"/>
          <c:order val="3"/>
          <c:tx>
            <c:strRef>
              <c:f>Sheet1!$E$1</c:f>
              <c:strCache>
                <c:ptCount val="1"/>
                <c:pt idx="0">
                  <c:v>Opportunities for shared cross-sectoral schooling</c:v>
                </c:pt>
              </c:strCache>
            </c:strRef>
          </c:tx>
          <c:cat>
            <c:strRef>
              <c:f>Sheet1!$A$2:$A$6</c:f>
              <c:strCache>
                <c:ptCount val="5"/>
                <c:pt idx="0">
                  <c:v>Belfast (%)</c:v>
                </c:pt>
                <c:pt idx="1">
                  <c:v>NEELB (%)</c:v>
                </c:pt>
                <c:pt idx="2">
                  <c:v>SEELB (%)</c:v>
                </c:pt>
                <c:pt idx="3">
                  <c:v>SELB (%)</c:v>
                </c:pt>
                <c:pt idx="4">
                  <c:v>WELB (%)</c:v>
                </c:pt>
              </c:strCache>
            </c:strRef>
          </c:cat>
          <c:val>
            <c:numRef>
              <c:f>Sheet1!$E$2:$E$6</c:f>
              <c:numCache>
                <c:formatCode>General</c:formatCode>
                <c:ptCount val="5"/>
                <c:pt idx="0">
                  <c:v>55.8</c:v>
                </c:pt>
                <c:pt idx="1">
                  <c:v>10</c:v>
                </c:pt>
                <c:pt idx="2">
                  <c:v>29.5</c:v>
                </c:pt>
                <c:pt idx="3">
                  <c:v>20.5</c:v>
                </c:pt>
                <c:pt idx="4">
                  <c:v>41.9</c:v>
                </c:pt>
              </c:numCache>
            </c:numRef>
          </c:val>
        </c:ser>
        <c:axId val="94829568"/>
        <c:axId val="94917760"/>
      </c:barChart>
      <c:catAx>
        <c:axId val="94829568"/>
        <c:scaling>
          <c:orientation val="minMax"/>
        </c:scaling>
        <c:axPos val="b"/>
        <c:title>
          <c:tx>
            <c:rich>
              <a:bodyPr/>
              <a:lstStyle/>
              <a:p>
                <a:pPr>
                  <a:defRPr/>
                </a:pPr>
                <a:r>
                  <a:rPr lang="en-GB"/>
                  <a:t>Figure</a:t>
                </a:r>
                <a:r>
                  <a:rPr lang="en-GB" baseline="0"/>
                  <a:t> 5</a:t>
                </a:r>
                <a:endParaRPr lang="en-GB"/>
              </a:p>
            </c:rich>
          </c:tx>
        </c:title>
        <c:majorTickMark val="none"/>
        <c:tickLblPos val="nextTo"/>
        <c:crossAx val="94917760"/>
        <c:crosses val="autoZero"/>
        <c:auto val="1"/>
        <c:lblAlgn val="ctr"/>
        <c:lblOffset val="100"/>
      </c:catAx>
      <c:valAx>
        <c:axId val="94917760"/>
        <c:scaling>
          <c:orientation val="minMax"/>
        </c:scaling>
        <c:axPos val="l"/>
        <c:majorGridlines/>
        <c:title>
          <c:tx>
            <c:rich>
              <a:bodyPr/>
              <a:lstStyle/>
              <a:p>
                <a:pPr>
                  <a:defRPr sz="1400"/>
                </a:pPr>
                <a:r>
                  <a:rPr lang="en-GB" sz="1400"/>
                  <a:t>% agree/strongly</a:t>
                </a:r>
                <a:r>
                  <a:rPr lang="en-GB" sz="1400" baseline="0"/>
                  <a:t> agree</a:t>
                </a:r>
                <a:endParaRPr lang="en-GB" sz="1400"/>
              </a:p>
            </c:rich>
          </c:tx>
        </c:title>
        <c:numFmt formatCode="General" sourceLinked="1"/>
        <c:majorTickMark val="none"/>
        <c:tickLblPos val="nextTo"/>
        <c:crossAx val="94829568"/>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A8867-DA65-4E51-8A6C-AB960A14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17</Pages>
  <Words>4272</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dc:creator>
  <cp:keywords/>
  <dc:description/>
  <cp:lastModifiedBy>Knox</cp:lastModifiedBy>
  <cp:revision>139</cp:revision>
  <cp:lastPrinted>2013-05-12T09:25:00Z</cp:lastPrinted>
  <dcterms:created xsi:type="dcterms:W3CDTF">2013-05-09T13:16:00Z</dcterms:created>
  <dcterms:modified xsi:type="dcterms:W3CDTF">2013-08-09T04:54:00Z</dcterms:modified>
</cp:coreProperties>
</file>