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27C2" w14:textId="72FE73BA" w:rsidR="00C0226A" w:rsidRPr="00F31DD1" w:rsidRDefault="00C0226A" w:rsidP="00C0226A">
      <w:pPr>
        <w:pStyle w:val="Header"/>
        <w:spacing w:line="480" w:lineRule="auto"/>
        <w:rPr>
          <w:lang w:val="en-US"/>
        </w:rPr>
      </w:pPr>
      <w:r w:rsidRPr="00F31DD1">
        <w:rPr>
          <w:lang w:val="en-US"/>
        </w:rPr>
        <w:t xml:space="preserve">“Creative” Micro Histories, Difficult Heritage, and “Dark” Public History: The </w:t>
      </w:r>
      <w:proofErr w:type="spellStart"/>
      <w:r w:rsidRPr="00F31DD1">
        <w:rPr>
          <w:lang w:val="en-US"/>
        </w:rPr>
        <w:t>Islandmagee</w:t>
      </w:r>
      <w:proofErr w:type="spellEnd"/>
      <w:r w:rsidRPr="00F31DD1">
        <w:rPr>
          <w:lang w:val="en-US"/>
        </w:rPr>
        <w:t xml:space="preserve"> Witches (1711) Project</w:t>
      </w:r>
    </w:p>
    <w:p w14:paraId="2FB880E8" w14:textId="54361128" w:rsidR="00C0226A" w:rsidRPr="00F31DD1" w:rsidRDefault="00C0226A" w:rsidP="00C0226A">
      <w:pPr>
        <w:pStyle w:val="Header"/>
        <w:spacing w:line="480" w:lineRule="auto"/>
        <w:rPr>
          <w:lang w:val="en-US"/>
        </w:rPr>
      </w:pPr>
    </w:p>
    <w:p w14:paraId="393D134F" w14:textId="26AAA9B2" w:rsidR="00C0226A" w:rsidRPr="00F31DD1" w:rsidRDefault="00C0226A" w:rsidP="00C0226A">
      <w:pPr>
        <w:pStyle w:val="Header"/>
        <w:spacing w:line="480" w:lineRule="auto"/>
        <w:rPr>
          <w:lang w:val="en-US"/>
        </w:rPr>
      </w:pPr>
      <w:r w:rsidRPr="00F31DD1">
        <w:rPr>
          <w:lang w:val="en-US"/>
        </w:rPr>
        <w:t>Andrew Sneddon</w:t>
      </w:r>
    </w:p>
    <w:p w14:paraId="79F9448A" w14:textId="7C3CE6B4" w:rsidR="00C0226A" w:rsidRPr="00F31DD1" w:rsidRDefault="00C0226A" w:rsidP="00C0226A">
      <w:pPr>
        <w:pStyle w:val="Header"/>
        <w:spacing w:line="480" w:lineRule="auto"/>
        <w:rPr>
          <w:lang w:val="en-US"/>
        </w:rPr>
      </w:pPr>
      <w:r w:rsidRPr="00F31DD1">
        <w:rPr>
          <w:lang w:val="en-US"/>
        </w:rPr>
        <w:t>Ulster University</w:t>
      </w:r>
    </w:p>
    <w:p w14:paraId="7F4021A8" w14:textId="77777777" w:rsidR="00C0226A" w:rsidRPr="00F31DD1" w:rsidRDefault="00C0226A" w:rsidP="00C0226A">
      <w:pPr>
        <w:spacing w:line="480" w:lineRule="auto"/>
        <w:rPr>
          <w:b/>
          <w:bCs/>
          <w:color w:val="000000" w:themeColor="text1"/>
          <w:lang w:val="en-US"/>
        </w:rPr>
      </w:pPr>
    </w:p>
    <w:p w14:paraId="100AEC07" w14:textId="77777777" w:rsidR="005F35BC" w:rsidRPr="00F31DD1" w:rsidRDefault="005F35BC" w:rsidP="00C0226A">
      <w:pPr>
        <w:spacing w:line="480" w:lineRule="auto"/>
        <w:rPr>
          <w:b/>
          <w:bCs/>
          <w:color w:val="000000" w:themeColor="text1"/>
          <w:lang w:val="en-US"/>
        </w:rPr>
      </w:pPr>
    </w:p>
    <w:p w14:paraId="3A8DF9AD" w14:textId="4E32DB11" w:rsidR="004E7DB8" w:rsidRPr="00F31DD1" w:rsidRDefault="004E7DB8" w:rsidP="0058637A">
      <w:pPr>
        <w:spacing w:line="480" w:lineRule="auto"/>
        <w:rPr>
          <w:b/>
          <w:bCs/>
          <w:color w:val="000000" w:themeColor="text1"/>
          <w:lang w:val="en-US"/>
        </w:rPr>
      </w:pPr>
      <w:r w:rsidRPr="00F31DD1">
        <w:rPr>
          <w:b/>
          <w:bCs/>
          <w:color w:val="000000" w:themeColor="text1"/>
          <w:lang w:val="en-US"/>
        </w:rPr>
        <w:t>Abstract</w:t>
      </w:r>
      <w:r w:rsidR="000F2C4C" w:rsidRPr="00F31DD1">
        <w:rPr>
          <w:b/>
          <w:bCs/>
          <w:color w:val="000000" w:themeColor="text1"/>
          <w:lang w:val="en-US"/>
        </w:rPr>
        <w:t xml:space="preserve"> </w:t>
      </w:r>
    </w:p>
    <w:p w14:paraId="2415D48A" w14:textId="1F7931C0" w:rsidR="00BC322F" w:rsidRPr="00F31DD1" w:rsidRDefault="00203614" w:rsidP="0058637A">
      <w:pPr>
        <w:spacing w:line="480" w:lineRule="auto"/>
        <w:rPr>
          <w:color w:val="000000" w:themeColor="text1"/>
          <w:lang w:val="en-US"/>
        </w:rPr>
      </w:pPr>
      <w:r w:rsidRPr="00F31DD1">
        <w:rPr>
          <w:color w:val="000000" w:themeColor="text1"/>
          <w:lang w:val="en-US"/>
        </w:rPr>
        <w:t>This article charts a decade</w:t>
      </w:r>
      <w:r w:rsidR="00722CE7" w:rsidRPr="00F31DD1">
        <w:rPr>
          <w:color w:val="000000" w:themeColor="text1"/>
          <w:lang w:val="en-US"/>
        </w:rPr>
        <w:t>-</w:t>
      </w:r>
      <w:r w:rsidRPr="00F31DD1">
        <w:rPr>
          <w:color w:val="000000" w:themeColor="text1"/>
          <w:lang w:val="en-US"/>
        </w:rPr>
        <w:t>long project</w:t>
      </w:r>
      <w:r w:rsidR="00722CE7" w:rsidRPr="00F31DD1">
        <w:rPr>
          <w:color w:val="000000" w:themeColor="text1"/>
          <w:lang w:val="en-US"/>
        </w:rPr>
        <w:t xml:space="preserve"> </w:t>
      </w:r>
      <w:r w:rsidR="00A575F5" w:rsidRPr="00F31DD1">
        <w:rPr>
          <w:color w:val="000000" w:themeColor="text1"/>
          <w:lang w:val="en-US"/>
        </w:rPr>
        <w:t xml:space="preserve">on the trial of the </w:t>
      </w:r>
      <w:proofErr w:type="spellStart"/>
      <w:r w:rsidRPr="00F31DD1">
        <w:rPr>
          <w:color w:val="000000" w:themeColor="text1"/>
          <w:lang w:val="en-US"/>
        </w:rPr>
        <w:t>Islandmagee</w:t>
      </w:r>
      <w:proofErr w:type="spellEnd"/>
      <w:r w:rsidRPr="00F31DD1">
        <w:rPr>
          <w:color w:val="000000" w:themeColor="text1"/>
          <w:lang w:val="en-US"/>
        </w:rPr>
        <w:t xml:space="preserve"> </w:t>
      </w:r>
      <w:r w:rsidR="00722CE7" w:rsidRPr="00F31DD1">
        <w:rPr>
          <w:color w:val="000000" w:themeColor="text1"/>
          <w:lang w:val="en-US"/>
        </w:rPr>
        <w:t>witches in</w:t>
      </w:r>
      <w:r w:rsidRPr="00F31DD1">
        <w:rPr>
          <w:color w:val="000000" w:themeColor="text1"/>
          <w:lang w:val="en-US"/>
        </w:rPr>
        <w:t xml:space="preserve"> </w:t>
      </w:r>
      <w:r w:rsidR="000A1E46" w:rsidRPr="00F31DD1">
        <w:rPr>
          <w:color w:val="000000" w:themeColor="text1"/>
          <w:lang w:val="en-US"/>
        </w:rPr>
        <w:t>Co</w:t>
      </w:r>
      <w:r w:rsidR="00493ECD" w:rsidRPr="00F31DD1">
        <w:rPr>
          <w:color w:val="000000" w:themeColor="text1"/>
          <w:lang w:val="en-US"/>
        </w:rPr>
        <w:t>unty</w:t>
      </w:r>
      <w:r w:rsidR="000A1E46" w:rsidRPr="00F31DD1">
        <w:rPr>
          <w:color w:val="000000" w:themeColor="text1"/>
          <w:lang w:val="en-US"/>
        </w:rPr>
        <w:t xml:space="preserve"> Antrim </w:t>
      </w:r>
      <w:r w:rsidR="00A575F5" w:rsidRPr="00F31DD1">
        <w:rPr>
          <w:color w:val="000000" w:themeColor="text1"/>
          <w:lang w:val="en-US"/>
        </w:rPr>
        <w:t>(</w:t>
      </w:r>
      <w:r w:rsidR="000A1E46" w:rsidRPr="00F31DD1">
        <w:rPr>
          <w:color w:val="000000" w:themeColor="text1"/>
          <w:lang w:val="en-US"/>
        </w:rPr>
        <w:t>Northern Ireland</w:t>
      </w:r>
      <w:r w:rsidR="00A575F5" w:rsidRPr="00F31DD1">
        <w:rPr>
          <w:color w:val="000000" w:themeColor="text1"/>
          <w:lang w:val="en-US"/>
        </w:rPr>
        <w:t>)</w:t>
      </w:r>
      <w:r w:rsidR="000A1E46" w:rsidRPr="00F31DD1">
        <w:rPr>
          <w:color w:val="000000" w:themeColor="text1"/>
          <w:lang w:val="en-US"/>
        </w:rPr>
        <w:t xml:space="preserve"> in </w:t>
      </w:r>
      <w:r w:rsidRPr="00F31DD1">
        <w:rPr>
          <w:color w:val="000000" w:themeColor="text1"/>
          <w:lang w:val="en-US"/>
        </w:rPr>
        <w:t>1711.</w:t>
      </w:r>
      <w:r w:rsidR="00722CE7" w:rsidRPr="00F31DD1">
        <w:rPr>
          <w:color w:val="000000" w:themeColor="text1"/>
          <w:lang w:val="en-US"/>
        </w:rPr>
        <w:t xml:space="preserve"> </w:t>
      </w:r>
      <w:r w:rsidR="005574C9" w:rsidRPr="00F31DD1">
        <w:rPr>
          <w:color w:val="000000" w:themeColor="text1"/>
          <w:lang w:val="en-US"/>
        </w:rPr>
        <w:t xml:space="preserve">The project comprised three overlapping and connected phases </w:t>
      </w:r>
      <w:r w:rsidR="001C1CD0" w:rsidRPr="00F31DD1">
        <w:rPr>
          <w:color w:val="000000" w:themeColor="text1"/>
          <w:lang w:val="en-US"/>
        </w:rPr>
        <w:t xml:space="preserve">that </w:t>
      </w:r>
      <w:r w:rsidR="005574C9" w:rsidRPr="00F31DD1">
        <w:rPr>
          <w:color w:val="000000" w:themeColor="text1"/>
          <w:lang w:val="en-US"/>
        </w:rPr>
        <w:t>negotiated a pathway between researching the history of the trial</w:t>
      </w:r>
      <w:r w:rsidR="001C1CD0" w:rsidRPr="00F31DD1">
        <w:rPr>
          <w:color w:val="000000" w:themeColor="text1"/>
          <w:lang w:val="en-US"/>
        </w:rPr>
        <w:t>,</w:t>
      </w:r>
      <w:r w:rsidR="005574C9" w:rsidRPr="00F31DD1">
        <w:rPr>
          <w:color w:val="000000" w:themeColor="text1"/>
          <w:lang w:val="en-US"/>
        </w:rPr>
        <w:t xml:space="preserve"> its interpretative representation in public discourse</w:t>
      </w:r>
      <w:r w:rsidR="001C1CD0" w:rsidRPr="00F31DD1">
        <w:rPr>
          <w:color w:val="000000" w:themeColor="text1"/>
          <w:lang w:val="en-US"/>
        </w:rPr>
        <w:t>,</w:t>
      </w:r>
      <w:r w:rsidR="005574C9" w:rsidRPr="00F31DD1">
        <w:rPr>
          <w:color w:val="000000" w:themeColor="text1"/>
          <w:lang w:val="en-US"/>
        </w:rPr>
        <w:t xml:space="preserve"> and finding impactful ways to bring this research to wider audiences. </w:t>
      </w:r>
      <w:r w:rsidR="000A1E46" w:rsidRPr="00F31DD1">
        <w:rPr>
          <w:color w:val="000000" w:themeColor="text1"/>
          <w:lang w:val="en-US"/>
        </w:rPr>
        <w:t xml:space="preserve">It </w:t>
      </w:r>
      <w:r w:rsidR="004F40F0" w:rsidRPr="00F31DD1">
        <w:rPr>
          <w:color w:val="000000" w:themeColor="text1"/>
          <w:lang w:val="en-US"/>
        </w:rPr>
        <w:t>demonstrates</w:t>
      </w:r>
      <w:r w:rsidRPr="00F31DD1">
        <w:rPr>
          <w:color w:val="000000" w:themeColor="text1"/>
          <w:lang w:val="en-US"/>
        </w:rPr>
        <w:t xml:space="preserve"> </w:t>
      </w:r>
      <w:r w:rsidR="00722CE7" w:rsidRPr="00F31DD1">
        <w:rPr>
          <w:color w:val="000000" w:themeColor="text1"/>
          <w:lang w:val="en-US"/>
        </w:rPr>
        <w:t>that</w:t>
      </w:r>
      <w:r w:rsidRPr="00F31DD1">
        <w:rPr>
          <w:color w:val="000000" w:themeColor="text1"/>
          <w:lang w:val="en-US"/>
        </w:rPr>
        <w:t xml:space="preserve"> </w:t>
      </w:r>
      <w:r w:rsidR="00BC322F" w:rsidRPr="00F31DD1">
        <w:rPr>
          <w:color w:val="000000" w:themeColor="text1"/>
          <w:lang w:val="en-US"/>
        </w:rPr>
        <w:t xml:space="preserve">creatively and </w:t>
      </w:r>
      <w:r w:rsidR="00A575F5" w:rsidRPr="00F31DD1">
        <w:rPr>
          <w:color w:val="000000" w:themeColor="text1"/>
          <w:lang w:val="en-US"/>
        </w:rPr>
        <w:t>carefully</w:t>
      </w:r>
      <w:r w:rsidR="000A1E46" w:rsidRPr="00F31DD1">
        <w:rPr>
          <w:color w:val="000000" w:themeColor="text1"/>
          <w:lang w:val="en-US"/>
        </w:rPr>
        <w:t xml:space="preserve"> pitched, microhistories of specific trials </w:t>
      </w:r>
      <w:r w:rsidR="00A575F5" w:rsidRPr="00F31DD1">
        <w:rPr>
          <w:color w:val="000000" w:themeColor="text1"/>
          <w:lang w:val="en-US"/>
        </w:rPr>
        <w:t>can</w:t>
      </w:r>
      <w:r w:rsidR="000A1E46" w:rsidRPr="00F31DD1">
        <w:rPr>
          <w:color w:val="000000" w:themeColor="text1"/>
          <w:lang w:val="en-US"/>
        </w:rPr>
        <w:t xml:space="preserve"> fruitfully add to </w:t>
      </w:r>
      <w:r w:rsidR="00A575F5" w:rsidRPr="00F31DD1">
        <w:rPr>
          <w:color w:val="000000" w:themeColor="text1"/>
          <w:lang w:val="en-US"/>
        </w:rPr>
        <w:t>key</w:t>
      </w:r>
      <w:r w:rsidR="000A1E46" w:rsidRPr="00F31DD1">
        <w:rPr>
          <w:color w:val="000000" w:themeColor="text1"/>
          <w:lang w:val="en-US"/>
        </w:rPr>
        <w:t xml:space="preserve"> historiographical debates in witchcraft studies but when </w:t>
      </w:r>
      <w:r w:rsidRPr="00F31DD1">
        <w:rPr>
          <w:color w:val="000000" w:themeColor="text1"/>
          <w:lang w:val="en-US"/>
        </w:rPr>
        <w:t xml:space="preserve">combined with </w:t>
      </w:r>
      <w:r w:rsidR="004F40F0" w:rsidRPr="00F31DD1">
        <w:rPr>
          <w:color w:val="000000" w:themeColor="text1"/>
          <w:lang w:val="en-US"/>
        </w:rPr>
        <w:t>sustained</w:t>
      </w:r>
      <w:r w:rsidR="00BC322F" w:rsidRPr="00F31DD1">
        <w:rPr>
          <w:color w:val="000000" w:themeColor="text1"/>
          <w:lang w:val="en-US"/>
        </w:rPr>
        <w:t>, targeted</w:t>
      </w:r>
      <w:r w:rsidR="004F40F0" w:rsidRPr="00F31DD1">
        <w:rPr>
          <w:color w:val="000000" w:themeColor="text1"/>
          <w:lang w:val="en-US"/>
        </w:rPr>
        <w:t xml:space="preserve"> </w:t>
      </w:r>
      <w:r w:rsidR="009D45C5" w:rsidRPr="00F31DD1">
        <w:rPr>
          <w:color w:val="000000" w:themeColor="text1"/>
          <w:lang w:val="en-US"/>
        </w:rPr>
        <w:t>dissemination and co-produced and collaborative public history</w:t>
      </w:r>
      <w:r w:rsidR="001C1CD0" w:rsidRPr="00F31DD1">
        <w:rPr>
          <w:color w:val="000000" w:themeColor="text1"/>
          <w:lang w:val="en-US"/>
        </w:rPr>
        <w:t>,</w:t>
      </w:r>
      <w:r w:rsidR="00A575F5" w:rsidRPr="00F31DD1">
        <w:rPr>
          <w:color w:val="000000" w:themeColor="text1"/>
          <w:lang w:val="en-US"/>
        </w:rPr>
        <w:t xml:space="preserve"> </w:t>
      </w:r>
      <w:r w:rsidR="00C60D7F" w:rsidRPr="00F31DD1">
        <w:rPr>
          <w:color w:val="000000" w:themeColor="text1"/>
          <w:lang w:val="en-US"/>
        </w:rPr>
        <w:t>i</w:t>
      </w:r>
      <w:r w:rsidR="009D45C5" w:rsidRPr="00F31DD1">
        <w:rPr>
          <w:color w:val="000000" w:themeColor="text1"/>
          <w:lang w:val="en-US"/>
        </w:rPr>
        <w:t>t can open up hidden</w:t>
      </w:r>
      <w:r w:rsidR="00ED6342">
        <w:rPr>
          <w:color w:val="000000" w:themeColor="text1"/>
          <w:lang w:val="en-US"/>
        </w:rPr>
        <w:t>,</w:t>
      </w:r>
      <w:r w:rsidR="009D45C5" w:rsidRPr="00F31DD1">
        <w:rPr>
          <w:color w:val="000000" w:themeColor="text1"/>
          <w:lang w:val="en-US"/>
        </w:rPr>
        <w:t xml:space="preserve"> but</w:t>
      </w:r>
      <w:r w:rsidR="004F40F0" w:rsidRPr="00F31DD1">
        <w:rPr>
          <w:color w:val="000000" w:themeColor="text1"/>
          <w:lang w:val="en-US"/>
        </w:rPr>
        <w:t xml:space="preserve"> </w:t>
      </w:r>
      <w:r w:rsidR="00877A94" w:rsidRPr="00F31DD1">
        <w:rPr>
          <w:color w:val="000000" w:themeColor="text1"/>
          <w:lang w:val="en-US"/>
        </w:rPr>
        <w:t xml:space="preserve">important parts of cultural history and </w:t>
      </w:r>
      <w:r w:rsidR="00C60D7F" w:rsidRPr="00F31DD1">
        <w:rPr>
          <w:color w:val="000000" w:themeColor="text1"/>
          <w:lang w:val="en-US"/>
        </w:rPr>
        <w:t xml:space="preserve">dark </w:t>
      </w:r>
      <w:r w:rsidR="00877A94" w:rsidRPr="00F31DD1">
        <w:rPr>
          <w:color w:val="000000" w:themeColor="text1"/>
          <w:lang w:val="en-US"/>
        </w:rPr>
        <w:t>heritage</w:t>
      </w:r>
      <w:r w:rsidR="009D45C5" w:rsidRPr="00F31DD1">
        <w:rPr>
          <w:color w:val="000000" w:themeColor="text1"/>
          <w:lang w:val="en-US"/>
        </w:rPr>
        <w:t xml:space="preserve"> to wider audiences</w:t>
      </w:r>
      <w:r w:rsidR="000A1E46" w:rsidRPr="00F31DD1">
        <w:rPr>
          <w:color w:val="000000" w:themeColor="text1"/>
          <w:lang w:val="en-US"/>
        </w:rPr>
        <w:t xml:space="preserve">. This is </w:t>
      </w:r>
      <w:r w:rsidR="00877A94" w:rsidRPr="00F31DD1">
        <w:rPr>
          <w:color w:val="000000" w:themeColor="text1"/>
          <w:lang w:val="en-US"/>
        </w:rPr>
        <w:t>especially important in</w:t>
      </w:r>
      <w:r w:rsidRPr="00F31DD1">
        <w:rPr>
          <w:color w:val="000000" w:themeColor="text1"/>
          <w:lang w:val="en-US"/>
        </w:rPr>
        <w:t xml:space="preserve"> countries</w:t>
      </w:r>
      <w:r w:rsidR="00877A94" w:rsidRPr="00F31DD1">
        <w:rPr>
          <w:color w:val="000000" w:themeColor="text1"/>
          <w:lang w:val="en-US"/>
        </w:rPr>
        <w:t xml:space="preserve"> such as Northern Ireland</w:t>
      </w:r>
      <w:r w:rsidRPr="00F31DD1">
        <w:rPr>
          <w:color w:val="000000" w:themeColor="text1"/>
          <w:lang w:val="en-US"/>
        </w:rPr>
        <w:t xml:space="preserve"> that ha</w:t>
      </w:r>
      <w:r w:rsidR="00877A94" w:rsidRPr="00F31DD1">
        <w:rPr>
          <w:color w:val="000000" w:themeColor="text1"/>
          <w:lang w:val="en-US"/>
        </w:rPr>
        <w:t>ve</w:t>
      </w:r>
      <w:r w:rsidRPr="00F31DD1">
        <w:rPr>
          <w:color w:val="000000" w:themeColor="text1"/>
          <w:lang w:val="en-US"/>
        </w:rPr>
        <w:t xml:space="preserve"> largely overlooked </w:t>
      </w:r>
      <w:r w:rsidR="00877A94" w:rsidRPr="00F31DD1">
        <w:rPr>
          <w:color w:val="000000" w:themeColor="text1"/>
          <w:lang w:val="en-US"/>
        </w:rPr>
        <w:t xml:space="preserve">their </w:t>
      </w:r>
      <w:r w:rsidRPr="00F31DD1">
        <w:rPr>
          <w:color w:val="000000" w:themeColor="text1"/>
          <w:lang w:val="en-US"/>
        </w:rPr>
        <w:t>witch</w:t>
      </w:r>
      <w:r w:rsidR="00F31DD1" w:rsidRPr="00F31DD1">
        <w:rPr>
          <w:color w:val="000000" w:themeColor="text1"/>
          <w:lang w:val="en-US"/>
        </w:rPr>
        <w:t xml:space="preserve"> </w:t>
      </w:r>
      <w:r w:rsidRPr="00F31DD1">
        <w:rPr>
          <w:color w:val="000000" w:themeColor="text1"/>
          <w:lang w:val="en-US"/>
        </w:rPr>
        <w:t>hunting past</w:t>
      </w:r>
      <w:r w:rsidR="000A1E46" w:rsidRPr="00F31DD1">
        <w:rPr>
          <w:color w:val="000000" w:themeColor="text1"/>
          <w:lang w:val="en-US"/>
        </w:rPr>
        <w:t xml:space="preserve"> and where public remembrance </w:t>
      </w:r>
      <w:r w:rsidR="00A575F5" w:rsidRPr="00F31DD1">
        <w:rPr>
          <w:color w:val="000000" w:themeColor="text1"/>
          <w:lang w:val="en-US"/>
        </w:rPr>
        <w:t xml:space="preserve">and </w:t>
      </w:r>
      <w:r w:rsidR="000A1E46" w:rsidRPr="00F31DD1">
        <w:rPr>
          <w:color w:val="000000" w:themeColor="text1"/>
          <w:lang w:val="en-US"/>
        </w:rPr>
        <w:t xml:space="preserve">commemoration </w:t>
      </w:r>
      <w:r w:rsidR="00877A94" w:rsidRPr="00F31DD1">
        <w:rPr>
          <w:color w:val="000000" w:themeColor="text1"/>
          <w:lang w:val="en-US"/>
        </w:rPr>
        <w:t xml:space="preserve">of witch trials </w:t>
      </w:r>
      <w:r w:rsidR="00C60D7F" w:rsidRPr="00F31DD1">
        <w:rPr>
          <w:color w:val="000000" w:themeColor="text1"/>
          <w:lang w:val="en-US"/>
        </w:rPr>
        <w:t>can be difficult and provoke controversy.</w:t>
      </w:r>
    </w:p>
    <w:p w14:paraId="0F10E509" w14:textId="77777777" w:rsidR="00953F9D" w:rsidRPr="00F31DD1" w:rsidRDefault="00953F9D" w:rsidP="0058637A">
      <w:pPr>
        <w:spacing w:line="480" w:lineRule="auto"/>
        <w:rPr>
          <w:color w:val="000000" w:themeColor="text1"/>
          <w:lang w:val="en-US"/>
        </w:rPr>
      </w:pPr>
    </w:p>
    <w:p w14:paraId="058038B3" w14:textId="410D6693" w:rsidR="00327F5C" w:rsidRPr="00F31DD1" w:rsidRDefault="00327F5C" w:rsidP="0058637A">
      <w:pPr>
        <w:spacing w:line="480" w:lineRule="auto"/>
        <w:rPr>
          <w:color w:val="000000" w:themeColor="text1"/>
          <w:lang w:val="en-US"/>
        </w:rPr>
      </w:pPr>
      <w:r w:rsidRPr="00F31DD1">
        <w:rPr>
          <w:b/>
          <w:bCs/>
          <w:color w:val="000000" w:themeColor="text1"/>
          <w:lang w:val="en-US"/>
        </w:rPr>
        <w:t>Keywords:</w:t>
      </w:r>
      <w:r w:rsidRPr="00F31DD1">
        <w:rPr>
          <w:color w:val="000000" w:themeColor="text1"/>
          <w:lang w:val="en-US"/>
        </w:rPr>
        <w:t xml:space="preserve"> </w:t>
      </w:r>
      <w:r w:rsidR="001C1CD0" w:rsidRPr="00F31DD1">
        <w:rPr>
          <w:color w:val="000000" w:themeColor="text1"/>
          <w:lang w:val="en-US"/>
        </w:rPr>
        <w:t>p</w:t>
      </w:r>
      <w:r w:rsidRPr="00F31DD1">
        <w:rPr>
          <w:color w:val="000000" w:themeColor="text1"/>
          <w:lang w:val="en-US"/>
        </w:rPr>
        <w:t xml:space="preserve">ublic </w:t>
      </w:r>
      <w:r w:rsidR="001C1CD0" w:rsidRPr="00F31DD1">
        <w:rPr>
          <w:color w:val="000000" w:themeColor="text1"/>
          <w:lang w:val="en-US"/>
        </w:rPr>
        <w:t>h</w:t>
      </w:r>
      <w:r w:rsidRPr="00F31DD1">
        <w:rPr>
          <w:color w:val="000000" w:themeColor="text1"/>
          <w:lang w:val="en-US"/>
        </w:rPr>
        <w:t xml:space="preserve">istory, </w:t>
      </w:r>
      <w:r w:rsidR="001C1CD0" w:rsidRPr="00F31DD1">
        <w:rPr>
          <w:color w:val="000000" w:themeColor="text1"/>
          <w:lang w:val="en-US"/>
        </w:rPr>
        <w:t>d</w:t>
      </w:r>
      <w:r w:rsidR="00B870C3" w:rsidRPr="00F31DD1">
        <w:rPr>
          <w:color w:val="000000" w:themeColor="text1"/>
          <w:lang w:val="en-US"/>
        </w:rPr>
        <w:t xml:space="preserve">ark </w:t>
      </w:r>
      <w:r w:rsidR="001C1CD0" w:rsidRPr="00F31DD1">
        <w:rPr>
          <w:color w:val="000000" w:themeColor="text1"/>
          <w:lang w:val="en-US"/>
        </w:rPr>
        <w:t>h</w:t>
      </w:r>
      <w:r w:rsidR="00B870C3" w:rsidRPr="00F31DD1">
        <w:rPr>
          <w:color w:val="000000" w:themeColor="text1"/>
          <w:lang w:val="en-US"/>
        </w:rPr>
        <w:t xml:space="preserve">eritage, </w:t>
      </w:r>
      <w:r w:rsidR="001C1CD0" w:rsidRPr="00F31DD1">
        <w:rPr>
          <w:color w:val="000000" w:themeColor="text1"/>
          <w:lang w:val="en-US"/>
        </w:rPr>
        <w:t>d</w:t>
      </w:r>
      <w:r w:rsidR="00B870C3" w:rsidRPr="00F31DD1">
        <w:rPr>
          <w:color w:val="000000" w:themeColor="text1"/>
          <w:lang w:val="en-US"/>
        </w:rPr>
        <w:t xml:space="preserve">ifficult </w:t>
      </w:r>
      <w:r w:rsidR="001C1CD0" w:rsidRPr="00F31DD1">
        <w:rPr>
          <w:color w:val="000000" w:themeColor="text1"/>
          <w:lang w:val="en-US"/>
        </w:rPr>
        <w:t>h</w:t>
      </w:r>
      <w:r w:rsidR="00B870C3" w:rsidRPr="00F31DD1">
        <w:rPr>
          <w:color w:val="000000" w:themeColor="text1"/>
          <w:lang w:val="en-US"/>
        </w:rPr>
        <w:t>eritage</w:t>
      </w:r>
      <w:r w:rsidRPr="00F31DD1">
        <w:rPr>
          <w:color w:val="000000" w:themeColor="text1"/>
          <w:lang w:val="en-US"/>
        </w:rPr>
        <w:t xml:space="preserve">, </w:t>
      </w:r>
      <w:r w:rsidR="003D08E0" w:rsidRPr="00F31DD1">
        <w:rPr>
          <w:color w:val="000000" w:themeColor="text1"/>
          <w:lang w:val="en-US"/>
        </w:rPr>
        <w:t>Ireland</w:t>
      </w:r>
      <w:r w:rsidRPr="00F31DD1">
        <w:rPr>
          <w:color w:val="000000" w:themeColor="text1"/>
          <w:lang w:val="en-US"/>
        </w:rPr>
        <w:t xml:space="preserve">, </w:t>
      </w:r>
      <w:r w:rsidR="001C1CD0" w:rsidRPr="00F31DD1">
        <w:rPr>
          <w:color w:val="000000" w:themeColor="text1"/>
          <w:lang w:val="en-US"/>
        </w:rPr>
        <w:t>m</w:t>
      </w:r>
      <w:r w:rsidR="0021423F" w:rsidRPr="00F31DD1">
        <w:rPr>
          <w:color w:val="000000" w:themeColor="text1"/>
          <w:lang w:val="en-US"/>
        </w:rPr>
        <w:t>icrohistory</w:t>
      </w:r>
      <w:r w:rsidRPr="00F31DD1">
        <w:rPr>
          <w:color w:val="000000" w:themeColor="text1"/>
          <w:lang w:val="en-US"/>
        </w:rPr>
        <w:t xml:space="preserve">, </w:t>
      </w:r>
      <w:proofErr w:type="spellStart"/>
      <w:r w:rsidRPr="00F31DD1">
        <w:rPr>
          <w:color w:val="000000" w:themeColor="text1"/>
          <w:lang w:val="en-US"/>
        </w:rPr>
        <w:t>Islandmagee</w:t>
      </w:r>
      <w:proofErr w:type="spellEnd"/>
      <w:r w:rsidRPr="00F31DD1">
        <w:rPr>
          <w:color w:val="000000" w:themeColor="text1"/>
          <w:lang w:val="en-US"/>
        </w:rPr>
        <w:t xml:space="preserve"> </w:t>
      </w:r>
      <w:r w:rsidR="001C1CD0" w:rsidRPr="00F31DD1">
        <w:rPr>
          <w:color w:val="000000" w:themeColor="text1"/>
          <w:lang w:val="en-US"/>
        </w:rPr>
        <w:t>w</w:t>
      </w:r>
      <w:r w:rsidRPr="00F31DD1">
        <w:rPr>
          <w:color w:val="000000" w:themeColor="text1"/>
          <w:lang w:val="en-US"/>
        </w:rPr>
        <w:t>itches</w:t>
      </w:r>
      <w:r w:rsidR="003E702B" w:rsidRPr="00F31DD1">
        <w:rPr>
          <w:color w:val="000000" w:themeColor="text1"/>
          <w:lang w:val="en-US"/>
        </w:rPr>
        <w:t xml:space="preserve"> </w:t>
      </w:r>
    </w:p>
    <w:p w14:paraId="187AB020" w14:textId="77777777" w:rsidR="00D24048" w:rsidRPr="00F31DD1" w:rsidRDefault="00D24048" w:rsidP="0058637A">
      <w:pPr>
        <w:spacing w:line="480" w:lineRule="auto"/>
        <w:rPr>
          <w:color w:val="000000" w:themeColor="text1"/>
          <w:lang w:val="en-US"/>
        </w:rPr>
      </w:pPr>
    </w:p>
    <w:p w14:paraId="792A03DA" w14:textId="1E9A9C67" w:rsidR="002969FB" w:rsidRPr="00F31DD1" w:rsidRDefault="00F36407" w:rsidP="0058637A">
      <w:pPr>
        <w:spacing w:line="480" w:lineRule="auto"/>
        <w:rPr>
          <w:color w:val="000000" w:themeColor="text1"/>
          <w:lang w:val="en-US"/>
        </w:rPr>
      </w:pPr>
      <w:r w:rsidRPr="00F31DD1">
        <w:rPr>
          <w:color w:val="000000" w:themeColor="text1"/>
          <w:lang w:val="en-US"/>
        </w:rPr>
        <w:t>I</w:t>
      </w:r>
      <w:r w:rsidR="009934E6" w:rsidRPr="00F31DD1">
        <w:rPr>
          <w:color w:val="000000" w:themeColor="text1"/>
          <w:lang w:val="en-US"/>
        </w:rPr>
        <w:t>n</w:t>
      </w:r>
      <w:r w:rsidRPr="00F31DD1">
        <w:rPr>
          <w:color w:val="000000" w:themeColor="text1"/>
          <w:lang w:val="en-US"/>
        </w:rPr>
        <w:t xml:space="preserve"> late February 1711, </w:t>
      </w:r>
      <w:r w:rsidR="009934E6" w:rsidRPr="00F31DD1">
        <w:rPr>
          <w:color w:val="000000" w:themeColor="text1"/>
          <w:lang w:val="en-US"/>
        </w:rPr>
        <w:t xml:space="preserve">Ann </w:t>
      </w:r>
      <w:proofErr w:type="spellStart"/>
      <w:r w:rsidR="009934E6" w:rsidRPr="00F31DD1">
        <w:rPr>
          <w:color w:val="000000" w:themeColor="text1"/>
          <w:lang w:val="en-US"/>
        </w:rPr>
        <w:t>Haltridge</w:t>
      </w:r>
      <w:proofErr w:type="spellEnd"/>
      <w:r w:rsidR="009934E6" w:rsidRPr="00F31DD1">
        <w:rPr>
          <w:color w:val="000000" w:themeColor="text1"/>
          <w:lang w:val="en-US"/>
        </w:rPr>
        <w:t xml:space="preserve">, the elderly widow of </w:t>
      </w:r>
      <w:proofErr w:type="spellStart"/>
      <w:r w:rsidR="009934E6" w:rsidRPr="00F31DD1">
        <w:rPr>
          <w:color w:val="000000" w:themeColor="text1"/>
          <w:lang w:val="en-US"/>
        </w:rPr>
        <w:t>Islandmagee</w:t>
      </w:r>
      <w:proofErr w:type="spellEnd"/>
      <w:r w:rsidR="009934E6" w:rsidRPr="00F31DD1">
        <w:rPr>
          <w:color w:val="000000" w:themeColor="text1"/>
          <w:lang w:val="en-US"/>
        </w:rPr>
        <w:t xml:space="preserve"> </w:t>
      </w:r>
      <w:r w:rsidR="005A4A8E" w:rsidRPr="00F31DD1">
        <w:rPr>
          <w:color w:val="000000" w:themeColor="text1"/>
          <w:lang w:val="en-US"/>
        </w:rPr>
        <w:t xml:space="preserve">Presbyterian </w:t>
      </w:r>
      <w:r w:rsidR="009934E6" w:rsidRPr="00F31DD1">
        <w:rPr>
          <w:color w:val="000000" w:themeColor="text1"/>
          <w:lang w:val="en-US"/>
        </w:rPr>
        <w:t>min</w:t>
      </w:r>
      <w:r w:rsidR="005A4A8E" w:rsidRPr="00F31DD1">
        <w:rPr>
          <w:color w:val="000000" w:themeColor="text1"/>
          <w:lang w:val="en-US"/>
        </w:rPr>
        <w:t>i</w:t>
      </w:r>
      <w:r w:rsidR="009934E6" w:rsidRPr="00F31DD1">
        <w:rPr>
          <w:color w:val="000000" w:themeColor="text1"/>
          <w:lang w:val="en-US"/>
        </w:rPr>
        <w:t xml:space="preserve">ster Rev. John </w:t>
      </w:r>
      <w:proofErr w:type="spellStart"/>
      <w:r w:rsidR="009934E6" w:rsidRPr="00F31DD1">
        <w:rPr>
          <w:color w:val="000000" w:themeColor="text1"/>
          <w:lang w:val="en-US"/>
        </w:rPr>
        <w:t>Haltridge</w:t>
      </w:r>
      <w:proofErr w:type="spellEnd"/>
      <w:r w:rsidR="009934E6" w:rsidRPr="00F31DD1">
        <w:rPr>
          <w:color w:val="000000" w:themeColor="text1"/>
          <w:lang w:val="en-US"/>
        </w:rPr>
        <w:t xml:space="preserve">, died suddenly </w:t>
      </w:r>
      <w:r w:rsidRPr="00F31DD1">
        <w:rPr>
          <w:color w:val="000000" w:themeColor="text1"/>
          <w:lang w:val="en-US"/>
        </w:rPr>
        <w:t xml:space="preserve">of stabbing pains in her back </w:t>
      </w:r>
      <w:r w:rsidR="009934E6" w:rsidRPr="00F31DD1">
        <w:rPr>
          <w:color w:val="000000" w:themeColor="text1"/>
          <w:lang w:val="en-US"/>
        </w:rPr>
        <w:t xml:space="preserve">after suffering </w:t>
      </w:r>
      <w:r w:rsidR="009934E6" w:rsidRPr="00F31DD1">
        <w:rPr>
          <w:color w:val="000000" w:themeColor="text1"/>
          <w:lang w:val="en-US"/>
        </w:rPr>
        <w:lastRenderedPageBreak/>
        <w:t>months of supernatural attack</w:t>
      </w:r>
      <w:r w:rsidR="00266BA9">
        <w:rPr>
          <w:color w:val="000000" w:themeColor="text1"/>
          <w:lang w:val="en-US"/>
        </w:rPr>
        <w:t>s</w:t>
      </w:r>
      <w:r w:rsidR="009934E6" w:rsidRPr="00F31DD1">
        <w:rPr>
          <w:color w:val="000000" w:themeColor="text1"/>
          <w:lang w:val="en-US"/>
        </w:rPr>
        <w:t xml:space="preserve"> by a demonic presence in </w:t>
      </w:r>
      <w:proofErr w:type="spellStart"/>
      <w:r w:rsidR="009934E6" w:rsidRPr="00F31DD1">
        <w:rPr>
          <w:color w:val="000000" w:themeColor="text1"/>
          <w:lang w:val="en-US"/>
        </w:rPr>
        <w:t>Knowehead</w:t>
      </w:r>
      <w:proofErr w:type="spellEnd"/>
      <w:r w:rsidR="009934E6" w:rsidRPr="00F31DD1">
        <w:rPr>
          <w:color w:val="000000" w:themeColor="text1"/>
          <w:lang w:val="en-US"/>
        </w:rPr>
        <w:t xml:space="preserve"> House</w:t>
      </w:r>
      <w:r w:rsidR="00987A84" w:rsidRPr="00F31DD1">
        <w:rPr>
          <w:color w:val="000000" w:themeColor="text1"/>
          <w:lang w:val="en-US"/>
        </w:rPr>
        <w:t>, the home</w:t>
      </w:r>
      <w:r w:rsidRPr="00F31DD1">
        <w:rPr>
          <w:color w:val="000000" w:themeColor="text1"/>
          <w:lang w:val="en-US"/>
        </w:rPr>
        <w:t xml:space="preserve"> she shared with her son James, his wife, </w:t>
      </w:r>
      <w:r w:rsidR="0030470F" w:rsidRPr="00F31DD1">
        <w:rPr>
          <w:color w:val="000000" w:themeColor="text1"/>
          <w:lang w:val="en-US"/>
        </w:rPr>
        <w:t xml:space="preserve">and </w:t>
      </w:r>
      <w:r w:rsidR="009E353D" w:rsidRPr="00F31DD1">
        <w:rPr>
          <w:color w:val="000000" w:themeColor="text1"/>
          <w:lang w:val="en-US"/>
        </w:rPr>
        <w:t xml:space="preserve">their </w:t>
      </w:r>
      <w:r w:rsidRPr="00F31DD1">
        <w:rPr>
          <w:color w:val="000000" w:themeColor="text1"/>
          <w:lang w:val="en-US"/>
        </w:rPr>
        <w:t xml:space="preserve">two children. </w:t>
      </w:r>
      <w:proofErr w:type="spellStart"/>
      <w:r w:rsidRPr="00F31DD1">
        <w:rPr>
          <w:color w:val="000000" w:themeColor="text1"/>
          <w:lang w:val="en-US"/>
        </w:rPr>
        <w:t>Islandmagee</w:t>
      </w:r>
      <w:proofErr w:type="spellEnd"/>
      <w:r w:rsidRPr="00F31DD1">
        <w:rPr>
          <w:color w:val="000000" w:themeColor="text1"/>
          <w:lang w:val="en-US"/>
        </w:rPr>
        <w:t xml:space="preserve"> is an </w:t>
      </w:r>
      <w:r w:rsidR="005574C9" w:rsidRPr="00F31DD1">
        <w:rPr>
          <w:color w:val="000000" w:themeColor="text1"/>
          <w:lang w:val="en-US"/>
        </w:rPr>
        <w:t>eight-mile-long</w:t>
      </w:r>
      <w:r w:rsidRPr="00F31DD1">
        <w:rPr>
          <w:color w:val="000000" w:themeColor="text1"/>
          <w:lang w:val="en-US"/>
        </w:rPr>
        <w:t xml:space="preserve"> peninsula that lies on the east coast of Co</w:t>
      </w:r>
      <w:r w:rsidR="00493ECD" w:rsidRPr="00F31DD1">
        <w:rPr>
          <w:color w:val="000000" w:themeColor="text1"/>
          <w:lang w:val="en-US"/>
        </w:rPr>
        <w:t>unty</w:t>
      </w:r>
      <w:r w:rsidRPr="00F31DD1">
        <w:rPr>
          <w:color w:val="000000" w:themeColor="text1"/>
          <w:lang w:val="en-US"/>
        </w:rPr>
        <w:t xml:space="preserve"> Antrim</w:t>
      </w:r>
      <w:r w:rsidR="009E353D" w:rsidRPr="00F31DD1">
        <w:rPr>
          <w:color w:val="000000" w:themeColor="text1"/>
          <w:lang w:val="en-US"/>
        </w:rPr>
        <w:t xml:space="preserve"> in Northern Ireland. I</w:t>
      </w:r>
      <w:r w:rsidRPr="00F31DD1">
        <w:rPr>
          <w:color w:val="000000" w:themeColor="text1"/>
          <w:lang w:val="en-US"/>
        </w:rPr>
        <w:t>n 1711</w:t>
      </w:r>
      <w:r w:rsidR="0030470F" w:rsidRPr="00F31DD1">
        <w:rPr>
          <w:color w:val="000000" w:themeColor="text1"/>
          <w:lang w:val="en-US"/>
        </w:rPr>
        <w:t>,</w:t>
      </w:r>
      <w:r w:rsidRPr="00F31DD1">
        <w:rPr>
          <w:color w:val="000000" w:themeColor="text1"/>
          <w:lang w:val="en-US"/>
        </w:rPr>
        <w:t xml:space="preserve"> it was home to around 300 people of Scot</w:t>
      </w:r>
      <w:r w:rsidR="002A6F12" w:rsidRPr="00F31DD1">
        <w:rPr>
          <w:color w:val="000000" w:themeColor="text1"/>
          <w:lang w:val="en-US"/>
        </w:rPr>
        <w:t>tish</w:t>
      </w:r>
      <w:r w:rsidRPr="00F31DD1">
        <w:rPr>
          <w:color w:val="000000" w:themeColor="text1"/>
          <w:lang w:val="en-US"/>
        </w:rPr>
        <w:t xml:space="preserve"> birth or ancestry. </w:t>
      </w:r>
      <w:r w:rsidR="009934E6" w:rsidRPr="00F31DD1">
        <w:rPr>
          <w:color w:val="000000" w:themeColor="text1"/>
          <w:lang w:val="en-US"/>
        </w:rPr>
        <w:t xml:space="preserve">After Ann’s funeral, </w:t>
      </w:r>
      <w:r w:rsidRPr="00F31DD1">
        <w:rPr>
          <w:color w:val="000000" w:themeColor="text1"/>
          <w:lang w:val="en-US"/>
        </w:rPr>
        <w:t xml:space="preserve">her </w:t>
      </w:r>
      <w:r w:rsidR="005574C9" w:rsidRPr="00F31DD1">
        <w:rPr>
          <w:color w:val="000000" w:themeColor="text1"/>
          <w:lang w:val="en-US"/>
        </w:rPr>
        <w:t>eighteen-year-old</w:t>
      </w:r>
      <w:r w:rsidR="009E353D" w:rsidRPr="00F31DD1">
        <w:rPr>
          <w:color w:val="000000" w:themeColor="text1"/>
          <w:lang w:val="en-US"/>
        </w:rPr>
        <w:t xml:space="preserve"> </w:t>
      </w:r>
      <w:r w:rsidR="009934E6" w:rsidRPr="00F31DD1">
        <w:rPr>
          <w:color w:val="000000" w:themeColor="text1"/>
          <w:lang w:val="en-US"/>
        </w:rPr>
        <w:t xml:space="preserve">niece, Mary Dunbar, </w:t>
      </w:r>
      <w:r w:rsidRPr="00F31DD1">
        <w:rPr>
          <w:color w:val="000000" w:themeColor="text1"/>
          <w:lang w:val="en-US"/>
        </w:rPr>
        <w:t xml:space="preserve">arrived at </w:t>
      </w:r>
      <w:proofErr w:type="spellStart"/>
      <w:r w:rsidRPr="00F31DD1">
        <w:rPr>
          <w:color w:val="000000" w:themeColor="text1"/>
          <w:lang w:val="en-US"/>
        </w:rPr>
        <w:t>Knowehead</w:t>
      </w:r>
      <w:proofErr w:type="spellEnd"/>
      <w:r w:rsidR="00B701C6" w:rsidRPr="00F31DD1">
        <w:rPr>
          <w:color w:val="000000" w:themeColor="text1"/>
          <w:lang w:val="en-US"/>
        </w:rPr>
        <w:t xml:space="preserve"> House</w:t>
      </w:r>
      <w:r w:rsidRPr="00F31DD1">
        <w:rPr>
          <w:color w:val="000000" w:themeColor="text1"/>
          <w:lang w:val="en-US"/>
        </w:rPr>
        <w:t xml:space="preserve"> </w:t>
      </w:r>
      <w:r w:rsidR="00B61667" w:rsidRPr="00F31DD1">
        <w:rPr>
          <w:color w:val="000000" w:themeColor="text1"/>
          <w:lang w:val="en-US"/>
        </w:rPr>
        <w:t xml:space="preserve">from nearby Castlereagh, County Antrim, </w:t>
      </w:r>
      <w:r w:rsidRPr="00F31DD1">
        <w:rPr>
          <w:color w:val="000000" w:themeColor="text1"/>
          <w:lang w:val="en-US"/>
        </w:rPr>
        <w:t xml:space="preserve">to keep the family company. </w:t>
      </w:r>
      <w:r w:rsidR="00BE7044" w:rsidRPr="00F31DD1">
        <w:rPr>
          <w:color w:val="000000" w:themeColor="text1"/>
          <w:lang w:val="en-US"/>
        </w:rPr>
        <w:t xml:space="preserve">Dunbar was a member of the lower gentry, well educated and versed in the </w:t>
      </w:r>
      <w:r w:rsidR="00F63D82" w:rsidRPr="00F31DD1">
        <w:rPr>
          <w:color w:val="000000" w:themeColor="text1"/>
          <w:lang w:val="en-US"/>
        </w:rPr>
        <w:t>B</w:t>
      </w:r>
      <w:r w:rsidR="00BE7044" w:rsidRPr="00F31DD1">
        <w:rPr>
          <w:color w:val="000000" w:themeColor="text1"/>
          <w:lang w:val="en-US"/>
        </w:rPr>
        <w:t>ible, and according to contemporary</w:t>
      </w:r>
      <w:r w:rsidR="005D6ED6" w:rsidRPr="00F31DD1">
        <w:rPr>
          <w:color w:val="000000" w:themeColor="text1"/>
          <w:lang w:val="en-US"/>
        </w:rPr>
        <w:t xml:space="preserve">, male </w:t>
      </w:r>
      <w:r w:rsidR="00BE7044" w:rsidRPr="00F31DD1">
        <w:rPr>
          <w:color w:val="000000" w:themeColor="text1"/>
          <w:lang w:val="en-US"/>
        </w:rPr>
        <w:t xml:space="preserve">commentators, physically attractive. </w:t>
      </w:r>
      <w:r w:rsidR="007047C2" w:rsidRPr="00F31DD1">
        <w:rPr>
          <w:color w:val="000000" w:themeColor="text1"/>
          <w:lang w:val="en-US"/>
        </w:rPr>
        <w:t xml:space="preserve">After only a few hours in the house, </w:t>
      </w:r>
      <w:r w:rsidR="0030470F" w:rsidRPr="00F31DD1">
        <w:rPr>
          <w:color w:val="000000" w:themeColor="text1"/>
          <w:lang w:val="en-US"/>
        </w:rPr>
        <w:t xml:space="preserve">Dunbar </w:t>
      </w:r>
      <w:r w:rsidR="007047C2" w:rsidRPr="00F31DD1">
        <w:rPr>
          <w:color w:val="000000" w:themeColor="text1"/>
          <w:lang w:val="en-US"/>
        </w:rPr>
        <w:t xml:space="preserve">found an apron tightly bound and tied with five knots </w:t>
      </w:r>
      <w:r w:rsidR="003606C8" w:rsidRPr="00F31DD1">
        <w:rPr>
          <w:color w:val="000000" w:themeColor="text1"/>
          <w:lang w:val="en-US"/>
        </w:rPr>
        <w:t>which</w:t>
      </w:r>
      <w:r w:rsidR="007047C2" w:rsidRPr="00F31DD1">
        <w:rPr>
          <w:color w:val="000000" w:themeColor="text1"/>
          <w:lang w:val="en-US"/>
        </w:rPr>
        <w:t xml:space="preserve"> had</w:t>
      </w:r>
      <w:r w:rsidR="003606C8" w:rsidRPr="00F31DD1">
        <w:rPr>
          <w:color w:val="000000" w:themeColor="text1"/>
          <w:lang w:val="en-US"/>
        </w:rPr>
        <w:t xml:space="preserve"> recently and</w:t>
      </w:r>
      <w:r w:rsidR="007047C2" w:rsidRPr="00F31DD1">
        <w:rPr>
          <w:color w:val="000000" w:themeColor="text1"/>
          <w:lang w:val="en-US"/>
        </w:rPr>
        <w:t xml:space="preserve"> mysteriously appeared on the </w:t>
      </w:r>
      <w:proofErr w:type="spellStart"/>
      <w:r w:rsidR="007047C2" w:rsidRPr="00F31DD1">
        <w:rPr>
          <w:color w:val="000000" w:themeColor="text1"/>
          <w:lang w:val="en-US"/>
        </w:rPr>
        <w:t>parlour</w:t>
      </w:r>
      <w:proofErr w:type="spellEnd"/>
      <w:r w:rsidR="007047C2" w:rsidRPr="00F31DD1">
        <w:rPr>
          <w:color w:val="000000" w:themeColor="text1"/>
          <w:lang w:val="en-US"/>
        </w:rPr>
        <w:t xml:space="preserve"> floor. </w:t>
      </w:r>
      <w:r w:rsidR="005D6ED6" w:rsidRPr="00F31DD1">
        <w:rPr>
          <w:color w:val="000000" w:themeColor="text1"/>
          <w:lang w:val="en-US"/>
        </w:rPr>
        <w:t>Various</w:t>
      </w:r>
      <w:r w:rsidR="00181512" w:rsidRPr="00F31DD1">
        <w:rPr>
          <w:color w:val="000000" w:themeColor="text1"/>
          <w:lang w:val="en-US"/>
        </w:rPr>
        <w:t xml:space="preserve"> members of the family refused to touch it as they feared it was bewitched. Mary Dunbar </w:t>
      </w:r>
      <w:r w:rsidR="00C65D65" w:rsidRPr="00F31DD1">
        <w:rPr>
          <w:color w:val="000000" w:themeColor="text1"/>
          <w:lang w:val="en-US"/>
        </w:rPr>
        <w:t xml:space="preserve">displayed </w:t>
      </w:r>
      <w:r w:rsidR="00181512" w:rsidRPr="00F31DD1">
        <w:rPr>
          <w:color w:val="000000" w:themeColor="text1"/>
          <w:lang w:val="en-US"/>
        </w:rPr>
        <w:t xml:space="preserve">none of these misgivings and </w:t>
      </w:r>
      <w:r w:rsidR="00C65D65" w:rsidRPr="00F31DD1">
        <w:rPr>
          <w:color w:val="000000" w:themeColor="text1"/>
          <w:lang w:val="en-US"/>
        </w:rPr>
        <w:t>when she</w:t>
      </w:r>
      <w:r w:rsidR="007047C2" w:rsidRPr="00F31DD1">
        <w:rPr>
          <w:color w:val="000000" w:themeColor="text1"/>
          <w:lang w:val="en-US"/>
        </w:rPr>
        <w:t xml:space="preserve"> </w:t>
      </w:r>
      <w:proofErr w:type="spellStart"/>
      <w:r w:rsidR="007047C2" w:rsidRPr="00F31DD1">
        <w:rPr>
          <w:color w:val="000000" w:themeColor="text1"/>
          <w:lang w:val="en-US"/>
        </w:rPr>
        <w:t>unravelled</w:t>
      </w:r>
      <w:proofErr w:type="spellEnd"/>
      <w:r w:rsidR="009E353D" w:rsidRPr="00F31DD1">
        <w:rPr>
          <w:color w:val="000000" w:themeColor="text1"/>
          <w:lang w:val="en-US"/>
        </w:rPr>
        <w:t xml:space="preserve"> and untied</w:t>
      </w:r>
      <w:r w:rsidR="007047C2" w:rsidRPr="00F31DD1">
        <w:rPr>
          <w:color w:val="000000" w:themeColor="text1"/>
          <w:lang w:val="en-US"/>
        </w:rPr>
        <w:t xml:space="preserve"> the apron she found a</w:t>
      </w:r>
      <w:r w:rsidR="00B701C6" w:rsidRPr="00F31DD1">
        <w:rPr>
          <w:color w:val="000000" w:themeColor="text1"/>
          <w:lang w:val="en-US"/>
        </w:rPr>
        <w:t xml:space="preserve"> </w:t>
      </w:r>
      <w:r w:rsidR="005D6ED6" w:rsidRPr="00F31DD1">
        <w:rPr>
          <w:color w:val="000000" w:themeColor="text1"/>
          <w:lang w:val="en-US"/>
        </w:rPr>
        <w:t xml:space="preserve">missing, </w:t>
      </w:r>
      <w:r w:rsidR="007047C2" w:rsidRPr="00F31DD1">
        <w:rPr>
          <w:color w:val="000000" w:themeColor="text1"/>
          <w:lang w:val="en-US"/>
        </w:rPr>
        <w:t>flannel cap that belonged to the</w:t>
      </w:r>
      <w:r w:rsidR="009934E6" w:rsidRPr="00F31DD1">
        <w:rPr>
          <w:color w:val="000000" w:themeColor="text1"/>
          <w:lang w:val="en-US"/>
        </w:rPr>
        <w:t xml:space="preserve"> late </w:t>
      </w:r>
      <w:proofErr w:type="spellStart"/>
      <w:r w:rsidR="009934E6" w:rsidRPr="00F31DD1">
        <w:rPr>
          <w:color w:val="000000" w:themeColor="text1"/>
          <w:lang w:val="en-US"/>
        </w:rPr>
        <w:t>Mrs</w:t>
      </w:r>
      <w:proofErr w:type="spellEnd"/>
      <w:r w:rsidR="009934E6" w:rsidRPr="00F31DD1">
        <w:rPr>
          <w:color w:val="000000" w:themeColor="text1"/>
          <w:lang w:val="en-US"/>
        </w:rPr>
        <w:t xml:space="preserve"> </w:t>
      </w:r>
      <w:proofErr w:type="spellStart"/>
      <w:r w:rsidR="009934E6" w:rsidRPr="00F31DD1">
        <w:rPr>
          <w:color w:val="000000" w:themeColor="text1"/>
          <w:lang w:val="en-US"/>
        </w:rPr>
        <w:t>Haltridge</w:t>
      </w:r>
      <w:proofErr w:type="spellEnd"/>
      <w:r w:rsidR="009934E6" w:rsidRPr="00F31DD1">
        <w:rPr>
          <w:color w:val="000000" w:themeColor="text1"/>
          <w:lang w:val="en-US"/>
        </w:rPr>
        <w:t xml:space="preserve">. Almost immediately, </w:t>
      </w:r>
      <w:proofErr w:type="spellStart"/>
      <w:r w:rsidR="009934E6" w:rsidRPr="00F31DD1">
        <w:rPr>
          <w:color w:val="000000" w:themeColor="text1"/>
          <w:lang w:val="en-US"/>
        </w:rPr>
        <w:t>Knowehead</w:t>
      </w:r>
      <w:proofErr w:type="spellEnd"/>
      <w:r w:rsidR="009934E6" w:rsidRPr="00F31DD1">
        <w:rPr>
          <w:color w:val="000000" w:themeColor="text1"/>
          <w:lang w:val="en-US"/>
        </w:rPr>
        <w:t xml:space="preserve"> House was wracked by supernatural disturbance</w:t>
      </w:r>
      <w:r w:rsidR="00CD32F9" w:rsidRPr="00F31DD1">
        <w:rPr>
          <w:color w:val="000000" w:themeColor="text1"/>
          <w:lang w:val="en-US"/>
        </w:rPr>
        <w:t>:</w:t>
      </w:r>
      <w:r w:rsidR="00C65D65" w:rsidRPr="00F31DD1">
        <w:rPr>
          <w:color w:val="000000" w:themeColor="text1"/>
          <w:lang w:val="en-US"/>
        </w:rPr>
        <w:t xml:space="preserve"> the house was hit with stones thrown by unseen hands and objects </w:t>
      </w:r>
      <w:r w:rsidR="00C57D3F" w:rsidRPr="00F31DD1">
        <w:rPr>
          <w:color w:val="000000" w:themeColor="text1"/>
          <w:lang w:val="en-US"/>
        </w:rPr>
        <w:t xml:space="preserve">seemingly </w:t>
      </w:r>
      <w:r w:rsidR="00C65D65" w:rsidRPr="00F31DD1">
        <w:rPr>
          <w:color w:val="000000" w:themeColor="text1"/>
          <w:lang w:val="en-US"/>
        </w:rPr>
        <w:t>moved</w:t>
      </w:r>
      <w:r w:rsidR="00CD32F9" w:rsidRPr="00F31DD1">
        <w:rPr>
          <w:color w:val="000000" w:themeColor="text1"/>
          <w:lang w:val="en-US"/>
        </w:rPr>
        <w:t xml:space="preserve"> around the house</w:t>
      </w:r>
      <w:r w:rsidR="00C65D65" w:rsidRPr="00F31DD1">
        <w:rPr>
          <w:color w:val="000000" w:themeColor="text1"/>
          <w:lang w:val="en-US"/>
        </w:rPr>
        <w:t xml:space="preserve"> on their own accord. More importantly,</w:t>
      </w:r>
      <w:r w:rsidR="009934E6" w:rsidRPr="00F31DD1">
        <w:rPr>
          <w:color w:val="000000" w:themeColor="text1"/>
          <w:lang w:val="en-US"/>
        </w:rPr>
        <w:t xml:space="preserve"> </w:t>
      </w:r>
      <w:r w:rsidR="009E353D" w:rsidRPr="00F31DD1">
        <w:rPr>
          <w:color w:val="000000" w:themeColor="text1"/>
          <w:lang w:val="en-US"/>
        </w:rPr>
        <w:t xml:space="preserve">Dunbar </w:t>
      </w:r>
      <w:r w:rsidR="009934E6" w:rsidRPr="00F31DD1">
        <w:rPr>
          <w:color w:val="000000" w:themeColor="text1"/>
          <w:lang w:val="en-US"/>
        </w:rPr>
        <w:t xml:space="preserve">began to display the classic symptoms of demonic possession, </w:t>
      </w:r>
      <w:r w:rsidR="009E353D" w:rsidRPr="00F31DD1">
        <w:rPr>
          <w:color w:val="000000" w:themeColor="text1"/>
          <w:lang w:val="en-US"/>
        </w:rPr>
        <w:t>including</w:t>
      </w:r>
      <w:r w:rsidR="009934E6" w:rsidRPr="00F31DD1">
        <w:rPr>
          <w:color w:val="000000" w:themeColor="text1"/>
          <w:lang w:val="en-US"/>
        </w:rPr>
        <w:t xml:space="preserve"> vomiting household objects, </w:t>
      </w:r>
      <w:r w:rsidR="0030470F" w:rsidRPr="00F31DD1">
        <w:rPr>
          <w:color w:val="000000" w:themeColor="text1"/>
          <w:lang w:val="en-US"/>
        </w:rPr>
        <w:t xml:space="preserve">fits, </w:t>
      </w:r>
      <w:r w:rsidR="00B701C6" w:rsidRPr="00F31DD1">
        <w:rPr>
          <w:color w:val="000000" w:themeColor="text1"/>
          <w:lang w:val="en-US"/>
        </w:rPr>
        <w:t xml:space="preserve">convulsions, </w:t>
      </w:r>
      <w:r w:rsidR="009E353D" w:rsidRPr="00F31DD1">
        <w:rPr>
          <w:color w:val="000000" w:themeColor="text1"/>
          <w:lang w:val="en-US"/>
        </w:rPr>
        <w:t xml:space="preserve">and </w:t>
      </w:r>
      <w:r w:rsidR="00365D25" w:rsidRPr="00F31DD1">
        <w:rPr>
          <w:color w:val="000000" w:themeColor="text1"/>
          <w:lang w:val="en-US"/>
        </w:rPr>
        <w:t>levitation</w:t>
      </w:r>
      <w:r w:rsidR="009934E6" w:rsidRPr="00F31DD1">
        <w:rPr>
          <w:color w:val="000000" w:themeColor="text1"/>
          <w:lang w:val="en-US"/>
        </w:rPr>
        <w:t>.</w:t>
      </w:r>
      <w:r w:rsidR="009934E6" w:rsidRPr="00F31DD1">
        <w:rPr>
          <w:b/>
          <w:color w:val="000000" w:themeColor="text1"/>
          <w:lang w:val="en-US"/>
        </w:rPr>
        <w:t xml:space="preserve"> </w:t>
      </w:r>
      <w:r w:rsidR="009934E6" w:rsidRPr="00F31DD1">
        <w:rPr>
          <w:color w:val="000000" w:themeColor="text1"/>
          <w:lang w:val="en-US"/>
        </w:rPr>
        <w:t xml:space="preserve">During the next month, March 1711, </w:t>
      </w:r>
      <w:r w:rsidR="009E353D" w:rsidRPr="00F31DD1">
        <w:rPr>
          <w:color w:val="000000" w:themeColor="text1"/>
          <w:lang w:val="en-US"/>
        </w:rPr>
        <w:t>Dunbar</w:t>
      </w:r>
      <w:r w:rsidR="009934E6" w:rsidRPr="00F31DD1">
        <w:rPr>
          <w:color w:val="000000" w:themeColor="text1"/>
          <w:lang w:val="en-US"/>
        </w:rPr>
        <w:t xml:space="preserve"> accused eight </w:t>
      </w:r>
      <w:r w:rsidR="002F6327" w:rsidRPr="00F31DD1">
        <w:rPr>
          <w:color w:val="000000" w:themeColor="text1"/>
          <w:lang w:val="en-US"/>
        </w:rPr>
        <w:t xml:space="preserve">local, </w:t>
      </w:r>
      <w:r w:rsidR="009934E6" w:rsidRPr="00F31DD1">
        <w:rPr>
          <w:color w:val="000000" w:themeColor="text1"/>
          <w:lang w:val="en-US"/>
        </w:rPr>
        <w:t>Presbyterian women of using witchcraft to attack her in spectral form and to summon demons to possess her body.</w:t>
      </w:r>
      <w:r w:rsidR="00116239" w:rsidRPr="00F31DD1">
        <w:rPr>
          <w:rStyle w:val="EndnoteReference"/>
          <w:color w:val="000000" w:themeColor="text1"/>
          <w:lang w:val="en-US"/>
        </w:rPr>
        <w:endnoteReference w:id="1"/>
      </w:r>
      <w:r w:rsidR="009934E6" w:rsidRPr="00F31DD1">
        <w:rPr>
          <w:rStyle w:val="FootnoteReference"/>
          <w:color w:val="000000" w:themeColor="text1"/>
          <w:lang w:val="en-US"/>
        </w:rPr>
        <w:t xml:space="preserve"> </w:t>
      </w:r>
      <w:r w:rsidR="00CB5FC7" w:rsidRPr="00F31DD1">
        <w:rPr>
          <w:color w:val="000000" w:themeColor="text1"/>
          <w:lang w:val="en-US"/>
        </w:rPr>
        <w:t>On the basis of this accusation,</w:t>
      </w:r>
      <w:r w:rsidR="0006110C" w:rsidRPr="00F31DD1">
        <w:rPr>
          <w:color w:val="000000" w:themeColor="text1"/>
          <w:lang w:val="en-US"/>
        </w:rPr>
        <w:t xml:space="preserve"> the women were </w:t>
      </w:r>
      <w:r w:rsidR="00CF7C33" w:rsidRPr="00F31DD1">
        <w:rPr>
          <w:color w:val="000000" w:themeColor="text1"/>
          <w:lang w:val="en-US"/>
        </w:rPr>
        <w:t xml:space="preserve">found and </w:t>
      </w:r>
      <w:r w:rsidR="009934E6" w:rsidRPr="00F31DD1">
        <w:rPr>
          <w:color w:val="000000" w:themeColor="text1"/>
          <w:lang w:val="en-US"/>
        </w:rPr>
        <w:t>examined by</w:t>
      </w:r>
      <w:r w:rsidR="002F6327" w:rsidRPr="00F31DD1">
        <w:rPr>
          <w:color w:val="000000" w:themeColor="text1"/>
          <w:lang w:val="en-US"/>
        </w:rPr>
        <w:t xml:space="preserve"> </w:t>
      </w:r>
      <w:r w:rsidR="00CF7C33" w:rsidRPr="00F31DD1">
        <w:rPr>
          <w:color w:val="000000" w:themeColor="text1"/>
          <w:lang w:val="en-US"/>
        </w:rPr>
        <w:t xml:space="preserve">Justice of the Peace and </w:t>
      </w:r>
      <w:r w:rsidR="009934E6" w:rsidRPr="00F31DD1">
        <w:rPr>
          <w:color w:val="000000" w:themeColor="text1"/>
          <w:lang w:val="en-US"/>
        </w:rPr>
        <w:t xml:space="preserve">Anglican-Whig, Mayor of nearby </w:t>
      </w:r>
      <w:proofErr w:type="spellStart"/>
      <w:r w:rsidR="009934E6" w:rsidRPr="00F31DD1">
        <w:rPr>
          <w:color w:val="000000" w:themeColor="text1"/>
          <w:lang w:val="en-US"/>
        </w:rPr>
        <w:t>Carrickfergus</w:t>
      </w:r>
      <w:proofErr w:type="spellEnd"/>
      <w:r w:rsidR="009934E6" w:rsidRPr="00F31DD1">
        <w:rPr>
          <w:color w:val="000000" w:themeColor="text1"/>
          <w:lang w:val="en-US"/>
        </w:rPr>
        <w:t>, Edward Clements</w:t>
      </w:r>
      <w:r w:rsidR="00CF7C33" w:rsidRPr="00F31DD1">
        <w:rPr>
          <w:color w:val="000000" w:themeColor="text1"/>
          <w:lang w:val="en-US"/>
        </w:rPr>
        <w:t>, his constables, and local clergy</w:t>
      </w:r>
      <w:r w:rsidR="009934E6" w:rsidRPr="00F31DD1">
        <w:rPr>
          <w:color w:val="000000" w:themeColor="text1"/>
          <w:lang w:val="en-US"/>
        </w:rPr>
        <w:t>.</w:t>
      </w:r>
      <w:r w:rsidR="00CF7C33" w:rsidRPr="00F31DD1">
        <w:rPr>
          <w:color w:val="000000" w:themeColor="text1"/>
          <w:lang w:val="en-US"/>
        </w:rPr>
        <w:t xml:space="preserve"> Having failed a number</w:t>
      </w:r>
      <w:r w:rsidR="00F63D82" w:rsidRPr="00F31DD1">
        <w:rPr>
          <w:color w:val="000000" w:themeColor="text1"/>
          <w:lang w:val="en-US"/>
        </w:rPr>
        <w:t xml:space="preserve"> of</w:t>
      </w:r>
      <w:r w:rsidR="00CF7C33" w:rsidRPr="00F31DD1">
        <w:rPr>
          <w:color w:val="000000" w:themeColor="text1"/>
          <w:lang w:val="en-US"/>
        </w:rPr>
        <w:t xml:space="preserve"> ordeals designed to test their guilt, including the ability to say the Lord’s </w:t>
      </w:r>
      <w:r w:rsidR="00F63D82" w:rsidRPr="00F31DD1">
        <w:rPr>
          <w:color w:val="000000" w:themeColor="text1"/>
          <w:lang w:val="en-US"/>
        </w:rPr>
        <w:t>P</w:t>
      </w:r>
      <w:r w:rsidR="00CF7C33" w:rsidRPr="00F31DD1">
        <w:rPr>
          <w:color w:val="000000" w:themeColor="text1"/>
          <w:lang w:val="en-US"/>
        </w:rPr>
        <w:t xml:space="preserve">rayer flawlessly, and to enter a room inhabited by Mary Dunbar without causing her to fit or convulse, they were imprisoned in the jail adjoining </w:t>
      </w:r>
      <w:proofErr w:type="spellStart"/>
      <w:r w:rsidR="00CF7C33" w:rsidRPr="00F31DD1">
        <w:rPr>
          <w:color w:val="000000" w:themeColor="text1"/>
          <w:lang w:val="en-US"/>
        </w:rPr>
        <w:t>Carrickfergus</w:t>
      </w:r>
      <w:proofErr w:type="spellEnd"/>
      <w:r w:rsidR="00CF7C33" w:rsidRPr="00F31DD1">
        <w:rPr>
          <w:color w:val="000000" w:themeColor="text1"/>
          <w:lang w:val="en-US"/>
        </w:rPr>
        <w:t xml:space="preserve"> courthouse to await trial. </w:t>
      </w:r>
      <w:r w:rsidR="00694703" w:rsidRPr="00F31DD1">
        <w:rPr>
          <w:color w:val="000000" w:themeColor="text1"/>
          <w:lang w:val="en-US"/>
        </w:rPr>
        <w:t xml:space="preserve">The </w:t>
      </w:r>
      <w:r w:rsidR="001C3583" w:rsidRPr="00F31DD1">
        <w:rPr>
          <w:color w:val="000000" w:themeColor="text1"/>
          <w:lang w:val="en-US"/>
        </w:rPr>
        <w:t>women were</w:t>
      </w:r>
      <w:r w:rsidR="009934E6" w:rsidRPr="00F31DD1">
        <w:rPr>
          <w:color w:val="000000" w:themeColor="text1"/>
          <w:lang w:val="en-US"/>
        </w:rPr>
        <w:t xml:space="preserve"> tried on 31 March 1711 at the </w:t>
      </w:r>
      <w:r w:rsidR="002A6F12" w:rsidRPr="00F31DD1">
        <w:rPr>
          <w:color w:val="000000" w:themeColor="text1"/>
          <w:lang w:val="en-US"/>
        </w:rPr>
        <w:t>s</w:t>
      </w:r>
      <w:r w:rsidR="009934E6" w:rsidRPr="00F31DD1">
        <w:rPr>
          <w:color w:val="000000" w:themeColor="text1"/>
          <w:lang w:val="en-US"/>
        </w:rPr>
        <w:t xml:space="preserve">pring </w:t>
      </w:r>
      <w:r w:rsidR="002A6F12" w:rsidRPr="00F31DD1">
        <w:rPr>
          <w:color w:val="000000" w:themeColor="text1"/>
          <w:lang w:val="en-US"/>
        </w:rPr>
        <w:t>s</w:t>
      </w:r>
      <w:r w:rsidR="009934E6" w:rsidRPr="00F31DD1">
        <w:rPr>
          <w:color w:val="000000" w:themeColor="text1"/>
          <w:lang w:val="en-US"/>
        </w:rPr>
        <w:t xml:space="preserve">ession of </w:t>
      </w:r>
      <w:proofErr w:type="spellStart"/>
      <w:r w:rsidR="009934E6" w:rsidRPr="00F31DD1">
        <w:rPr>
          <w:color w:val="000000" w:themeColor="text1"/>
          <w:lang w:val="en-US"/>
        </w:rPr>
        <w:t>Carrickfergus</w:t>
      </w:r>
      <w:proofErr w:type="spellEnd"/>
      <w:r w:rsidR="009934E6" w:rsidRPr="00F31DD1">
        <w:rPr>
          <w:color w:val="000000" w:themeColor="text1"/>
          <w:lang w:val="en-US"/>
        </w:rPr>
        <w:t xml:space="preserve"> </w:t>
      </w:r>
      <w:r w:rsidR="00CF7C33" w:rsidRPr="00F31DD1">
        <w:rPr>
          <w:color w:val="000000" w:themeColor="text1"/>
          <w:lang w:val="en-US"/>
        </w:rPr>
        <w:t>C</w:t>
      </w:r>
      <w:r w:rsidR="009934E6" w:rsidRPr="00F31DD1">
        <w:rPr>
          <w:color w:val="000000" w:themeColor="text1"/>
          <w:lang w:val="en-US"/>
        </w:rPr>
        <w:t>ounty Assize</w:t>
      </w:r>
      <w:r w:rsidR="002A6F12" w:rsidRPr="00F31DD1">
        <w:rPr>
          <w:color w:val="000000" w:themeColor="text1"/>
          <w:lang w:val="en-US"/>
        </w:rPr>
        <w:t xml:space="preserve"> court</w:t>
      </w:r>
      <w:r w:rsidR="00CF7C33" w:rsidRPr="00F31DD1">
        <w:rPr>
          <w:color w:val="000000" w:themeColor="text1"/>
          <w:lang w:val="en-US"/>
        </w:rPr>
        <w:t>,</w:t>
      </w:r>
      <w:r w:rsidR="009934E6" w:rsidRPr="00F31DD1">
        <w:rPr>
          <w:color w:val="000000" w:themeColor="text1"/>
          <w:lang w:val="en-US"/>
        </w:rPr>
        <w:t xml:space="preserve"> and despite pleading not guilty, all eight </w:t>
      </w:r>
      <w:r w:rsidR="009934E6" w:rsidRPr="00F31DD1">
        <w:rPr>
          <w:color w:val="000000" w:themeColor="text1"/>
          <w:lang w:val="en-US"/>
        </w:rPr>
        <w:lastRenderedPageBreak/>
        <w:t xml:space="preserve">women were convicted </w:t>
      </w:r>
      <w:r w:rsidR="009E353D" w:rsidRPr="00F31DD1">
        <w:rPr>
          <w:color w:val="000000" w:themeColor="text1"/>
          <w:lang w:val="en-US"/>
        </w:rPr>
        <w:t xml:space="preserve">of witchcraft </w:t>
      </w:r>
      <w:r w:rsidR="009934E6" w:rsidRPr="00F31DD1">
        <w:rPr>
          <w:color w:val="000000" w:themeColor="text1"/>
          <w:lang w:val="en-US"/>
        </w:rPr>
        <w:t>under the 1586 Irish Act</w:t>
      </w:r>
      <w:r w:rsidR="009E353D" w:rsidRPr="00F31DD1">
        <w:rPr>
          <w:color w:val="000000" w:themeColor="text1"/>
          <w:lang w:val="en-US"/>
        </w:rPr>
        <w:t xml:space="preserve"> </w:t>
      </w:r>
      <w:r w:rsidR="009934E6" w:rsidRPr="00F31DD1">
        <w:rPr>
          <w:color w:val="000000" w:themeColor="text1"/>
          <w:lang w:val="en-US"/>
        </w:rPr>
        <w:t>and sentenced to one year’s imprisonment and four stints in the pillory on market</w:t>
      </w:r>
      <w:r w:rsidR="00F31DD1" w:rsidRPr="00F31DD1">
        <w:rPr>
          <w:color w:val="000000" w:themeColor="text1"/>
          <w:lang w:val="en-US"/>
        </w:rPr>
        <w:t xml:space="preserve"> </w:t>
      </w:r>
      <w:r w:rsidR="009934E6" w:rsidRPr="00F31DD1">
        <w:rPr>
          <w:color w:val="000000" w:themeColor="text1"/>
          <w:lang w:val="en-US"/>
        </w:rPr>
        <w:t xml:space="preserve">day. </w:t>
      </w:r>
      <w:r w:rsidR="001C3583" w:rsidRPr="00F31DD1">
        <w:rPr>
          <w:color w:val="000000" w:themeColor="text1"/>
          <w:lang w:val="en-US"/>
        </w:rPr>
        <w:t xml:space="preserve">The incarceration of the </w:t>
      </w:r>
      <w:r w:rsidR="00050F07" w:rsidRPr="00F31DD1">
        <w:rPr>
          <w:color w:val="000000" w:themeColor="text1"/>
          <w:lang w:val="en-US"/>
        </w:rPr>
        <w:t xml:space="preserve">convicted women </w:t>
      </w:r>
      <w:r w:rsidR="005D6ED6" w:rsidRPr="00F31DD1">
        <w:rPr>
          <w:color w:val="000000" w:themeColor="text1"/>
          <w:lang w:val="en-US"/>
        </w:rPr>
        <w:t xml:space="preserve">did not </w:t>
      </w:r>
      <w:r w:rsidR="001C3583" w:rsidRPr="00F31DD1">
        <w:rPr>
          <w:color w:val="000000" w:themeColor="text1"/>
          <w:lang w:val="en-US"/>
        </w:rPr>
        <w:t>lead to an improvement in Dunbar’s health</w:t>
      </w:r>
      <w:r w:rsidR="005D6ED6" w:rsidRPr="00F31DD1">
        <w:rPr>
          <w:color w:val="000000" w:themeColor="text1"/>
          <w:lang w:val="en-US"/>
        </w:rPr>
        <w:t xml:space="preserve">, which was </w:t>
      </w:r>
      <w:r w:rsidR="00050F07" w:rsidRPr="00F31DD1">
        <w:rPr>
          <w:color w:val="000000" w:themeColor="text1"/>
          <w:lang w:val="en-US"/>
        </w:rPr>
        <w:t xml:space="preserve">expected in cases of demonic possession and witchcraft </w:t>
      </w:r>
      <w:r w:rsidR="00E24D2F" w:rsidRPr="00F31DD1">
        <w:rPr>
          <w:color w:val="000000" w:themeColor="text1"/>
          <w:lang w:val="en-US"/>
        </w:rPr>
        <w:t>in Ireland at that time</w:t>
      </w:r>
      <w:r w:rsidR="00050F07" w:rsidRPr="00F31DD1">
        <w:rPr>
          <w:color w:val="000000" w:themeColor="text1"/>
          <w:lang w:val="en-US"/>
        </w:rPr>
        <w:t>.</w:t>
      </w:r>
      <w:r w:rsidR="00A9002D" w:rsidRPr="00F31DD1">
        <w:rPr>
          <w:color w:val="000000" w:themeColor="text1"/>
          <w:lang w:val="en-US"/>
        </w:rPr>
        <w:t xml:space="preserve"> Dunbar </w:t>
      </w:r>
      <w:r w:rsidR="00E24D2F" w:rsidRPr="00F31DD1">
        <w:rPr>
          <w:color w:val="000000" w:themeColor="text1"/>
          <w:lang w:val="en-US"/>
        </w:rPr>
        <w:t>blamed</w:t>
      </w:r>
      <w:r w:rsidR="00A9002D" w:rsidRPr="00F31DD1">
        <w:rPr>
          <w:color w:val="000000" w:themeColor="text1"/>
          <w:lang w:val="en-US"/>
        </w:rPr>
        <w:t xml:space="preserve"> her prolonged illness on William </w:t>
      </w:r>
      <w:proofErr w:type="spellStart"/>
      <w:r w:rsidR="00A9002D" w:rsidRPr="00F31DD1">
        <w:rPr>
          <w:color w:val="000000" w:themeColor="text1"/>
          <w:lang w:val="en-US"/>
        </w:rPr>
        <w:t>Sellor</w:t>
      </w:r>
      <w:proofErr w:type="spellEnd"/>
      <w:r w:rsidR="00A9002D" w:rsidRPr="00F31DD1">
        <w:rPr>
          <w:color w:val="000000" w:themeColor="text1"/>
          <w:lang w:val="en-US"/>
        </w:rPr>
        <w:t xml:space="preserve">, husband to Janet Liston and father to Elizabeth </w:t>
      </w:r>
      <w:proofErr w:type="spellStart"/>
      <w:r w:rsidR="00A9002D" w:rsidRPr="00F31DD1">
        <w:rPr>
          <w:color w:val="000000" w:themeColor="text1"/>
          <w:lang w:val="en-US"/>
        </w:rPr>
        <w:t>Sellor</w:t>
      </w:r>
      <w:proofErr w:type="spellEnd"/>
      <w:r w:rsidR="00A9002D" w:rsidRPr="00F31DD1">
        <w:rPr>
          <w:color w:val="000000" w:themeColor="text1"/>
          <w:lang w:val="en-US"/>
        </w:rPr>
        <w:t xml:space="preserve">, two of the </w:t>
      </w:r>
      <w:r w:rsidR="00E24D2F" w:rsidRPr="00F31DD1">
        <w:rPr>
          <w:color w:val="000000" w:themeColor="text1"/>
          <w:lang w:val="en-US"/>
        </w:rPr>
        <w:t xml:space="preserve">eight </w:t>
      </w:r>
      <w:r w:rsidR="00A9002D" w:rsidRPr="00F31DD1">
        <w:rPr>
          <w:color w:val="000000" w:themeColor="text1"/>
          <w:lang w:val="en-US"/>
        </w:rPr>
        <w:t>women convi</w:t>
      </w:r>
      <w:r w:rsidR="00E24D2F" w:rsidRPr="00F31DD1">
        <w:rPr>
          <w:color w:val="000000" w:themeColor="text1"/>
          <w:lang w:val="en-US"/>
        </w:rPr>
        <w:t>cted at the previous Assizes</w:t>
      </w:r>
      <w:r w:rsidR="00A9002D" w:rsidRPr="00F31DD1">
        <w:rPr>
          <w:color w:val="000000" w:themeColor="text1"/>
          <w:lang w:val="en-US"/>
        </w:rPr>
        <w:t>.</w:t>
      </w:r>
      <w:r w:rsidR="00E24D2F" w:rsidRPr="00F31DD1">
        <w:rPr>
          <w:color w:val="000000" w:themeColor="text1"/>
          <w:lang w:val="en-US"/>
        </w:rPr>
        <w:t xml:space="preserve"> She claimed that </w:t>
      </w:r>
      <w:r w:rsidR="009934E6" w:rsidRPr="00F31DD1">
        <w:rPr>
          <w:color w:val="000000" w:themeColor="text1"/>
          <w:lang w:val="en-US"/>
        </w:rPr>
        <w:t xml:space="preserve">William </w:t>
      </w:r>
      <w:proofErr w:type="spellStart"/>
      <w:r w:rsidR="009934E6" w:rsidRPr="00F31DD1">
        <w:rPr>
          <w:color w:val="000000" w:themeColor="text1"/>
          <w:lang w:val="en-US"/>
        </w:rPr>
        <w:t>Sellor</w:t>
      </w:r>
      <w:proofErr w:type="spellEnd"/>
      <w:r w:rsidR="006432CF" w:rsidRPr="00F31DD1">
        <w:rPr>
          <w:color w:val="000000" w:themeColor="text1"/>
          <w:lang w:val="en-US"/>
        </w:rPr>
        <w:t xml:space="preserve"> had followed the example of his family members and was now using mag</w:t>
      </w:r>
      <w:r w:rsidR="0030470F" w:rsidRPr="00F31DD1">
        <w:rPr>
          <w:color w:val="000000" w:themeColor="text1"/>
          <w:lang w:val="en-US"/>
        </w:rPr>
        <w:t xml:space="preserve">ic </w:t>
      </w:r>
      <w:r w:rsidR="00E24D2F" w:rsidRPr="00F31DD1">
        <w:rPr>
          <w:color w:val="000000" w:themeColor="text1"/>
          <w:lang w:val="en-US"/>
        </w:rPr>
        <w:t>to</w:t>
      </w:r>
      <w:r w:rsidR="007E60E4" w:rsidRPr="00F31DD1">
        <w:rPr>
          <w:color w:val="000000" w:themeColor="text1"/>
          <w:lang w:val="en-US"/>
        </w:rPr>
        <w:t xml:space="preserve"> attack </w:t>
      </w:r>
      <w:r w:rsidR="00E24D2F" w:rsidRPr="00F31DD1">
        <w:rPr>
          <w:color w:val="000000" w:themeColor="text1"/>
          <w:lang w:val="en-US"/>
        </w:rPr>
        <w:t>her</w:t>
      </w:r>
      <w:r w:rsidR="009E353D" w:rsidRPr="00F31DD1">
        <w:rPr>
          <w:color w:val="000000" w:themeColor="text1"/>
          <w:lang w:val="en-US"/>
        </w:rPr>
        <w:t xml:space="preserve"> and the </w:t>
      </w:r>
      <w:proofErr w:type="spellStart"/>
      <w:r w:rsidR="009E353D" w:rsidRPr="00F31DD1">
        <w:rPr>
          <w:color w:val="000000" w:themeColor="text1"/>
          <w:lang w:val="en-US"/>
        </w:rPr>
        <w:t>Haltridge</w:t>
      </w:r>
      <w:proofErr w:type="spellEnd"/>
      <w:r w:rsidR="009E353D" w:rsidRPr="00F31DD1">
        <w:rPr>
          <w:color w:val="000000" w:themeColor="text1"/>
          <w:lang w:val="en-US"/>
        </w:rPr>
        <w:t xml:space="preserve"> household. </w:t>
      </w:r>
      <w:r w:rsidR="009934E6" w:rsidRPr="00F31DD1">
        <w:rPr>
          <w:color w:val="000000" w:themeColor="text1"/>
          <w:lang w:val="en-US"/>
        </w:rPr>
        <w:t xml:space="preserve">After resisting arrest and trying to abscond, </w:t>
      </w:r>
      <w:proofErr w:type="spellStart"/>
      <w:r w:rsidR="009934E6" w:rsidRPr="00F31DD1">
        <w:rPr>
          <w:color w:val="000000" w:themeColor="text1"/>
          <w:lang w:val="en-US"/>
        </w:rPr>
        <w:t>Sellor</w:t>
      </w:r>
      <w:proofErr w:type="spellEnd"/>
      <w:r w:rsidR="009934E6" w:rsidRPr="00F31DD1">
        <w:rPr>
          <w:color w:val="000000" w:themeColor="text1"/>
          <w:lang w:val="en-US"/>
        </w:rPr>
        <w:t xml:space="preserve"> was charged and later found guilty of Dunbar’s bewitchment at the </w:t>
      </w:r>
      <w:r w:rsidR="002A6F12" w:rsidRPr="00F31DD1">
        <w:rPr>
          <w:color w:val="000000" w:themeColor="text1"/>
          <w:lang w:val="en-US"/>
        </w:rPr>
        <w:t>s</w:t>
      </w:r>
      <w:r w:rsidR="009934E6" w:rsidRPr="00F31DD1">
        <w:rPr>
          <w:color w:val="000000" w:themeColor="text1"/>
          <w:lang w:val="en-US"/>
        </w:rPr>
        <w:t xml:space="preserve">ummer </w:t>
      </w:r>
      <w:r w:rsidR="002A6F12" w:rsidRPr="00F31DD1">
        <w:rPr>
          <w:color w:val="000000" w:themeColor="text1"/>
          <w:lang w:val="en-US"/>
        </w:rPr>
        <w:t>s</w:t>
      </w:r>
      <w:r w:rsidR="009934E6" w:rsidRPr="00F31DD1">
        <w:rPr>
          <w:color w:val="000000" w:themeColor="text1"/>
          <w:lang w:val="en-US"/>
        </w:rPr>
        <w:t xml:space="preserve">ession of </w:t>
      </w:r>
      <w:proofErr w:type="spellStart"/>
      <w:r w:rsidR="009934E6" w:rsidRPr="00F31DD1">
        <w:rPr>
          <w:color w:val="000000" w:themeColor="text1"/>
          <w:lang w:val="en-US"/>
        </w:rPr>
        <w:t>Carrickfergus</w:t>
      </w:r>
      <w:proofErr w:type="spellEnd"/>
      <w:r w:rsidR="009934E6" w:rsidRPr="00F31DD1">
        <w:rPr>
          <w:color w:val="000000" w:themeColor="text1"/>
          <w:lang w:val="en-US"/>
        </w:rPr>
        <w:t xml:space="preserve"> Assizes</w:t>
      </w:r>
      <w:r w:rsidR="00256368" w:rsidRPr="00F31DD1">
        <w:rPr>
          <w:color w:val="000000" w:themeColor="text1"/>
          <w:lang w:val="en-US"/>
        </w:rPr>
        <w:t xml:space="preserve"> </w:t>
      </w:r>
      <w:r w:rsidR="00694703" w:rsidRPr="00F31DD1">
        <w:rPr>
          <w:color w:val="000000" w:themeColor="text1"/>
          <w:lang w:val="en-US"/>
        </w:rPr>
        <w:t>on 11 September 1711.</w:t>
      </w:r>
      <w:r w:rsidR="009934E6" w:rsidRPr="00F31DD1">
        <w:rPr>
          <w:color w:val="000000" w:themeColor="text1"/>
          <w:lang w:val="en-US"/>
        </w:rPr>
        <w:t xml:space="preserve"> </w:t>
      </w:r>
      <w:r w:rsidR="0080661B" w:rsidRPr="00F31DD1">
        <w:rPr>
          <w:color w:val="000000" w:themeColor="text1"/>
          <w:lang w:val="en-US"/>
        </w:rPr>
        <w:t>Dunbar</w:t>
      </w:r>
      <w:r w:rsidR="00F63D82" w:rsidRPr="00F31DD1">
        <w:rPr>
          <w:color w:val="000000" w:themeColor="text1"/>
          <w:lang w:val="en-US"/>
        </w:rPr>
        <w:t xml:space="preserve">, </w:t>
      </w:r>
      <w:r w:rsidR="00D56988" w:rsidRPr="00F31DD1">
        <w:rPr>
          <w:color w:val="000000" w:themeColor="text1"/>
          <w:lang w:val="en-US"/>
        </w:rPr>
        <w:t xml:space="preserve">however </w:t>
      </w:r>
      <w:r w:rsidR="0080661B" w:rsidRPr="00F31DD1">
        <w:rPr>
          <w:color w:val="000000" w:themeColor="text1"/>
          <w:lang w:val="en-US"/>
        </w:rPr>
        <w:t xml:space="preserve">died suddenly three weeks after the first trial but before the trial of William </w:t>
      </w:r>
      <w:proofErr w:type="spellStart"/>
      <w:r w:rsidR="0080661B" w:rsidRPr="00F31DD1">
        <w:rPr>
          <w:color w:val="000000" w:themeColor="text1"/>
          <w:lang w:val="en-US"/>
        </w:rPr>
        <w:t>Sellor</w:t>
      </w:r>
      <w:proofErr w:type="spellEnd"/>
      <w:r w:rsidR="005D6ED6" w:rsidRPr="00F31DD1">
        <w:rPr>
          <w:color w:val="000000" w:themeColor="text1"/>
          <w:lang w:val="en-US"/>
        </w:rPr>
        <w:t xml:space="preserve">. </w:t>
      </w:r>
      <w:r w:rsidR="00E74E80" w:rsidRPr="00F31DD1">
        <w:rPr>
          <w:color w:val="000000" w:themeColor="text1"/>
          <w:lang w:val="en-US"/>
        </w:rPr>
        <w:t xml:space="preserve">As a result, </w:t>
      </w:r>
      <w:proofErr w:type="spellStart"/>
      <w:r w:rsidR="00E74E80" w:rsidRPr="00F31DD1">
        <w:rPr>
          <w:color w:val="000000" w:themeColor="text1"/>
          <w:lang w:val="en-US"/>
        </w:rPr>
        <w:t>Sellor’s</w:t>
      </w:r>
      <w:proofErr w:type="spellEnd"/>
      <w:r w:rsidR="00E74E80" w:rsidRPr="00F31DD1">
        <w:rPr>
          <w:color w:val="000000" w:themeColor="text1"/>
          <w:lang w:val="en-US"/>
        </w:rPr>
        <w:t xml:space="preserve"> </w:t>
      </w:r>
      <w:r w:rsidR="005D6ED6" w:rsidRPr="00F31DD1">
        <w:rPr>
          <w:color w:val="000000" w:themeColor="text1"/>
          <w:lang w:val="en-US"/>
        </w:rPr>
        <w:t>original crime of harming by magical means would have become</w:t>
      </w:r>
      <w:r w:rsidR="00E74E80" w:rsidRPr="00F31DD1">
        <w:rPr>
          <w:color w:val="000000" w:themeColor="text1"/>
          <w:lang w:val="en-US"/>
        </w:rPr>
        <w:t xml:space="preserve"> a </w:t>
      </w:r>
      <w:r w:rsidR="005D6ED6" w:rsidRPr="00F31DD1">
        <w:rPr>
          <w:color w:val="000000" w:themeColor="text1"/>
          <w:lang w:val="en-US"/>
        </w:rPr>
        <w:t xml:space="preserve">capital offence for which </w:t>
      </w:r>
      <w:r w:rsidR="00E74E80" w:rsidRPr="00F31DD1">
        <w:rPr>
          <w:color w:val="000000" w:themeColor="text1"/>
          <w:lang w:val="en-US"/>
        </w:rPr>
        <w:t>execution was the statutory punishment. It is thus highly probable that he was put to death shortly after his conviction</w:t>
      </w:r>
      <w:r w:rsidR="00A7595D" w:rsidRPr="00F31DD1">
        <w:rPr>
          <w:color w:val="000000" w:themeColor="text1"/>
          <w:lang w:val="en-US"/>
        </w:rPr>
        <w:t xml:space="preserve">. </w:t>
      </w:r>
      <w:r w:rsidR="004D363A" w:rsidRPr="00F31DD1">
        <w:rPr>
          <w:color w:val="000000" w:themeColor="text1"/>
          <w:lang w:val="en-US"/>
        </w:rPr>
        <w:t xml:space="preserve">The trials of the </w:t>
      </w:r>
      <w:proofErr w:type="spellStart"/>
      <w:r w:rsidR="004D363A" w:rsidRPr="00F31DD1">
        <w:rPr>
          <w:color w:val="000000" w:themeColor="text1"/>
          <w:lang w:val="en-US"/>
        </w:rPr>
        <w:t>Islandmagee</w:t>
      </w:r>
      <w:proofErr w:type="spellEnd"/>
      <w:r w:rsidR="004D363A" w:rsidRPr="00F31DD1">
        <w:rPr>
          <w:color w:val="000000" w:themeColor="text1"/>
          <w:lang w:val="en-US"/>
        </w:rPr>
        <w:t xml:space="preserve"> witches were the last of Ireland’s four documented</w:t>
      </w:r>
      <w:r w:rsidR="005D5EB7" w:rsidRPr="00F31DD1">
        <w:rPr>
          <w:color w:val="000000" w:themeColor="text1"/>
          <w:lang w:val="en-US"/>
        </w:rPr>
        <w:t xml:space="preserve"> witch</w:t>
      </w:r>
      <w:r w:rsidR="004D363A" w:rsidRPr="00F31DD1">
        <w:rPr>
          <w:color w:val="000000" w:themeColor="text1"/>
          <w:lang w:val="en-US"/>
        </w:rPr>
        <w:t xml:space="preserve"> trials held under the 1586 Act.</w:t>
      </w:r>
      <w:r w:rsidR="00203614" w:rsidRPr="00F31DD1">
        <w:rPr>
          <w:color w:val="000000" w:themeColor="text1"/>
          <w:lang w:val="en-US"/>
        </w:rPr>
        <w:t xml:space="preserve"> Ireland </w:t>
      </w:r>
      <w:r w:rsidR="003606C8" w:rsidRPr="00F31DD1">
        <w:rPr>
          <w:color w:val="000000" w:themeColor="text1"/>
          <w:lang w:val="en-US"/>
        </w:rPr>
        <w:t>was one of the peripheral</w:t>
      </w:r>
      <w:r w:rsidR="00203614" w:rsidRPr="00F31DD1">
        <w:rPr>
          <w:color w:val="000000" w:themeColor="text1"/>
          <w:lang w:val="en-US"/>
        </w:rPr>
        <w:t xml:space="preserve"> countries</w:t>
      </w:r>
      <w:r w:rsidR="003606C8" w:rsidRPr="00F31DD1">
        <w:rPr>
          <w:color w:val="000000" w:themeColor="text1"/>
          <w:lang w:val="en-US"/>
        </w:rPr>
        <w:t xml:space="preserve"> in Europe</w:t>
      </w:r>
      <w:r w:rsidR="00203614" w:rsidRPr="00F31DD1">
        <w:rPr>
          <w:color w:val="000000" w:themeColor="text1"/>
          <w:lang w:val="en-US"/>
        </w:rPr>
        <w:t xml:space="preserve"> that escaped the worst ravages of </w:t>
      </w:r>
      <w:r w:rsidR="003606C8" w:rsidRPr="00F31DD1">
        <w:rPr>
          <w:color w:val="000000" w:themeColor="text1"/>
          <w:lang w:val="en-US"/>
        </w:rPr>
        <w:t xml:space="preserve">the </w:t>
      </w:r>
      <w:r w:rsidR="00203614" w:rsidRPr="00F31DD1">
        <w:rPr>
          <w:color w:val="000000" w:themeColor="text1"/>
          <w:lang w:val="en-US"/>
        </w:rPr>
        <w:t>witch</w:t>
      </w:r>
      <w:r w:rsidR="00F31DD1" w:rsidRPr="00F31DD1">
        <w:rPr>
          <w:color w:val="000000" w:themeColor="text1"/>
          <w:lang w:val="en-US"/>
        </w:rPr>
        <w:t xml:space="preserve"> </w:t>
      </w:r>
      <w:r w:rsidR="00203614" w:rsidRPr="00F31DD1">
        <w:rPr>
          <w:color w:val="000000" w:themeColor="text1"/>
          <w:lang w:val="en-US"/>
        </w:rPr>
        <w:t>hunting that claimed around 50,000 lives between the fifteenth and eighteenth centurie</w:t>
      </w:r>
      <w:r w:rsidR="003606C8" w:rsidRPr="00F31DD1">
        <w:rPr>
          <w:color w:val="000000" w:themeColor="text1"/>
          <w:lang w:val="en-US"/>
        </w:rPr>
        <w:t>s</w:t>
      </w:r>
      <w:r w:rsidR="003F68A6" w:rsidRPr="00F31DD1">
        <w:rPr>
          <w:color w:val="000000" w:themeColor="text1"/>
          <w:lang w:val="en-US"/>
        </w:rPr>
        <w:t xml:space="preserve"> (Sneddon 2013; 2019: 251</w:t>
      </w:r>
      <w:r w:rsidR="00F31DD1" w:rsidRPr="00F31DD1">
        <w:rPr>
          <w:color w:val="000000" w:themeColor="text1"/>
          <w:lang w:val="en-US"/>
        </w:rPr>
        <w:t>–</w:t>
      </w:r>
      <w:r w:rsidR="003F68A6" w:rsidRPr="00F31DD1">
        <w:rPr>
          <w:color w:val="000000" w:themeColor="text1"/>
          <w:lang w:val="en-US"/>
        </w:rPr>
        <w:t>70)</w:t>
      </w:r>
      <w:r w:rsidR="002969FB" w:rsidRPr="00F31DD1">
        <w:rPr>
          <w:color w:val="000000" w:themeColor="text1"/>
          <w:lang w:val="en-US"/>
        </w:rPr>
        <w:t xml:space="preserve">. </w:t>
      </w:r>
    </w:p>
    <w:p w14:paraId="33BE9EBF" w14:textId="62173615" w:rsidR="003F68A6" w:rsidRPr="00F31DD1" w:rsidRDefault="00F31DD1" w:rsidP="0058637A">
      <w:pPr>
        <w:spacing w:line="480" w:lineRule="auto"/>
        <w:rPr>
          <w:color w:val="000000" w:themeColor="text1"/>
          <w:lang w:val="en-US"/>
        </w:rPr>
      </w:pPr>
      <w:r w:rsidRPr="00F31DD1">
        <w:rPr>
          <w:color w:val="000000" w:themeColor="text1"/>
          <w:lang w:val="en-US"/>
        </w:rPr>
        <w:tab/>
      </w:r>
      <w:r w:rsidR="003F68A6" w:rsidRPr="00F31DD1">
        <w:rPr>
          <w:color w:val="000000" w:themeColor="text1"/>
          <w:lang w:val="en-US"/>
        </w:rPr>
        <w:t xml:space="preserve">This article </w:t>
      </w:r>
      <w:r w:rsidR="00881B48" w:rsidRPr="00F31DD1">
        <w:rPr>
          <w:color w:val="000000" w:themeColor="text1"/>
          <w:lang w:val="en-US"/>
        </w:rPr>
        <w:t xml:space="preserve">argues </w:t>
      </w:r>
      <w:r w:rsidR="00F1206B" w:rsidRPr="00F31DD1">
        <w:rPr>
          <w:color w:val="000000" w:themeColor="text1"/>
          <w:lang w:val="en-US"/>
        </w:rPr>
        <w:t xml:space="preserve">that </w:t>
      </w:r>
      <w:r w:rsidR="003F68A6" w:rsidRPr="00F31DD1">
        <w:rPr>
          <w:color w:val="000000" w:themeColor="text1"/>
          <w:lang w:val="en-US"/>
        </w:rPr>
        <w:t>academic historians are able, and indeed well placed, to be creative in the way their research is conducted, structured</w:t>
      </w:r>
      <w:r w:rsidRPr="00F31DD1">
        <w:rPr>
          <w:color w:val="000000" w:themeColor="text1"/>
          <w:lang w:val="en-US"/>
        </w:rPr>
        <w:t>,</w:t>
      </w:r>
      <w:r w:rsidR="003F68A6" w:rsidRPr="00F31DD1">
        <w:rPr>
          <w:color w:val="000000" w:themeColor="text1"/>
          <w:lang w:val="en-US"/>
        </w:rPr>
        <w:t xml:space="preserve"> and presented in order to aid dissemination and create opportunities for wider cultural engagement with the history of early modern witchcraft trials.</w:t>
      </w:r>
      <w:r w:rsidR="00881B48" w:rsidRPr="00F31DD1">
        <w:rPr>
          <w:color w:val="000000" w:themeColor="text1"/>
          <w:lang w:val="en-US"/>
        </w:rPr>
        <w:t xml:space="preserve"> </w:t>
      </w:r>
      <w:r w:rsidR="00E74E80" w:rsidRPr="00F31DD1">
        <w:rPr>
          <w:color w:val="000000" w:themeColor="text1"/>
          <w:lang w:val="en-US"/>
        </w:rPr>
        <w:t>This point is made through a discussion,</w:t>
      </w:r>
      <w:r w:rsidR="00881B48" w:rsidRPr="00F31DD1">
        <w:rPr>
          <w:color w:val="000000" w:themeColor="text1"/>
          <w:lang w:val="en-US"/>
        </w:rPr>
        <w:t xml:space="preserve"> divided into three sections, </w:t>
      </w:r>
      <w:r w:rsidR="00F1206B" w:rsidRPr="00F31DD1">
        <w:rPr>
          <w:color w:val="000000" w:themeColor="text1"/>
          <w:lang w:val="en-US"/>
        </w:rPr>
        <w:t xml:space="preserve">of </w:t>
      </w:r>
      <w:r w:rsidR="00A96CC9">
        <w:rPr>
          <w:color w:val="000000" w:themeColor="text1"/>
          <w:lang w:val="en-US"/>
        </w:rPr>
        <w:t>my</w:t>
      </w:r>
      <w:r w:rsidR="00F63D82" w:rsidRPr="00F31DD1">
        <w:rPr>
          <w:color w:val="000000" w:themeColor="text1"/>
          <w:lang w:val="en-US"/>
        </w:rPr>
        <w:t xml:space="preserve"> </w:t>
      </w:r>
      <w:r w:rsidR="00F1206B" w:rsidRPr="00F31DD1">
        <w:rPr>
          <w:color w:val="000000" w:themeColor="text1"/>
          <w:lang w:val="en-US"/>
        </w:rPr>
        <w:t xml:space="preserve">decade-long study of trial of the </w:t>
      </w:r>
      <w:proofErr w:type="spellStart"/>
      <w:r w:rsidR="00F1206B" w:rsidRPr="00F31DD1">
        <w:rPr>
          <w:color w:val="000000" w:themeColor="text1"/>
          <w:lang w:val="en-US"/>
        </w:rPr>
        <w:t>Islandmagee</w:t>
      </w:r>
      <w:proofErr w:type="spellEnd"/>
      <w:r w:rsidR="00F1206B" w:rsidRPr="00F31DD1">
        <w:rPr>
          <w:color w:val="000000" w:themeColor="text1"/>
          <w:lang w:val="en-US"/>
        </w:rPr>
        <w:t xml:space="preserve"> Witches. It suggests that by</w:t>
      </w:r>
      <w:r w:rsidR="003F68A6" w:rsidRPr="00F31DD1">
        <w:rPr>
          <w:color w:val="000000" w:themeColor="text1"/>
          <w:lang w:val="en-US"/>
        </w:rPr>
        <w:t xml:space="preserve"> taking methodological approaches that engage with </w:t>
      </w:r>
      <w:r w:rsidR="0021423F" w:rsidRPr="00F31DD1">
        <w:rPr>
          <w:color w:val="000000" w:themeColor="text1"/>
          <w:lang w:val="en-US"/>
        </w:rPr>
        <w:t>microhistory</w:t>
      </w:r>
      <w:r w:rsidR="003F68A6" w:rsidRPr="00F31DD1">
        <w:rPr>
          <w:color w:val="000000" w:themeColor="text1"/>
          <w:lang w:val="en-US"/>
        </w:rPr>
        <w:t xml:space="preserve">, memory studies, oral tradition and folklore, scholarly work can be at once accessible and impact upon wider historiographical debates in witchcraft studies. Furthermore, by traversing the borders of </w:t>
      </w:r>
      <w:r w:rsidR="003F68A6" w:rsidRPr="00F31DD1">
        <w:rPr>
          <w:color w:val="000000" w:themeColor="text1"/>
          <w:lang w:val="en-US"/>
        </w:rPr>
        <w:lastRenderedPageBreak/>
        <w:t>traditional historical periodi</w:t>
      </w:r>
      <w:r>
        <w:rPr>
          <w:color w:val="000000" w:themeColor="text1"/>
          <w:lang w:val="en-US"/>
        </w:rPr>
        <w:t>z</w:t>
      </w:r>
      <w:r w:rsidR="003F68A6" w:rsidRPr="00F31DD1">
        <w:rPr>
          <w:color w:val="000000" w:themeColor="text1"/>
          <w:lang w:val="en-US"/>
        </w:rPr>
        <w:t>ation that divides the early modern from the modern, micro studies such as this are more able to provide a nuanced and in-depth analysis of change over time with regard</w:t>
      </w:r>
      <w:r w:rsidR="00FF3EC9">
        <w:rPr>
          <w:color w:val="000000" w:themeColor="text1"/>
          <w:lang w:val="en-US"/>
        </w:rPr>
        <w:t xml:space="preserve"> to</w:t>
      </w:r>
      <w:r w:rsidR="003F68A6" w:rsidRPr="00F31DD1">
        <w:rPr>
          <w:color w:val="000000" w:themeColor="text1"/>
          <w:lang w:val="en-US"/>
        </w:rPr>
        <w:t xml:space="preserve"> supernatural belief and magical mentalities. The </w:t>
      </w:r>
      <w:proofErr w:type="spellStart"/>
      <w:r w:rsidR="00F828E5" w:rsidRPr="00F31DD1">
        <w:rPr>
          <w:color w:val="000000" w:themeColor="text1"/>
          <w:lang w:val="en-US"/>
        </w:rPr>
        <w:t>Islan</w:t>
      </w:r>
      <w:r w:rsidR="005A4A8E" w:rsidRPr="00F31DD1">
        <w:rPr>
          <w:color w:val="000000" w:themeColor="text1"/>
          <w:lang w:val="en-US"/>
        </w:rPr>
        <w:t>d</w:t>
      </w:r>
      <w:r w:rsidR="00F828E5" w:rsidRPr="00F31DD1">
        <w:rPr>
          <w:color w:val="000000" w:themeColor="text1"/>
          <w:lang w:val="en-US"/>
        </w:rPr>
        <w:t>magee</w:t>
      </w:r>
      <w:proofErr w:type="spellEnd"/>
      <w:r w:rsidR="00F828E5" w:rsidRPr="00F31DD1">
        <w:rPr>
          <w:color w:val="000000" w:themeColor="text1"/>
          <w:lang w:val="en-US"/>
        </w:rPr>
        <w:t xml:space="preserve"> Witches P</w:t>
      </w:r>
      <w:r w:rsidR="003F68A6" w:rsidRPr="00F31DD1">
        <w:rPr>
          <w:color w:val="000000" w:themeColor="text1"/>
          <w:lang w:val="en-US"/>
        </w:rPr>
        <w:t xml:space="preserve">roject comprised three overlapping and connected phases. The first phase was dedicated to researching and writing an accessible but </w:t>
      </w:r>
      <w:proofErr w:type="spellStart"/>
      <w:r w:rsidR="003F68A6" w:rsidRPr="00F31DD1">
        <w:rPr>
          <w:color w:val="000000" w:themeColor="text1"/>
          <w:lang w:val="en-US"/>
        </w:rPr>
        <w:t>historiographically</w:t>
      </w:r>
      <w:proofErr w:type="spellEnd"/>
      <w:r w:rsidR="003F68A6" w:rsidRPr="00F31DD1">
        <w:rPr>
          <w:color w:val="000000" w:themeColor="text1"/>
          <w:lang w:val="en-US"/>
        </w:rPr>
        <w:t xml:space="preserve"> aware </w:t>
      </w:r>
      <w:r w:rsidR="0021423F" w:rsidRPr="00F31DD1">
        <w:rPr>
          <w:color w:val="000000" w:themeColor="text1"/>
          <w:lang w:val="en-US"/>
        </w:rPr>
        <w:t>microhistory</w:t>
      </w:r>
      <w:r w:rsidR="003F68A6" w:rsidRPr="00F31DD1">
        <w:rPr>
          <w:color w:val="000000" w:themeColor="text1"/>
          <w:lang w:val="en-US"/>
        </w:rPr>
        <w:t xml:space="preserve"> of the trial. The second phase examined representations of the trial in public discourse, history</w:t>
      </w:r>
      <w:r w:rsidR="00FF3EC9">
        <w:rPr>
          <w:color w:val="000000" w:themeColor="text1"/>
          <w:lang w:val="en-US"/>
        </w:rPr>
        <w:t>,</w:t>
      </w:r>
      <w:r w:rsidR="003F68A6" w:rsidRPr="00F31DD1">
        <w:rPr>
          <w:color w:val="000000" w:themeColor="text1"/>
          <w:lang w:val="en-US"/>
        </w:rPr>
        <w:t xml:space="preserve"> and folklore, as well as how it was remembered in the peninsula of </w:t>
      </w:r>
      <w:proofErr w:type="spellStart"/>
      <w:r w:rsidR="003F68A6" w:rsidRPr="00F31DD1">
        <w:rPr>
          <w:color w:val="000000" w:themeColor="text1"/>
          <w:lang w:val="en-US"/>
        </w:rPr>
        <w:t>Islandmagee</w:t>
      </w:r>
      <w:proofErr w:type="spellEnd"/>
      <w:r w:rsidR="003F68A6" w:rsidRPr="00F31DD1">
        <w:rPr>
          <w:color w:val="000000" w:themeColor="text1"/>
          <w:lang w:val="en-US"/>
        </w:rPr>
        <w:t xml:space="preserve"> between the eighteenth and twentieth centuries. The final part</w:t>
      </w:r>
      <w:r w:rsidR="00E032DE" w:rsidRPr="00F31DD1">
        <w:rPr>
          <w:color w:val="000000" w:themeColor="text1"/>
          <w:lang w:val="en-US"/>
        </w:rPr>
        <w:t xml:space="preserve"> engaged in the dissemination of historical research to diverse audiences</w:t>
      </w:r>
      <w:r w:rsidR="00E74E80" w:rsidRPr="00F31DD1">
        <w:rPr>
          <w:color w:val="000000" w:themeColor="text1"/>
          <w:lang w:val="en-US"/>
        </w:rPr>
        <w:t xml:space="preserve"> as well as </w:t>
      </w:r>
      <w:r w:rsidR="00E032DE" w:rsidRPr="00F31DD1">
        <w:rPr>
          <w:color w:val="000000" w:themeColor="text1"/>
          <w:lang w:val="en-US"/>
        </w:rPr>
        <w:t>co-produced and collaborative public history</w:t>
      </w:r>
      <w:r w:rsidR="00E74E80" w:rsidRPr="00F31DD1">
        <w:rPr>
          <w:color w:val="000000" w:themeColor="text1"/>
          <w:lang w:val="en-US"/>
        </w:rPr>
        <w:t>,</w:t>
      </w:r>
      <w:r w:rsidR="00E032DE" w:rsidRPr="00F31DD1">
        <w:rPr>
          <w:color w:val="000000" w:themeColor="text1"/>
          <w:lang w:val="en-US"/>
        </w:rPr>
        <w:t xml:space="preserve"> by </w:t>
      </w:r>
      <w:r w:rsidR="003F68A6" w:rsidRPr="00F31DD1">
        <w:rPr>
          <w:color w:val="000000" w:themeColor="text1"/>
          <w:lang w:val="en-US"/>
        </w:rPr>
        <w:t>helping individuals, groups</w:t>
      </w:r>
      <w:r w:rsidR="00FF3EC9">
        <w:rPr>
          <w:color w:val="000000" w:themeColor="text1"/>
          <w:lang w:val="en-US"/>
        </w:rPr>
        <w:t>,</w:t>
      </w:r>
      <w:r w:rsidR="003F68A6" w:rsidRPr="00F31DD1">
        <w:rPr>
          <w:color w:val="000000" w:themeColor="text1"/>
          <w:lang w:val="en-US"/>
        </w:rPr>
        <w:t xml:space="preserve"> and organi</w:t>
      </w:r>
      <w:r w:rsidR="00FF3EC9">
        <w:rPr>
          <w:color w:val="000000" w:themeColor="text1"/>
          <w:lang w:val="en-US"/>
        </w:rPr>
        <w:t>z</w:t>
      </w:r>
      <w:r w:rsidR="003F68A6" w:rsidRPr="00F31DD1">
        <w:rPr>
          <w:color w:val="000000" w:themeColor="text1"/>
          <w:lang w:val="en-US"/>
        </w:rPr>
        <w:t xml:space="preserve">ations to create their own narratives and interpretative frameworks. This part of the project revealed </w:t>
      </w:r>
      <w:r w:rsidR="00E74E80" w:rsidRPr="00F31DD1">
        <w:rPr>
          <w:color w:val="000000" w:themeColor="text1"/>
          <w:lang w:val="en-US"/>
        </w:rPr>
        <w:t xml:space="preserve">that </w:t>
      </w:r>
      <w:r w:rsidR="003F68A6" w:rsidRPr="00F31DD1">
        <w:rPr>
          <w:color w:val="000000" w:themeColor="text1"/>
          <w:lang w:val="en-US"/>
        </w:rPr>
        <w:t xml:space="preserve">there was an untapped wealth of public interest in the </w:t>
      </w:r>
      <w:proofErr w:type="spellStart"/>
      <w:r w:rsidR="003F68A6" w:rsidRPr="00F31DD1">
        <w:rPr>
          <w:color w:val="000000" w:themeColor="text1"/>
          <w:lang w:val="en-US"/>
        </w:rPr>
        <w:t>Islandmagee</w:t>
      </w:r>
      <w:proofErr w:type="spellEnd"/>
      <w:r w:rsidR="003F68A6" w:rsidRPr="00F31DD1">
        <w:rPr>
          <w:color w:val="000000" w:themeColor="text1"/>
          <w:lang w:val="en-US"/>
        </w:rPr>
        <w:t xml:space="preserve"> witches in Northern Ireland</w:t>
      </w:r>
      <w:r w:rsidR="00FF3EC9">
        <w:rPr>
          <w:color w:val="000000" w:themeColor="text1"/>
          <w:lang w:val="en-US"/>
        </w:rPr>
        <w:t>,</w:t>
      </w:r>
      <w:r w:rsidR="003F68A6" w:rsidRPr="00F31DD1">
        <w:rPr>
          <w:color w:val="000000" w:themeColor="text1"/>
          <w:lang w:val="en-US"/>
        </w:rPr>
        <w:t xml:space="preserve"> which was linked to widespread interest in, and demand for, </w:t>
      </w:r>
      <w:r w:rsidR="00E74E80" w:rsidRPr="00F31DD1">
        <w:rPr>
          <w:color w:val="000000" w:themeColor="text1"/>
          <w:lang w:val="en-US"/>
        </w:rPr>
        <w:t>“</w:t>
      </w:r>
      <w:r w:rsidR="003F68A6" w:rsidRPr="00F31DD1">
        <w:rPr>
          <w:color w:val="000000" w:themeColor="text1"/>
          <w:lang w:val="en-US"/>
        </w:rPr>
        <w:t xml:space="preserve">dark </w:t>
      </w:r>
      <w:r w:rsidR="003C0C18" w:rsidRPr="00F31DD1">
        <w:rPr>
          <w:color w:val="000000" w:themeColor="text1"/>
          <w:lang w:val="en-US"/>
        </w:rPr>
        <w:t>heritage</w:t>
      </w:r>
      <w:r w:rsidR="00FF3EC9">
        <w:rPr>
          <w:color w:val="000000" w:themeColor="text1"/>
          <w:lang w:val="en-US"/>
        </w:rPr>
        <w:t>.</w:t>
      </w:r>
      <w:r w:rsidR="00E74E80" w:rsidRPr="00F31DD1">
        <w:rPr>
          <w:color w:val="000000" w:themeColor="text1"/>
          <w:lang w:val="en-US"/>
        </w:rPr>
        <w:t>”</w:t>
      </w:r>
      <w:r w:rsidR="003C0C18" w:rsidRPr="00F31DD1">
        <w:rPr>
          <w:color w:val="000000" w:themeColor="text1"/>
          <w:lang w:val="en-US"/>
        </w:rPr>
        <w:t xml:space="preserve"> </w:t>
      </w:r>
      <w:r w:rsidR="00E74E80" w:rsidRPr="00F31DD1">
        <w:rPr>
          <w:color w:val="000000" w:themeColor="text1"/>
          <w:lang w:val="en-US"/>
        </w:rPr>
        <w:t>“</w:t>
      </w:r>
      <w:r w:rsidR="003C0C18" w:rsidRPr="00F31DD1">
        <w:rPr>
          <w:color w:val="000000" w:themeColor="text1"/>
          <w:lang w:val="en-US"/>
        </w:rPr>
        <w:t>Dark tourism</w:t>
      </w:r>
      <w:r w:rsidR="00E74E80" w:rsidRPr="00F31DD1">
        <w:rPr>
          <w:color w:val="000000" w:themeColor="text1"/>
          <w:lang w:val="en-US"/>
        </w:rPr>
        <w:t>”</w:t>
      </w:r>
      <w:r w:rsidR="003C0C18" w:rsidRPr="00F31DD1">
        <w:rPr>
          <w:color w:val="000000" w:themeColor="text1"/>
          <w:lang w:val="en-US"/>
        </w:rPr>
        <w:t xml:space="preserve"> is the phenomenon of visiting landscapes and sites or commemorating events linked to death, suffering</w:t>
      </w:r>
      <w:r w:rsidR="00FF3EC9">
        <w:rPr>
          <w:color w:val="000000" w:themeColor="text1"/>
          <w:lang w:val="en-US"/>
        </w:rPr>
        <w:t>,</w:t>
      </w:r>
      <w:r w:rsidR="003C0C18" w:rsidRPr="00F31DD1">
        <w:rPr>
          <w:color w:val="000000" w:themeColor="text1"/>
          <w:lang w:val="en-US"/>
        </w:rPr>
        <w:t xml:space="preserve"> and atrocities.</w:t>
      </w:r>
      <w:r w:rsidR="00BC6C87" w:rsidRPr="00F31DD1">
        <w:rPr>
          <w:color w:val="000000" w:themeColor="text1"/>
          <w:lang w:val="en-US"/>
        </w:rPr>
        <w:t xml:space="preserve"> </w:t>
      </w:r>
      <w:r w:rsidR="00F17FFA" w:rsidRPr="00F31DD1">
        <w:rPr>
          <w:color w:val="000000" w:themeColor="text1"/>
          <w:lang w:val="en-US"/>
        </w:rPr>
        <w:t>The</w:t>
      </w:r>
      <w:r w:rsidR="00BC6C87" w:rsidRPr="00F31DD1">
        <w:rPr>
          <w:color w:val="000000" w:themeColor="text1"/>
          <w:lang w:val="en-US"/>
        </w:rPr>
        <w:t xml:space="preserve"> cultural heritage associated with these sites, landscapes</w:t>
      </w:r>
      <w:r w:rsidR="00FF3EC9">
        <w:rPr>
          <w:color w:val="000000" w:themeColor="text1"/>
          <w:lang w:val="en-US"/>
        </w:rPr>
        <w:t>,</w:t>
      </w:r>
      <w:r w:rsidR="00BC6C87" w:rsidRPr="00F31DD1">
        <w:rPr>
          <w:color w:val="000000" w:themeColor="text1"/>
          <w:lang w:val="en-US"/>
        </w:rPr>
        <w:t xml:space="preserve"> or events is known as dark heritage, or alternatively as atrocity heritage or dissonant heritage </w:t>
      </w:r>
      <w:r w:rsidR="003C0C18" w:rsidRPr="00F31DD1">
        <w:rPr>
          <w:color w:val="000000" w:themeColor="text1"/>
          <w:lang w:val="en-US"/>
        </w:rPr>
        <w:t xml:space="preserve">(Murtagh, Boland, </w:t>
      </w:r>
      <w:proofErr w:type="spellStart"/>
      <w:r w:rsidR="003C0C18" w:rsidRPr="00F31DD1">
        <w:rPr>
          <w:color w:val="000000" w:themeColor="text1"/>
          <w:lang w:val="en-US"/>
        </w:rPr>
        <w:t>Shirlow</w:t>
      </w:r>
      <w:proofErr w:type="spellEnd"/>
      <w:r w:rsidR="003C0C18" w:rsidRPr="00F31DD1">
        <w:rPr>
          <w:color w:val="000000" w:themeColor="text1"/>
          <w:lang w:val="en-US"/>
        </w:rPr>
        <w:t xml:space="preserve"> 2017;</w:t>
      </w:r>
      <w:r w:rsidR="003C0C18" w:rsidRPr="00F31DD1">
        <w:rPr>
          <w:rStyle w:val="apple-converted-space"/>
          <w:color w:val="000000" w:themeColor="text1"/>
          <w:lang w:val="en-US"/>
        </w:rPr>
        <w:t> </w:t>
      </w:r>
      <w:proofErr w:type="spellStart"/>
      <w:r w:rsidR="003C0C18" w:rsidRPr="00F31DD1">
        <w:rPr>
          <w:rStyle w:val="hlfld-contribauthor"/>
          <w:color w:val="000000" w:themeColor="text1"/>
          <w:lang w:val="en-US"/>
        </w:rPr>
        <w:t>Biran</w:t>
      </w:r>
      <w:proofErr w:type="spellEnd"/>
      <w:r w:rsidR="003C0C18" w:rsidRPr="00F31DD1">
        <w:rPr>
          <w:rStyle w:val="hlfld-contribauthor"/>
          <w:color w:val="000000" w:themeColor="text1"/>
          <w:lang w:val="en-US"/>
        </w:rPr>
        <w:t>,</w:t>
      </w:r>
      <w:r w:rsidR="003C0C18" w:rsidRPr="00F31DD1">
        <w:rPr>
          <w:rStyle w:val="apple-converted-space"/>
          <w:color w:val="000000" w:themeColor="text1"/>
          <w:lang w:val="en-US"/>
        </w:rPr>
        <w:t> </w:t>
      </w:r>
      <w:proofErr w:type="spellStart"/>
      <w:r w:rsidR="003C0C18" w:rsidRPr="00F31DD1">
        <w:rPr>
          <w:rStyle w:val="hlfld-contribauthor"/>
          <w:color w:val="000000" w:themeColor="text1"/>
          <w:lang w:val="en-US"/>
        </w:rPr>
        <w:t>Poria</w:t>
      </w:r>
      <w:proofErr w:type="spellEnd"/>
      <w:r w:rsidR="003C0C18" w:rsidRPr="00F31DD1">
        <w:rPr>
          <w:color w:val="000000" w:themeColor="text1"/>
          <w:lang w:val="en-US"/>
        </w:rPr>
        <w:t xml:space="preserve">, </w:t>
      </w:r>
      <w:r w:rsidR="003C0C18" w:rsidRPr="00F31DD1">
        <w:rPr>
          <w:rStyle w:val="hlfld-contribauthor"/>
          <w:color w:val="000000" w:themeColor="text1"/>
          <w:lang w:val="en-US"/>
        </w:rPr>
        <w:t>Oren</w:t>
      </w:r>
      <w:r w:rsidR="003C0C18" w:rsidRPr="00F31DD1">
        <w:rPr>
          <w:color w:val="000000" w:themeColor="text1"/>
          <w:lang w:val="en-US"/>
        </w:rPr>
        <w:t xml:space="preserve"> </w:t>
      </w:r>
      <w:r w:rsidR="003C0C18" w:rsidRPr="00F31DD1">
        <w:rPr>
          <w:rStyle w:val="nlmyear"/>
          <w:color w:val="000000" w:themeColor="text1"/>
          <w:lang w:val="en-US"/>
        </w:rPr>
        <w:t>2011</w:t>
      </w:r>
      <w:r w:rsidR="003C0C18" w:rsidRPr="00F31DD1">
        <w:rPr>
          <w:color w:val="000000" w:themeColor="text1"/>
          <w:lang w:val="en-US"/>
        </w:rPr>
        <w:t xml:space="preserve">: </w:t>
      </w:r>
      <w:r w:rsidR="003C0C18" w:rsidRPr="00F31DD1">
        <w:rPr>
          <w:rStyle w:val="nlmfpage"/>
          <w:color w:val="000000" w:themeColor="text1"/>
          <w:lang w:val="en-US"/>
        </w:rPr>
        <w:t>820</w:t>
      </w:r>
      <w:r w:rsidR="003C0C18" w:rsidRPr="00F31DD1">
        <w:rPr>
          <w:color w:val="000000" w:themeColor="text1"/>
          <w:lang w:val="en-US"/>
        </w:rPr>
        <w:t>–</w:t>
      </w:r>
      <w:r w:rsidR="00FF3EC9">
        <w:rPr>
          <w:color w:val="000000" w:themeColor="text1"/>
          <w:lang w:val="en-US"/>
        </w:rPr>
        <w:t>2</w:t>
      </w:r>
      <w:r w:rsidR="003C0C18" w:rsidRPr="00F31DD1">
        <w:rPr>
          <w:rStyle w:val="nlmlpage"/>
          <w:color w:val="000000" w:themeColor="text1"/>
          <w:lang w:val="en-US"/>
        </w:rPr>
        <w:t xml:space="preserve">4; </w:t>
      </w:r>
      <w:proofErr w:type="spellStart"/>
      <w:r w:rsidR="003C0C18" w:rsidRPr="00F31DD1">
        <w:rPr>
          <w:color w:val="000000" w:themeColor="text1"/>
          <w:lang w:val="en-US"/>
        </w:rPr>
        <w:t>Dimitrovski</w:t>
      </w:r>
      <w:proofErr w:type="spellEnd"/>
      <w:r w:rsidR="003C0C18" w:rsidRPr="00F31DD1">
        <w:rPr>
          <w:color w:val="000000" w:themeColor="text1"/>
          <w:lang w:val="en-US"/>
        </w:rPr>
        <w:t xml:space="preserve"> et al</w:t>
      </w:r>
      <w:r w:rsidR="00FF3EC9">
        <w:rPr>
          <w:color w:val="000000" w:themeColor="text1"/>
          <w:lang w:val="en-US"/>
        </w:rPr>
        <w:t>.</w:t>
      </w:r>
      <w:r w:rsidR="003C0C18" w:rsidRPr="00F31DD1">
        <w:rPr>
          <w:color w:val="000000" w:themeColor="text1"/>
          <w:lang w:val="en-US"/>
        </w:rPr>
        <w:t xml:space="preserve"> 2017;</w:t>
      </w:r>
      <w:r w:rsidR="00B82762" w:rsidRPr="00F31DD1">
        <w:rPr>
          <w:color w:val="000000" w:themeColor="text1"/>
          <w:lang w:val="en-US"/>
        </w:rPr>
        <w:t xml:space="preserve"> </w:t>
      </w:r>
      <w:proofErr w:type="spellStart"/>
      <w:r w:rsidR="00B82762" w:rsidRPr="00F31DD1">
        <w:rPr>
          <w:color w:val="000000" w:themeColor="text1"/>
          <w:lang w:val="en-US"/>
        </w:rPr>
        <w:t>Stupart</w:t>
      </w:r>
      <w:proofErr w:type="spellEnd"/>
      <w:r w:rsidR="00B82762" w:rsidRPr="00F31DD1">
        <w:rPr>
          <w:color w:val="000000" w:themeColor="text1"/>
          <w:lang w:val="en-US"/>
        </w:rPr>
        <w:t xml:space="preserve"> 2012</w:t>
      </w:r>
      <w:r w:rsidR="00C944B4" w:rsidRPr="00F31DD1">
        <w:rPr>
          <w:color w:val="000000" w:themeColor="text1"/>
          <w:lang w:val="en-US"/>
        </w:rPr>
        <w:t>: 45</w:t>
      </w:r>
      <w:r w:rsidR="003C0C18" w:rsidRPr="00F31DD1">
        <w:rPr>
          <w:color w:val="000000" w:themeColor="text1"/>
          <w:lang w:val="en-US"/>
        </w:rPr>
        <w:t>).</w:t>
      </w:r>
      <w:r w:rsidR="00B82762" w:rsidRPr="00F31DD1">
        <w:rPr>
          <w:color w:val="000000" w:themeColor="text1"/>
          <w:lang w:val="en-US"/>
        </w:rPr>
        <w:t xml:space="preserve"> This project also</w:t>
      </w:r>
      <w:r w:rsidR="003F68A6" w:rsidRPr="00F31DD1">
        <w:rPr>
          <w:color w:val="000000" w:themeColor="text1"/>
          <w:lang w:val="en-US"/>
        </w:rPr>
        <w:t xml:space="preserve"> demonstrated that historic witch trials </w:t>
      </w:r>
      <w:r w:rsidR="00263ECA" w:rsidRPr="00F31DD1">
        <w:rPr>
          <w:color w:val="000000" w:themeColor="text1"/>
          <w:lang w:val="en-US"/>
        </w:rPr>
        <w:t>in</w:t>
      </w:r>
      <w:r w:rsidR="0062051C" w:rsidRPr="00F31DD1">
        <w:rPr>
          <w:color w:val="000000" w:themeColor="text1"/>
          <w:lang w:val="en-US"/>
        </w:rPr>
        <w:t xml:space="preserve"> present-day,</w:t>
      </w:r>
      <w:r w:rsidR="00263ECA" w:rsidRPr="00F31DD1">
        <w:rPr>
          <w:color w:val="000000" w:themeColor="text1"/>
          <w:lang w:val="en-US"/>
        </w:rPr>
        <w:t xml:space="preserve"> </w:t>
      </w:r>
      <w:r w:rsidR="0062051C" w:rsidRPr="00F31DD1">
        <w:rPr>
          <w:color w:val="000000" w:themeColor="text1"/>
          <w:lang w:val="en-US"/>
        </w:rPr>
        <w:t xml:space="preserve">post-conflict </w:t>
      </w:r>
      <w:r w:rsidR="00467BA2" w:rsidRPr="00F31DD1">
        <w:rPr>
          <w:color w:val="000000" w:themeColor="text1"/>
          <w:lang w:val="en-US"/>
        </w:rPr>
        <w:t xml:space="preserve">but </w:t>
      </w:r>
      <w:r w:rsidR="0062051C" w:rsidRPr="00F31DD1">
        <w:rPr>
          <w:color w:val="000000" w:themeColor="text1"/>
          <w:lang w:val="en-US"/>
        </w:rPr>
        <w:t xml:space="preserve">divided Northern Ireland constitute </w:t>
      </w:r>
      <w:r w:rsidR="00263ECA" w:rsidRPr="00F31DD1">
        <w:rPr>
          <w:color w:val="000000" w:themeColor="text1"/>
          <w:lang w:val="en-US"/>
        </w:rPr>
        <w:t>“</w:t>
      </w:r>
      <w:r w:rsidR="003F68A6" w:rsidRPr="00F31DD1">
        <w:rPr>
          <w:color w:val="000000" w:themeColor="text1"/>
          <w:lang w:val="en-US"/>
        </w:rPr>
        <w:t>difficult heritage</w:t>
      </w:r>
      <w:r w:rsidR="00FF3EC9">
        <w:rPr>
          <w:color w:val="000000" w:themeColor="text1"/>
          <w:lang w:val="en-US"/>
        </w:rPr>
        <w:t>,</w:t>
      </w:r>
      <w:r w:rsidR="00263ECA" w:rsidRPr="00F31DD1">
        <w:rPr>
          <w:color w:val="000000" w:themeColor="text1"/>
          <w:lang w:val="en-US"/>
        </w:rPr>
        <w:t>”</w:t>
      </w:r>
      <w:r w:rsidR="0062051C" w:rsidRPr="00F31DD1">
        <w:rPr>
          <w:color w:val="000000" w:themeColor="text1"/>
          <w:lang w:val="en-US"/>
        </w:rPr>
        <w:t xml:space="preserve"> which</w:t>
      </w:r>
      <w:r w:rsidR="008630D4" w:rsidRPr="00F31DD1">
        <w:rPr>
          <w:color w:val="000000" w:themeColor="text1"/>
          <w:lang w:val="en-US"/>
        </w:rPr>
        <w:t xml:space="preserve"> occurs</w:t>
      </w:r>
      <w:r w:rsidR="0062051C" w:rsidRPr="00F31DD1">
        <w:rPr>
          <w:color w:val="000000" w:themeColor="text1"/>
          <w:lang w:val="en-US"/>
        </w:rPr>
        <w:t xml:space="preserve"> </w:t>
      </w:r>
      <w:r w:rsidR="007074D7" w:rsidRPr="00F31DD1">
        <w:rPr>
          <w:rStyle w:val="nlmgiven-names"/>
          <w:color w:val="000000" w:themeColor="text1"/>
          <w:lang w:val="en-US"/>
        </w:rPr>
        <w:t xml:space="preserve">when “a past is </w:t>
      </w:r>
      <w:proofErr w:type="spellStart"/>
      <w:r w:rsidR="007074D7" w:rsidRPr="00F31DD1">
        <w:rPr>
          <w:rStyle w:val="nlmgiven-names"/>
          <w:color w:val="000000" w:themeColor="text1"/>
          <w:lang w:val="en-US"/>
        </w:rPr>
        <w:t>recognised</w:t>
      </w:r>
      <w:proofErr w:type="spellEnd"/>
      <w:r w:rsidR="007074D7" w:rsidRPr="00F31DD1">
        <w:rPr>
          <w:rStyle w:val="nlmgiven-names"/>
          <w:color w:val="000000" w:themeColor="text1"/>
          <w:lang w:val="en-US"/>
        </w:rPr>
        <w:t xml:space="preserve"> as meaningful in the present but that is also contested”</w:t>
      </w:r>
      <w:r w:rsidR="007074D7" w:rsidRPr="00F31DD1">
        <w:rPr>
          <w:color w:val="000000" w:themeColor="text1"/>
          <w:lang w:val="en-US"/>
        </w:rPr>
        <w:t xml:space="preserve"> (Macdonald 2009: 1).</w:t>
      </w:r>
    </w:p>
    <w:p w14:paraId="09212035" w14:textId="77777777" w:rsidR="00B82762" w:rsidRPr="00F31DD1" w:rsidRDefault="00B82762" w:rsidP="0058637A">
      <w:pPr>
        <w:spacing w:line="480" w:lineRule="auto"/>
        <w:rPr>
          <w:color w:val="000000" w:themeColor="text1"/>
          <w:lang w:val="en-US"/>
        </w:rPr>
      </w:pPr>
    </w:p>
    <w:p w14:paraId="64D944C7" w14:textId="2F02AD07" w:rsidR="003F68A6" w:rsidRPr="00A94C4C" w:rsidRDefault="00A94C4C" w:rsidP="0058637A">
      <w:pPr>
        <w:spacing w:line="480" w:lineRule="auto"/>
        <w:rPr>
          <w:color w:val="000000" w:themeColor="text1"/>
          <w:lang w:val="en-US"/>
        </w:rPr>
      </w:pPr>
      <w:r>
        <w:rPr>
          <w:color w:val="000000" w:themeColor="text1"/>
          <w:lang w:val="en-US"/>
        </w:rPr>
        <w:t>&lt;1&gt;</w:t>
      </w:r>
      <w:r w:rsidR="003F68A6" w:rsidRPr="00A94C4C">
        <w:rPr>
          <w:color w:val="000000" w:themeColor="text1"/>
          <w:lang w:val="en-US"/>
        </w:rPr>
        <w:t xml:space="preserve">Writing the </w:t>
      </w:r>
      <w:r>
        <w:rPr>
          <w:color w:val="000000" w:themeColor="text1"/>
          <w:lang w:val="en-US"/>
        </w:rPr>
        <w:t>H</w:t>
      </w:r>
      <w:r w:rsidRPr="00A94C4C">
        <w:rPr>
          <w:color w:val="000000" w:themeColor="text1"/>
          <w:lang w:val="en-US"/>
        </w:rPr>
        <w:t xml:space="preserve">istory </w:t>
      </w:r>
      <w:r w:rsidR="003F68A6" w:rsidRPr="00A94C4C">
        <w:rPr>
          <w:color w:val="000000" w:themeColor="text1"/>
          <w:lang w:val="en-US"/>
        </w:rPr>
        <w:t xml:space="preserve">of the </w:t>
      </w:r>
      <w:proofErr w:type="spellStart"/>
      <w:r w:rsidR="003F68A6" w:rsidRPr="00A94C4C">
        <w:rPr>
          <w:color w:val="000000" w:themeColor="text1"/>
          <w:lang w:val="en-US"/>
        </w:rPr>
        <w:t>Islandmagee</w:t>
      </w:r>
      <w:proofErr w:type="spellEnd"/>
      <w:r w:rsidR="003F68A6" w:rsidRPr="00A94C4C">
        <w:rPr>
          <w:color w:val="000000" w:themeColor="text1"/>
          <w:lang w:val="en-US"/>
        </w:rPr>
        <w:t xml:space="preserve"> </w:t>
      </w:r>
      <w:r>
        <w:rPr>
          <w:color w:val="000000" w:themeColor="text1"/>
          <w:lang w:val="en-US"/>
        </w:rPr>
        <w:t>W</w:t>
      </w:r>
      <w:r w:rsidRPr="00A94C4C">
        <w:rPr>
          <w:color w:val="000000" w:themeColor="text1"/>
          <w:lang w:val="en-US"/>
        </w:rPr>
        <w:t>itches</w:t>
      </w:r>
    </w:p>
    <w:p w14:paraId="2286A477" w14:textId="35648E6A" w:rsidR="00857E8E" w:rsidRPr="00F31DD1" w:rsidRDefault="003F68A6" w:rsidP="00E27E78">
      <w:pPr>
        <w:spacing w:line="480" w:lineRule="auto"/>
        <w:rPr>
          <w:color w:val="000000" w:themeColor="text1"/>
          <w:lang w:val="en-US"/>
        </w:rPr>
      </w:pPr>
      <w:r w:rsidRPr="00F31DD1">
        <w:rPr>
          <w:rStyle w:val="normaltextrun"/>
          <w:color w:val="000000" w:themeColor="text1"/>
          <w:lang w:val="en-US"/>
        </w:rPr>
        <w:t xml:space="preserve">On 30 March 2011, </w:t>
      </w:r>
      <w:r w:rsidR="002C757C">
        <w:rPr>
          <w:rStyle w:val="normaltextrun"/>
          <w:color w:val="000000" w:themeColor="text1"/>
          <w:lang w:val="en-US"/>
        </w:rPr>
        <w:t>I</w:t>
      </w:r>
      <w:r w:rsidR="00501A7D" w:rsidRPr="00F31DD1">
        <w:rPr>
          <w:rStyle w:val="normaltextrun"/>
          <w:color w:val="000000" w:themeColor="text1"/>
          <w:lang w:val="en-US"/>
        </w:rPr>
        <w:t xml:space="preserve"> released, via</w:t>
      </w:r>
      <w:r w:rsidRPr="00F31DD1">
        <w:rPr>
          <w:rStyle w:val="normaltextrun"/>
          <w:color w:val="000000" w:themeColor="text1"/>
          <w:lang w:val="en-US"/>
        </w:rPr>
        <w:t xml:space="preserve"> </w:t>
      </w:r>
      <w:r w:rsidR="00501A7D" w:rsidRPr="00F31DD1">
        <w:rPr>
          <w:rStyle w:val="normaltextrun"/>
          <w:color w:val="000000" w:themeColor="text1"/>
          <w:lang w:val="en-US"/>
        </w:rPr>
        <w:t>Ulster University</w:t>
      </w:r>
      <w:r w:rsidR="00396829" w:rsidRPr="00F31DD1">
        <w:rPr>
          <w:rStyle w:val="normaltextrun"/>
          <w:color w:val="000000" w:themeColor="text1"/>
          <w:lang w:val="en-US"/>
        </w:rPr>
        <w:t>,</w:t>
      </w:r>
      <w:r w:rsidR="00501A7D" w:rsidRPr="00F31DD1">
        <w:rPr>
          <w:rStyle w:val="normaltextrun"/>
          <w:color w:val="000000" w:themeColor="text1"/>
          <w:lang w:val="en-US"/>
        </w:rPr>
        <w:t xml:space="preserve"> </w:t>
      </w:r>
      <w:r w:rsidRPr="00F31DD1">
        <w:rPr>
          <w:rStyle w:val="normaltextrun"/>
          <w:color w:val="000000" w:themeColor="text1"/>
          <w:lang w:val="en-US"/>
        </w:rPr>
        <w:t xml:space="preserve">a short statement to the press detailing </w:t>
      </w:r>
      <w:r w:rsidR="002C757C">
        <w:rPr>
          <w:rStyle w:val="normaltextrun"/>
          <w:color w:val="000000" w:themeColor="text1"/>
          <w:lang w:val="en-US"/>
        </w:rPr>
        <w:t>my</w:t>
      </w:r>
      <w:r w:rsidR="00DE7011">
        <w:rPr>
          <w:rStyle w:val="normaltextrun"/>
          <w:color w:val="000000" w:themeColor="text1"/>
          <w:lang w:val="en-US"/>
        </w:rPr>
        <w:t xml:space="preserve"> </w:t>
      </w:r>
      <w:r w:rsidRPr="00F31DD1">
        <w:rPr>
          <w:rStyle w:val="normaltextrun"/>
          <w:color w:val="000000" w:themeColor="text1"/>
          <w:lang w:val="en-US"/>
        </w:rPr>
        <w:t>ongoing research on Irish witchcraft and pointing out that the next day would mark the 300</w:t>
      </w:r>
      <w:r w:rsidRPr="00914343">
        <w:rPr>
          <w:rStyle w:val="normaltextrun"/>
          <w:color w:val="000000" w:themeColor="text1"/>
          <w:lang w:val="en-US"/>
        </w:rPr>
        <w:t>th</w:t>
      </w:r>
      <w:r w:rsidRPr="00F31DD1">
        <w:rPr>
          <w:rStyle w:val="normaltextrun"/>
          <w:color w:val="000000" w:themeColor="text1"/>
          <w:lang w:val="en-US"/>
        </w:rPr>
        <w:t xml:space="preserve"> anniversary of the trial of (most of) the </w:t>
      </w:r>
      <w:proofErr w:type="spellStart"/>
      <w:r w:rsidRPr="00F31DD1">
        <w:rPr>
          <w:rStyle w:val="normaltextrun"/>
          <w:color w:val="000000" w:themeColor="text1"/>
          <w:lang w:val="en-US"/>
        </w:rPr>
        <w:t>Islandmagee</w:t>
      </w:r>
      <w:proofErr w:type="spellEnd"/>
      <w:r w:rsidRPr="00F31DD1">
        <w:rPr>
          <w:rStyle w:val="normaltextrun"/>
          <w:color w:val="000000" w:themeColor="text1"/>
          <w:lang w:val="en-US"/>
        </w:rPr>
        <w:t xml:space="preserve"> witches</w:t>
      </w:r>
      <w:r w:rsidR="00E541B5" w:rsidRPr="00F31DD1">
        <w:rPr>
          <w:rStyle w:val="normaltextrun"/>
          <w:color w:val="000000" w:themeColor="text1"/>
          <w:lang w:val="en-US"/>
        </w:rPr>
        <w:t xml:space="preserve">; a fact that </w:t>
      </w:r>
      <w:r w:rsidR="007776C4" w:rsidRPr="00F31DD1">
        <w:rPr>
          <w:rStyle w:val="normaltextrun"/>
          <w:color w:val="000000" w:themeColor="text1"/>
          <w:lang w:val="en-US"/>
        </w:rPr>
        <w:t>had</w:t>
      </w:r>
      <w:r w:rsidR="00E541B5" w:rsidRPr="00F31DD1">
        <w:rPr>
          <w:rStyle w:val="normaltextrun"/>
          <w:color w:val="000000" w:themeColor="text1"/>
          <w:lang w:val="en-US"/>
        </w:rPr>
        <w:t xml:space="preserve"> by-passed </w:t>
      </w:r>
      <w:r w:rsidR="00E541B5" w:rsidRPr="00F31DD1">
        <w:rPr>
          <w:rStyle w:val="normaltextrun"/>
          <w:color w:val="000000" w:themeColor="text1"/>
          <w:lang w:val="en-US"/>
        </w:rPr>
        <w:lastRenderedPageBreak/>
        <w:t>the mainstream media</w:t>
      </w:r>
      <w:r w:rsidRPr="00F31DD1">
        <w:rPr>
          <w:rStyle w:val="normaltextrun"/>
          <w:color w:val="000000" w:themeColor="text1"/>
          <w:lang w:val="en-US"/>
        </w:rPr>
        <w:t>.</w:t>
      </w:r>
      <w:r w:rsidR="00857E8E" w:rsidRPr="00F31DD1">
        <w:rPr>
          <w:rStyle w:val="EndnoteReference"/>
          <w:color w:val="000000" w:themeColor="text1"/>
          <w:lang w:val="en-US"/>
        </w:rPr>
        <w:endnoteReference w:id="2"/>
      </w:r>
      <w:r w:rsidR="00857E8E" w:rsidRPr="00F31DD1">
        <w:rPr>
          <w:rStyle w:val="normaltextrun"/>
          <w:color w:val="000000" w:themeColor="text1"/>
          <w:lang w:val="en-US"/>
        </w:rPr>
        <w:t xml:space="preserve"> </w:t>
      </w:r>
      <w:r w:rsidR="00857E8E" w:rsidRPr="00F31DD1">
        <w:rPr>
          <w:color w:val="000000" w:themeColor="text1"/>
          <w:lang w:val="en-US"/>
        </w:rPr>
        <w:t xml:space="preserve">The press release </w:t>
      </w:r>
      <w:r w:rsidR="00E541B5" w:rsidRPr="00F31DD1">
        <w:rPr>
          <w:color w:val="000000" w:themeColor="text1"/>
          <w:lang w:val="en-US"/>
        </w:rPr>
        <w:t>had an</w:t>
      </w:r>
      <w:r w:rsidR="00857E8E" w:rsidRPr="00F31DD1">
        <w:rPr>
          <w:color w:val="000000" w:themeColor="text1"/>
          <w:lang w:val="en-US"/>
        </w:rPr>
        <w:t xml:space="preserve"> immediate</w:t>
      </w:r>
      <w:r w:rsidR="00E541B5" w:rsidRPr="00F31DD1">
        <w:rPr>
          <w:color w:val="000000" w:themeColor="text1"/>
          <w:lang w:val="en-US"/>
        </w:rPr>
        <w:t xml:space="preserve"> impact, </w:t>
      </w:r>
      <w:r w:rsidR="00EF77DC" w:rsidRPr="00F31DD1">
        <w:rPr>
          <w:color w:val="000000" w:themeColor="text1"/>
          <w:lang w:val="en-US"/>
        </w:rPr>
        <w:t>opening</w:t>
      </w:r>
      <w:r w:rsidR="00857E8E" w:rsidRPr="00F31DD1">
        <w:rPr>
          <w:color w:val="000000" w:themeColor="text1"/>
          <w:lang w:val="en-US"/>
        </w:rPr>
        <w:t xml:space="preserve"> a floodgate of interest at home and abroad: online, on social media, in national and local newspapers,</w:t>
      </w:r>
      <w:r w:rsidR="00857E8E" w:rsidRPr="00F31DD1">
        <w:rPr>
          <w:rStyle w:val="EndnoteReference"/>
          <w:color w:val="000000" w:themeColor="text1"/>
          <w:lang w:val="en-US"/>
        </w:rPr>
        <w:endnoteReference w:id="3"/>
      </w:r>
      <w:r w:rsidR="00857E8E" w:rsidRPr="00F31DD1">
        <w:rPr>
          <w:color w:val="000000" w:themeColor="text1"/>
          <w:lang w:val="en-US"/>
        </w:rPr>
        <w:t xml:space="preserve"> and on local and national radio and television.</w:t>
      </w:r>
      <w:r w:rsidR="00857E8E" w:rsidRPr="00F31DD1">
        <w:rPr>
          <w:rStyle w:val="EndnoteReference"/>
          <w:color w:val="000000" w:themeColor="text1"/>
          <w:lang w:val="en-US"/>
        </w:rPr>
        <w:endnoteReference w:id="4"/>
      </w:r>
      <w:r w:rsidR="00857E8E" w:rsidRPr="00F31DD1">
        <w:rPr>
          <w:color w:val="000000" w:themeColor="text1"/>
          <w:lang w:val="en-US"/>
        </w:rPr>
        <w:t xml:space="preserve"> This level of public interest</w:t>
      </w:r>
      <w:r w:rsidR="00E541B5" w:rsidRPr="00F31DD1">
        <w:rPr>
          <w:color w:val="000000" w:themeColor="text1"/>
          <w:lang w:val="en-US"/>
        </w:rPr>
        <w:t xml:space="preserve"> in the trial</w:t>
      </w:r>
      <w:r w:rsidR="00857E8E" w:rsidRPr="00F31DD1">
        <w:rPr>
          <w:color w:val="000000" w:themeColor="text1"/>
          <w:lang w:val="en-US"/>
        </w:rPr>
        <w:t xml:space="preserve"> had not been matched </w:t>
      </w:r>
      <w:r w:rsidR="00E541B5" w:rsidRPr="00F31DD1">
        <w:rPr>
          <w:color w:val="000000" w:themeColor="text1"/>
          <w:lang w:val="en-US"/>
        </w:rPr>
        <w:t>by academics</w:t>
      </w:r>
      <w:r w:rsidR="00857E8E" w:rsidRPr="00F31DD1">
        <w:rPr>
          <w:color w:val="000000" w:themeColor="text1"/>
          <w:lang w:val="en-US"/>
        </w:rPr>
        <w:t>. The last academic summary of</w:t>
      </w:r>
      <w:r w:rsidR="00857E8E" w:rsidRPr="00F31DD1">
        <w:rPr>
          <w:color w:val="000000" w:themeColor="text1"/>
          <w:shd w:val="clear" w:color="auto" w:fill="FFFFFF"/>
          <w:lang w:val="en-US"/>
        </w:rPr>
        <w:t xml:space="preserve"> Irish witchcraft and demonology had been published in 1913 (Seymour 1913), and recent academic engagement was limited to two articles explaining the lack of witch trials in Ireland (Gillespie 1991: 44</w:t>
      </w:r>
      <w:r w:rsidR="00A94C4C">
        <w:rPr>
          <w:color w:val="000000" w:themeColor="text1"/>
          <w:shd w:val="clear" w:color="auto" w:fill="FFFFFF"/>
          <w:lang w:val="en-US"/>
        </w:rPr>
        <w:t>–4</w:t>
      </w:r>
      <w:r w:rsidR="00857E8E" w:rsidRPr="00F31DD1">
        <w:rPr>
          <w:color w:val="000000" w:themeColor="text1"/>
          <w:shd w:val="clear" w:color="auto" w:fill="FFFFFF"/>
          <w:lang w:val="en-US"/>
        </w:rPr>
        <w:t xml:space="preserve">8; </w:t>
      </w:r>
      <w:proofErr w:type="spellStart"/>
      <w:r w:rsidR="00857E8E" w:rsidRPr="00F31DD1">
        <w:rPr>
          <w:color w:val="000000" w:themeColor="text1"/>
          <w:shd w:val="clear" w:color="auto" w:fill="FFFFFF"/>
          <w:lang w:val="en-US"/>
        </w:rPr>
        <w:t>Lapoint</w:t>
      </w:r>
      <w:proofErr w:type="spellEnd"/>
      <w:r w:rsidR="00857E8E" w:rsidRPr="00F31DD1">
        <w:rPr>
          <w:color w:val="000000" w:themeColor="text1"/>
          <w:shd w:val="clear" w:color="auto" w:fill="FFFFFF"/>
          <w:lang w:val="en-US"/>
        </w:rPr>
        <w:t xml:space="preserve"> 1992) and</w:t>
      </w:r>
      <w:r w:rsidR="00E27E78" w:rsidRPr="00F31DD1">
        <w:rPr>
          <w:color w:val="000000" w:themeColor="text1"/>
          <w:shd w:val="clear" w:color="auto" w:fill="FFFFFF"/>
          <w:lang w:val="en-US"/>
        </w:rPr>
        <w:t xml:space="preserve"> a case study, from a feminist perspective, of a trial in</w:t>
      </w:r>
      <w:r w:rsidR="00857E8E" w:rsidRPr="00F31DD1">
        <w:rPr>
          <w:color w:val="000000" w:themeColor="text1"/>
          <w:shd w:val="clear" w:color="auto" w:fill="FFFFFF"/>
          <w:lang w:val="en-US"/>
        </w:rPr>
        <w:t xml:space="preserve"> Co</w:t>
      </w:r>
      <w:r w:rsidR="00493ECD" w:rsidRPr="00F31DD1">
        <w:rPr>
          <w:color w:val="000000" w:themeColor="text1"/>
          <w:shd w:val="clear" w:color="auto" w:fill="FFFFFF"/>
          <w:lang w:val="en-US"/>
        </w:rPr>
        <w:t>unty</w:t>
      </w:r>
      <w:r w:rsidR="00857E8E" w:rsidRPr="00F31DD1">
        <w:rPr>
          <w:color w:val="000000" w:themeColor="text1"/>
          <w:shd w:val="clear" w:color="auto" w:fill="FFFFFF"/>
          <w:lang w:val="en-US"/>
        </w:rPr>
        <w:t xml:space="preserve"> Cork in 1661</w:t>
      </w:r>
      <w:r w:rsidR="00857E8E" w:rsidRPr="00F31DD1">
        <w:rPr>
          <w:color w:val="000000" w:themeColor="text1"/>
          <w:lang w:val="en-US"/>
        </w:rPr>
        <w:t xml:space="preserve"> (McAuliffe 2009)</w:t>
      </w:r>
      <w:r w:rsidR="00857E8E" w:rsidRPr="00F31DD1">
        <w:rPr>
          <w:color w:val="000000" w:themeColor="text1"/>
          <w:shd w:val="clear" w:color="auto" w:fill="FFFFFF"/>
          <w:lang w:val="en-US"/>
        </w:rPr>
        <w:t xml:space="preserve">. Similarly, works of synthesis detailing current scholarship on </w:t>
      </w:r>
      <w:r w:rsidR="007776C4" w:rsidRPr="00F31DD1">
        <w:rPr>
          <w:color w:val="000000" w:themeColor="text1"/>
          <w:shd w:val="clear" w:color="auto" w:fill="FFFFFF"/>
          <w:lang w:val="en-US"/>
        </w:rPr>
        <w:t>early modern,</w:t>
      </w:r>
      <w:r w:rsidR="00857E8E" w:rsidRPr="00F31DD1">
        <w:rPr>
          <w:color w:val="000000" w:themeColor="text1"/>
          <w:shd w:val="clear" w:color="auto" w:fill="FFFFFF"/>
          <w:lang w:val="en-US"/>
        </w:rPr>
        <w:t xml:space="preserve"> European witch</w:t>
      </w:r>
      <w:r w:rsidR="00F31DD1" w:rsidRPr="00F31DD1">
        <w:rPr>
          <w:color w:val="000000" w:themeColor="text1"/>
          <w:shd w:val="clear" w:color="auto" w:fill="FFFFFF"/>
          <w:lang w:val="en-US"/>
        </w:rPr>
        <w:t xml:space="preserve"> </w:t>
      </w:r>
      <w:r w:rsidR="00857E8E" w:rsidRPr="00F31DD1">
        <w:rPr>
          <w:color w:val="000000" w:themeColor="text1"/>
          <w:shd w:val="clear" w:color="auto" w:fill="FFFFFF"/>
          <w:lang w:val="en-US"/>
        </w:rPr>
        <w:t xml:space="preserve">hunts either did not mention Ireland, or did so </w:t>
      </w:r>
      <w:r w:rsidR="00A94C4C">
        <w:rPr>
          <w:color w:val="000000" w:themeColor="text1"/>
          <w:shd w:val="clear" w:color="auto" w:fill="FFFFFF"/>
          <w:lang w:val="en-US"/>
        </w:rPr>
        <w:t xml:space="preserve">only </w:t>
      </w:r>
      <w:r w:rsidR="00857E8E" w:rsidRPr="00F31DD1">
        <w:rPr>
          <w:color w:val="000000" w:themeColor="text1"/>
          <w:shd w:val="clear" w:color="auto" w:fill="FFFFFF"/>
          <w:lang w:val="en-US"/>
        </w:rPr>
        <w:t>very briefly.</w:t>
      </w:r>
      <w:r w:rsidR="00857E8E" w:rsidRPr="00F31DD1">
        <w:rPr>
          <w:rStyle w:val="EndnoteReference"/>
          <w:color w:val="000000" w:themeColor="text1"/>
          <w:shd w:val="clear" w:color="auto" w:fill="FFFFFF"/>
          <w:lang w:val="en-US"/>
        </w:rPr>
        <w:endnoteReference w:id="5"/>
      </w:r>
    </w:p>
    <w:p w14:paraId="4E4A6975" w14:textId="0C390C35" w:rsidR="002550C0" w:rsidRPr="00914343" w:rsidRDefault="00786544" w:rsidP="002550C0">
      <w:pPr>
        <w:spacing w:line="480" w:lineRule="auto"/>
        <w:rPr>
          <w:color w:val="000000" w:themeColor="text1"/>
          <w:shd w:val="clear" w:color="auto" w:fill="FFFFFF"/>
          <w:lang w:val="en-US"/>
        </w:rPr>
      </w:pPr>
      <w:r>
        <w:rPr>
          <w:color w:val="000000" w:themeColor="text1"/>
          <w:shd w:val="clear" w:color="auto" w:fill="FFFFFF"/>
          <w:lang w:val="en-US"/>
        </w:rPr>
        <w:tab/>
      </w:r>
      <w:r w:rsidR="00203132" w:rsidRPr="00F31DD1">
        <w:rPr>
          <w:color w:val="000000" w:themeColor="text1"/>
          <w:shd w:val="clear" w:color="auto" w:fill="FFFFFF"/>
          <w:lang w:val="en-US"/>
        </w:rPr>
        <w:t>Th</w:t>
      </w:r>
      <w:r w:rsidR="00EF77DC" w:rsidRPr="00F31DD1">
        <w:rPr>
          <w:color w:val="000000" w:themeColor="text1"/>
          <w:shd w:val="clear" w:color="auto" w:fill="FFFFFF"/>
          <w:lang w:val="en-US"/>
        </w:rPr>
        <w:t>is</w:t>
      </w:r>
      <w:r w:rsidR="00203132" w:rsidRPr="00F31DD1">
        <w:rPr>
          <w:color w:val="000000" w:themeColor="text1"/>
          <w:shd w:val="clear" w:color="auto" w:fill="FFFFFF"/>
          <w:lang w:val="en-US"/>
        </w:rPr>
        <w:t xml:space="preserve"> public response convinced </w:t>
      </w:r>
      <w:r w:rsidR="002C757C">
        <w:rPr>
          <w:color w:val="000000" w:themeColor="text1"/>
          <w:shd w:val="clear" w:color="auto" w:fill="FFFFFF"/>
          <w:lang w:val="en-US"/>
        </w:rPr>
        <w:t>me</w:t>
      </w:r>
      <w:r w:rsidR="002C757C" w:rsidRPr="00F31DD1">
        <w:rPr>
          <w:color w:val="000000" w:themeColor="text1"/>
          <w:shd w:val="clear" w:color="auto" w:fill="FFFFFF"/>
          <w:lang w:val="en-US"/>
        </w:rPr>
        <w:t xml:space="preserve"> </w:t>
      </w:r>
      <w:r w:rsidR="00203132" w:rsidRPr="00F31DD1">
        <w:rPr>
          <w:color w:val="000000" w:themeColor="text1"/>
          <w:shd w:val="clear" w:color="auto" w:fill="FFFFFF"/>
          <w:lang w:val="en-US"/>
        </w:rPr>
        <w:t>to write</w:t>
      </w:r>
      <w:r w:rsidR="00EF77DC" w:rsidRPr="00F31DD1">
        <w:rPr>
          <w:color w:val="000000" w:themeColor="text1"/>
          <w:shd w:val="clear" w:color="auto" w:fill="FFFFFF"/>
          <w:lang w:val="en-US"/>
        </w:rPr>
        <w:t xml:space="preserve"> a book-length treatment of the trial</w:t>
      </w:r>
      <w:r w:rsidR="00203132" w:rsidRPr="00F31DD1">
        <w:rPr>
          <w:color w:val="000000" w:themeColor="text1"/>
          <w:shd w:val="clear" w:color="auto" w:fill="FFFFFF"/>
          <w:lang w:val="en-US"/>
        </w:rPr>
        <w:t xml:space="preserve"> </w:t>
      </w:r>
      <w:r w:rsidR="00CF212F">
        <w:rPr>
          <w:color w:val="000000" w:themeColor="text1"/>
          <w:shd w:val="clear" w:color="auto" w:fill="FFFFFF"/>
          <w:lang w:val="en-US"/>
        </w:rPr>
        <w:t>(</w:t>
      </w:r>
      <w:r w:rsidR="00857E8E" w:rsidRPr="00F31DD1">
        <w:rPr>
          <w:i/>
          <w:iCs/>
          <w:color w:val="000000" w:themeColor="text1"/>
          <w:lang w:val="en-US"/>
        </w:rPr>
        <w:t>Possessed by the Devil</w:t>
      </w:r>
      <w:r w:rsidR="00CF212F" w:rsidRPr="00D008B4">
        <w:rPr>
          <w:color w:val="000000" w:themeColor="text1"/>
          <w:lang w:val="en-US"/>
        </w:rPr>
        <w:t>,</w:t>
      </w:r>
      <w:r w:rsidR="00857E8E" w:rsidRPr="00F31DD1">
        <w:rPr>
          <w:color w:val="000000" w:themeColor="text1"/>
          <w:lang w:val="en-US"/>
        </w:rPr>
        <w:t xml:space="preserve"> </w:t>
      </w:r>
      <w:r w:rsidR="00CF212F">
        <w:rPr>
          <w:color w:val="000000" w:themeColor="text1"/>
          <w:lang w:val="en-US"/>
        </w:rPr>
        <w:t xml:space="preserve">Sneddon </w:t>
      </w:r>
      <w:r w:rsidR="00857E8E" w:rsidRPr="00F31DD1">
        <w:rPr>
          <w:color w:val="000000" w:themeColor="text1"/>
          <w:lang w:val="en-US"/>
        </w:rPr>
        <w:t>2013).</w:t>
      </w:r>
      <w:r w:rsidR="00857E8E" w:rsidRPr="00F31DD1">
        <w:rPr>
          <w:rStyle w:val="EndnoteReference"/>
          <w:color w:val="000000" w:themeColor="text1"/>
          <w:lang w:val="en-US"/>
        </w:rPr>
        <w:endnoteReference w:id="6"/>
      </w:r>
      <w:r w:rsidR="00203132" w:rsidRPr="00F31DD1">
        <w:rPr>
          <w:color w:val="000000" w:themeColor="text1"/>
          <w:lang w:val="en-US"/>
        </w:rPr>
        <w:t xml:space="preserve"> </w:t>
      </w:r>
      <w:r w:rsidR="00575C28" w:rsidRPr="00F31DD1">
        <w:rPr>
          <w:color w:val="000000" w:themeColor="text1"/>
          <w:lang w:val="en-US"/>
        </w:rPr>
        <w:t>The book was thus</w:t>
      </w:r>
      <w:r w:rsidR="005D1FFF" w:rsidRPr="00F31DD1">
        <w:rPr>
          <w:color w:val="000000" w:themeColor="text1"/>
          <w:lang w:val="en-US"/>
        </w:rPr>
        <w:t xml:space="preserve">, from </w:t>
      </w:r>
      <w:r w:rsidR="00EF77DC" w:rsidRPr="00F31DD1">
        <w:rPr>
          <w:color w:val="000000" w:themeColor="text1"/>
          <w:lang w:val="en-US"/>
        </w:rPr>
        <w:t>its inception</w:t>
      </w:r>
      <w:r w:rsidR="005D1FFF" w:rsidRPr="00F31DD1">
        <w:rPr>
          <w:color w:val="000000" w:themeColor="text1"/>
          <w:lang w:val="en-US"/>
        </w:rPr>
        <w:t xml:space="preserve">, </w:t>
      </w:r>
      <w:r w:rsidR="00575C28" w:rsidRPr="00F31DD1">
        <w:rPr>
          <w:color w:val="000000" w:themeColor="text1"/>
          <w:lang w:val="en-US"/>
        </w:rPr>
        <w:t>rooted in</w:t>
      </w:r>
      <w:r w:rsidR="005D1FFF" w:rsidRPr="00F31DD1">
        <w:rPr>
          <w:color w:val="000000" w:themeColor="text1"/>
          <w:lang w:val="en-US"/>
        </w:rPr>
        <w:t xml:space="preserve"> public </w:t>
      </w:r>
      <w:r w:rsidR="00EF77DC" w:rsidRPr="00F31DD1">
        <w:rPr>
          <w:color w:val="000000" w:themeColor="text1"/>
          <w:lang w:val="en-US"/>
        </w:rPr>
        <w:t>facing history.</w:t>
      </w:r>
      <w:r w:rsidR="00396829" w:rsidRPr="00F31DD1">
        <w:rPr>
          <w:color w:val="000000" w:themeColor="text1"/>
          <w:lang w:val="en-US"/>
        </w:rPr>
        <w:t xml:space="preserve"> </w:t>
      </w:r>
      <w:r w:rsidR="00EF77DC" w:rsidRPr="00F31DD1">
        <w:rPr>
          <w:color w:val="000000" w:themeColor="text1"/>
          <w:lang w:val="en-US"/>
        </w:rPr>
        <w:t>I</w:t>
      </w:r>
      <w:r w:rsidR="00575C28" w:rsidRPr="00F31DD1">
        <w:rPr>
          <w:color w:val="000000" w:themeColor="text1"/>
          <w:lang w:val="en-US"/>
        </w:rPr>
        <w:t>t</w:t>
      </w:r>
      <w:r w:rsidR="009C4BEB" w:rsidRPr="00F31DD1">
        <w:rPr>
          <w:color w:val="000000" w:themeColor="text1"/>
          <w:lang w:val="en-US"/>
        </w:rPr>
        <w:t xml:space="preserve"> was designed to</w:t>
      </w:r>
      <w:r w:rsidR="00857E8E" w:rsidRPr="00F31DD1">
        <w:rPr>
          <w:color w:val="000000" w:themeColor="text1"/>
          <w:lang w:val="en-US"/>
        </w:rPr>
        <w:t xml:space="preserve"> appeal to multiple audiences by being accessible, engaging</w:t>
      </w:r>
      <w:r>
        <w:rPr>
          <w:color w:val="000000" w:themeColor="text1"/>
          <w:lang w:val="en-US"/>
        </w:rPr>
        <w:t>,</w:t>
      </w:r>
      <w:r w:rsidR="00857E8E" w:rsidRPr="00F31DD1">
        <w:rPr>
          <w:color w:val="000000" w:themeColor="text1"/>
          <w:lang w:val="en-US"/>
        </w:rPr>
        <w:t xml:space="preserve"> and readable but without sacrificing the “</w:t>
      </w:r>
      <w:r w:rsidR="00857E8E" w:rsidRPr="00F31DD1">
        <w:rPr>
          <w:color w:val="000000" w:themeColor="text1"/>
          <w:shd w:val="clear" w:color="auto" w:fill="FFFFFF"/>
          <w:lang w:val="en-US"/>
        </w:rPr>
        <w:t>archival explorations and fact-driven narratives</w:t>
      </w:r>
      <w:r w:rsidR="00857E8E" w:rsidRPr="00F31DD1">
        <w:rPr>
          <w:color w:val="000000" w:themeColor="text1"/>
          <w:lang w:val="en-US"/>
        </w:rPr>
        <w:t>” associated with academic rigor in historical writing (Bickers et al</w:t>
      </w:r>
      <w:r>
        <w:rPr>
          <w:color w:val="000000" w:themeColor="text1"/>
          <w:lang w:val="en-US"/>
        </w:rPr>
        <w:t>.</w:t>
      </w:r>
      <w:r w:rsidR="00857E8E" w:rsidRPr="00F31DD1">
        <w:rPr>
          <w:color w:val="000000" w:themeColor="text1"/>
          <w:lang w:val="en-US"/>
        </w:rPr>
        <w:t xml:space="preserve"> 2020: 282). </w:t>
      </w:r>
      <w:r w:rsidR="00E02957" w:rsidRPr="00F31DD1">
        <w:rPr>
          <w:color w:val="000000" w:themeColor="text1"/>
          <w:lang w:val="en-US"/>
        </w:rPr>
        <w:t xml:space="preserve">The book took advantage of the fact that the </w:t>
      </w:r>
      <w:r w:rsidR="00857E8E" w:rsidRPr="00F31DD1">
        <w:rPr>
          <w:color w:val="000000" w:themeColor="text1"/>
          <w:lang w:val="en-US"/>
        </w:rPr>
        <w:t xml:space="preserve">1711 trials were </w:t>
      </w:r>
      <w:r w:rsidR="00857E8E" w:rsidRPr="00F31DD1">
        <w:rPr>
          <w:color w:val="000000" w:themeColor="text1"/>
          <w:shd w:val="clear" w:color="auto" w:fill="FFFFFF"/>
          <w:lang w:val="en-US"/>
        </w:rPr>
        <w:t>unusually well</w:t>
      </w:r>
      <w:r>
        <w:rPr>
          <w:color w:val="000000" w:themeColor="text1"/>
          <w:shd w:val="clear" w:color="auto" w:fill="FFFFFF"/>
          <w:lang w:val="en-US"/>
        </w:rPr>
        <w:t xml:space="preserve"> </w:t>
      </w:r>
      <w:r w:rsidR="00857E8E" w:rsidRPr="00F31DD1">
        <w:rPr>
          <w:color w:val="000000" w:themeColor="text1"/>
          <w:shd w:val="clear" w:color="auto" w:fill="FFFFFF"/>
          <w:lang w:val="en-US"/>
        </w:rPr>
        <w:t>documented in terms of surviving primary source material</w:t>
      </w:r>
      <w:r w:rsidR="00857E8E" w:rsidRPr="00F31DD1">
        <w:rPr>
          <w:color w:val="000000" w:themeColor="text1"/>
          <w:lang w:val="en-US"/>
        </w:rPr>
        <w:t>,</w:t>
      </w:r>
      <w:r w:rsidR="00857E8E" w:rsidRPr="00F31DD1">
        <w:rPr>
          <w:color w:val="000000" w:themeColor="text1"/>
          <w:shd w:val="clear" w:color="auto" w:fill="FFFFFF"/>
          <w:lang w:val="en-US"/>
        </w:rPr>
        <w:t xml:space="preserve"> in comparison to many early modern witchcraft trials in Britain and continent</w:t>
      </w:r>
      <w:r w:rsidR="00A077C1" w:rsidRPr="00F31DD1">
        <w:rPr>
          <w:color w:val="000000" w:themeColor="text1"/>
          <w:shd w:val="clear" w:color="auto" w:fill="FFFFFF"/>
          <w:lang w:val="en-US"/>
        </w:rPr>
        <w:t>al Europe</w:t>
      </w:r>
      <w:r w:rsidR="00575C28" w:rsidRPr="00F31DD1">
        <w:rPr>
          <w:color w:val="000000" w:themeColor="text1"/>
          <w:shd w:val="clear" w:color="auto" w:fill="FFFFFF"/>
          <w:lang w:val="en-US"/>
        </w:rPr>
        <w:t xml:space="preserve">. </w:t>
      </w:r>
      <w:r w:rsidR="00E02957" w:rsidRPr="00F31DD1">
        <w:rPr>
          <w:color w:val="000000" w:themeColor="text1"/>
          <w:shd w:val="clear" w:color="auto" w:fill="FFFFFF"/>
          <w:lang w:val="en-US"/>
        </w:rPr>
        <w:t xml:space="preserve">This material included </w:t>
      </w:r>
      <w:r w:rsidR="00203132" w:rsidRPr="00F31DD1">
        <w:rPr>
          <w:color w:val="000000" w:themeColor="text1"/>
          <w:shd w:val="clear" w:color="auto" w:fill="FFFFFF"/>
          <w:lang w:val="en-US"/>
        </w:rPr>
        <w:t xml:space="preserve">contemporary </w:t>
      </w:r>
      <w:r w:rsidR="00857E8E" w:rsidRPr="00F31DD1">
        <w:rPr>
          <w:color w:val="000000" w:themeColor="text1"/>
          <w:lang w:val="en-US"/>
        </w:rPr>
        <w:t>newspaper reports;</w:t>
      </w:r>
      <w:r w:rsidR="00857E8E" w:rsidRPr="00F31DD1">
        <w:rPr>
          <w:rStyle w:val="EndnoteReference"/>
          <w:color w:val="000000" w:themeColor="text1"/>
          <w:lang w:val="en-US"/>
        </w:rPr>
        <w:endnoteReference w:id="7"/>
      </w:r>
      <w:r w:rsidR="00857E8E" w:rsidRPr="00F31DD1">
        <w:rPr>
          <w:color w:val="000000" w:themeColor="text1"/>
          <w:lang w:val="en-US"/>
        </w:rPr>
        <w:t xml:space="preserve"> pre-trial depositions;</w:t>
      </w:r>
      <w:r w:rsidR="00857E8E" w:rsidRPr="00F31DD1">
        <w:rPr>
          <w:rStyle w:val="EndnoteReference"/>
          <w:color w:val="000000" w:themeColor="text1"/>
          <w:lang w:val="en-US"/>
        </w:rPr>
        <w:endnoteReference w:id="8"/>
      </w:r>
      <w:r w:rsidR="00857E8E" w:rsidRPr="00F31DD1">
        <w:rPr>
          <w:color w:val="000000" w:themeColor="text1"/>
          <w:lang w:val="en-US"/>
        </w:rPr>
        <w:t xml:space="preserve"> letters written by eyewitnesses detailing the day of the trial</w:t>
      </w:r>
      <w:r>
        <w:rPr>
          <w:color w:val="000000" w:themeColor="text1"/>
          <w:lang w:val="en-US"/>
        </w:rPr>
        <w:t>;</w:t>
      </w:r>
      <w:r w:rsidR="00E02957" w:rsidRPr="00F31DD1">
        <w:rPr>
          <w:rStyle w:val="EndnoteReference"/>
          <w:color w:val="000000" w:themeColor="text1"/>
          <w:lang w:val="en-US"/>
        </w:rPr>
        <w:endnoteReference w:id="9"/>
      </w:r>
      <w:r w:rsidR="00857E8E" w:rsidRPr="00F31DD1">
        <w:rPr>
          <w:color w:val="000000" w:themeColor="text1"/>
          <w:lang w:val="en-US"/>
        </w:rPr>
        <w:t xml:space="preserve"> and a thirty-two</w:t>
      </w:r>
      <w:r>
        <w:rPr>
          <w:color w:val="000000" w:themeColor="text1"/>
          <w:lang w:val="en-US"/>
        </w:rPr>
        <w:t>-</w:t>
      </w:r>
      <w:r w:rsidR="00857E8E" w:rsidRPr="00F31DD1">
        <w:rPr>
          <w:color w:val="000000" w:themeColor="text1"/>
          <w:lang w:val="en-US"/>
        </w:rPr>
        <w:t xml:space="preserve">page pamphlet written in 1711 but not transcribed and published until 1822 by local historian of </w:t>
      </w:r>
      <w:proofErr w:type="spellStart"/>
      <w:r w:rsidR="00857E8E" w:rsidRPr="00F31DD1">
        <w:rPr>
          <w:color w:val="000000" w:themeColor="text1"/>
          <w:lang w:val="en-US"/>
        </w:rPr>
        <w:t>Carrickfergus</w:t>
      </w:r>
      <w:proofErr w:type="spellEnd"/>
      <w:r w:rsidR="00857E8E" w:rsidRPr="00F31DD1">
        <w:rPr>
          <w:color w:val="000000" w:themeColor="text1"/>
          <w:lang w:val="en-US"/>
        </w:rPr>
        <w:t xml:space="preserve">, Samuel </w:t>
      </w:r>
      <w:proofErr w:type="spellStart"/>
      <w:r w:rsidR="00857E8E" w:rsidRPr="00F31DD1">
        <w:rPr>
          <w:color w:val="000000" w:themeColor="text1"/>
          <w:lang w:val="en-US"/>
        </w:rPr>
        <w:t>McSkimin</w:t>
      </w:r>
      <w:proofErr w:type="spellEnd"/>
      <w:r w:rsidR="00857E8E" w:rsidRPr="00F31DD1">
        <w:rPr>
          <w:color w:val="000000" w:themeColor="text1"/>
          <w:lang w:val="en-US"/>
        </w:rPr>
        <w:t xml:space="preserve"> (Anon</w:t>
      </w:r>
      <w:r>
        <w:rPr>
          <w:color w:val="000000" w:themeColor="text1"/>
          <w:lang w:val="en-US"/>
        </w:rPr>
        <w:t>ymous</w:t>
      </w:r>
      <w:r w:rsidR="00857E8E" w:rsidRPr="00F31DD1">
        <w:rPr>
          <w:color w:val="000000" w:themeColor="text1"/>
          <w:lang w:val="en-US"/>
        </w:rPr>
        <w:t xml:space="preserve"> </w:t>
      </w:r>
      <w:r>
        <w:rPr>
          <w:color w:val="000000" w:themeColor="text1"/>
          <w:lang w:val="en-US"/>
        </w:rPr>
        <w:t>[</w:t>
      </w:r>
      <w:r w:rsidR="00857E8E" w:rsidRPr="00F31DD1">
        <w:rPr>
          <w:color w:val="000000" w:themeColor="text1"/>
          <w:lang w:val="en-US"/>
        </w:rPr>
        <w:t>1711</w:t>
      </w:r>
      <w:r>
        <w:rPr>
          <w:color w:val="000000" w:themeColor="text1"/>
          <w:lang w:val="en-US"/>
        </w:rPr>
        <w:t xml:space="preserve">] </w:t>
      </w:r>
      <w:r w:rsidR="00857E8E" w:rsidRPr="00F31DD1">
        <w:rPr>
          <w:color w:val="000000" w:themeColor="text1"/>
          <w:lang w:val="en-US"/>
        </w:rPr>
        <w:t>1822). Secondly, complex ideas and theories were explained in straightforward, jargon-free language, and references were detailed in endnotes and largely restricted to primary source material. Secondary source material was discussed in an extended, annotated bibliography. More importantly, it was structured as a narrative rather than thematically arranged, and an emphasis</w:t>
      </w:r>
      <w:r w:rsidR="00CF212F">
        <w:rPr>
          <w:color w:val="000000" w:themeColor="text1"/>
          <w:lang w:val="en-US"/>
        </w:rPr>
        <w:t xml:space="preserve"> was</w:t>
      </w:r>
      <w:r w:rsidR="00857E8E" w:rsidRPr="00F31DD1">
        <w:rPr>
          <w:color w:val="000000" w:themeColor="text1"/>
          <w:lang w:val="en-US"/>
        </w:rPr>
        <w:t xml:space="preserve"> laid on place and people. Its narrative structure was designed to mirror that of a </w:t>
      </w:r>
      <w:r w:rsidR="00857E8E" w:rsidRPr="00F31DD1">
        <w:rPr>
          <w:color w:val="000000" w:themeColor="text1"/>
          <w:lang w:val="en-US"/>
        </w:rPr>
        <w:lastRenderedPageBreak/>
        <w:t>good documentary made for television, with explication and contextuali</w:t>
      </w:r>
      <w:r w:rsidR="00CF212F">
        <w:rPr>
          <w:color w:val="000000" w:themeColor="text1"/>
          <w:lang w:val="en-US"/>
        </w:rPr>
        <w:t>z</w:t>
      </w:r>
      <w:r w:rsidR="00857E8E" w:rsidRPr="00F31DD1">
        <w:rPr>
          <w:color w:val="000000" w:themeColor="text1"/>
          <w:lang w:val="en-US"/>
        </w:rPr>
        <w:t>ation of the trial woven in and out of the storytelling. It was</w:t>
      </w:r>
      <w:r w:rsidR="00CF212F">
        <w:rPr>
          <w:color w:val="000000" w:themeColor="text1"/>
          <w:lang w:val="en-US"/>
        </w:rPr>
        <w:t>,</w:t>
      </w:r>
      <w:r w:rsidR="00857E8E" w:rsidRPr="00F31DD1">
        <w:rPr>
          <w:color w:val="000000" w:themeColor="text1"/>
          <w:lang w:val="en-US"/>
        </w:rPr>
        <w:t xml:space="preserve"> however</w:t>
      </w:r>
      <w:r w:rsidR="00CF212F">
        <w:rPr>
          <w:color w:val="000000" w:themeColor="text1"/>
          <w:lang w:val="en-US"/>
        </w:rPr>
        <w:t>,</w:t>
      </w:r>
      <w:r w:rsidR="00857E8E" w:rsidRPr="00F31DD1">
        <w:rPr>
          <w:color w:val="000000" w:themeColor="text1"/>
          <w:lang w:val="en-US"/>
        </w:rPr>
        <w:t xml:space="preserve"> distinct from the type of popular histories that, from the 1960s onward, provided narrative accounts of famous Irish witchcraft cases. </w:t>
      </w:r>
      <w:r w:rsidR="00857E8E" w:rsidRPr="00CF212F">
        <w:rPr>
          <w:color w:val="000000" w:themeColor="text1"/>
          <w:lang w:val="en-US"/>
        </w:rPr>
        <w:t>These histories often conflated cases of witchcraft with those involving cunning</w:t>
      </w:r>
      <w:r w:rsidR="00CF212F">
        <w:rPr>
          <w:color w:val="000000" w:themeColor="text1"/>
          <w:lang w:val="en-US"/>
        </w:rPr>
        <w:t xml:space="preserve"> </w:t>
      </w:r>
      <w:r w:rsidR="00857E8E" w:rsidRPr="00CF212F">
        <w:rPr>
          <w:color w:val="000000" w:themeColor="text1"/>
          <w:lang w:val="en-US"/>
        </w:rPr>
        <w:t>folk, conjuration, changeling fairy abduction, and lacked referencing, or wider historical contextuali</w:t>
      </w:r>
      <w:r w:rsidR="00CF212F">
        <w:rPr>
          <w:color w:val="000000" w:themeColor="text1"/>
          <w:lang w:val="en-US"/>
        </w:rPr>
        <w:t>z</w:t>
      </w:r>
      <w:r w:rsidR="00857E8E" w:rsidRPr="00CF212F">
        <w:rPr>
          <w:color w:val="000000" w:themeColor="text1"/>
          <w:lang w:val="en-US"/>
        </w:rPr>
        <w:t>ation</w:t>
      </w:r>
      <w:r w:rsidR="002A6E7B" w:rsidRPr="00CF212F">
        <w:rPr>
          <w:color w:val="000000" w:themeColor="text1"/>
          <w:lang w:val="en-US"/>
        </w:rPr>
        <w:t xml:space="preserve"> (Sneddon</w:t>
      </w:r>
      <w:r w:rsidR="00CF212F">
        <w:rPr>
          <w:color w:val="000000" w:themeColor="text1"/>
          <w:lang w:val="en-US"/>
        </w:rPr>
        <w:t>,</w:t>
      </w:r>
      <w:r w:rsidR="002A6E7B" w:rsidRPr="00CF212F">
        <w:rPr>
          <w:color w:val="000000" w:themeColor="text1"/>
          <w:lang w:val="en-US"/>
        </w:rPr>
        <w:t xml:space="preserve"> </w:t>
      </w:r>
      <w:r w:rsidR="00CF212F">
        <w:rPr>
          <w:color w:val="000000" w:themeColor="text1"/>
          <w:lang w:val="en-US"/>
        </w:rPr>
        <w:t>forthcoming</w:t>
      </w:r>
      <w:r w:rsidR="002A6E7B" w:rsidRPr="00CF212F">
        <w:rPr>
          <w:color w:val="000000" w:themeColor="text1"/>
          <w:lang w:val="en-US"/>
        </w:rPr>
        <w:t xml:space="preserve">). </w:t>
      </w:r>
      <w:r w:rsidR="00857E8E" w:rsidRPr="00CF212F">
        <w:rPr>
          <w:color w:val="000000" w:themeColor="text1"/>
          <w:lang w:val="en-US"/>
        </w:rPr>
        <w:t xml:space="preserve">This distinction made between </w:t>
      </w:r>
      <w:r w:rsidR="00857E8E" w:rsidRPr="00CF212F">
        <w:rPr>
          <w:i/>
          <w:iCs/>
          <w:color w:val="000000" w:themeColor="text1"/>
          <w:lang w:val="en-US"/>
        </w:rPr>
        <w:t xml:space="preserve">Possessed by the Devil </w:t>
      </w:r>
      <w:r w:rsidR="00857E8E" w:rsidRPr="00CF212F">
        <w:rPr>
          <w:color w:val="000000" w:themeColor="text1"/>
          <w:lang w:val="en-US"/>
        </w:rPr>
        <w:t>and earlier, popular histories</w:t>
      </w:r>
      <w:r w:rsidR="00857E8E" w:rsidRPr="00F31DD1">
        <w:rPr>
          <w:color w:val="000000" w:themeColor="text1"/>
          <w:lang w:val="en-US"/>
        </w:rPr>
        <w:t xml:space="preserve"> was not conceived as a type of “</w:t>
      </w:r>
      <w:r w:rsidR="00857E8E" w:rsidRPr="00F31DD1">
        <w:rPr>
          <w:color w:val="000000" w:themeColor="text1"/>
          <w:shd w:val="clear" w:color="auto" w:fill="FFFFFF"/>
          <w:lang w:val="en-US"/>
        </w:rPr>
        <w:t>boundary-policing by historians, journalists, and cultural commentators around the borders of ‘popular’ and ‘academic’ history, creative non-fiction, and historical fiction”</w:t>
      </w:r>
      <w:r w:rsidR="009F22BF" w:rsidRPr="00F31DD1">
        <w:rPr>
          <w:color w:val="000000" w:themeColor="text1"/>
          <w:lang w:val="en-US"/>
        </w:rPr>
        <w:t>.</w:t>
      </w:r>
      <w:r w:rsidR="00210B14" w:rsidRPr="00F31DD1" w:rsidDel="00210B14">
        <w:rPr>
          <w:color w:val="000000" w:themeColor="text1"/>
          <w:shd w:val="clear" w:color="auto" w:fill="FFFFFF"/>
          <w:lang w:val="en-US"/>
        </w:rPr>
        <w:t xml:space="preserve"> </w:t>
      </w:r>
      <w:r w:rsidR="00210B14">
        <w:rPr>
          <w:color w:val="000000" w:themeColor="text1"/>
          <w:shd w:val="clear" w:color="auto" w:fill="FFFFFF"/>
          <w:lang w:val="en-US"/>
        </w:rPr>
        <w:t>T</w:t>
      </w:r>
      <w:r w:rsidR="009F22BF">
        <w:rPr>
          <w:color w:val="000000" w:themeColor="text1"/>
          <w:shd w:val="clear" w:color="auto" w:fill="FFFFFF"/>
          <w:lang w:val="en-US"/>
        </w:rPr>
        <w:t>his</w:t>
      </w:r>
      <w:r w:rsidR="00857E8E" w:rsidRPr="00F31DD1">
        <w:rPr>
          <w:color w:val="000000" w:themeColor="text1"/>
          <w:shd w:val="clear" w:color="auto" w:fill="FFFFFF"/>
          <w:lang w:val="en-US"/>
        </w:rPr>
        <w:t xml:space="preserve"> </w:t>
      </w:r>
      <w:r w:rsidR="00CF212F">
        <w:rPr>
          <w:color w:val="000000" w:themeColor="text1"/>
          <w:shd w:val="clear" w:color="auto" w:fill="FFFFFF"/>
          <w:lang w:val="en-US"/>
        </w:rPr>
        <w:t>“</w:t>
      </w:r>
      <w:r w:rsidR="00857E8E" w:rsidRPr="00F31DD1">
        <w:rPr>
          <w:color w:val="000000" w:themeColor="text1"/>
          <w:shd w:val="clear" w:color="auto" w:fill="FFFFFF"/>
          <w:lang w:val="en-US"/>
        </w:rPr>
        <w:t>policing</w:t>
      </w:r>
      <w:r w:rsidR="00CF212F">
        <w:rPr>
          <w:color w:val="000000" w:themeColor="text1"/>
          <w:shd w:val="clear" w:color="auto" w:fill="FFFFFF"/>
          <w:lang w:val="en-US"/>
        </w:rPr>
        <w:t>”</w:t>
      </w:r>
      <w:r w:rsidR="00857E8E" w:rsidRPr="00F31DD1">
        <w:rPr>
          <w:color w:val="000000" w:themeColor="text1"/>
          <w:shd w:val="clear" w:color="auto" w:fill="FFFFFF"/>
          <w:lang w:val="en-US"/>
        </w:rPr>
        <w:t xml:space="preserve"> </w:t>
      </w:r>
      <w:r w:rsidR="001308CD">
        <w:rPr>
          <w:color w:val="000000" w:themeColor="text1"/>
          <w:shd w:val="clear" w:color="auto" w:fill="FFFFFF"/>
          <w:lang w:val="en-US"/>
        </w:rPr>
        <w:t>is often</w:t>
      </w:r>
      <w:r w:rsidR="00857E8E" w:rsidRPr="00F31DD1">
        <w:rPr>
          <w:color w:val="000000" w:themeColor="text1"/>
          <w:shd w:val="clear" w:color="auto" w:fill="FFFFFF"/>
          <w:lang w:val="en-US"/>
        </w:rPr>
        <w:t xml:space="preserve"> the consequence of “unease and anxiety” with “the explicit language and methods of creativity” used by writers and artists </w:t>
      </w:r>
      <w:r w:rsidR="00857E8E" w:rsidRPr="00F31DD1">
        <w:rPr>
          <w:color w:val="000000" w:themeColor="text1"/>
          <w:lang w:val="en-US"/>
        </w:rPr>
        <w:t>(Bickers et al</w:t>
      </w:r>
      <w:r w:rsidR="00CF212F">
        <w:rPr>
          <w:color w:val="000000" w:themeColor="text1"/>
          <w:lang w:val="en-US"/>
        </w:rPr>
        <w:t>. 2020</w:t>
      </w:r>
      <w:r w:rsidR="00857E8E" w:rsidRPr="00F31DD1">
        <w:rPr>
          <w:color w:val="000000" w:themeColor="text1"/>
          <w:lang w:val="en-US"/>
        </w:rPr>
        <w:t>: 273).</w:t>
      </w:r>
      <w:r w:rsidR="00857E8E" w:rsidRPr="00F31DD1">
        <w:rPr>
          <w:color w:val="000000" w:themeColor="text1"/>
          <w:shd w:val="clear" w:color="auto" w:fill="FFFFFF"/>
          <w:lang w:val="en-US"/>
        </w:rPr>
        <w:t xml:space="preserve"> Rather the choice of structure, content, pace, and writing style in </w:t>
      </w:r>
      <w:r w:rsidR="00857E8E" w:rsidRPr="00F31DD1">
        <w:rPr>
          <w:i/>
          <w:iCs/>
          <w:color w:val="000000" w:themeColor="text1"/>
          <w:lang w:val="en-US"/>
        </w:rPr>
        <w:t xml:space="preserve">Possessed by the Devil </w:t>
      </w:r>
      <w:r w:rsidR="00857E8E" w:rsidRPr="00F31DD1">
        <w:rPr>
          <w:color w:val="000000" w:themeColor="text1"/>
          <w:shd w:val="clear" w:color="auto" w:fill="FFFFFF"/>
          <w:lang w:val="en-US"/>
        </w:rPr>
        <w:t xml:space="preserve">formed an integral part of a creative process that aimed to meet specific intellectual objectives </w:t>
      </w:r>
      <w:r w:rsidR="00857E8E" w:rsidRPr="00914343">
        <w:rPr>
          <w:i/>
          <w:iCs/>
          <w:color w:val="000000" w:themeColor="text1"/>
          <w:shd w:val="clear" w:color="auto" w:fill="FFFFFF"/>
          <w:lang w:val="en-US"/>
        </w:rPr>
        <w:t>and</w:t>
      </w:r>
      <w:r w:rsidR="00857E8E" w:rsidRPr="00F31DD1">
        <w:rPr>
          <w:color w:val="000000" w:themeColor="text1"/>
          <w:shd w:val="clear" w:color="auto" w:fill="FFFFFF"/>
          <w:lang w:val="en-US"/>
        </w:rPr>
        <w:t xml:space="preserve"> target wider audiences</w:t>
      </w:r>
      <w:r w:rsidR="009C4BEB" w:rsidRPr="00F31DD1">
        <w:rPr>
          <w:color w:val="000000" w:themeColor="text1"/>
          <w:shd w:val="clear" w:color="auto" w:fill="FFFFFF"/>
          <w:lang w:val="en-US"/>
        </w:rPr>
        <w:t>. It is im</w:t>
      </w:r>
      <w:r w:rsidR="00FB168C" w:rsidRPr="00F31DD1">
        <w:rPr>
          <w:color w:val="000000" w:themeColor="text1"/>
          <w:shd w:val="clear" w:color="auto" w:fill="FFFFFF"/>
          <w:lang w:val="en-US"/>
        </w:rPr>
        <w:t xml:space="preserve">portant to </w:t>
      </w:r>
      <w:r w:rsidR="00857E8E" w:rsidRPr="00F31DD1">
        <w:rPr>
          <w:color w:val="000000" w:themeColor="text1"/>
          <w:shd w:val="clear" w:color="auto" w:fill="FFFFFF"/>
          <w:lang w:val="en-US"/>
        </w:rPr>
        <w:t>“recognize historical work as innately creative” a</w:t>
      </w:r>
      <w:r w:rsidR="00CB09DD" w:rsidRPr="00F31DD1">
        <w:rPr>
          <w:color w:val="000000" w:themeColor="text1"/>
          <w:shd w:val="clear" w:color="auto" w:fill="FFFFFF"/>
          <w:lang w:val="en-US"/>
        </w:rPr>
        <w:t xml:space="preserve">nd that </w:t>
      </w:r>
      <w:r w:rsidR="00857E8E" w:rsidRPr="00F31DD1">
        <w:rPr>
          <w:color w:val="000000" w:themeColor="text1"/>
          <w:shd w:val="clear" w:color="auto" w:fill="FFFFFF"/>
          <w:lang w:val="en-US"/>
        </w:rPr>
        <w:t>“creativity informs the questions we ask, our ways of working with the archive and our approach to writing”</w:t>
      </w:r>
      <w:r w:rsidR="00857E8E" w:rsidRPr="00F31DD1">
        <w:rPr>
          <w:color w:val="000000" w:themeColor="text1"/>
          <w:lang w:val="en-US"/>
        </w:rPr>
        <w:t xml:space="preserve"> (Bickers et al</w:t>
      </w:r>
      <w:r w:rsidR="00FF0861">
        <w:rPr>
          <w:color w:val="000000" w:themeColor="text1"/>
          <w:lang w:val="en-US"/>
        </w:rPr>
        <w:t>. 2020</w:t>
      </w:r>
      <w:r w:rsidR="00857E8E" w:rsidRPr="00F31DD1">
        <w:rPr>
          <w:color w:val="000000" w:themeColor="text1"/>
          <w:lang w:val="en-US"/>
        </w:rPr>
        <w:t>: 282).</w:t>
      </w:r>
    </w:p>
    <w:p w14:paraId="6211C714" w14:textId="28F87B79" w:rsidR="00203431" w:rsidRPr="00F31DD1" w:rsidRDefault="00FF0861" w:rsidP="00F014E5">
      <w:pPr>
        <w:spacing w:line="480" w:lineRule="auto"/>
        <w:rPr>
          <w:color w:val="000000" w:themeColor="text1"/>
          <w:lang w:val="en-US"/>
        </w:rPr>
      </w:pPr>
      <w:r>
        <w:rPr>
          <w:i/>
          <w:iCs/>
          <w:color w:val="000000" w:themeColor="text1"/>
          <w:lang w:val="en-US"/>
        </w:rPr>
        <w:tab/>
      </w:r>
      <w:r w:rsidR="00857E8E" w:rsidRPr="0089446B">
        <w:rPr>
          <w:i/>
          <w:iCs/>
          <w:color w:val="000000" w:themeColor="text1"/>
          <w:lang w:val="en-US"/>
        </w:rPr>
        <w:t>Possessed by the Devil</w:t>
      </w:r>
      <w:r w:rsidR="00857E8E" w:rsidRPr="0089446B">
        <w:rPr>
          <w:color w:val="000000" w:themeColor="text1"/>
          <w:lang w:val="en-US"/>
        </w:rPr>
        <w:t xml:space="preserve"> was also conceived as </w:t>
      </w:r>
      <w:r w:rsidR="0021423F" w:rsidRPr="0089446B">
        <w:rPr>
          <w:color w:val="000000" w:themeColor="text1"/>
          <w:lang w:val="en-US"/>
        </w:rPr>
        <w:t>microhistory</w:t>
      </w:r>
      <w:r w:rsidR="00857E8E" w:rsidRPr="0089446B">
        <w:rPr>
          <w:color w:val="000000" w:themeColor="text1"/>
          <w:lang w:val="en-US"/>
        </w:rPr>
        <w:t xml:space="preserve">, in that it reduced the scale of observation of </w:t>
      </w:r>
      <w:r w:rsidR="0023033E" w:rsidRPr="0089446B">
        <w:rPr>
          <w:color w:val="000000" w:themeColor="text1"/>
          <w:lang w:val="en-US"/>
        </w:rPr>
        <w:t xml:space="preserve">the history of belief in </w:t>
      </w:r>
      <w:r w:rsidR="00857E8E" w:rsidRPr="0089446B">
        <w:rPr>
          <w:color w:val="000000" w:themeColor="text1"/>
          <w:lang w:val="en-US"/>
        </w:rPr>
        <w:t>witchcraft</w:t>
      </w:r>
      <w:r w:rsidR="0023033E" w:rsidRPr="0089446B">
        <w:rPr>
          <w:color w:val="000000" w:themeColor="text1"/>
          <w:lang w:val="en-US"/>
        </w:rPr>
        <w:t xml:space="preserve"> and the prosecutions of witches in Ireland</w:t>
      </w:r>
      <w:r w:rsidR="00857E8E" w:rsidRPr="0089446B">
        <w:rPr>
          <w:color w:val="000000" w:themeColor="text1"/>
          <w:lang w:val="en-US"/>
        </w:rPr>
        <w:t xml:space="preserve"> to a single trial; was based on a focused and intensive study of documentary materials; and used narrative as an analytical tool to explore the lives and the physical and mental environments of the individuals involved. In common with many microhistories, the individuals under scrutiny were</w:t>
      </w:r>
      <w:r w:rsidR="00313D6D" w:rsidRPr="0089446B">
        <w:rPr>
          <w:color w:val="000000" w:themeColor="text1"/>
          <w:lang w:val="en-US"/>
        </w:rPr>
        <w:t xml:space="preserve"> </w:t>
      </w:r>
      <w:r w:rsidR="0089446B">
        <w:rPr>
          <w:color w:val="000000" w:themeColor="text1"/>
          <w:lang w:val="en-US"/>
        </w:rPr>
        <w:t>“</w:t>
      </w:r>
      <w:r w:rsidR="00313D6D" w:rsidRPr="0089446B">
        <w:rPr>
          <w:color w:val="000000" w:themeColor="text1"/>
          <w:lang w:val="en-US"/>
        </w:rPr>
        <w:t>ordinary</w:t>
      </w:r>
      <w:r w:rsidR="0089446B">
        <w:rPr>
          <w:color w:val="000000" w:themeColor="text1"/>
          <w:lang w:val="en-US"/>
        </w:rPr>
        <w:t>”</w:t>
      </w:r>
      <w:r w:rsidR="00313D6D" w:rsidRPr="0089446B">
        <w:rPr>
          <w:color w:val="000000" w:themeColor="text1"/>
          <w:lang w:val="en-US"/>
        </w:rPr>
        <w:t xml:space="preserve"> in that they were nonelites</w:t>
      </w:r>
      <w:r w:rsidR="00CD330E" w:rsidRPr="0089446B">
        <w:rPr>
          <w:color w:val="000000" w:themeColor="text1"/>
          <w:lang w:val="en-US"/>
        </w:rPr>
        <w:t>. However, they can</w:t>
      </w:r>
      <w:r w:rsidR="00CD330E" w:rsidRPr="00F31DD1">
        <w:rPr>
          <w:color w:val="000000" w:themeColor="text1"/>
          <w:lang w:val="en-US"/>
        </w:rPr>
        <w:t xml:space="preserve"> also be regarded as</w:t>
      </w:r>
      <w:r w:rsidR="00313D6D" w:rsidRPr="00F31DD1">
        <w:rPr>
          <w:color w:val="000000" w:themeColor="text1"/>
          <w:lang w:val="en-US"/>
        </w:rPr>
        <w:t xml:space="preserve"> </w:t>
      </w:r>
      <w:r w:rsidR="00857E8E" w:rsidRPr="00F31DD1">
        <w:rPr>
          <w:color w:val="000000" w:themeColor="text1"/>
          <w:lang w:val="en-US"/>
        </w:rPr>
        <w:t>exceptional rather than typical of their time</w:t>
      </w:r>
      <w:r w:rsidR="00313D6D" w:rsidRPr="00F31DD1">
        <w:rPr>
          <w:color w:val="000000" w:themeColor="text1"/>
          <w:lang w:val="en-US"/>
        </w:rPr>
        <w:t xml:space="preserve"> because they</w:t>
      </w:r>
      <w:r w:rsidR="00857E8E" w:rsidRPr="00F31DD1">
        <w:rPr>
          <w:color w:val="000000" w:themeColor="text1"/>
          <w:lang w:val="en-US"/>
        </w:rPr>
        <w:t xml:space="preserve"> had fallen foul of the authorities; otherwise</w:t>
      </w:r>
      <w:r w:rsidR="00A56D10" w:rsidRPr="00F31DD1">
        <w:rPr>
          <w:color w:val="000000" w:themeColor="text1"/>
          <w:lang w:val="en-US"/>
        </w:rPr>
        <w:t>,</w:t>
      </w:r>
      <w:r w:rsidR="00857E8E" w:rsidRPr="00F31DD1">
        <w:rPr>
          <w:color w:val="000000" w:themeColor="text1"/>
          <w:lang w:val="en-US"/>
        </w:rPr>
        <w:t xml:space="preserve"> there would not have been a documentary trail </w:t>
      </w:r>
      <w:r w:rsidR="00313D6D" w:rsidRPr="00F31DD1">
        <w:rPr>
          <w:color w:val="000000" w:themeColor="text1"/>
          <w:lang w:val="en-US"/>
        </w:rPr>
        <w:t xml:space="preserve">for me </w:t>
      </w:r>
      <w:r w:rsidR="00857E8E" w:rsidRPr="00F31DD1">
        <w:rPr>
          <w:color w:val="000000" w:themeColor="text1"/>
          <w:lang w:val="en-US"/>
        </w:rPr>
        <w:t>to follow.</w:t>
      </w:r>
      <w:r w:rsidR="00857E8E" w:rsidRPr="00F31DD1">
        <w:rPr>
          <w:rStyle w:val="EndnoteReference"/>
          <w:color w:val="000000" w:themeColor="text1"/>
          <w:lang w:val="en-US"/>
        </w:rPr>
        <w:endnoteReference w:id="10"/>
      </w:r>
      <w:r w:rsidR="00310E16" w:rsidRPr="00F31DD1">
        <w:rPr>
          <w:color w:val="000000" w:themeColor="text1"/>
          <w:lang w:val="en-US"/>
        </w:rPr>
        <w:t xml:space="preserve"> </w:t>
      </w:r>
      <w:r w:rsidR="00203431" w:rsidRPr="00F31DD1">
        <w:rPr>
          <w:color w:val="000000" w:themeColor="text1"/>
          <w:lang w:val="en-US"/>
        </w:rPr>
        <w:t>Microhistor</w:t>
      </w:r>
      <w:r w:rsidR="00985F64" w:rsidRPr="00F31DD1">
        <w:rPr>
          <w:color w:val="000000" w:themeColor="text1"/>
          <w:lang w:val="en-US"/>
        </w:rPr>
        <w:t xml:space="preserve">ies </w:t>
      </w:r>
      <w:r w:rsidR="00ED1EFF" w:rsidRPr="00F31DD1">
        <w:rPr>
          <w:color w:val="000000" w:themeColor="text1"/>
          <w:lang w:val="en-US"/>
        </w:rPr>
        <w:t>are</w:t>
      </w:r>
      <w:r w:rsidR="004722A2" w:rsidRPr="00F31DD1">
        <w:rPr>
          <w:color w:val="000000" w:themeColor="text1"/>
          <w:lang w:val="en-US"/>
        </w:rPr>
        <w:t xml:space="preserve"> acknowledged by historians as being</w:t>
      </w:r>
      <w:r w:rsidR="00985F64" w:rsidRPr="00F31DD1">
        <w:rPr>
          <w:color w:val="000000" w:themeColor="text1"/>
          <w:lang w:val="en-US"/>
        </w:rPr>
        <w:t xml:space="preserve"> </w:t>
      </w:r>
      <w:r w:rsidR="00203431" w:rsidRPr="00F31DD1">
        <w:rPr>
          <w:color w:val="000000" w:themeColor="text1"/>
          <w:lang w:val="en-US"/>
        </w:rPr>
        <w:t>particular</w:t>
      </w:r>
      <w:r w:rsidR="00264D12" w:rsidRPr="00F31DD1">
        <w:rPr>
          <w:color w:val="000000" w:themeColor="text1"/>
          <w:lang w:val="en-US"/>
        </w:rPr>
        <w:t xml:space="preserve">ly good </w:t>
      </w:r>
      <w:r w:rsidR="00ED1EFF" w:rsidRPr="00F31DD1">
        <w:rPr>
          <w:color w:val="000000" w:themeColor="text1"/>
          <w:lang w:val="en-US"/>
        </w:rPr>
        <w:t>at</w:t>
      </w:r>
      <w:r w:rsidR="00264D12" w:rsidRPr="00F31DD1">
        <w:rPr>
          <w:color w:val="000000" w:themeColor="text1"/>
          <w:lang w:val="en-US"/>
        </w:rPr>
        <w:t xml:space="preserve"> </w:t>
      </w:r>
      <w:r w:rsidR="00264D12" w:rsidRPr="00F31DD1">
        <w:rPr>
          <w:color w:val="000000" w:themeColor="text1"/>
          <w:lang w:val="en-US"/>
        </w:rPr>
        <w:lastRenderedPageBreak/>
        <w:t xml:space="preserve">allowing </w:t>
      </w:r>
      <w:r w:rsidR="004722A2" w:rsidRPr="00F31DD1">
        <w:rPr>
          <w:color w:val="000000" w:themeColor="text1"/>
          <w:lang w:val="en-US"/>
        </w:rPr>
        <w:t xml:space="preserve">an </w:t>
      </w:r>
      <w:r w:rsidR="00264D12" w:rsidRPr="00F31DD1">
        <w:rPr>
          <w:color w:val="000000" w:themeColor="text1"/>
          <w:lang w:val="en-US"/>
        </w:rPr>
        <w:t>examin</w:t>
      </w:r>
      <w:r w:rsidR="004722A2" w:rsidRPr="00F31DD1">
        <w:rPr>
          <w:color w:val="000000" w:themeColor="text1"/>
          <w:lang w:val="en-US"/>
        </w:rPr>
        <w:t>ation of</w:t>
      </w:r>
      <w:r w:rsidR="00264D12" w:rsidRPr="00F31DD1">
        <w:rPr>
          <w:color w:val="000000" w:themeColor="text1"/>
          <w:lang w:val="en-US"/>
        </w:rPr>
        <w:t xml:space="preserve"> </w:t>
      </w:r>
      <w:r w:rsidR="004722A2" w:rsidRPr="00F31DD1">
        <w:rPr>
          <w:color w:val="000000" w:themeColor="text1"/>
          <w:lang w:val="en-US"/>
        </w:rPr>
        <w:t>“t</w:t>
      </w:r>
      <w:r w:rsidR="00264D12" w:rsidRPr="00F31DD1">
        <w:rPr>
          <w:color w:val="000000" w:themeColor="text1"/>
          <w:lang w:val="en-US"/>
        </w:rPr>
        <w:t xml:space="preserve">he extent of and the limits upon human agency” and </w:t>
      </w:r>
      <w:r w:rsidR="004722A2" w:rsidRPr="00F31DD1">
        <w:rPr>
          <w:color w:val="000000" w:themeColor="text1"/>
          <w:lang w:val="en-US"/>
        </w:rPr>
        <w:t>in demonstrating</w:t>
      </w:r>
      <w:r w:rsidR="00985F64" w:rsidRPr="00F31DD1">
        <w:rPr>
          <w:color w:val="000000" w:themeColor="text1"/>
          <w:lang w:val="en-US"/>
        </w:rPr>
        <w:t xml:space="preserve"> </w:t>
      </w:r>
      <w:r w:rsidR="00264D12" w:rsidRPr="00F31DD1">
        <w:rPr>
          <w:color w:val="000000" w:themeColor="text1"/>
          <w:lang w:val="en-US"/>
        </w:rPr>
        <w:t>the freedoms individuals may have beyond constraining, normative and prescriptive systems</w:t>
      </w:r>
      <w:r w:rsidR="00985F64" w:rsidRPr="00F31DD1">
        <w:rPr>
          <w:color w:val="000000" w:themeColor="text1"/>
          <w:lang w:val="en-US"/>
        </w:rPr>
        <w:t xml:space="preserve"> </w:t>
      </w:r>
      <w:r w:rsidR="003F3120" w:rsidRPr="00F31DD1">
        <w:rPr>
          <w:color w:val="000000" w:themeColor="text1"/>
          <w:shd w:val="clear" w:color="auto" w:fill="FFFFFF"/>
          <w:lang w:val="en-US"/>
        </w:rPr>
        <w:t>(</w:t>
      </w:r>
      <w:r w:rsidR="00985F64" w:rsidRPr="00F31DD1">
        <w:rPr>
          <w:color w:val="000000" w:themeColor="text1"/>
          <w:lang w:val="en-US"/>
        </w:rPr>
        <w:t>Ham</w:t>
      </w:r>
      <w:r w:rsidR="003F3120" w:rsidRPr="00F31DD1">
        <w:rPr>
          <w:color w:val="000000" w:themeColor="text1"/>
          <w:lang w:val="en-US"/>
        </w:rPr>
        <w:t>m</w:t>
      </w:r>
      <w:r w:rsidR="00985F64" w:rsidRPr="00F31DD1">
        <w:rPr>
          <w:color w:val="000000" w:themeColor="text1"/>
          <w:lang w:val="en-US"/>
        </w:rPr>
        <w:t>ett</w:t>
      </w:r>
      <w:r w:rsidR="008E3601">
        <w:rPr>
          <w:color w:val="000000" w:themeColor="text1"/>
          <w:lang w:val="en-US"/>
        </w:rPr>
        <w:t>, Harrison, and King</w:t>
      </w:r>
      <w:r w:rsidR="00985F64" w:rsidRPr="00F31DD1">
        <w:rPr>
          <w:color w:val="000000" w:themeColor="text1"/>
          <w:lang w:val="en-US"/>
        </w:rPr>
        <w:t xml:space="preserve"> 2020: 250). </w:t>
      </w:r>
      <w:r w:rsidR="000B0F4B" w:rsidRPr="00F31DD1">
        <w:rPr>
          <w:color w:val="000000" w:themeColor="text1"/>
          <w:lang w:val="en-US"/>
        </w:rPr>
        <w:t>This was certainly the case in the present study</w:t>
      </w:r>
      <w:r w:rsidR="008E3601">
        <w:rPr>
          <w:color w:val="000000" w:themeColor="text1"/>
          <w:lang w:val="en-US"/>
        </w:rPr>
        <w:t>,</w:t>
      </w:r>
      <w:r w:rsidR="000B0F4B" w:rsidRPr="00F31DD1">
        <w:rPr>
          <w:color w:val="000000" w:themeColor="text1"/>
          <w:lang w:val="en-US"/>
        </w:rPr>
        <w:t xml:space="preserve"> which </w:t>
      </w:r>
      <w:r w:rsidR="00382849" w:rsidRPr="00F31DD1">
        <w:rPr>
          <w:color w:val="000000" w:themeColor="text1"/>
          <w:lang w:val="en-US"/>
        </w:rPr>
        <w:t xml:space="preserve">uncovered the </w:t>
      </w:r>
      <w:r w:rsidR="00ED1EFF" w:rsidRPr="00F31DD1">
        <w:rPr>
          <w:color w:val="000000" w:themeColor="text1"/>
          <w:lang w:val="en-US"/>
        </w:rPr>
        <w:t>agency and resistance shown by the convicted witches in their everyday lives and</w:t>
      </w:r>
      <w:r w:rsidR="00382849" w:rsidRPr="00F31DD1">
        <w:rPr>
          <w:color w:val="000000" w:themeColor="text1"/>
          <w:lang w:val="en-US"/>
        </w:rPr>
        <w:t xml:space="preserve"> in</w:t>
      </w:r>
      <w:r w:rsidR="00ED1EFF" w:rsidRPr="00F31DD1">
        <w:rPr>
          <w:color w:val="000000" w:themeColor="text1"/>
          <w:lang w:val="en-US"/>
        </w:rPr>
        <w:t xml:space="preserve"> response to witchcraft accusations laid against them</w:t>
      </w:r>
      <w:r w:rsidR="006D0BC8" w:rsidRPr="00F31DD1">
        <w:rPr>
          <w:color w:val="000000" w:themeColor="text1"/>
          <w:lang w:val="en-US"/>
        </w:rPr>
        <w:t>;</w:t>
      </w:r>
      <w:r w:rsidR="00382849" w:rsidRPr="00F31DD1">
        <w:rPr>
          <w:color w:val="000000" w:themeColor="text1"/>
          <w:lang w:val="en-US"/>
        </w:rPr>
        <w:t xml:space="preserve"> </w:t>
      </w:r>
      <w:r w:rsidR="006D0BC8" w:rsidRPr="00F31DD1">
        <w:rPr>
          <w:color w:val="000000" w:themeColor="text1"/>
          <w:lang w:val="en-US"/>
        </w:rPr>
        <w:t xml:space="preserve">an </w:t>
      </w:r>
      <w:r w:rsidR="00382849" w:rsidRPr="00F31DD1">
        <w:rPr>
          <w:color w:val="000000" w:themeColor="text1"/>
          <w:lang w:val="en-US"/>
        </w:rPr>
        <w:t>aspec</w:t>
      </w:r>
      <w:r w:rsidR="000B0F4B" w:rsidRPr="00F31DD1">
        <w:rPr>
          <w:color w:val="000000" w:themeColor="text1"/>
          <w:lang w:val="en-US"/>
        </w:rPr>
        <w:t>t</w:t>
      </w:r>
      <w:r w:rsidR="00382849" w:rsidRPr="00F31DD1">
        <w:rPr>
          <w:color w:val="000000" w:themeColor="text1"/>
          <w:lang w:val="en-US"/>
        </w:rPr>
        <w:t xml:space="preserve"> of the case</w:t>
      </w:r>
      <w:r w:rsidR="000B0F4B" w:rsidRPr="00F31DD1">
        <w:rPr>
          <w:color w:val="000000" w:themeColor="text1"/>
          <w:lang w:val="en-US"/>
        </w:rPr>
        <w:t xml:space="preserve"> </w:t>
      </w:r>
      <w:r w:rsidR="008E3601">
        <w:rPr>
          <w:color w:val="000000" w:themeColor="text1"/>
          <w:lang w:val="en-US"/>
        </w:rPr>
        <w:t>that</w:t>
      </w:r>
      <w:r w:rsidR="008E3601" w:rsidRPr="00F31DD1">
        <w:rPr>
          <w:color w:val="000000" w:themeColor="text1"/>
          <w:lang w:val="en-US"/>
        </w:rPr>
        <w:t xml:space="preserve"> </w:t>
      </w:r>
      <w:r w:rsidR="000B0F4B" w:rsidRPr="00F31DD1">
        <w:rPr>
          <w:color w:val="000000" w:themeColor="text1"/>
          <w:lang w:val="en-US"/>
        </w:rPr>
        <w:t xml:space="preserve">section </w:t>
      </w:r>
      <w:r w:rsidR="00673C82" w:rsidRPr="00F31DD1">
        <w:rPr>
          <w:color w:val="000000" w:themeColor="text1"/>
          <w:lang w:val="en-US"/>
        </w:rPr>
        <w:t>two</w:t>
      </w:r>
      <w:r w:rsidR="000B0F4B" w:rsidRPr="00F31DD1">
        <w:rPr>
          <w:color w:val="000000" w:themeColor="text1"/>
          <w:lang w:val="en-US"/>
        </w:rPr>
        <w:t xml:space="preserve"> will show was</w:t>
      </w:r>
      <w:r w:rsidR="00382849" w:rsidRPr="00F31DD1">
        <w:rPr>
          <w:color w:val="000000" w:themeColor="text1"/>
          <w:lang w:val="en-US"/>
        </w:rPr>
        <w:t xml:space="preserve"> </w:t>
      </w:r>
      <w:r w:rsidR="006D0BC8" w:rsidRPr="00F31DD1">
        <w:rPr>
          <w:color w:val="000000" w:themeColor="text1"/>
          <w:lang w:val="en-US"/>
        </w:rPr>
        <w:t xml:space="preserve">often </w:t>
      </w:r>
      <w:r w:rsidR="00382849" w:rsidRPr="00F31DD1">
        <w:rPr>
          <w:color w:val="000000" w:themeColor="text1"/>
          <w:lang w:val="en-US"/>
        </w:rPr>
        <w:t>glossed</w:t>
      </w:r>
      <w:r w:rsidR="008E3601">
        <w:rPr>
          <w:color w:val="000000" w:themeColor="text1"/>
          <w:lang w:val="en-US"/>
        </w:rPr>
        <w:t xml:space="preserve"> </w:t>
      </w:r>
      <w:r w:rsidR="00382849" w:rsidRPr="00F31DD1">
        <w:rPr>
          <w:color w:val="000000" w:themeColor="text1"/>
          <w:lang w:val="en-US"/>
        </w:rPr>
        <w:t xml:space="preserve">over in nineteenth and twentieth-century representations. </w:t>
      </w:r>
    </w:p>
    <w:p w14:paraId="47F1383E" w14:textId="24339FC1" w:rsidR="00857E8E" w:rsidRPr="00F31DD1" w:rsidRDefault="008E3601" w:rsidP="0058637A">
      <w:pPr>
        <w:spacing w:line="480" w:lineRule="auto"/>
        <w:rPr>
          <w:color w:val="000000" w:themeColor="text1"/>
          <w:lang w:val="en-US"/>
        </w:rPr>
      </w:pPr>
      <w:r>
        <w:rPr>
          <w:color w:val="000000" w:themeColor="text1"/>
          <w:lang w:val="en-US"/>
        </w:rPr>
        <w:tab/>
      </w:r>
      <w:r w:rsidR="00857E8E" w:rsidRPr="00F31DD1">
        <w:rPr>
          <w:color w:val="000000" w:themeColor="text1"/>
          <w:lang w:val="en-US"/>
        </w:rPr>
        <w:t xml:space="preserve">The </w:t>
      </w:r>
      <w:r w:rsidR="00282149">
        <w:rPr>
          <w:color w:val="000000" w:themeColor="text1"/>
          <w:lang w:val="en-US"/>
        </w:rPr>
        <w:t xml:space="preserve">book’s </w:t>
      </w:r>
      <w:r w:rsidR="00857E8E" w:rsidRPr="00F31DD1">
        <w:rPr>
          <w:color w:val="000000" w:themeColor="text1"/>
          <w:lang w:val="en-US"/>
        </w:rPr>
        <w:t xml:space="preserve">“close-up” shot of Irish witchcraft informed, and to </w:t>
      </w:r>
      <w:r w:rsidR="007776C4" w:rsidRPr="00F31DD1">
        <w:rPr>
          <w:color w:val="000000" w:themeColor="text1"/>
          <w:lang w:val="en-US"/>
        </w:rPr>
        <w:t xml:space="preserve">a </w:t>
      </w:r>
      <w:r w:rsidR="00857E8E" w:rsidRPr="00F31DD1">
        <w:rPr>
          <w:color w:val="000000" w:themeColor="text1"/>
          <w:lang w:val="en-US"/>
        </w:rPr>
        <w:t>certain extent problemati</w:t>
      </w:r>
      <w:r w:rsidR="007C56BB">
        <w:rPr>
          <w:color w:val="000000" w:themeColor="text1"/>
          <w:lang w:val="en-US"/>
        </w:rPr>
        <w:t>z</w:t>
      </w:r>
      <w:r w:rsidR="00857E8E" w:rsidRPr="00F31DD1">
        <w:rPr>
          <w:color w:val="000000" w:themeColor="text1"/>
          <w:lang w:val="en-US"/>
        </w:rPr>
        <w:t>ed</w:t>
      </w:r>
      <w:r w:rsidR="00282149">
        <w:rPr>
          <w:color w:val="000000" w:themeColor="text1"/>
          <w:lang w:val="en-US"/>
        </w:rPr>
        <w:t>,</w:t>
      </w:r>
      <w:r w:rsidR="00857E8E" w:rsidRPr="00F31DD1">
        <w:rPr>
          <w:color w:val="000000" w:themeColor="text1"/>
          <w:lang w:val="en-US"/>
        </w:rPr>
        <w:t xml:space="preserve"> recent “long-shot” examinations of Irish witchcraft at a national level among both the majority Roman Catholic, Gaelic-Irish population and minority Protestant, settler communities (Hutton 2011; Sneddon 2012). </w:t>
      </w:r>
      <w:r w:rsidR="0035246D" w:rsidRPr="00F31DD1">
        <w:rPr>
          <w:color w:val="000000" w:themeColor="text1"/>
          <w:lang w:val="en-US"/>
        </w:rPr>
        <w:t>It</w:t>
      </w:r>
      <w:r w:rsidR="00857E8E" w:rsidRPr="00F31DD1">
        <w:rPr>
          <w:color w:val="000000" w:themeColor="text1"/>
          <w:lang w:val="en-US"/>
        </w:rPr>
        <w:t xml:space="preserve"> revealed that there was at least one prosecution of a man for witchcraft in Ireland</w:t>
      </w:r>
      <w:r w:rsidR="00B2778C" w:rsidRPr="00F31DD1">
        <w:rPr>
          <w:color w:val="000000" w:themeColor="text1"/>
          <w:lang w:val="en-US"/>
        </w:rPr>
        <w:t xml:space="preserve">, and </w:t>
      </w:r>
      <w:r w:rsidR="00F93C75" w:rsidRPr="00F31DD1">
        <w:rPr>
          <w:color w:val="000000" w:themeColor="text1"/>
          <w:lang w:val="en-US"/>
        </w:rPr>
        <w:t>that witchcraft</w:t>
      </w:r>
      <w:r w:rsidR="00FE3F09" w:rsidRPr="00F31DD1">
        <w:rPr>
          <w:color w:val="000000" w:themeColor="text1"/>
          <w:lang w:val="en-US"/>
        </w:rPr>
        <w:t xml:space="preserve"> prosecution</w:t>
      </w:r>
      <w:r w:rsidR="00F93C75" w:rsidRPr="00F31DD1">
        <w:rPr>
          <w:color w:val="000000" w:themeColor="text1"/>
          <w:lang w:val="en-US"/>
        </w:rPr>
        <w:t xml:space="preserve"> </w:t>
      </w:r>
      <w:r w:rsidR="00FE3F09" w:rsidRPr="00F31DD1">
        <w:rPr>
          <w:color w:val="000000" w:themeColor="text1"/>
          <w:lang w:val="en-US"/>
        </w:rPr>
        <w:t xml:space="preserve">was often </w:t>
      </w:r>
      <w:r w:rsidR="00B2778C" w:rsidRPr="00F31DD1">
        <w:rPr>
          <w:color w:val="000000" w:themeColor="text1"/>
          <w:lang w:val="en-US"/>
        </w:rPr>
        <w:t>high</w:t>
      </w:r>
      <w:r w:rsidR="00F93C75" w:rsidRPr="00F31DD1">
        <w:rPr>
          <w:color w:val="000000" w:themeColor="text1"/>
          <w:lang w:val="en-US"/>
        </w:rPr>
        <w:t>ly</w:t>
      </w:r>
      <w:r w:rsidR="00B2778C" w:rsidRPr="00F31DD1">
        <w:rPr>
          <w:color w:val="000000" w:themeColor="text1"/>
          <w:lang w:val="en-US"/>
        </w:rPr>
        <w:t xml:space="preserve"> politici</w:t>
      </w:r>
      <w:r w:rsidR="00282149">
        <w:rPr>
          <w:color w:val="000000" w:themeColor="text1"/>
          <w:lang w:val="en-US"/>
        </w:rPr>
        <w:t>z</w:t>
      </w:r>
      <w:r w:rsidR="00B2778C" w:rsidRPr="00F31DD1">
        <w:rPr>
          <w:color w:val="000000" w:themeColor="text1"/>
          <w:lang w:val="en-US"/>
        </w:rPr>
        <w:t>ed</w:t>
      </w:r>
      <w:r w:rsidR="00F93C75" w:rsidRPr="00F31DD1">
        <w:rPr>
          <w:color w:val="000000" w:themeColor="text1"/>
          <w:lang w:val="en-US"/>
        </w:rPr>
        <w:t xml:space="preserve">. The </w:t>
      </w:r>
      <w:proofErr w:type="spellStart"/>
      <w:r w:rsidR="00F93C75" w:rsidRPr="00F31DD1">
        <w:rPr>
          <w:color w:val="000000" w:themeColor="text1"/>
          <w:lang w:val="en-US"/>
        </w:rPr>
        <w:t>Islan</w:t>
      </w:r>
      <w:r w:rsidR="00AE44E1" w:rsidRPr="00F31DD1">
        <w:rPr>
          <w:color w:val="000000" w:themeColor="text1"/>
          <w:lang w:val="en-US"/>
        </w:rPr>
        <w:t>d</w:t>
      </w:r>
      <w:r w:rsidR="00F93C75" w:rsidRPr="00F31DD1">
        <w:rPr>
          <w:color w:val="000000" w:themeColor="text1"/>
          <w:lang w:val="en-US"/>
        </w:rPr>
        <w:t>magee</w:t>
      </w:r>
      <w:proofErr w:type="spellEnd"/>
      <w:r w:rsidR="00F93C75" w:rsidRPr="00F31DD1">
        <w:rPr>
          <w:color w:val="000000" w:themeColor="text1"/>
          <w:lang w:val="en-US"/>
        </w:rPr>
        <w:t xml:space="preserve"> witch trial was </w:t>
      </w:r>
      <w:r w:rsidR="00B2778C" w:rsidRPr="00F31DD1">
        <w:rPr>
          <w:color w:val="000000" w:themeColor="text1"/>
          <w:lang w:val="en-US"/>
        </w:rPr>
        <w:t>used</w:t>
      </w:r>
      <w:r w:rsidR="00F93C75" w:rsidRPr="00F31DD1">
        <w:rPr>
          <w:color w:val="000000" w:themeColor="text1"/>
          <w:lang w:val="en-US"/>
        </w:rPr>
        <w:t xml:space="preserve"> </w:t>
      </w:r>
      <w:r w:rsidR="00B2778C" w:rsidRPr="00F31DD1">
        <w:rPr>
          <w:color w:val="000000" w:themeColor="text1"/>
          <w:lang w:val="en-US"/>
        </w:rPr>
        <w:t xml:space="preserve">as an oppositional tool in a period and a place, </w:t>
      </w:r>
      <w:r w:rsidR="00282149">
        <w:rPr>
          <w:color w:val="000000" w:themeColor="text1"/>
          <w:lang w:val="en-US"/>
        </w:rPr>
        <w:t>n</w:t>
      </w:r>
      <w:r w:rsidR="00B2778C" w:rsidRPr="00F31DD1">
        <w:rPr>
          <w:color w:val="000000" w:themeColor="text1"/>
          <w:lang w:val="en-US"/>
        </w:rPr>
        <w:t>orth</w:t>
      </w:r>
      <w:r w:rsidR="00282149">
        <w:rPr>
          <w:color w:val="000000" w:themeColor="text1"/>
          <w:lang w:val="en-US"/>
        </w:rPr>
        <w:t>e</w:t>
      </w:r>
      <w:r w:rsidR="00B2778C" w:rsidRPr="00F31DD1">
        <w:rPr>
          <w:color w:val="000000" w:themeColor="text1"/>
          <w:lang w:val="en-US"/>
        </w:rPr>
        <w:t>ast Antrim, of heightened political tensions between people affiliated to, or committed supporters of, the Whig and Tory parties</w:t>
      </w:r>
      <w:r w:rsidR="00F93C75" w:rsidRPr="00F31DD1">
        <w:rPr>
          <w:color w:val="000000" w:themeColor="text1"/>
          <w:lang w:val="en-US"/>
        </w:rPr>
        <w:t xml:space="preserve"> </w:t>
      </w:r>
      <w:r w:rsidR="00B2778C" w:rsidRPr="00F31DD1">
        <w:rPr>
          <w:color w:val="000000" w:themeColor="text1"/>
          <w:lang w:val="en-US"/>
        </w:rPr>
        <w:t>(Sneddon 2013: 153</w:t>
      </w:r>
      <w:r w:rsidR="00282149">
        <w:rPr>
          <w:color w:val="000000" w:themeColor="text1"/>
          <w:lang w:val="en-US"/>
        </w:rPr>
        <w:t>–</w:t>
      </w:r>
      <w:r w:rsidR="00B2778C" w:rsidRPr="00F31DD1">
        <w:rPr>
          <w:color w:val="000000" w:themeColor="text1"/>
          <w:lang w:val="en-US"/>
        </w:rPr>
        <w:t>71)</w:t>
      </w:r>
      <w:r w:rsidR="00AE44E1" w:rsidRPr="00F31DD1">
        <w:rPr>
          <w:color w:val="000000" w:themeColor="text1"/>
          <w:lang w:val="en-US"/>
        </w:rPr>
        <w:t xml:space="preserve">. </w:t>
      </w:r>
      <w:r w:rsidR="00175F9F" w:rsidRPr="00F31DD1">
        <w:rPr>
          <w:color w:val="000000" w:themeColor="text1"/>
          <w:lang w:val="en-US"/>
        </w:rPr>
        <w:t>This microhistory of the trial also</w:t>
      </w:r>
      <w:r w:rsidR="00AE44E1" w:rsidRPr="00F31DD1">
        <w:rPr>
          <w:color w:val="000000" w:themeColor="text1"/>
          <w:lang w:val="en-US"/>
        </w:rPr>
        <w:t xml:space="preserve"> linked the</w:t>
      </w:r>
      <w:r w:rsidR="00857E8E" w:rsidRPr="00F31DD1">
        <w:rPr>
          <w:color w:val="000000" w:themeColor="text1"/>
          <w:lang w:val="en-US"/>
        </w:rPr>
        <w:t xml:space="preserve"> symptoms of possession, behavior</w:t>
      </w:r>
      <w:r w:rsidR="00282149">
        <w:rPr>
          <w:color w:val="000000" w:themeColor="text1"/>
          <w:lang w:val="en-US"/>
        </w:rPr>
        <w:t>,</w:t>
      </w:r>
      <w:r w:rsidR="00857E8E" w:rsidRPr="00F31DD1">
        <w:rPr>
          <w:color w:val="000000" w:themeColor="text1"/>
          <w:lang w:val="en-US"/>
        </w:rPr>
        <w:t xml:space="preserve"> and motivations of the demoniac at the cent</w:t>
      </w:r>
      <w:r w:rsidR="00282149">
        <w:rPr>
          <w:color w:val="000000" w:themeColor="text1"/>
          <w:lang w:val="en-US"/>
        </w:rPr>
        <w:t>e</w:t>
      </w:r>
      <w:r w:rsidR="00857E8E" w:rsidRPr="00F31DD1">
        <w:rPr>
          <w:color w:val="000000" w:themeColor="text1"/>
          <w:lang w:val="en-US"/>
        </w:rPr>
        <w:t xml:space="preserve">r of the case, Mary Dunbar, </w:t>
      </w:r>
      <w:r w:rsidR="00AE44E1" w:rsidRPr="00F31DD1">
        <w:rPr>
          <w:color w:val="000000" w:themeColor="text1"/>
          <w:lang w:val="en-US"/>
        </w:rPr>
        <w:t>to witchcraft</w:t>
      </w:r>
      <w:r w:rsidR="00857E8E" w:rsidRPr="00F31DD1">
        <w:rPr>
          <w:color w:val="000000" w:themeColor="text1"/>
          <w:lang w:val="en-US"/>
        </w:rPr>
        <w:t>/demonic possession cases</w:t>
      </w:r>
      <w:r w:rsidR="00292983" w:rsidRPr="00F31DD1">
        <w:rPr>
          <w:color w:val="000000" w:themeColor="text1"/>
          <w:lang w:val="en-US"/>
        </w:rPr>
        <w:t xml:space="preserve"> in later sixteenth and seventeenth</w:t>
      </w:r>
      <w:r w:rsidR="00701B2F" w:rsidRPr="00F31DD1">
        <w:rPr>
          <w:color w:val="000000" w:themeColor="text1"/>
          <w:lang w:val="en-US"/>
        </w:rPr>
        <w:t>-</w:t>
      </w:r>
      <w:r w:rsidR="00292983" w:rsidRPr="00F31DD1">
        <w:rPr>
          <w:color w:val="000000" w:themeColor="text1"/>
          <w:lang w:val="en-US"/>
        </w:rPr>
        <w:t>centur</w:t>
      </w:r>
      <w:r w:rsidR="00701B2F" w:rsidRPr="00F31DD1">
        <w:rPr>
          <w:color w:val="000000" w:themeColor="text1"/>
          <w:lang w:val="en-US"/>
        </w:rPr>
        <w:t>y England</w:t>
      </w:r>
      <w:r w:rsidR="00292983" w:rsidRPr="00F31DD1">
        <w:rPr>
          <w:color w:val="000000" w:themeColor="text1"/>
          <w:lang w:val="en-US"/>
        </w:rPr>
        <w:t xml:space="preserve"> and </w:t>
      </w:r>
      <w:r w:rsidR="00701B2F" w:rsidRPr="00F31DD1">
        <w:rPr>
          <w:color w:val="000000" w:themeColor="text1"/>
          <w:lang w:val="en-US"/>
        </w:rPr>
        <w:t>in</w:t>
      </w:r>
      <w:r w:rsidR="00292983" w:rsidRPr="00F31DD1">
        <w:rPr>
          <w:color w:val="000000" w:themeColor="text1"/>
          <w:lang w:val="en-US"/>
        </w:rPr>
        <w:t xml:space="preserve"> </w:t>
      </w:r>
      <w:r w:rsidR="00701B2F" w:rsidRPr="00F31DD1">
        <w:rPr>
          <w:color w:val="000000" w:themeColor="text1"/>
          <w:lang w:val="en-US"/>
        </w:rPr>
        <w:t xml:space="preserve">later seventeenth and </w:t>
      </w:r>
      <w:r w:rsidR="007D4319" w:rsidRPr="00F31DD1">
        <w:rPr>
          <w:color w:val="000000" w:themeColor="text1"/>
          <w:lang w:val="en-US"/>
        </w:rPr>
        <w:t xml:space="preserve">early </w:t>
      </w:r>
      <w:r w:rsidR="00701B2F" w:rsidRPr="00F31DD1">
        <w:rPr>
          <w:color w:val="000000" w:themeColor="text1"/>
          <w:lang w:val="en-US"/>
        </w:rPr>
        <w:t>eighteenth-century</w:t>
      </w:r>
      <w:r w:rsidR="00AE44E1" w:rsidRPr="00F31DD1">
        <w:rPr>
          <w:color w:val="000000" w:themeColor="text1"/>
          <w:lang w:val="en-US"/>
        </w:rPr>
        <w:t xml:space="preserve"> Calvinist </w:t>
      </w:r>
      <w:r w:rsidR="00701B2F" w:rsidRPr="00F31DD1">
        <w:rPr>
          <w:color w:val="000000" w:themeColor="text1"/>
          <w:lang w:val="en-US"/>
        </w:rPr>
        <w:t>Scotland</w:t>
      </w:r>
      <w:r w:rsidR="00857E8E" w:rsidRPr="00F31DD1">
        <w:rPr>
          <w:color w:val="000000" w:themeColor="text1"/>
          <w:lang w:val="en-US"/>
        </w:rPr>
        <w:t>.</w:t>
      </w:r>
      <w:r w:rsidR="00820EB3" w:rsidRPr="00F31DD1">
        <w:rPr>
          <w:color w:val="000000" w:themeColor="text1"/>
          <w:lang w:val="en-US"/>
        </w:rPr>
        <w:t xml:space="preserve"> I</w:t>
      </w:r>
      <w:r w:rsidR="007D4319" w:rsidRPr="00F31DD1">
        <w:rPr>
          <w:color w:val="000000" w:themeColor="text1"/>
          <w:lang w:val="en-US"/>
        </w:rPr>
        <w:t xml:space="preserve">n common with </w:t>
      </w:r>
      <w:r w:rsidR="00820EB3" w:rsidRPr="00F31DD1">
        <w:rPr>
          <w:color w:val="000000" w:themeColor="text1"/>
          <w:lang w:val="en-US"/>
        </w:rPr>
        <w:t xml:space="preserve">many </w:t>
      </w:r>
      <w:r w:rsidR="007D4319" w:rsidRPr="00F31DD1">
        <w:rPr>
          <w:color w:val="000000" w:themeColor="text1"/>
          <w:lang w:val="en-US"/>
        </w:rPr>
        <w:t>demoniacs in these areas,</w:t>
      </w:r>
      <w:r w:rsidR="00820EB3" w:rsidRPr="00F31DD1">
        <w:rPr>
          <w:color w:val="000000" w:themeColor="text1"/>
          <w:lang w:val="en-US"/>
        </w:rPr>
        <w:t xml:space="preserve"> demonic possession allowed Dunbar</w:t>
      </w:r>
      <w:r w:rsidR="00857E8E" w:rsidRPr="00F31DD1">
        <w:rPr>
          <w:color w:val="000000" w:themeColor="text1"/>
          <w:lang w:val="en-US"/>
        </w:rPr>
        <w:t xml:space="preserve"> to </w:t>
      </w:r>
      <w:r w:rsidR="00F014E5" w:rsidRPr="00F31DD1">
        <w:rPr>
          <w:color w:val="000000" w:themeColor="text1"/>
          <w:lang w:val="en-US"/>
        </w:rPr>
        <w:t xml:space="preserve">challenge </w:t>
      </w:r>
      <w:r w:rsidR="00820EB3" w:rsidRPr="00F31DD1">
        <w:rPr>
          <w:color w:val="000000" w:themeColor="text1"/>
          <w:lang w:val="en-US"/>
        </w:rPr>
        <w:t xml:space="preserve">constraints on her behavior </w:t>
      </w:r>
      <w:r w:rsidR="001D7C6F" w:rsidRPr="00F31DD1">
        <w:rPr>
          <w:color w:val="000000" w:themeColor="text1"/>
          <w:lang w:val="en-US"/>
        </w:rPr>
        <w:t>without consequence</w:t>
      </w:r>
      <w:r w:rsidR="00BE7044" w:rsidRPr="00F31DD1">
        <w:rPr>
          <w:color w:val="000000" w:themeColor="text1"/>
          <w:lang w:val="en-US"/>
        </w:rPr>
        <w:t>:</w:t>
      </w:r>
      <w:r w:rsidR="001D7C6F" w:rsidRPr="00F31DD1">
        <w:rPr>
          <w:color w:val="000000" w:themeColor="text1"/>
          <w:lang w:val="en-US"/>
        </w:rPr>
        <w:t xml:space="preserve"> she was able</w:t>
      </w:r>
      <w:r w:rsidR="00F014E5" w:rsidRPr="00F31DD1">
        <w:rPr>
          <w:color w:val="000000" w:themeColor="text1"/>
          <w:lang w:val="en-US"/>
        </w:rPr>
        <w:t xml:space="preserve"> to endanger and verbally abuse </w:t>
      </w:r>
      <w:r w:rsidR="006B2950" w:rsidRPr="00F31DD1">
        <w:rPr>
          <w:color w:val="000000" w:themeColor="text1"/>
          <w:lang w:val="en-US"/>
        </w:rPr>
        <w:t>her elders with</w:t>
      </w:r>
      <w:r w:rsidR="00F014E5" w:rsidRPr="00F31DD1">
        <w:rPr>
          <w:color w:val="000000" w:themeColor="text1"/>
          <w:lang w:val="en-US"/>
        </w:rPr>
        <w:t>out</w:t>
      </w:r>
      <w:r w:rsidR="006B2950" w:rsidRPr="00F31DD1">
        <w:rPr>
          <w:color w:val="000000" w:themeColor="text1"/>
          <w:lang w:val="en-US"/>
        </w:rPr>
        <w:t xml:space="preserve"> fear of r</w:t>
      </w:r>
      <w:r w:rsidR="00701B2F" w:rsidRPr="00F31DD1">
        <w:rPr>
          <w:color w:val="000000" w:themeColor="text1"/>
          <w:lang w:val="en-US"/>
        </w:rPr>
        <w:t>etribution</w:t>
      </w:r>
      <w:r w:rsidR="00F014E5" w:rsidRPr="00F31DD1">
        <w:rPr>
          <w:color w:val="000000" w:themeColor="text1"/>
          <w:lang w:val="en-US"/>
        </w:rPr>
        <w:t xml:space="preserve"> and</w:t>
      </w:r>
      <w:r w:rsidR="00701B2F" w:rsidRPr="00F31DD1">
        <w:rPr>
          <w:color w:val="000000" w:themeColor="text1"/>
          <w:lang w:val="en-US"/>
        </w:rPr>
        <w:t xml:space="preserve"> to put herself </w:t>
      </w:r>
      <w:r w:rsidR="00F014E5" w:rsidRPr="00F31DD1">
        <w:rPr>
          <w:color w:val="000000" w:themeColor="text1"/>
          <w:lang w:val="en-US"/>
        </w:rPr>
        <w:t>in sexually comprising positions without damag</w:t>
      </w:r>
      <w:r w:rsidR="006A46BE" w:rsidRPr="00F31DD1">
        <w:rPr>
          <w:color w:val="000000" w:themeColor="text1"/>
          <w:lang w:val="en-US"/>
        </w:rPr>
        <w:t>ing</w:t>
      </w:r>
      <w:r w:rsidR="00F014E5" w:rsidRPr="00F31DD1">
        <w:rPr>
          <w:color w:val="000000" w:themeColor="text1"/>
          <w:lang w:val="en-US"/>
        </w:rPr>
        <w:t xml:space="preserve"> her reputation as </w:t>
      </w:r>
      <w:r w:rsidR="006A46BE" w:rsidRPr="00F31DD1">
        <w:rPr>
          <w:color w:val="000000" w:themeColor="text1"/>
          <w:lang w:val="en-US"/>
        </w:rPr>
        <w:t xml:space="preserve">a </w:t>
      </w:r>
      <w:r w:rsidR="00F014E5" w:rsidRPr="00F31DD1">
        <w:rPr>
          <w:color w:val="000000" w:themeColor="text1"/>
          <w:lang w:val="en-US"/>
        </w:rPr>
        <w:t xml:space="preserve">member of </w:t>
      </w:r>
      <w:r w:rsidR="006A46BE" w:rsidRPr="00F31DD1">
        <w:rPr>
          <w:color w:val="000000" w:themeColor="text1"/>
          <w:lang w:val="en-US"/>
        </w:rPr>
        <w:t>the lower gentry and part of a</w:t>
      </w:r>
      <w:r w:rsidR="00F014E5" w:rsidRPr="00F31DD1">
        <w:rPr>
          <w:color w:val="000000" w:themeColor="text1"/>
          <w:lang w:val="en-US"/>
        </w:rPr>
        <w:t xml:space="preserve"> respectable cler</w:t>
      </w:r>
      <w:r w:rsidR="006A46BE" w:rsidRPr="00F31DD1">
        <w:rPr>
          <w:color w:val="000000" w:themeColor="text1"/>
          <w:lang w:val="en-US"/>
        </w:rPr>
        <w:t>ical</w:t>
      </w:r>
      <w:r w:rsidR="00F014E5" w:rsidRPr="00F31DD1">
        <w:rPr>
          <w:color w:val="000000" w:themeColor="text1"/>
          <w:lang w:val="en-US"/>
        </w:rPr>
        <w:t xml:space="preserve"> family. </w:t>
      </w:r>
      <w:r w:rsidR="006A46BE" w:rsidRPr="00F31DD1">
        <w:rPr>
          <w:color w:val="000000" w:themeColor="text1"/>
          <w:lang w:val="en-US"/>
        </w:rPr>
        <w:t xml:space="preserve">In doing so, she became </w:t>
      </w:r>
      <w:r w:rsidR="00857E8E" w:rsidRPr="00F31DD1">
        <w:rPr>
          <w:color w:val="000000" w:themeColor="text1"/>
          <w:lang w:val="en-US"/>
        </w:rPr>
        <w:t xml:space="preserve">the chief performer </w:t>
      </w:r>
      <w:r w:rsidR="00175F9F" w:rsidRPr="00F31DD1">
        <w:rPr>
          <w:color w:val="000000" w:themeColor="text1"/>
          <w:lang w:val="en-US"/>
        </w:rPr>
        <w:t>in</w:t>
      </w:r>
      <w:r w:rsidR="00857E8E" w:rsidRPr="00F31DD1">
        <w:rPr>
          <w:color w:val="000000" w:themeColor="text1"/>
          <w:lang w:val="en-US"/>
        </w:rPr>
        <w:t xml:space="preserve"> a demonic drama of her own creation</w:t>
      </w:r>
      <w:r w:rsidR="00F014E5" w:rsidRPr="00F31DD1">
        <w:rPr>
          <w:color w:val="000000" w:themeColor="text1"/>
          <w:lang w:val="en-US"/>
        </w:rPr>
        <w:t xml:space="preserve">, </w:t>
      </w:r>
      <w:r w:rsidR="006A46BE" w:rsidRPr="00F31DD1">
        <w:rPr>
          <w:color w:val="000000" w:themeColor="text1"/>
          <w:lang w:val="en-US"/>
        </w:rPr>
        <w:t xml:space="preserve">which was </w:t>
      </w:r>
      <w:r w:rsidR="00857E8E" w:rsidRPr="00F31DD1">
        <w:rPr>
          <w:color w:val="000000" w:themeColor="text1"/>
          <w:lang w:val="en-US"/>
        </w:rPr>
        <w:t>based on a well</w:t>
      </w:r>
      <w:r w:rsidR="00282149">
        <w:rPr>
          <w:color w:val="000000" w:themeColor="text1"/>
          <w:lang w:val="en-US"/>
        </w:rPr>
        <w:t>-</w:t>
      </w:r>
      <w:r w:rsidR="00857E8E" w:rsidRPr="00F31DD1">
        <w:rPr>
          <w:color w:val="000000" w:themeColor="text1"/>
          <w:lang w:val="en-US"/>
        </w:rPr>
        <w:t xml:space="preserve">established cultural script of possession </w:t>
      </w:r>
      <w:r w:rsidR="006A46BE" w:rsidRPr="00F31DD1">
        <w:rPr>
          <w:color w:val="000000" w:themeColor="text1"/>
          <w:lang w:val="en-US"/>
        </w:rPr>
        <w:t>that</w:t>
      </w:r>
      <w:r w:rsidR="00857E8E" w:rsidRPr="00F31DD1">
        <w:rPr>
          <w:color w:val="000000" w:themeColor="text1"/>
          <w:lang w:val="en-US"/>
        </w:rPr>
        <w:t xml:space="preserve"> she augmented </w:t>
      </w:r>
      <w:r w:rsidR="006A46BE" w:rsidRPr="00F31DD1">
        <w:rPr>
          <w:color w:val="000000" w:themeColor="text1"/>
          <w:lang w:val="en-US"/>
        </w:rPr>
        <w:t xml:space="preserve">as she went along </w:t>
      </w:r>
      <w:r w:rsidR="00857E8E" w:rsidRPr="00F31DD1">
        <w:rPr>
          <w:color w:val="000000" w:themeColor="text1"/>
          <w:lang w:val="en-US"/>
        </w:rPr>
        <w:t xml:space="preserve">in </w:t>
      </w:r>
      <w:r w:rsidR="00857E8E" w:rsidRPr="00F31DD1">
        <w:rPr>
          <w:color w:val="000000" w:themeColor="text1"/>
          <w:lang w:val="en-US"/>
        </w:rPr>
        <w:lastRenderedPageBreak/>
        <w:t>reaction to an audience comprising members of local law enforcement, family members, and neighbors.</w:t>
      </w:r>
      <w:r w:rsidR="00857E8E" w:rsidRPr="00F31DD1">
        <w:rPr>
          <w:rStyle w:val="EndnoteReference"/>
          <w:color w:val="000000" w:themeColor="text1"/>
          <w:lang w:val="en-US"/>
        </w:rPr>
        <w:endnoteReference w:id="11"/>
      </w:r>
      <w:r w:rsidR="006B2950" w:rsidRPr="00F31DD1">
        <w:rPr>
          <w:color w:val="000000" w:themeColor="text1"/>
          <w:lang w:val="en-US"/>
        </w:rPr>
        <w:t xml:space="preserve"> </w:t>
      </w:r>
      <w:r w:rsidR="001D7C6F" w:rsidRPr="00F31DD1">
        <w:rPr>
          <w:color w:val="000000" w:themeColor="text1"/>
          <w:lang w:val="en-US"/>
        </w:rPr>
        <w:t>In stark contrast, the</w:t>
      </w:r>
      <w:r w:rsidR="006B2950" w:rsidRPr="00F31DD1">
        <w:rPr>
          <w:color w:val="000000" w:themeColor="text1"/>
          <w:lang w:val="en-US"/>
        </w:rPr>
        <w:t xml:space="preserve"> women Dunbar accused of orchestrating her possession </w:t>
      </w:r>
      <w:r w:rsidR="004F6780" w:rsidRPr="00F31DD1">
        <w:rPr>
          <w:color w:val="000000" w:themeColor="text1"/>
          <w:lang w:val="en-US"/>
        </w:rPr>
        <w:t>were</w:t>
      </w:r>
      <w:r w:rsidR="00175F9F" w:rsidRPr="00F31DD1">
        <w:rPr>
          <w:color w:val="000000" w:themeColor="text1"/>
          <w:lang w:val="en-US"/>
        </w:rPr>
        <w:t xml:space="preserve"> regarded as</w:t>
      </w:r>
      <w:r w:rsidR="00FB021A" w:rsidRPr="00F31DD1">
        <w:rPr>
          <w:color w:val="000000" w:themeColor="text1"/>
          <w:lang w:val="en-US"/>
        </w:rPr>
        <w:t xml:space="preserve"> “</w:t>
      </w:r>
      <w:r w:rsidR="00857E8E" w:rsidRPr="00F31DD1">
        <w:rPr>
          <w:color w:val="000000" w:themeColor="text1"/>
          <w:lang w:val="en-US"/>
        </w:rPr>
        <w:t>believable witches</w:t>
      </w:r>
      <w:r w:rsidR="00175F9F" w:rsidRPr="00F31DD1">
        <w:rPr>
          <w:color w:val="000000" w:themeColor="text1"/>
          <w:lang w:val="en-US"/>
        </w:rPr>
        <w:t>” and</w:t>
      </w:r>
      <w:r w:rsidR="00E400E1" w:rsidRPr="00F31DD1">
        <w:rPr>
          <w:color w:val="000000" w:themeColor="text1"/>
          <w:lang w:val="en-US"/>
        </w:rPr>
        <w:t xml:space="preserve"> threatening women</w:t>
      </w:r>
      <w:r w:rsidR="00FB021A" w:rsidRPr="00F31DD1">
        <w:rPr>
          <w:color w:val="000000" w:themeColor="text1"/>
          <w:lang w:val="en-US"/>
        </w:rPr>
        <w:t xml:space="preserve"> by their neighbors and clerical and legal authorities</w:t>
      </w:r>
      <w:r w:rsidR="00175F9F" w:rsidRPr="00F31DD1">
        <w:rPr>
          <w:color w:val="000000" w:themeColor="text1"/>
          <w:lang w:val="en-US"/>
        </w:rPr>
        <w:t xml:space="preserve"> </w:t>
      </w:r>
      <w:r w:rsidR="00E400E1" w:rsidRPr="00F31DD1">
        <w:rPr>
          <w:color w:val="000000" w:themeColor="text1"/>
          <w:lang w:val="en-US"/>
        </w:rPr>
        <w:t>because of their</w:t>
      </w:r>
      <w:r w:rsidR="00FB021A" w:rsidRPr="00F31DD1">
        <w:rPr>
          <w:color w:val="000000" w:themeColor="text1"/>
          <w:lang w:val="en-US"/>
        </w:rPr>
        <w:t xml:space="preserve"> agency, </w:t>
      </w:r>
      <w:r w:rsidR="00175F9F" w:rsidRPr="00F31DD1">
        <w:rPr>
          <w:color w:val="000000" w:themeColor="text1"/>
          <w:lang w:val="en-US"/>
        </w:rPr>
        <w:t xml:space="preserve">acts of </w:t>
      </w:r>
      <w:r w:rsidR="00FB021A" w:rsidRPr="00F31DD1">
        <w:rPr>
          <w:color w:val="000000" w:themeColor="text1"/>
          <w:lang w:val="en-US"/>
        </w:rPr>
        <w:t>resistance</w:t>
      </w:r>
      <w:r w:rsidR="004F6780" w:rsidRPr="00F31DD1">
        <w:rPr>
          <w:color w:val="000000" w:themeColor="text1"/>
          <w:lang w:val="en-US"/>
        </w:rPr>
        <w:t>,</w:t>
      </w:r>
      <w:r w:rsidR="00FB021A" w:rsidRPr="00F31DD1">
        <w:rPr>
          <w:color w:val="000000" w:themeColor="text1"/>
          <w:lang w:val="en-US"/>
        </w:rPr>
        <w:t xml:space="preserve"> and </w:t>
      </w:r>
      <w:r w:rsidR="00175F9F" w:rsidRPr="00F31DD1">
        <w:rPr>
          <w:color w:val="000000" w:themeColor="text1"/>
          <w:lang w:val="en-US"/>
        </w:rPr>
        <w:t xml:space="preserve">general </w:t>
      </w:r>
      <w:r w:rsidR="00FB021A" w:rsidRPr="00F31DD1">
        <w:rPr>
          <w:color w:val="000000" w:themeColor="text1"/>
          <w:lang w:val="en-US"/>
        </w:rPr>
        <w:t xml:space="preserve">failure to meet </w:t>
      </w:r>
      <w:r w:rsidR="00857E8E" w:rsidRPr="00F31DD1">
        <w:rPr>
          <w:color w:val="000000" w:themeColor="text1"/>
          <w:lang w:val="en-US"/>
        </w:rPr>
        <w:t>patriarchal standards of womanhood.</w:t>
      </w:r>
      <w:r w:rsidR="00C22EE5" w:rsidRPr="00F31DD1">
        <w:rPr>
          <w:color w:val="000000" w:themeColor="text1"/>
          <w:lang w:val="en-US"/>
        </w:rPr>
        <w:t xml:space="preserve"> </w:t>
      </w:r>
      <w:r w:rsidR="00857E8E" w:rsidRPr="00F31DD1">
        <w:rPr>
          <w:color w:val="000000" w:themeColor="text1"/>
          <w:lang w:val="en-US"/>
        </w:rPr>
        <w:t xml:space="preserve">Their </w:t>
      </w:r>
      <w:r w:rsidR="00871746" w:rsidRPr="00F31DD1">
        <w:rPr>
          <w:color w:val="000000" w:themeColor="text1"/>
          <w:lang w:val="en-US"/>
        </w:rPr>
        <w:t xml:space="preserve">poverty, </w:t>
      </w:r>
      <w:r w:rsidR="00857E8E" w:rsidRPr="00F31DD1">
        <w:rPr>
          <w:color w:val="000000" w:themeColor="text1"/>
          <w:lang w:val="en-US"/>
        </w:rPr>
        <w:t>physical appearance, behavior</w:t>
      </w:r>
      <w:r w:rsidR="00253CD5">
        <w:rPr>
          <w:color w:val="000000" w:themeColor="text1"/>
          <w:lang w:val="en-US"/>
        </w:rPr>
        <w:t>,</w:t>
      </w:r>
      <w:r w:rsidR="00857E8E" w:rsidRPr="00F31DD1">
        <w:rPr>
          <w:color w:val="000000" w:themeColor="text1"/>
          <w:lang w:val="en-US"/>
        </w:rPr>
        <w:t xml:space="preserve"> and bad reputations set them apart from their neighbors in </w:t>
      </w:r>
      <w:proofErr w:type="spellStart"/>
      <w:r w:rsidR="00857E8E" w:rsidRPr="00F31DD1">
        <w:rPr>
          <w:color w:val="000000" w:themeColor="text1"/>
          <w:lang w:val="en-US"/>
        </w:rPr>
        <w:t>Islandmagee</w:t>
      </w:r>
      <w:proofErr w:type="spellEnd"/>
      <w:r w:rsidR="00857E8E" w:rsidRPr="00F31DD1">
        <w:rPr>
          <w:color w:val="000000" w:themeColor="text1"/>
          <w:lang w:val="en-US"/>
        </w:rPr>
        <w:t xml:space="preserve"> and surrounding towns and villages and made them the type of women thought likely to be in the devil’s service: they were variously physically impaired or facially scarred by burns or small-pox marks; they were poor and dressed shabbily;</w:t>
      </w:r>
      <w:r w:rsidR="00FB021A" w:rsidRPr="00F31DD1">
        <w:rPr>
          <w:color w:val="000000" w:themeColor="text1"/>
          <w:lang w:val="en-US"/>
        </w:rPr>
        <w:t xml:space="preserve"> </w:t>
      </w:r>
      <w:r w:rsidR="00857E8E" w:rsidRPr="00F31DD1">
        <w:rPr>
          <w:color w:val="000000" w:themeColor="text1"/>
          <w:lang w:val="en-US"/>
        </w:rPr>
        <w:t>they smoked tobacco and drank strong alcohol; and some had reputations for unneighborly conduct.</w:t>
      </w:r>
      <w:r w:rsidR="00E400E1" w:rsidRPr="00F31DD1">
        <w:rPr>
          <w:color w:val="000000" w:themeColor="text1"/>
          <w:lang w:val="en-US"/>
        </w:rPr>
        <w:t xml:space="preserve"> </w:t>
      </w:r>
      <w:r w:rsidR="004F6780" w:rsidRPr="00F31DD1">
        <w:rPr>
          <w:color w:val="000000" w:themeColor="text1"/>
          <w:lang w:val="en-US"/>
        </w:rPr>
        <w:t>Some of them</w:t>
      </w:r>
      <w:r w:rsidR="00175F9F" w:rsidRPr="00F31DD1">
        <w:rPr>
          <w:color w:val="000000" w:themeColor="text1"/>
          <w:lang w:val="en-US"/>
        </w:rPr>
        <w:t xml:space="preserve"> also</w:t>
      </w:r>
      <w:r w:rsidR="004F6780" w:rsidRPr="00F31DD1">
        <w:rPr>
          <w:color w:val="000000" w:themeColor="text1"/>
          <w:lang w:val="en-US"/>
        </w:rPr>
        <w:t xml:space="preserve"> </w:t>
      </w:r>
      <w:r w:rsidR="00FB021A" w:rsidRPr="00F31DD1">
        <w:rPr>
          <w:color w:val="000000" w:themeColor="text1"/>
          <w:lang w:val="en-US"/>
        </w:rPr>
        <w:t>resisted arrest</w:t>
      </w:r>
      <w:r w:rsidR="004F6780" w:rsidRPr="00F31DD1">
        <w:rPr>
          <w:color w:val="000000" w:themeColor="text1"/>
          <w:lang w:val="en-US"/>
        </w:rPr>
        <w:t xml:space="preserve"> or refused to</w:t>
      </w:r>
      <w:r w:rsidR="00175F9F" w:rsidRPr="00F31DD1">
        <w:rPr>
          <w:color w:val="000000" w:themeColor="text1"/>
          <w:lang w:val="en-US"/>
        </w:rPr>
        <w:t xml:space="preserve"> </w:t>
      </w:r>
      <w:r w:rsidR="00FB021A" w:rsidRPr="00F31DD1">
        <w:rPr>
          <w:color w:val="000000" w:themeColor="text1"/>
          <w:lang w:val="en-US"/>
        </w:rPr>
        <w:t xml:space="preserve">co-operate with investigating constables and </w:t>
      </w:r>
      <w:r w:rsidR="00175F9F" w:rsidRPr="00F31DD1">
        <w:rPr>
          <w:color w:val="000000" w:themeColor="text1"/>
          <w:lang w:val="en-US"/>
        </w:rPr>
        <w:t>the clergy and magistrates</w:t>
      </w:r>
      <w:r w:rsidR="00FB021A" w:rsidRPr="00F31DD1">
        <w:rPr>
          <w:color w:val="000000" w:themeColor="text1"/>
          <w:lang w:val="en-US"/>
        </w:rPr>
        <w:t xml:space="preserve"> who interrogated them</w:t>
      </w:r>
      <w:r w:rsidR="00175F9F" w:rsidRPr="00F31DD1">
        <w:rPr>
          <w:color w:val="000000" w:themeColor="text1"/>
          <w:lang w:val="en-US"/>
        </w:rPr>
        <w:t>. Furthermore,</w:t>
      </w:r>
      <w:r w:rsidR="004F6780" w:rsidRPr="00F31DD1">
        <w:rPr>
          <w:color w:val="000000" w:themeColor="text1"/>
          <w:lang w:val="en-US"/>
        </w:rPr>
        <w:t xml:space="preserve"> all of the</w:t>
      </w:r>
      <w:r w:rsidR="00175F9F" w:rsidRPr="00F31DD1">
        <w:rPr>
          <w:color w:val="000000" w:themeColor="text1"/>
          <w:lang w:val="en-US"/>
        </w:rPr>
        <w:t xml:space="preserve"> women</w:t>
      </w:r>
      <w:r w:rsidR="004F6780" w:rsidRPr="00F31DD1">
        <w:rPr>
          <w:color w:val="000000" w:themeColor="text1"/>
          <w:lang w:val="en-US"/>
        </w:rPr>
        <w:t xml:space="preserve"> plead </w:t>
      </w:r>
      <w:r w:rsidR="00871746" w:rsidRPr="00F31DD1">
        <w:rPr>
          <w:color w:val="000000" w:themeColor="text1"/>
          <w:lang w:val="en-US"/>
        </w:rPr>
        <w:t>no</w:t>
      </w:r>
      <w:r w:rsidR="004F6780" w:rsidRPr="00F31DD1">
        <w:rPr>
          <w:color w:val="000000" w:themeColor="text1"/>
          <w:lang w:val="en-US"/>
        </w:rPr>
        <w:t xml:space="preserve">t </w:t>
      </w:r>
      <w:r w:rsidR="00871746" w:rsidRPr="00F31DD1">
        <w:rPr>
          <w:color w:val="000000" w:themeColor="text1"/>
          <w:lang w:val="en-US"/>
        </w:rPr>
        <w:t>guilty on the day of the trial in a courtroom packed with local elites</w:t>
      </w:r>
      <w:r w:rsidR="00175F9F" w:rsidRPr="00F31DD1">
        <w:rPr>
          <w:color w:val="000000" w:themeColor="text1"/>
          <w:lang w:val="en-US"/>
        </w:rPr>
        <w:t xml:space="preserve"> convinced of their guilt</w:t>
      </w:r>
      <w:r w:rsidR="00871746" w:rsidRPr="00F31DD1">
        <w:rPr>
          <w:color w:val="000000" w:themeColor="text1"/>
          <w:lang w:val="en-US"/>
        </w:rPr>
        <w:t>, including their ministers and lan</w:t>
      </w:r>
      <w:r w:rsidR="004A584D" w:rsidRPr="00F31DD1">
        <w:rPr>
          <w:color w:val="000000" w:themeColor="text1"/>
          <w:lang w:val="en-US"/>
        </w:rPr>
        <w:t>d</w:t>
      </w:r>
      <w:r w:rsidR="00871746" w:rsidRPr="00F31DD1">
        <w:rPr>
          <w:color w:val="000000" w:themeColor="text1"/>
          <w:lang w:val="en-US"/>
        </w:rPr>
        <w:t>lords.</w:t>
      </w:r>
      <w:r w:rsidR="004A584D" w:rsidRPr="00F31DD1">
        <w:rPr>
          <w:color w:val="000000" w:themeColor="text1"/>
          <w:lang w:val="en-US"/>
        </w:rPr>
        <w:t xml:space="preserve"> </w:t>
      </w:r>
      <w:r w:rsidR="00857E8E" w:rsidRPr="00F31DD1">
        <w:rPr>
          <w:color w:val="000000" w:themeColor="text1"/>
          <w:lang w:val="en-US"/>
        </w:rPr>
        <w:t xml:space="preserve">William </w:t>
      </w:r>
      <w:proofErr w:type="spellStart"/>
      <w:r w:rsidR="00857E8E" w:rsidRPr="00F31DD1">
        <w:rPr>
          <w:color w:val="000000" w:themeColor="text1"/>
          <w:lang w:val="en-US"/>
        </w:rPr>
        <w:t>Sellor</w:t>
      </w:r>
      <w:proofErr w:type="spellEnd"/>
      <w:r w:rsidR="00857E8E" w:rsidRPr="00F31DD1">
        <w:rPr>
          <w:color w:val="000000" w:themeColor="text1"/>
          <w:lang w:val="en-US"/>
        </w:rPr>
        <w:t xml:space="preserve"> </w:t>
      </w:r>
      <w:r w:rsidR="004A584D" w:rsidRPr="00F31DD1">
        <w:rPr>
          <w:color w:val="000000" w:themeColor="text1"/>
          <w:lang w:val="en-US"/>
        </w:rPr>
        <w:t xml:space="preserve">also </w:t>
      </w:r>
      <w:r w:rsidR="00857E8E" w:rsidRPr="00F31DD1">
        <w:rPr>
          <w:color w:val="000000" w:themeColor="text1"/>
          <w:lang w:val="en-US"/>
        </w:rPr>
        <w:t>fell considerably short of the patriarchal ideal of a good husband, father</w:t>
      </w:r>
      <w:r w:rsidR="00253CD5">
        <w:rPr>
          <w:color w:val="000000" w:themeColor="text1"/>
          <w:lang w:val="en-US"/>
        </w:rPr>
        <w:t>,</w:t>
      </w:r>
      <w:r w:rsidR="00857E8E" w:rsidRPr="00F31DD1">
        <w:rPr>
          <w:color w:val="000000" w:themeColor="text1"/>
          <w:lang w:val="en-US"/>
        </w:rPr>
        <w:t xml:space="preserve"> or upstanding male member of a godly community: rather than being in control of his own body, he drank alcohol to excess; he resisted authority by trying to abscond when he was about to be arrested; and rather than controlling the family he headed, he had allowed his daughter and wife to be ensnared by the devil.</w:t>
      </w:r>
      <w:r w:rsidR="00857E8E" w:rsidRPr="00F31DD1">
        <w:rPr>
          <w:rStyle w:val="EndnoteReference"/>
          <w:color w:val="000000" w:themeColor="text1"/>
          <w:lang w:val="en-US"/>
        </w:rPr>
        <w:endnoteReference w:id="12"/>
      </w:r>
      <w:r w:rsidR="00857E8E" w:rsidRPr="00F31DD1">
        <w:rPr>
          <w:color w:val="000000" w:themeColor="text1"/>
          <w:lang w:val="en-US"/>
        </w:rPr>
        <w:t xml:space="preserve"> </w:t>
      </w:r>
    </w:p>
    <w:p w14:paraId="60CBEA86" w14:textId="77777777" w:rsidR="00857E8E" w:rsidRPr="00F31DD1" w:rsidRDefault="00857E8E" w:rsidP="0058637A">
      <w:pPr>
        <w:spacing w:line="480" w:lineRule="auto"/>
        <w:rPr>
          <w:color w:val="000000" w:themeColor="text1"/>
          <w:lang w:val="en-US"/>
        </w:rPr>
      </w:pPr>
    </w:p>
    <w:p w14:paraId="526FD08F" w14:textId="7AA9164B" w:rsidR="00857E8E" w:rsidRPr="00AD5889" w:rsidRDefault="00253CD5" w:rsidP="0058637A">
      <w:pPr>
        <w:spacing w:line="480" w:lineRule="auto"/>
        <w:rPr>
          <w:color w:val="000000" w:themeColor="text1"/>
          <w:lang w:val="en-US"/>
        </w:rPr>
      </w:pPr>
      <w:r>
        <w:rPr>
          <w:color w:val="000000" w:themeColor="text1"/>
          <w:lang w:val="en-US"/>
        </w:rPr>
        <w:t>&lt;1&gt;</w:t>
      </w:r>
      <w:r w:rsidR="00857E8E" w:rsidRPr="00AD5889">
        <w:rPr>
          <w:color w:val="000000" w:themeColor="text1"/>
          <w:lang w:val="en-US"/>
        </w:rPr>
        <w:t xml:space="preserve">Remembering and Representing the </w:t>
      </w:r>
      <w:proofErr w:type="spellStart"/>
      <w:r w:rsidR="00857E8E" w:rsidRPr="00AD5889">
        <w:rPr>
          <w:color w:val="000000" w:themeColor="text1"/>
          <w:lang w:val="en-US"/>
        </w:rPr>
        <w:t>Islandmagee</w:t>
      </w:r>
      <w:proofErr w:type="spellEnd"/>
      <w:r w:rsidR="00857E8E" w:rsidRPr="00AD5889">
        <w:rPr>
          <w:color w:val="000000" w:themeColor="text1"/>
          <w:lang w:val="en-US"/>
        </w:rPr>
        <w:t xml:space="preserve"> Witches</w:t>
      </w:r>
    </w:p>
    <w:p w14:paraId="70224BC5" w14:textId="6C35D64E" w:rsidR="00C35984" w:rsidRPr="00F31DD1" w:rsidRDefault="00857E8E" w:rsidP="0058637A">
      <w:pPr>
        <w:spacing w:line="480" w:lineRule="auto"/>
        <w:rPr>
          <w:color w:val="000000" w:themeColor="text1"/>
          <w:lang w:val="en-US"/>
        </w:rPr>
      </w:pPr>
      <w:r w:rsidRPr="00F31DD1">
        <w:rPr>
          <w:color w:val="000000" w:themeColor="text1"/>
          <w:lang w:val="en-US"/>
        </w:rPr>
        <w:t>The second phase of the project examined how historic witch trials were remembered and represented in nineteenth</w:t>
      </w:r>
      <w:r w:rsidR="00253CD5">
        <w:rPr>
          <w:color w:val="000000" w:themeColor="text1"/>
          <w:lang w:val="en-US"/>
        </w:rPr>
        <w:t>-</w:t>
      </w:r>
      <w:r w:rsidRPr="00F31DD1">
        <w:rPr>
          <w:color w:val="000000" w:themeColor="text1"/>
          <w:lang w:val="en-US"/>
        </w:rPr>
        <w:t xml:space="preserve"> and twentieth-century Ireland</w:t>
      </w:r>
      <w:r w:rsidR="00A56D10" w:rsidRPr="00F31DD1">
        <w:rPr>
          <w:color w:val="000000" w:themeColor="text1"/>
          <w:lang w:val="en-US"/>
        </w:rPr>
        <w:t xml:space="preserve"> </w:t>
      </w:r>
      <w:r w:rsidRPr="00F31DD1">
        <w:rPr>
          <w:color w:val="000000" w:themeColor="text1"/>
          <w:lang w:val="en-US"/>
        </w:rPr>
        <w:t xml:space="preserve">through a </w:t>
      </w:r>
      <w:r w:rsidR="0021423F" w:rsidRPr="00F31DD1">
        <w:rPr>
          <w:color w:val="000000" w:themeColor="text1"/>
          <w:lang w:val="en-US"/>
        </w:rPr>
        <w:t>microhistory</w:t>
      </w:r>
      <w:r w:rsidRPr="00F31DD1">
        <w:rPr>
          <w:color w:val="000000" w:themeColor="text1"/>
          <w:lang w:val="en-US"/>
        </w:rPr>
        <w:t xml:space="preserve"> of the </w:t>
      </w:r>
      <w:r w:rsidR="00E140AF" w:rsidRPr="00F31DD1">
        <w:rPr>
          <w:color w:val="000000" w:themeColor="text1"/>
          <w:lang w:val="en-US"/>
        </w:rPr>
        <w:t xml:space="preserve">trial of the </w:t>
      </w:r>
      <w:proofErr w:type="spellStart"/>
      <w:r w:rsidRPr="00F31DD1">
        <w:rPr>
          <w:color w:val="000000" w:themeColor="text1"/>
          <w:lang w:val="en-US"/>
        </w:rPr>
        <w:t>Islandmagee</w:t>
      </w:r>
      <w:proofErr w:type="spellEnd"/>
      <w:r w:rsidRPr="00F31DD1">
        <w:rPr>
          <w:color w:val="000000" w:themeColor="text1"/>
          <w:lang w:val="en-US"/>
        </w:rPr>
        <w:t xml:space="preserve"> witches. </w:t>
      </w:r>
      <w:r w:rsidR="00966E81" w:rsidRPr="00F31DD1">
        <w:rPr>
          <w:color w:val="000000" w:themeColor="text1"/>
          <w:lang w:val="en-US"/>
        </w:rPr>
        <w:t xml:space="preserve">This </w:t>
      </w:r>
      <w:r w:rsidR="00E140AF" w:rsidRPr="00F31DD1">
        <w:rPr>
          <w:color w:val="000000" w:themeColor="text1"/>
          <w:lang w:val="en-US"/>
        </w:rPr>
        <w:t>part of the project was</w:t>
      </w:r>
      <w:r w:rsidR="00966E81" w:rsidRPr="00F31DD1">
        <w:rPr>
          <w:color w:val="000000" w:themeColor="text1"/>
          <w:lang w:val="en-US"/>
        </w:rPr>
        <w:t xml:space="preserve"> conducted </w:t>
      </w:r>
      <w:r w:rsidR="0085214B" w:rsidRPr="00F31DD1">
        <w:rPr>
          <w:color w:val="000000" w:themeColor="text1"/>
          <w:lang w:val="en-US"/>
        </w:rPr>
        <w:t>in the</w:t>
      </w:r>
      <w:r w:rsidR="00E140AF" w:rsidRPr="00F31DD1">
        <w:rPr>
          <w:color w:val="000000" w:themeColor="text1"/>
          <w:lang w:val="en-US"/>
        </w:rPr>
        <w:t xml:space="preserve"> </w:t>
      </w:r>
      <w:r w:rsidR="00C35984" w:rsidRPr="00F31DD1">
        <w:rPr>
          <w:color w:val="000000" w:themeColor="text1"/>
          <w:lang w:val="en-US"/>
        </w:rPr>
        <w:t xml:space="preserve">context of </w:t>
      </w:r>
      <w:r w:rsidR="00E140AF" w:rsidRPr="00F31DD1">
        <w:rPr>
          <w:color w:val="000000" w:themeColor="text1"/>
          <w:lang w:val="en-US"/>
        </w:rPr>
        <w:t xml:space="preserve">recent </w:t>
      </w:r>
      <w:r w:rsidR="0085214B" w:rsidRPr="00F31DD1">
        <w:rPr>
          <w:color w:val="000000" w:themeColor="text1"/>
          <w:lang w:val="en-US"/>
        </w:rPr>
        <w:t xml:space="preserve">research </w:t>
      </w:r>
      <w:r w:rsidR="00E140AF" w:rsidRPr="00F31DD1">
        <w:rPr>
          <w:color w:val="000000" w:themeColor="text1"/>
          <w:lang w:val="en-US"/>
        </w:rPr>
        <w:t>that</w:t>
      </w:r>
      <w:r w:rsidR="00C35984" w:rsidRPr="00F31DD1">
        <w:rPr>
          <w:color w:val="000000" w:themeColor="text1"/>
          <w:lang w:val="en-US"/>
        </w:rPr>
        <w:t xml:space="preserve"> </w:t>
      </w:r>
      <w:r w:rsidR="0085214B" w:rsidRPr="00F31DD1">
        <w:rPr>
          <w:color w:val="000000" w:themeColor="text1"/>
          <w:lang w:val="en-US"/>
        </w:rPr>
        <w:t>demonstrated</w:t>
      </w:r>
      <w:r w:rsidR="00C35984" w:rsidRPr="00F31DD1">
        <w:rPr>
          <w:color w:val="000000" w:themeColor="text1"/>
          <w:lang w:val="en-US"/>
        </w:rPr>
        <w:t xml:space="preserve"> belief in witchcraft continued in Ireland at a popular level, all over the country, in both Catholic and Protestant communities, up until at least the twentieth </w:t>
      </w:r>
      <w:r w:rsidR="00C35984" w:rsidRPr="00F31DD1">
        <w:rPr>
          <w:color w:val="000000" w:themeColor="text1"/>
          <w:lang w:val="en-US"/>
        </w:rPr>
        <w:lastRenderedPageBreak/>
        <w:t xml:space="preserve">century. </w:t>
      </w:r>
      <w:r w:rsidR="00E140AF" w:rsidRPr="00F31DD1">
        <w:rPr>
          <w:color w:val="000000" w:themeColor="text1"/>
          <w:lang w:val="en-US"/>
        </w:rPr>
        <w:t xml:space="preserve">Furthermore, </w:t>
      </w:r>
      <w:r w:rsidR="00C35984" w:rsidRPr="00F31DD1">
        <w:rPr>
          <w:color w:val="000000" w:themeColor="text1"/>
          <w:lang w:val="en-US"/>
        </w:rPr>
        <w:t>this belief represented an amalgam of older Gaelic-Irish witchcraft notions and the newer malefic, demonic witchcraft of Protestant settlers. By the nineteenth century, the two traditions merged together in the popular culture of the working classes, and although not particularly demonic, the witch figure had become much more threatening to humans, livestock</w:t>
      </w:r>
      <w:r w:rsidR="00253CD5">
        <w:rPr>
          <w:color w:val="000000" w:themeColor="text1"/>
          <w:lang w:val="en-US"/>
        </w:rPr>
        <w:t>,</w:t>
      </w:r>
      <w:r w:rsidR="00C35984" w:rsidRPr="00F31DD1">
        <w:rPr>
          <w:color w:val="000000" w:themeColor="text1"/>
          <w:lang w:val="en-US"/>
        </w:rPr>
        <w:t xml:space="preserve"> and agricultural produce than in the early modern period</w:t>
      </w:r>
      <w:r w:rsidR="00CA5D6D" w:rsidRPr="00F31DD1">
        <w:rPr>
          <w:color w:val="000000" w:themeColor="text1"/>
          <w:lang w:val="en-US"/>
        </w:rPr>
        <w:t xml:space="preserve"> </w:t>
      </w:r>
      <w:r w:rsidR="00C35984" w:rsidRPr="00F31DD1">
        <w:rPr>
          <w:color w:val="000000" w:themeColor="text1"/>
          <w:lang w:val="en-US"/>
        </w:rPr>
        <w:t>(Sneddon 2015: 94</w:t>
      </w:r>
      <w:r w:rsidR="00253CD5">
        <w:rPr>
          <w:color w:val="000000" w:themeColor="text1"/>
          <w:lang w:val="en-US"/>
        </w:rPr>
        <w:t>–</w:t>
      </w:r>
      <w:r w:rsidR="00C35984" w:rsidRPr="00F31DD1">
        <w:rPr>
          <w:color w:val="000000" w:themeColor="text1"/>
          <w:lang w:val="en-US"/>
        </w:rPr>
        <w:t>123).</w:t>
      </w:r>
      <w:r w:rsidR="0085214B" w:rsidRPr="00F31DD1">
        <w:rPr>
          <w:color w:val="000000" w:themeColor="text1"/>
          <w:lang w:val="en-US"/>
        </w:rPr>
        <w:t xml:space="preserve"> </w:t>
      </w:r>
      <w:r w:rsidR="00BE090E" w:rsidRPr="00F31DD1">
        <w:rPr>
          <w:color w:val="000000" w:themeColor="text1"/>
          <w:lang w:val="en-US"/>
        </w:rPr>
        <w:t>It</w:t>
      </w:r>
      <w:r w:rsidR="0085214B" w:rsidRPr="00F31DD1">
        <w:rPr>
          <w:color w:val="000000" w:themeColor="text1"/>
          <w:lang w:val="en-US"/>
        </w:rPr>
        <w:t xml:space="preserve"> formed part of </w:t>
      </w:r>
      <w:r w:rsidR="00253CD5">
        <w:rPr>
          <w:color w:val="000000" w:themeColor="text1"/>
          <w:lang w:val="en-US"/>
        </w:rPr>
        <w:t xml:space="preserve">a </w:t>
      </w:r>
      <w:r w:rsidR="0085214B" w:rsidRPr="00F31DD1">
        <w:rPr>
          <w:color w:val="000000" w:themeColor="text1"/>
          <w:lang w:val="en-US"/>
        </w:rPr>
        <w:t>growing historiography that challenged</w:t>
      </w:r>
      <w:r w:rsidR="00CA5D6D" w:rsidRPr="00F31DD1">
        <w:rPr>
          <w:color w:val="000000" w:themeColor="text1"/>
          <w:lang w:val="en-US"/>
        </w:rPr>
        <w:t xml:space="preserve"> the orthodoxy of a disenchanted modernity in Britain, continental Europe</w:t>
      </w:r>
      <w:r w:rsidR="00253CD5">
        <w:rPr>
          <w:color w:val="000000" w:themeColor="text1"/>
          <w:lang w:val="en-US"/>
        </w:rPr>
        <w:t>,</w:t>
      </w:r>
      <w:r w:rsidR="00CA5D6D" w:rsidRPr="00F31DD1">
        <w:rPr>
          <w:color w:val="000000" w:themeColor="text1"/>
          <w:lang w:val="en-US"/>
        </w:rPr>
        <w:t xml:space="preserve"> and North America by tracing the contours of continued belief among ordinary people, uncovering and analy</w:t>
      </w:r>
      <w:r w:rsidR="00253CD5">
        <w:rPr>
          <w:color w:val="000000" w:themeColor="text1"/>
          <w:lang w:val="en-US"/>
        </w:rPr>
        <w:t>z</w:t>
      </w:r>
      <w:r w:rsidR="00CA5D6D" w:rsidRPr="00F31DD1">
        <w:rPr>
          <w:color w:val="000000" w:themeColor="text1"/>
          <w:lang w:val="en-US"/>
        </w:rPr>
        <w:t>ing the (often violent) private (as opposed to state) action taken against suspected witches. It also explored how continuing belief in witchcraft at home and abroad was represented by elites in public discourse and how historic, early modern witchcraft trials were culturally represented and memoriali</w:t>
      </w:r>
      <w:r w:rsidR="00253CD5">
        <w:rPr>
          <w:color w:val="000000" w:themeColor="text1"/>
          <w:lang w:val="en-US"/>
        </w:rPr>
        <w:t>z</w:t>
      </w:r>
      <w:r w:rsidR="00CA5D6D" w:rsidRPr="00F31DD1">
        <w:rPr>
          <w:color w:val="000000" w:themeColor="text1"/>
          <w:lang w:val="en-US"/>
        </w:rPr>
        <w:t>ed.</w:t>
      </w:r>
      <w:r w:rsidR="00CA5D6D" w:rsidRPr="00F31DD1">
        <w:rPr>
          <w:rStyle w:val="EndnoteReference"/>
          <w:color w:val="000000" w:themeColor="text1"/>
          <w:lang w:val="en-US"/>
        </w:rPr>
        <w:endnoteReference w:id="13"/>
      </w:r>
      <w:r w:rsidR="00CA5D6D" w:rsidRPr="00F31DD1">
        <w:rPr>
          <w:color w:val="000000" w:themeColor="text1"/>
          <w:lang w:val="en-US"/>
        </w:rPr>
        <w:t xml:space="preserve"> </w:t>
      </w:r>
      <w:r w:rsidR="00A00279" w:rsidRPr="00F31DD1">
        <w:rPr>
          <w:color w:val="000000" w:themeColor="text1"/>
          <w:lang w:val="en-US"/>
        </w:rPr>
        <w:t>The term “witch trial in reverse” describe</w:t>
      </w:r>
      <w:r w:rsidR="00197240">
        <w:rPr>
          <w:color w:val="000000" w:themeColor="text1"/>
          <w:lang w:val="en-US"/>
        </w:rPr>
        <w:t>s</w:t>
      </w:r>
      <w:r w:rsidR="00A00279" w:rsidRPr="00F31DD1">
        <w:rPr>
          <w:color w:val="000000" w:themeColor="text1"/>
          <w:lang w:val="en-US"/>
        </w:rPr>
        <w:t xml:space="preserve"> criminal proceedings where suspected witches prosecuted their accusers, usually the bewitched party or their relatives, for assault. Owen Davies established a methodology by which these trials could be explored</w:t>
      </w:r>
      <w:r w:rsidR="00197240">
        <w:rPr>
          <w:color w:val="000000" w:themeColor="text1"/>
          <w:lang w:val="en-US"/>
        </w:rPr>
        <w:t xml:space="preserve"> by locating</w:t>
      </w:r>
      <w:r w:rsidR="00A00279" w:rsidRPr="00F31DD1">
        <w:rPr>
          <w:color w:val="000000" w:themeColor="text1"/>
          <w:lang w:val="en-US"/>
        </w:rPr>
        <w:t xml:space="preserve"> English </w:t>
      </w:r>
      <w:r w:rsidR="00820EB3" w:rsidRPr="00F31DD1">
        <w:rPr>
          <w:color w:val="000000" w:themeColor="text1"/>
          <w:lang w:val="en-US"/>
        </w:rPr>
        <w:t xml:space="preserve">reverse </w:t>
      </w:r>
      <w:r w:rsidR="00A00279" w:rsidRPr="00F31DD1">
        <w:rPr>
          <w:color w:val="000000" w:themeColor="text1"/>
          <w:lang w:val="en-US"/>
        </w:rPr>
        <w:t>witch trials in nineteenth-century newspaper court reports and followed them up in surviving court, census, prison</w:t>
      </w:r>
      <w:r w:rsidR="001E649A">
        <w:rPr>
          <w:color w:val="000000" w:themeColor="text1"/>
          <w:lang w:val="en-US"/>
        </w:rPr>
        <w:t>,</w:t>
      </w:r>
      <w:r w:rsidR="00A00279" w:rsidRPr="00F31DD1">
        <w:rPr>
          <w:color w:val="000000" w:themeColor="text1"/>
          <w:lang w:val="en-US"/>
        </w:rPr>
        <w:t xml:space="preserve"> and coroner records.</w:t>
      </w:r>
      <w:r w:rsidR="00A00279" w:rsidRPr="00F31DD1">
        <w:rPr>
          <w:rStyle w:val="EndnoteReference"/>
          <w:color w:val="000000" w:themeColor="text1"/>
          <w:lang w:val="en-US"/>
        </w:rPr>
        <w:endnoteReference w:id="14"/>
      </w:r>
      <w:r w:rsidR="00A00279" w:rsidRPr="00F31DD1">
        <w:rPr>
          <w:color w:val="000000" w:themeColor="text1"/>
          <w:lang w:val="en-US"/>
        </w:rPr>
        <w:t xml:space="preserve"> Adapted to an Irish context, this methodo</w:t>
      </w:r>
      <w:r w:rsidR="006171C3" w:rsidRPr="00F31DD1">
        <w:rPr>
          <w:color w:val="000000" w:themeColor="text1"/>
          <w:lang w:val="en-US"/>
        </w:rPr>
        <w:t>logy was used to analy</w:t>
      </w:r>
      <w:r w:rsidR="00C20C27">
        <w:rPr>
          <w:color w:val="000000" w:themeColor="text1"/>
          <w:lang w:val="en-US"/>
        </w:rPr>
        <w:t>z</w:t>
      </w:r>
      <w:r w:rsidR="006171C3" w:rsidRPr="00F31DD1">
        <w:rPr>
          <w:color w:val="000000" w:themeColor="text1"/>
          <w:lang w:val="en-US"/>
        </w:rPr>
        <w:t xml:space="preserve">e not only </w:t>
      </w:r>
      <w:r w:rsidR="00C35984" w:rsidRPr="00F31DD1">
        <w:rPr>
          <w:color w:val="000000" w:themeColor="text1"/>
          <w:lang w:val="en-US"/>
        </w:rPr>
        <w:t>witch trials in reverse but all criminal cases</w:t>
      </w:r>
      <w:r w:rsidR="00392966" w:rsidRPr="00F31DD1">
        <w:rPr>
          <w:color w:val="000000" w:themeColor="text1"/>
          <w:lang w:val="en-US"/>
        </w:rPr>
        <w:t>,</w:t>
      </w:r>
      <w:r w:rsidR="00C35984" w:rsidRPr="00F31DD1">
        <w:rPr>
          <w:color w:val="000000" w:themeColor="text1"/>
          <w:lang w:val="en-US"/>
        </w:rPr>
        <w:t xml:space="preserve"> from slander to theft to taking money under false preten</w:t>
      </w:r>
      <w:r w:rsidR="00C20C27">
        <w:rPr>
          <w:color w:val="000000" w:themeColor="text1"/>
          <w:lang w:val="en-US"/>
        </w:rPr>
        <w:t>s</w:t>
      </w:r>
      <w:r w:rsidR="00C35984" w:rsidRPr="00F31DD1">
        <w:rPr>
          <w:color w:val="000000" w:themeColor="text1"/>
          <w:lang w:val="en-US"/>
        </w:rPr>
        <w:t>es,</w:t>
      </w:r>
      <w:r w:rsidR="00392966" w:rsidRPr="00F31DD1">
        <w:rPr>
          <w:color w:val="000000" w:themeColor="text1"/>
          <w:lang w:val="en-US"/>
        </w:rPr>
        <w:t xml:space="preserve"> heard between 1822 and 1922 </w:t>
      </w:r>
      <w:r w:rsidR="00C35984" w:rsidRPr="00F31DD1">
        <w:rPr>
          <w:color w:val="000000" w:themeColor="text1"/>
          <w:lang w:val="en-US"/>
        </w:rPr>
        <w:t>that involved</w:t>
      </w:r>
      <w:r w:rsidR="00820EB3" w:rsidRPr="00F31DD1">
        <w:rPr>
          <w:color w:val="000000" w:themeColor="text1"/>
          <w:lang w:val="en-US"/>
        </w:rPr>
        <w:t xml:space="preserve"> </w:t>
      </w:r>
      <w:r w:rsidR="00392966" w:rsidRPr="00F31DD1">
        <w:rPr>
          <w:color w:val="000000" w:themeColor="text1"/>
          <w:lang w:val="en-US"/>
        </w:rPr>
        <w:t>an</w:t>
      </w:r>
      <w:r w:rsidR="00C35984" w:rsidRPr="00F31DD1">
        <w:rPr>
          <w:color w:val="000000" w:themeColor="text1"/>
          <w:lang w:val="en-US"/>
        </w:rPr>
        <w:t xml:space="preserve"> accusation of witchcraft. These cases had been variously brought before police courts and petty sessions, and less frequently </w:t>
      </w:r>
      <w:r w:rsidR="00C20C27">
        <w:rPr>
          <w:color w:val="000000" w:themeColor="text1"/>
          <w:lang w:val="en-US"/>
        </w:rPr>
        <w:t xml:space="preserve">before </w:t>
      </w:r>
      <w:r w:rsidR="00C35984" w:rsidRPr="00F31DD1">
        <w:rPr>
          <w:color w:val="000000" w:themeColor="text1"/>
          <w:lang w:val="en-US"/>
        </w:rPr>
        <w:t xml:space="preserve">higher criminal courts such as the Quarter Sessions and county Assizes, all over Ireland, from Cork to Antrim. </w:t>
      </w:r>
      <w:r w:rsidR="00EE6AAF" w:rsidRPr="00F31DD1">
        <w:rPr>
          <w:color w:val="000000" w:themeColor="text1"/>
          <w:lang w:val="en-US"/>
        </w:rPr>
        <w:t>This study also</w:t>
      </w:r>
      <w:r w:rsidR="00C35984" w:rsidRPr="00F31DD1">
        <w:rPr>
          <w:color w:val="000000" w:themeColor="text1"/>
          <w:lang w:val="en-US"/>
        </w:rPr>
        <w:t xml:space="preserve"> revealed that accused witches (often helped by relatives) fought their accusers using laws prohibiting slander and assault </w:t>
      </w:r>
      <w:r w:rsidR="00392966" w:rsidRPr="00F31DD1">
        <w:rPr>
          <w:color w:val="000000" w:themeColor="text1"/>
          <w:lang w:val="en-US"/>
        </w:rPr>
        <w:t xml:space="preserve">and </w:t>
      </w:r>
      <w:r w:rsidR="00C35984" w:rsidRPr="00F31DD1">
        <w:rPr>
          <w:color w:val="000000" w:themeColor="text1"/>
          <w:lang w:val="en-US"/>
        </w:rPr>
        <w:t>with harsh words</w:t>
      </w:r>
      <w:r w:rsidR="00392966" w:rsidRPr="00F31DD1">
        <w:rPr>
          <w:color w:val="000000" w:themeColor="text1"/>
          <w:lang w:val="en-US"/>
        </w:rPr>
        <w:t>,</w:t>
      </w:r>
      <w:r w:rsidR="00C35984" w:rsidRPr="00F31DD1">
        <w:rPr>
          <w:color w:val="000000" w:themeColor="text1"/>
          <w:lang w:val="en-US"/>
        </w:rPr>
        <w:t xml:space="preserve"> fists, firearms and knives; actions which, unsurprisingly, landed them on the wrong side of the law</w:t>
      </w:r>
      <w:r w:rsidR="00CD0F0C" w:rsidRPr="00F31DD1">
        <w:rPr>
          <w:color w:val="000000" w:themeColor="text1"/>
          <w:lang w:val="en-US"/>
        </w:rPr>
        <w:t xml:space="preserve"> </w:t>
      </w:r>
      <w:r w:rsidR="00C35984" w:rsidRPr="00F31DD1">
        <w:rPr>
          <w:color w:val="000000" w:themeColor="text1"/>
          <w:lang w:val="en-US"/>
        </w:rPr>
        <w:t>(Sneddon</w:t>
      </w:r>
      <w:r w:rsidR="00C20C27">
        <w:rPr>
          <w:color w:val="000000" w:themeColor="text1"/>
          <w:lang w:val="en-US"/>
        </w:rPr>
        <w:t xml:space="preserve"> and</w:t>
      </w:r>
      <w:r w:rsidR="00C35984" w:rsidRPr="00F31DD1">
        <w:rPr>
          <w:color w:val="000000" w:themeColor="text1"/>
          <w:lang w:val="en-US"/>
        </w:rPr>
        <w:t xml:space="preserve"> Fulton 2019).</w:t>
      </w:r>
      <w:r w:rsidR="00CA5D6D" w:rsidRPr="00F31DD1">
        <w:rPr>
          <w:color w:val="000000" w:themeColor="text1"/>
          <w:lang w:val="en-US"/>
        </w:rPr>
        <w:t xml:space="preserve"> </w:t>
      </w:r>
    </w:p>
    <w:p w14:paraId="192918F4" w14:textId="46837A36" w:rsidR="00A56D10" w:rsidRPr="00F31DD1" w:rsidRDefault="00C20C27" w:rsidP="0058637A">
      <w:pPr>
        <w:spacing w:line="480" w:lineRule="auto"/>
        <w:rPr>
          <w:color w:val="000000" w:themeColor="text1"/>
          <w:lang w:val="en-US"/>
        </w:rPr>
      </w:pPr>
      <w:r>
        <w:rPr>
          <w:color w:val="000000" w:themeColor="text1"/>
          <w:lang w:val="en-US"/>
        </w:rPr>
        <w:lastRenderedPageBreak/>
        <w:tab/>
      </w:r>
      <w:r w:rsidR="00857E8E" w:rsidRPr="00F31DD1">
        <w:rPr>
          <w:color w:val="000000" w:themeColor="text1"/>
          <w:lang w:val="en-US"/>
        </w:rPr>
        <w:t xml:space="preserve">This </w:t>
      </w:r>
      <w:r w:rsidR="0021423F" w:rsidRPr="00F31DD1">
        <w:rPr>
          <w:color w:val="000000" w:themeColor="text1"/>
          <w:lang w:val="en-US"/>
        </w:rPr>
        <w:t>microhistory</w:t>
      </w:r>
      <w:r w:rsidR="00857E8E" w:rsidRPr="00F31DD1">
        <w:rPr>
          <w:color w:val="000000" w:themeColor="text1"/>
          <w:lang w:val="en-US"/>
        </w:rPr>
        <w:t xml:space="preserve"> of nineteenth</w:t>
      </w:r>
      <w:r>
        <w:rPr>
          <w:color w:val="000000" w:themeColor="text1"/>
          <w:lang w:val="en-US"/>
        </w:rPr>
        <w:t>-</w:t>
      </w:r>
      <w:r w:rsidR="00857E8E" w:rsidRPr="00F31DD1">
        <w:rPr>
          <w:color w:val="000000" w:themeColor="text1"/>
          <w:lang w:val="en-US"/>
        </w:rPr>
        <w:t xml:space="preserve"> and twentieth-century </w:t>
      </w:r>
      <w:proofErr w:type="spellStart"/>
      <w:r w:rsidR="00857E8E" w:rsidRPr="00F31DD1">
        <w:rPr>
          <w:color w:val="000000" w:themeColor="text1"/>
          <w:lang w:val="en-US"/>
        </w:rPr>
        <w:t>Islandmagee</w:t>
      </w:r>
      <w:proofErr w:type="spellEnd"/>
      <w:r w:rsidR="00837A41" w:rsidRPr="00F31DD1">
        <w:rPr>
          <w:color w:val="000000" w:themeColor="text1"/>
          <w:lang w:val="en-US"/>
        </w:rPr>
        <w:t xml:space="preserve"> </w:t>
      </w:r>
      <w:r w:rsidR="00955AFB" w:rsidRPr="00F31DD1">
        <w:rPr>
          <w:color w:val="000000" w:themeColor="text1"/>
          <w:lang w:val="en-US"/>
        </w:rPr>
        <w:t xml:space="preserve">also produced </w:t>
      </w:r>
      <w:r w:rsidR="00857E8E" w:rsidRPr="00F31DD1">
        <w:rPr>
          <w:color w:val="000000" w:themeColor="text1"/>
          <w:lang w:val="en-US"/>
        </w:rPr>
        <w:t xml:space="preserve">a slightly different picture of Irish witchcraft by showing that the way people living there collectively remembered the </w:t>
      </w:r>
      <w:proofErr w:type="spellStart"/>
      <w:r w:rsidR="00857E8E" w:rsidRPr="00F31DD1">
        <w:rPr>
          <w:color w:val="000000" w:themeColor="text1"/>
          <w:lang w:val="en-US"/>
        </w:rPr>
        <w:t>Islandmagee</w:t>
      </w:r>
      <w:proofErr w:type="spellEnd"/>
      <w:r w:rsidR="00857E8E" w:rsidRPr="00F31DD1">
        <w:rPr>
          <w:color w:val="000000" w:themeColor="text1"/>
          <w:lang w:val="en-US"/>
        </w:rPr>
        <w:t xml:space="preserve"> witches through oral tradition and folk commemoration</w:t>
      </w:r>
      <w:r>
        <w:rPr>
          <w:color w:val="000000" w:themeColor="text1"/>
          <w:lang w:val="en-US"/>
        </w:rPr>
        <w:t>, ways that</w:t>
      </w:r>
      <w:r w:rsidR="00857E8E" w:rsidRPr="00F31DD1">
        <w:rPr>
          <w:color w:val="000000" w:themeColor="text1"/>
          <w:lang w:val="en-US"/>
        </w:rPr>
        <w:t xml:space="preserve"> also shaped and reinforced their continued belief in witchcraft (Sneddon 2019: 255</w:t>
      </w:r>
      <w:r>
        <w:rPr>
          <w:color w:val="000000" w:themeColor="text1"/>
          <w:lang w:val="en-US"/>
        </w:rPr>
        <w:t>–</w:t>
      </w:r>
      <w:r w:rsidR="00857E8E" w:rsidRPr="00F31DD1">
        <w:rPr>
          <w:color w:val="000000" w:themeColor="text1"/>
          <w:lang w:val="en-US"/>
        </w:rPr>
        <w:t>58). Historians have increasingly regarded oral tradition as an important way in which knowledge about the past and historical events are transmitted through successive generations. Folk commemoration is intimately related to this orally preserved historical tradition and is the process by which the landscape is embedded with historical meaning and thus acts as a powerful device for remembrance for local communities (</w:t>
      </w:r>
      <w:proofErr w:type="spellStart"/>
      <w:r w:rsidR="00857E8E" w:rsidRPr="00F31DD1">
        <w:rPr>
          <w:color w:val="000000" w:themeColor="text1"/>
          <w:shd w:val="clear" w:color="auto" w:fill="FFFFFF"/>
          <w:lang w:val="en-US"/>
        </w:rPr>
        <w:t>Beiner</w:t>
      </w:r>
      <w:proofErr w:type="spellEnd"/>
      <w:r w:rsidR="00857E8E" w:rsidRPr="00F31DD1">
        <w:rPr>
          <w:color w:val="000000" w:themeColor="text1"/>
          <w:shd w:val="clear" w:color="auto" w:fill="FFFFFF"/>
          <w:lang w:val="en-US"/>
        </w:rPr>
        <w:t xml:space="preserve"> 2007: 8, 18, 19</w:t>
      </w:r>
      <w:r>
        <w:rPr>
          <w:color w:val="000000" w:themeColor="text1"/>
          <w:shd w:val="clear" w:color="auto" w:fill="FFFFFF"/>
          <w:lang w:val="en-US"/>
        </w:rPr>
        <w:t>–</w:t>
      </w:r>
      <w:r w:rsidR="00857E8E" w:rsidRPr="00F31DD1">
        <w:rPr>
          <w:color w:val="000000" w:themeColor="text1"/>
          <w:shd w:val="clear" w:color="auto" w:fill="FFFFFF"/>
          <w:lang w:val="en-US"/>
        </w:rPr>
        <w:t>20, 200</w:t>
      </w:r>
      <w:r>
        <w:rPr>
          <w:color w:val="000000" w:themeColor="text1"/>
          <w:shd w:val="clear" w:color="auto" w:fill="FFFFFF"/>
          <w:lang w:val="en-US"/>
        </w:rPr>
        <w:t>–20</w:t>
      </w:r>
      <w:r w:rsidR="00857E8E" w:rsidRPr="00F31DD1">
        <w:rPr>
          <w:color w:val="000000" w:themeColor="text1"/>
          <w:shd w:val="clear" w:color="auto" w:fill="FFFFFF"/>
          <w:lang w:val="en-US"/>
        </w:rPr>
        <w:t>9).</w:t>
      </w:r>
      <w:r w:rsidR="00857E8E" w:rsidRPr="00F31DD1">
        <w:rPr>
          <w:color w:val="000000" w:themeColor="text1"/>
          <w:lang w:val="en-US"/>
        </w:rPr>
        <w:t xml:space="preserve"> Social memory is defined </w:t>
      </w:r>
      <w:r>
        <w:rPr>
          <w:color w:val="000000" w:themeColor="text1"/>
          <w:lang w:val="en-US"/>
        </w:rPr>
        <w:t xml:space="preserve">as </w:t>
      </w:r>
      <w:r w:rsidR="00857E8E" w:rsidRPr="00F31DD1">
        <w:rPr>
          <w:color w:val="000000" w:themeColor="text1"/>
          <w:lang w:val="en-US"/>
        </w:rPr>
        <w:t xml:space="preserve">a process of remembrance </w:t>
      </w:r>
      <w:r>
        <w:rPr>
          <w:color w:val="000000" w:themeColor="text1"/>
          <w:lang w:val="en-US"/>
        </w:rPr>
        <w:t>that</w:t>
      </w:r>
      <w:r w:rsidRPr="00F31DD1">
        <w:rPr>
          <w:color w:val="000000" w:themeColor="text1"/>
          <w:lang w:val="en-US"/>
        </w:rPr>
        <w:t xml:space="preserve"> </w:t>
      </w:r>
      <w:r w:rsidR="00857E8E" w:rsidRPr="00F31DD1">
        <w:rPr>
          <w:color w:val="000000" w:themeColor="text1"/>
          <w:lang w:val="en-US"/>
        </w:rPr>
        <w:t>provides members of a community with interpretative frameworks through which to view their past, whether in relation to personal or to shared recollection. This remembered past is a soci</w:t>
      </w:r>
      <w:r>
        <w:rPr>
          <w:color w:val="000000" w:themeColor="text1"/>
          <w:lang w:val="en-US"/>
        </w:rPr>
        <w:t>o</w:t>
      </w:r>
      <w:r w:rsidR="00857E8E" w:rsidRPr="00F31DD1">
        <w:rPr>
          <w:color w:val="000000" w:themeColor="text1"/>
          <w:lang w:val="en-US"/>
        </w:rPr>
        <w:t>cultural interpretative construction that can be built either from fabricated or authentic sources.</w:t>
      </w:r>
      <w:r w:rsidR="00857E8E" w:rsidRPr="00F31DD1">
        <w:rPr>
          <w:rStyle w:val="EndnoteReference"/>
          <w:color w:val="000000" w:themeColor="text1"/>
          <w:lang w:val="en-US"/>
        </w:rPr>
        <w:endnoteReference w:id="15"/>
      </w:r>
      <w:r w:rsidR="00857E8E" w:rsidRPr="00F31DD1">
        <w:rPr>
          <w:color w:val="000000" w:themeColor="text1"/>
          <w:lang w:val="en-US"/>
        </w:rPr>
        <w:t xml:space="preserve"> </w:t>
      </w:r>
    </w:p>
    <w:p w14:paraId="2869E80D" w14:textId="75E5850F" w:rsidR="00857E8E" w:rsidRPr="00F31DD1" w:rsidRDefault="00C20C27" w:rsidP="0058637A">
      <w:pPr>
        <w:spacing w:line="480" w:lineRule="auto"/>
        <w:rPr>
          <w:color w:val="000000" w:themeColor="text1"/>
          <w:lang w:val="en-US"/>
        </w:rPr>
      </w:pPr>
      <w:r>
        <w:rPr>
          <w:rFonts w:eastAsiaTheme="minorHAnsi"/>
          <w:color w:val="000000" w:themeColor="text1"/>
          <w:lang w:val="en-US"/>
        </w:rPr>
        <w:tab/>
      </w:r>
      <w:r w:rsidR="00857E8E" w:rsidRPr="00F31DD1">
        <w:rPr>
          <w:rFonts w:eastAsiaTheme="minorHAnsi"/>
          <w:color w:val="000000" w:themeColor="text1"/>
          <w:lang w:val="en-US"/>
        </w:rPr>
        <w:t>Folklore, oral histories, memoirs, early local histories, and newspaper reports from the nineteenth and twentieth centuries illustrated how the</w:t>
      </w:r>
      <w:r w:rsidR="00857E8E" w:rsidRPr="00F31DD1">
        <w:rPr>
          <w:color w:val="000000" w:themeColor="text1"/>
          <w:lang w:val="en-US"/>
        </w:rPr>
        <w:t xml:space="preserve"> story of the 1711 trial was passed down through the generations of </w:t>
      </w:r>
      <w:proofErr w:type="spellStart"/>
      <w:r w:rsidR="00857E8E" w:rsidRPr="00F31DD1">
        <w:rPr>
          <w:color w:val="000000" w:themeColor="text1"/>
          <w:lang w:val="en-US"/>
        </w:rPr>
        <w:t>Islandmagee</w:t>
      </w:r>
      <w:proofErr w:type="spellEnd"/>
      <w:r w:rsidR="00857E8E" w:rsidRPr="00F31DD1">
        <w:rPr>
          <w:color w:val="000000" w:themeColor="text1"/>
          <w:lang w:val="en-US"/>
        </w:rPr>
        <w:t xml:space="preserve"> inhabitants, especially within families of the descendants of trial witnesses, accusers, and the accused witches. This folk history of the trial nurtured continuing belief in the area in the power of witchcraft by providing </w:t>
      </w:r>
      <w:r w:rsidR="00712298" w:rsidRPr="00F31DD1">
        <w:rPr>
          <w:color w:val="000000" w:themeColor="text1"/>
          <w:lang w:val="en-US"/>
        </w:rPr>
        <w:t xml:space="preserve">what </w:t>
      </w:r>
      <w:r>
        <w:rPr>
          <w:color w:val="000000" w:themeColor="text1"/>
          <w:lang w:val="en-US"/>
        </w:rPr>
        <w:t>people</w:t>
      </w:r>
      <w:r w:rsidRPr="00F31DD1">
        <w:rPr>
          <w:color w:val="000000" w:themeColor="text1"/>
          <w:lang w:val="en-US"/>
        </w:rPr>
        <w:t xml:space="preserve"> </w:t>
      </w:r>
      <w:r w:rsidR="00712298" w:rsidRPr="00F31DD1">
        <w:rPr>
          <w:color w:val="000000" w:themeColor="text1"/>
          <w:lang w:val="en-US"/>
        </w:rPr>
        <w:t xml:space="preserve">regarded as </w:t>
      </w:r>
      <w:r w:rsidR="00857E8E" w:rsidRPr="00F31DD1">
        <w:rPr>
          <w:color w:val="000000" w:themeColor="text1"/>
          <w:lang w:val="en-US"/>
        </w:rPr>
        <w:t>historic</w:t>
      </w:r>
      <w:r w:rsidR="00712298" w:rsidRPr="00F31DD1">
        <w:rPr>
          <w:color w:val="000000" w:themeColor="text1"/>
          <w:lang w:val="en-US"/>
        </w:rPr>
        <w:t>al evidence</w:t>
      </w:r>
      <w:r w:rsidR="00857E8E" w:rsidRPr="00F31DD1">
        <w:rPr>
          <w:color w:val="000000" w:themeColor="text1"/>
          <w:lang w:val="en-US"/>
        </w:rPr>
        <w:t xml:space="preserve"> that witches and witchcraft were real and not only</w:t>
      </w:r>
      <w:r w:rsidR="00857E8E" w:rsidRPr="00F31DD1">
        <w:rPr>
          <w:i/>
          <w:iCs/>
          <w:color w:val="000000" w:themeColor="text1"/>
          <w:lang w:val="en-US"/>
        </w:rPr>
        <w:t xml:space="preserve"> had </w:t>
      </w:r>
      <w:r>
        <w:rPr>
          <w:color w:val="000000" w:themeColor="text1"/>
          <w:lang w:val="en-US"/>
        </w:rPr>
        <w:t xml:space="preserve">harmed </w:t>
      </w:r>
      <w:r w:rsidR="00857E8E" w:rsidRPr="00F31DD1">
        <w:rPr>
          <w:color w:val="000000" w:themeColor="text1"/>
          <w:lang w:val="en-US"/>
        </w:rPr>
        <w:t xml:space="preserve">but could </w:t>
      </w:r>
      <w:r w:rsidR="00857E8E" w:rsidRPr="00F31DD1">
        <w:rPr>
          <w:i/>
          <w:iCs/>
          <w:color w:val="000000" w:themeColor="text1"/>
          <w:lang w:val="en-US"/>
        </w:rPr>
        <w:t>still</w:t>
      </w:r>
      <w:r w:rsidR="00857E8E" w:rsidRPr="00F31DD1">
        <w:rPr>
          <w:color w:val="000000" w:themeColor="text1"/>
          <w:lang w:val="en-US"/>
        </w:rPr>
        <w:t xml:space="preserve"> harm humans, animals</w:t>
      </w:r>
      <w:r>
        <w:rPr>
          <w:color w:val="000000" w:themeColor="text1"/>
          <w:lang w:val="en-US"/>
        </w:rPr>
        <w:t>,</w:t>
      </w:r>
      <w:r w:rsidR="00857E8E" w:rsidRPr="00F31DD1">
        <w:rPr>
          <w:color w:val="000000" w:themeColor="text1"/>
          <w:lang w:val="en-US"/>
        </w:rPr>
        <w:t xml:space="preserve"> and agricultural produce. In</w:t>
      </w:r>
      <w:r w:rsidR="00712298" w:rsidRPr="00F31DD1">
        <w:rPr>
          <w:color w:val="000000" w:themeColor="text1"/>
          <w:lang w:val="en-US"/>
        </w:rPr>
        <w:t xml:space="preserve"> the later nineteenth and twentieth century</w:t>
      </w:r>
      <w:r w:rsidR="003B4954" w:rsidRPr="00F31DD1">
        <w:rPr>
          <w:color w:val="000000" w:themeColor="text1"/>
          <w:lang w:val="en-US"/>
        </w:rPr>
        <w:t>,</w:t>
      </w:r>
      <w:r w:rsidR="00712298" w:rsidRPr="00F31DD1">
        <w:rPr>
          <w:color w:val="000000" w:themeColor="text1"/>
          <w:lang w:val="en-US"/>
        </w:rPr>
        <w:t xml:space="preserve"> </w:t>
      </w:r>
      <w:r w:rsidR="00857E8E" w:rsidRPr="00F31DD1">
        <w:rPr>
          <w:color w:val="000000" w:themeColor="text1"/>
          <w:lang w:val="en-US"/>
        </w:rPr>
        <w:t xml:space="preserve">places associated in oral tradition with the </w:t>
      </w:r>
      <w:proofErr w:type="spellStart"/>
      <w:r w:rsidR="00857E8E" w:rsidRPr="00F31DD1">
        <w:rPr>
          <w:color w:val="000000" w:themeColor="text1"/>
          <w:lang w:val="en-US"/>
        </w:rPr>
        <w:t>Islandmagee</w:t>
      </w:r>
      <w:proofErr w:type="spellEnd"/>
      <w:r w:rsidR="00857E8E" w:rsidRPr="00F31DD1">
        <w:rPr>
          <w:color w:val="000000" w:themeColor="text1"/>
          <w:lang w:val="en-US"/>
        </w:rPr>
        <w:t xml:space="preserve"> witches reminded the unwary of the lingering, supernatural evil of the convicted women. </w:t>
      </w:r>
      <w:proofErr w:type="spellStart"/>
      <w:r w:rsidR="00857E8E" w:rsidRPr="00F31DD1">
        <w:rPr>
          <w:color w:val="000000" w:themeColor="text1"/>
          <w:lang w:val="en-US"/>
        </w:rPr>
        <w:t>Knowehead</w:t>
      </w:r>
      <w:proofErr w:type="spellEnd"/>
      <w:r w:rsidR="00857E8E" w:rsidRPr="00F31DD1">
        <w:rPr>
          <w:color w:val="000000" w:themeColor="text1"/>
          <w:lang w:val="en-US"/>
        </w:rPr>
        <w:t xml:space="preserve"> House where old </w:t>
      </w:r>
      <w:proofErr w:type="spellStart"/>
      <w:r w:rsidR="00857E8E" w:rsidRPr="00F31DD1">
        <w:rPr>
          <w:color w:val="000000" w:themeColor="text1"/>
          <w:lang w:val="en-US"/>
        </w:rPr>
        <w:t>Mrs</w:t>
      </w:r>
      <w:proofErr w:type="spellEnd"/>
      <w:r w:rsidR="00857E8E" w:rsidRPr="00F31DD1">
        <w:rPr>
          <w:color w:val="000000" w:themeColor="text1"/>
          <w:lang w:val="en-US"/>
        </w:rPr>
        <w:t xml:space="preserve"> </w:t>
      </w:r>
      <w:proofErr w:type="spellStart"/>
      <w:r w:rsidR="00857E8E" w:rsidRPr="00F31DD1">
        <w:rPr>
          <w:color w:val="000000" w:themeColor="text1"/>
          <w:lang w:val="en-US"/>
        </w:rPr>
        <w:t>Haltridge</w:t>
      </w:r>
      <w:proofErr w:type="spellEnd"/>
      <w:r w:rsidR="00857E8E" w:rsidRPr="00F31DD1">
        <w:rPr>
          <w:color w:val="000000" w:themeColor="text1"/>
          <w:lang w:val="en-US"/>
        </w:rPr>
        <w:t xml:space="preserve"> had died and Mary Dunbar had become possessed was studiously avoided at night </w:t>
      </w:r>
      <w:r>
        <w:rPr>
          <w:color w:val="000000" w:themeColor="text1"/>
          <w:lang w:val="en-US"/>
        </w:rPr>
        <w:t xml:space="preserve">by the </w:t>
      </w:r>
      <w:r w:rsidR="00857E8E" w:rsidRPr="00F31DD1">
        <w:rPr>
          <w:color w:val="000000" w:themeColor="text1"/>
          <w:lang w:val="en-US"/>
        </w:rPr>
        <w:t>local</w:t>
      </w:r>
      <w:r>
        <w:rPr>
          <w:color w:val="000000" w:themeColor="text1"/>
          <w:lang w:val="en-US"/>
        </w:rPr>
        <w:t>s</w:t>
      </w:r>
      <w:r w:rsidR="006D7B4C" w:rsidRPr="00F31DD1">
        <w:rPr>
          <w:color w:val="000000" w:themeColor="text1"/>
          <w:lang w:val="en-US"/>
        </w:rPr>
        <w:t xml:space="preserve">, including those perceived to be of a higher social </w:t>
      </w:r>
      <w:r w:rsidR="006D7B4C" w:rsidRPr="00F31DD1">
        <w:rPr>
          <w:color w:val="000000" w:themeColor="text1"/>
          <w:lang w:val="en-US"/>
        </w:rPr>
        <w:lastRenderedPageBreak/>
        <w:t>class and educational level</w:t>
      </w:r>
      <w:r w:rsidR="00591E7D" w:rsidRPr="00F31DD1">
        <w:rPr>
          <w:color w:val="000000" w:themeColor="text1"/>
          <w:lang w:val="en-US"/>
        </w:rPr>
        <w:t xml:space="preserve"> (Sneddon 2019: 255</w:t>
      </w:r>
      <w:r>
        <w:rPr>
          <w:color w:val="000000" w:themeColor="text1"/>
          <w:lang w:val="en-US"/>
        </w:rPr>
        <w:t>–5</w:t>
      </w:r>
      <w:r w:rsidR="00591E7D" w:rsidRPr="00F31DD1">
        <w:rPr>
          <w:color w:val="000000" w:themeColor="text1"/>
          <w:lang w:val="en-US"/>
        </w:rPr>
        <w:t xml:space="preserve">7). </w:t>
      </w:r>
      <w:r w:rsidR="0026592D" w:rsidRPr="00F31DD1">
        <w:rPr>
          <w:color w:val="000000" w:themeColor="text1"/>
          <w:lang w:val="en-US"/>
        </w:rPr>
        <w:t xml:space="preserve">The number of largely Protestant residents in </w:t>
      </w:r>
      <w:proofErr w:type="spellStart"/>
      <w:r w:rsidR="0026592D" w:rsidRPr="00F31DD1">
        <w:rPr>
          <w:color w:val="000000" w:themeColor="text1"/>
          <w:lang w:val="en-US"/>
        </w:rPr>
        <w:t>Islandmagee</w:t>
      </w:r>
      <w:proofErr w:type="spellEnd"/>
      <w:r w:rsidR="0026592D" w:rsidRPr="00F31DD1">
        <w:rPr>
          <w:color w:val="000000" w:themeColor="text1"/>
          <w:lang w:val="en-US"/>
        </w:rPr>
        <w:t xml:space="preserve"> rose nearly tenfold between 1711 and 1821, from 300 to 2,990. </w:t>
      </w:r>
      <w:proofErr w:type="spellStart"/>
      <w:r w:rsidR="0026592D" w:rsidRPr="00F31DD1">
        <w:rPr>
          <w:color w:val="000000" w:themeColor="text1"/>
          <w:lang w:val="en-US"/>
        </w:rPr>
        <w:t>Islan</w:t>
      </w:r>
      <w:r w:rsidR="00693063" w:rsidRPr="00F31DD1">
        <w:rPr>
          <w:color w:val="000000" w:themeColor="text1"/>
          <w:lang w:val="en-US"/>
        </w:rPr>
        <w:t>d</w:t>
      </w:r>
      <w:r w:rsidR="0026592D" w:rsidRPr="00F31DD1">
        <w:rPr>
          <w:color w:val="000000" w:themeColor="text1"/>
          <w:lang w:val="en-US"/>
        </w:rPr>
        <w:t>magee</w:t>
      </w:r>
      <w:proofErr w:type="spellEnd"/>
      <w:r w:rsidR="0026592D" w:rsidRPr="00F31DD1">
        <w:rPr>
          <w:color w:val="000000" w:themeColor="text1"/>
          <w:lang w:val="en-US"/>
        </w:rPr>
        <w:t xml:space="preserve"> </w:t>
      </w:r>
      <w:r w:rsidR="00693063" w:rsidRPr="00F31DD1">
        <w:rPr>
          <w:color w:val="000000" w:themeColor="text1"/>
          <w:lang w:val="en-US"/>
        </w:rPr>
        <w:t xml:space="preserve">contained only a </w:t>
      </w:r>
      <w:r w:rsidR="0026592D" w:rsidRPr="00F31DD1">
        <w:rPr>
          <w:color w:val="000000" w:themeColor="text1"/>
          <w:lang w:val="en-US"/>
        </w:rPr>
        <w:t xml:space="preserve">few members of the gentry </w:t>
      </w:r>
      <w:r w:rsidR="00693063" w:rsidRPr="00F31DD1">
        <w:rPr>
          <w:color w:val="000000" w:themeColor="text1"/>
          <w:lang w:val="en-US"/>
        </w:rPr>
        <w:t xml:space="preserve">and </w:t>
      </w:r>
      <w:r w:rsidR="0026592D" w:rsidRPr="00F31DD1">
        <w:rPr>
          <w:color w:val="000000" w:themeColor="text1"/>
          <w:lang w:val="en-US"/>
        </w:rPr>
        <w:t>aristo</w:t>
      </w:r>
      <w:r w:rsidR="00693063" w:rsidRPr="00F31DD1">
        <w:rPr>
          <w:color w:val="000000" w:themeColor="text1"/>
          <w:lang w:val="en-US"/>
        </w:rPr>
        <w:t>cracy and almost no legal or medical professionals.</w:t>
      </w:r>
      <w:r w:rsidR="006D7B4C" w:rsidRPr="00F31DD1">
        <w:rPr>
          <w:color w:val="000000" w:themeColor="text1"/>
          <w:lang w:val="en-US"/>
        </w:rPr>
        <w:t xml:space="preserve"> </w:t>
      </w:r>
      <w:r w:rsidR="00693063" w:rsidRPr="00F31DD1">
        <w:rPr>
          <w:color w:val="000000" w:themeColor="text1"/>
          <w:lang w:val="en-US"/>
        </w:rPr>
        <w:t xml:space="preserve">The majority of its population were employed in skilled or semi-skilled labor, </w:t>
      </w:r>
      <w:r w:rsidR="006D7B4C" w:rsidRPr="00F31DD1">
        <w:rPr>
          <w:color w:val="000000" w:themeColor="text1"/>
          <w:lang w:val="en-US"/>
        </w:rPr>
        <w:t>and included</w:t>
      </w:r>
      <w:r w:rsidR="00693063" w:rsidRPr="00F31DD1">
        <w:rPr>
          <w:color w:val="000000" w:themeColor="text1"/>
          <w:lang w:val="en-US"/>
        </w:rPr>
        <w:t xml:space="preserve"> small-holding farmers, craftsmen, fishermen, and agricultural laborers. </w:t>
      </w:r>
      <w:r w:rsidR="006D7B4C" w:rsidRPr="00F31DD1">
        <w:rPr>
          <w:color w:val="000000" w:themeColor="text1"/>
          <w:lang w:val="en-US"/>
        </w:rPr>
        <w:t xml:space="preserve">Although elementary schooling was available to all </w:t>
      </w:r>
      <w:proofErr w:type="spellStart"/>
      <w:r w:rsidR="006D7B4C" w:rsidRPr="00F31DD1">
        <w:rPr>
          <w:color w:val="000000" w:themeColor="text1"/>
          <w:lang w:val="en-US"/>
        </w:rPr>
        <w:t>Islandmagee</w:t>
      </w:r>
      <w:proofErr w:type="spellEnd"/>
      <w:r w:rsidR="006D7B4C" w:rsidRPr="00F31DD1">
        <w:rPr>
          <w:color w:val="000000" w:themeColor="text1"/>
          <w:lang w:val="en-US"/>
        </w:rPr>
        <w:t xml:space="preserve"> children, irrespective of social class, from the later seventeenth-century onward, educational and literacy rates among the poor remained low until the intervention</w:t>
      </w:r>
      <w:r w:rsidR="00C14C52" w:rsidRPr="00F31DD1">
        <w:rPr>
          <w:color w:val="000000" w:themeColor="text1"/>
          <w:lang w:val="en-US"/>
        </w:rPr>
        <w:t xml:space="preserve">, </w:t>
      </w:r>
      <w:r w:rsidR="006D7B4C" w:rsidRPr="00F31DD1">
        <w:rPr>
          <w:color w:val="000000" w:themeColor="text1"/>
          <w:lang w:val="en-US"/>
        </w:rPr>
        <w:t>in the later nineteenth century</w:t>
      </w:r>
      <w:r w:rsidR="00C14C52" w:rsidRPr="00F31DD1">
        <w:rPr>
          <w:color w:val="000000" w:themeColor="text1"/>
          <w:lang w:val="en-US"/>
        </w:rPr>
        <w:t>,</w:t>
      </w:r>
      <w:r w:rsidR="006D7B4C" w:rsidRPr="00F31DD1">
        <w:rPr>
          <w:color w:val="000000" w:themeColor="text1"/>
          <w:lang w:val="en-US"/>
        </w:rPr>
        <w:t xml:space="preserve"> of the National School System</w:t>
      </w:r>
      <w:r w:rsidR="00C14C52" w:rsidRPr="00F31DD1">
        <w:rPr>
          <w:color w:val="000000" w:themeColor="text1"/>
          <w:lang w:val="en-US"/>
        </w:rPr>
        <w:t xml:space="preserve"> (Akenson 1979: 31</w:t>
      </w:r>
      <w:r w:rsidR="00D605FE">
        <w:rPr>
          <w:color w:val="000000" w:themeColor="text1"/>
          <w:lang w:val="en-US"/>
        </w:rPr>
        <w:t>–</w:t>
      </w:r>
      <w:r w:rsidR="00C14C52" w:rsidRPr="00F31DD1">
        <w:rPr>
          <w:color w:val="000000" w:themeColor="text1"/>
          <w:lang w:val="en-US"/>
        </w:rPr>
        <w:t xml:space="preserve">170; Donaldson </w:t>
      </w:r>
      <w:r w:rsidR="00D605FE">
        <w:rPr>
          <w:color w:val="000000" w:themeColor="text1"/>
          <w:lang w:val="en-US"/>
        </w:rPr>
        <w:t>[</w:t>
      </w:r>
      <w:r w:rsidR="00C14C52" w:rsidRPr="00F31DD1">
        <w:rPr>
          <w:color w:val="000000" w:themeColor="text1"/>
          <w:lang w:val="en-US"/>
        </w:rPr>
        <w:t>1927</w:t>
      </w:r>
      <w:r w:rsidR="00D605FE">
        <w:rPr>
          <w:color w:val="000000" w:themeColor="text1"/>
          <w:lang w:val="en-US"/>
        </w:rPr>
        <w:t>] 2002</w:t>
      </w:r>
      <w:r w:rsidR="00C14C52" w:rsidRPr="00F31DD1">
        <w:rPr>
          <w:color w:val="000000" w:themeColor="text1"/>
          <w:lang w:val="en-US"/>
        </w:rPr>
        <w:t>: 55</w:t>
      </w:r>
      <w:r w:rsidR="00D605FE">
        <w:rPr>
          <w:color w:val="000000" w:themeColor="text1"/>
          <w:lang w:val="en-US"/>
        </w:rPr>
        <w:t>–5</w:t>
      </w:r>
      <w:r w:rsidR="00C14C52" w:rsidRPr="00F31DD1">
        <w:rPr>
          <w:color w:val="000000" w:themeColor="text1"/>
          <w:lang w:val="en-US"/>
        </w:rPr>
        <w:t xml:space="preserve">8). </w:t>
      </w:r>
      <w:proofErr w:type="spellStart"/>
      <w:r w:rsidR="00C14C52" w:rsidRPr="00F31DD1">
        <w:rPr>
          <w:color w:val="000000" w:themeColor="text1"/>
          <w:lang w:val="en-US"/>
        </w:rPr>
        <w:t>Knowehead</w:t>
      </w:r>
      <w:proofErr w:type="spellEnd"/>
      <w:r w:rsidR="00C14C52" w:rsidRPr="00F31DD1">
        <w:rPr>
          <w:color w:val="000000" w:themeColor="text1"/>
          <w:lang w:val="en-US"/>
        </w:rPr>
        <w:t xml:space="preserve"> House’s </w:t>
      </w:r>
      <w:r w:rsidR="003B4954" w:rsidRPr="00F31DD1">
        <w:rPr>
          <w:color w:val="000000" w:themeColor="text1"/>
          <w:lang w:val="en-US"/>
        </w:rPr>
        <w:t>association with the uncanny</w:t>
      </w:r>
      <w:r w:rsidR="00C14C52" w:rsidRPr="00F31DD1">
        <w:rPr>
          <w:color w:val="000000" w:themeColor="text1"/>
          <w:lang w:val="en-US"/>
        </w:rPr>
        <w:t xml:space="preserve"> </w:t>
      </w:r>
      <w:r w:rsidR="00857E8E" w:rsidRPr="00F31DD1">
        <w:rPr>
          <w:color w:val="000000" w:themeColor="text1"/>
          <w:lang w:val="en-US"/>
        </w:rPr>
        <w:t>was sealed</w:t>
      </w:r>
      <w:r w:rsidR="003B4954" w:rsidRPr="00F31DD1">
        <w:rPr>
          <w:color w:val="000000" w:themeColor="text1"/>
          <w:lang w:val="en-US"/>
        </w:rPr>
        <w:t xml:space="preserve"> </w:t>
      </w:r>
      <w:r w:rsidR="00857E8E" w:rsidRPr="00F31DD1">
        <w:rPr>
          <w:color w:val="000000" w:themeColor="text1"/>
          <w:lang w:val="en-US"/>
        </w:rPr>
        <w:t xml:space="preserve">by the circulation of tales of </w:t>
      </w:r>
      <w:r w:rsidR="003B4954" w:rsidRPr="00F31DD1">
        <w:rPr>
          <w:color w:val="000000" w:themeColor="text1"/>
          <w:lang w:val="en-US"/>
        </w:rPr>
        <w:t xml:space="preserve">nearby </w:t>
      </w:r>
      <w:r w:rsidR="00857E8E" w:rsidRPr="00F31DD1">
        <w:rPr>
          <w:color w:val="000000" w:themeColor="text1"/>
          <w:lang w:val="en-US"/>
        </w:rPr>
        <w:t xml:space="preserve">ghost and spirit sightings. Local oral tradition also warned of the need to avoid at night another local landmark associated with the </w:t>
      </w:r>
      <w:proofErr w:type="spellStart"/>
      <w:r w:rsidR="00857E8E" w:rsidRPr="00F31DD1">
        <w:rPr>
          <w:color w:val="000000" w:themeColor="text1"/>
          <w:lang w:val="en-US"/>
        </w:rPr>
        <w:t>Islandmagee</w:t>
      </w:r>
      <w:proofErr w:type="spellEnd"/>
      <w:r w:rsidR="00857E8E" w:rsidRPr="00F31DD1">
        <w:rPr>
          <w:color w:val="000000" w:themeColor="text1"/>
          <w:lang w:val="en-US"/>
        </w:rPr>
        <w:t xml:space="preserve"> witches, the “Rocking Stone” situated near Brown’s Bay in </w:t>
      </w:r>
      <w:proofErr w:type="spellStart"/>
      <w:r w:rsidR="00857E8E" w:rsidRPr="00F31DD1">
        <w:rPr>
          <w:color w:val="000000" w:themeColor="text1"/>
          <w:lang w:val="en-US"/>
        </w:rPr>
        <w:t>Islandmagee</w:t>
      </w:r>
      <w:proofErr w:type="spellEnd"/>
      <w:r w:rsidR="00857E8E" w:rsidRPr="00F31DD1">
        <w:rPr>
          <w:color w:val="000000" w:themeColor="text1"/>
          <w:lang w:val="en-US"/>
        </w:rPr>
        <w:t xml:space="preserve">. Tales of sightings of the </w:t>
      </w:r>
      <w:proofErr w:type="spellStart"/>
      <w:r w:rsidR="00857E8E" w:rsidRPr="00F31DD1">
        <w:rPr>
          <w:color w:val="000000" w:themeColor="text1"/>
          <w:lang w:val="en-US"/>
        </w:rPr>
        <w:t>Islandmagee</w:t>
      </w:r>
      <w:proofErr w:type="spellEnd"/>
      <w:r w:rsidR="00857E8E" w:rsidRPr="00F31DD1">
        <w:rPr>
          <w:color w:val="000000" w:themeColor="text1"/>
          <w:lang w:val="en-US"/>
        </w:rPr>
        <w:t xml:space="preserve"> witches dancing on it at night merged with stories that the deep grooves buried into its surface were in actuality claw-marks left by one of the convicted women, Catherine </w:t>
      </w:r>
      <w:proofErr w:type="spellStart"/>
      <w:r w:rsidR="00857E8E" w:rsidRPr="00F31DD1">
        <w:rPr>
          <w:color w:val="000000" w:themeColor="text1"/>
          <w:lang w:val="en-US"/>
        </w:rPr>
        <w:t>McCalmond</w:t>
      </w:r>
      <w:proofErr w:type="spellEnd"/>
      <w:r w:rsidR="00857E8E" w:rsidRPr="00F31DD1">
        <w:rPr>
          <w:color w:val="000000" w:themeColor="text1"/>
          <w:lang w:val="en-US"/>
        </w:rPr>
        <w:t xml:space="preserve">, when she </w:t>
      </w:r>
      <w:r w:rsidR="00712298" w:rsidRPr="00F31DD1">
        <w:rPr>
          <w:color w:val="000000" w:themeColor="text1"/>
          <w:lang w:val="en-US"/>
        </w:rPr>
        <w:t xml:space="preserve">was </w:t>
      </w:r>
      <w:r w:rsidR="00857E8E" w:rsidRPr="00F31DD1">
        <w:rPr>
          <w:color w:val="000000" w:themeColor="text1"/>
          <w:lang w:val="en-US"/>
        </w:rPr>
        <w:t>dragged off to court to stand trial</w:t>
      </w:r>
      <w:r w:rsidR="006A29AE" w:rsidRPr="00F31DD1">
        <w:rPr>
          <w:color w:val="000000" w:themeColor="text1"/>
          <w:lang w:val="en-US"/>
        </w:rPr>
        <w:t xml:space="preserve"> </w:t>
      </w:r>
      <w:r w:rsidR="00857E8E" w:rsidRPr="00F31DD1">
        <w:rPr>
          <w:color w:val="000000" w:themeColor="text1"/>
          <w:lang w:val="en-US"/>
        </w:rPr>
        <w:t>(Sneddon 2019: 257). Divest of such supernatural association, the “Rocking Stone” was a popular subject matter in the nineteenth and early twentieth century for artists and photographers,</w:t>
      </w:r>
      <w:r w:rsidR="00857E8E" w:rsidRPr="00F31DD1">
        <w:rPr>
          <w:rStyle w:val="EndnoteReference"/>
          <w:color w:val="000000" w:themeColor="text1"/>
          <w:lang w:val="en-US"/>
        </w:rPr>
        <w:endnoteReference w:id="16"/>
      </w:r>
      <w:r w:rsidR="00857E8E" w:rsidRPr="00F31DD1">
        <w:rPr>
          <w:color w:val="000000" w:themeColor="text1"/>
          <w:lang w:val="en-US"/>
        </w:rPr>
        <w:t xml:space="preserve"> and it even featured on a postcard (Fig.1). It was thus shrouded in mystery in local oral tradition and a fearful part of the local nightscape, but by day it was commodified and sold to tourists increasingly flocking to the area by train from Belfast to enjoy Brown’s Bay and the </w:t>
      </w:r>
      <w:proofErr w:type="spellStart"/>
      <w:r w:rsidR="00857E8E" w:rsidRPr="00F31DD1">
        <w:rPr>
          <w:color w:val="000000" w:themeColor="text1"/>
          <w:lang w:val="en-US"/>
        </w:rPr>
        <w:t>Gobbins</w:t>
      </w:r>
      <w:proofErr w:type="spellEnd"/>
      <w:r w:rsidR="00857E8E" w:rsidRPr="00F31DD1">
        <w:rPr>
          <w:color w:val="000000" w:themeColor="text1"/>
          <w:lang w:val="en-US"/>
        </w:rPr>
        <w:t xml:space="preserve"> cliffs.</w:t>
      </w:r>
      <w:r w:rsidR="00857E8E" w:rsidRPr="00F31DD1">
        <w:rPr>
          <w:rStyle w:val="EndnoteReference"/>
          <w:color w:val="000000" w:themeColor="text1"/>
          <w:lang w:val="en-US"/>
        </w:rPr>
        <w:endnoteReference w:id="17"/>
      </w:r>
      <w:r w:rsidR="00857E8E" w:rsidRPr="00F31DD1">
        <w:rPr>
          <w:color w:val="000000" w:themeColor="text1"/>
          <w:lang w:val="en-US"/>
        </w:rPr>
        <w:t xml:space="preserve"> </w:t>
      </w:r>
    </w:p>
    <w:p w14:paraId="3971FF56" w14:textId="59111386" w:rsidR="00857E8E" w:rsidRPr="00F31DD1" w:rsidRDefault="00857E8E" w:rsidP="00D605FE">
      <w:pPr>
        <w:pStyle w:val="NormalWeb"/>
        <w:spacing w:line="480" w:lineRule="auto"/>
        <w:rPr>
          <w:color w:val="000000" w:themeColor="text1"/>
          <w:highlight w:val="yellow"/>
          <w:lang w:val="en-US"/>
        </w:rPr>
      </w:pPr>
      <w:r w:rsidRPr="00F31DD1">
        <w:rPr>
          <w:noProof/>
          <w:color w:val="000000" w:themeColor="text1"/>
          <w:lang w:val="en-US"/>
        </w:rPr>
        <w:t>&lt;</w:t>
      </w:r>
      <w:r w:rsidR="00D605FE">
        <w:rPr>
          <w:noProof/>
          <w:color w:val="000000" w:themeColor="text1"/>
          <w:lang w:val="en-US"/>
        </w:rPr>
        <w:t>Insert figure</w:t>
      </w:r>
      <w:r w:rsidRPr="00F31DD1">
        <w:rPr>
          <w:noProof/>
          <w:color w:val="000000" w:themeColor="text1"/>
          <w:lang w:val="en-US"/>
        </w:rPr>
        <w:t xml:space="preserve"> 1</w:t>
      </w:r>
      <w:r w:rsidR="00D605FE">
        <w:rPr>
          <w:noProof/>
          <w:color w:val="000000" w:themeColor="text1"/>
          <w:lang w:val="en-US"/>
        </w:rPr>
        <w:t xml:space="preserve"> here</w:t>
      </w:r>
      <w:r w:rsidRPr="00F31DD1">
        <w:rPr>
          <w:noProof/>
          <w:color w:val="000000" w:themeColor="text1"/>
          <w:lang w:val="en-US"/>
        </w:rPr>
        <w:t>&gt;</w:t>
      </w:r>
    </w:p>
    <w:p w14:paraId="5F65E256" w14:textId="7FC1DFD4" w:rsidR="00857E8E" w:rsidRPr="00F31DD1" w:rsidRDefault="00857E8E" w:rsidP="00536670">
      <w:pPr>
        <w:spacing w:line="480" w:lineRule="auto"/>
        <w:ind w:firstLine="720"/>
        <w:rPr>
          <w:color w:val="000000" w:themeColor="text1"/>
          <w:lang w:val="en-US"/>
        </w:rPr>
      </w:pPr>
      <w:r w:rsidRPr="00F31DD1">
        <w:rPr>
          <w:color w:val="000000" w:themeColor="text1"/>
          <w:lang w:val="en-US"/>
        </w:rPr>
        <w:t xml:space="preserve">Stories of the </w:t>
      </w:r>
      <w:proofErr w:type="spellStart"/>
      <w:r w:rsidRPr="00F31DD1">
        <w:rPr>
          <w:color w:val="000000" w:themeColor="text1"/>
          <w:lang w:val="en-US"/>
        </w:rPr>
        <w:t>Islandmagee</w:t>
      </w:r>
      <w:proofErr w:type="spellEnd"/>
      <w:r w:rsidRPr="00F31DD1">
        <w:rPr>
          <w:color w:val="000000" w:themeColor="text1"/>
          <w:lang w:val="en-US"/>
        </w:rPr>
        <w:t xml:space="preserve"> witches were not only created and transmitted in local culture but were also committed to paper by journalists, travel writers, historians</w:t>
      </w:r>
      <w:r w:rsidR="00683FAB">
        <w:rPr>
          <w:color w:val="000000" w:themeColor="text1"/>
          <w:lang w:val="en-US"/>
        </w:rPr>
        <w:t>,</w:t>
      </w:r>
      <w:r w:rsidRPr="00F31DD1">
        <w:rPr>
          <w:color w:val="000000" w:themeColor="text1"/>
          <w:lang w:val="en-US"/>
        </w:rPr>
        <w:t xml:space="preserve"> and </w:t>
      </w:r>
      <w:r w:rsidRPr="00F31DD1">
        <w:rPr>
          <w:color w:val="000000" w:themeColor="text1"/>
          <w:lang w:val="en-US"/>
        </w:rPr>
        <w:lastRenderedPageBreak/>
        <w:t xml:space="preserve">antiquarians from the late eighteenth century onward. Together their work </w:t>
      </w:r>
      <w:r w:rsidR="00791C10" w:rsidRPr="00F31DD1">
        <w:rPr>
          <w:color w:val="000000" w:themeColor="text1"/>
          <w:lang w:val="en-US"/>
        </w:rPr>
        <w:t>revealed the</w:t>
      </w:r>
      <w:r w:rsidRPr="00F31DD1">
        <w:rPr>
          <w:color w:val="000000" w:themeColor="text1"/>
          <w:lang w:val="en-US"/>
        </w:rPr>
        <w:t xml:space="preserve"> ideological uses to which historic witchcraft trials </w:t>
      </w:r>
      <w:r w:rsidR="006A29AE" w:rsidRPr="00F31DD1">
        <w:rPr>
          <w:color w:val="000000" w:themeColor="text1"/>
          <w:lang w:val="en-US"/>
        </w:rPr>
        <w:t>in Ireland</w:t>
      </w:r>
      <w:r w:rsidRPr="00F31DD1">
        <w:rPr>
          <w:color w:val="000000" w:themeColor="text1"/>
          <w:lang w:val="en-US"/>
        </w:rPr>
        <w:t xml:space="preserve"> were put</w:t>
      </w:r>
      <w:r w:rsidR="00050508" w:rsidRPr="00F31DD1">
        <w:rPr>
          <w:color w:val="000000" w:themeColor="text1"/>
          <w:lang w:val="en-US"/>
        </w:rPr>
        <w:t xml:space="preserve"> (Sneddon 2019: 261</w:t>
      </w:r>
      <w:r w:rsidR="00683FAB">
        <w:rPr>
          <w:color w:val="000000" w:themeColor="text1"/>
          <w:lang w:val="en-US"/>
        </w:rPr>
        <w:t>–6</w:t>
      </w:r>
      <w:r w:rsidR="00050508" w:rsidRPr="00F31DD1">
        <w:rPr>
          <w:color w:val="000000" w:themeColor="text1"/>
          <w:lang w:val="en-US"/>
        </w:rPr>
        <w:t xml:space="preserve">3). </w:t>
      </w:r>
      <w:r w:rsidR="004649BE" w:rsidRPr="00F31DD1">
        <w:rPr>
          <w:color w:val="000000" w:themeColor="text1"/>
          <w:lang w:val="en-US"/>
        </w:rPr>
        <w:t>In</w:t>
      </w:r>
      <w:r w:rsidRPr="00F31DD1">
        <w:rPr>
          <w:color w:val="000000" w:themeColor="text1"/>
          <w:lang w:val="en-US"/>
        </w:rPr>
        <w:t xml:space="preserve"> contrast to the mass of the population, and echoing trends of Irish elite</w:t>
      </w:r>
      <w:r w:rsidR="008500EA" w:rsidRPr="00F31DD1">
        <w:rPr>
          <w:color w:val="000000" w:themeColor="text1"/>
          <w:lang w:val="en-US"/>
        </w:rPr>
        <w:t xml:space="preserve">s, from the professional middle classes to the gentry, </w:t>
      </w:r>
      <w:r w:rsidRPr="00F31DD1">
        <w:rPr>
          <w:color w:val="000000" w:themeColor="text1"/>
          <w:lang w:val="en-US"/>
        </w:rPr>
        <w:t xml:space="preserve">from the mid-eighteenth century onward, most modern Irish </w:t>
      </w:r>
      <w:r w:rsidR="0078375D" w:rsidRPr="00F31DD1">
        <w:rPr>
          <w:color w:val="000000" w:themeColor="text1"/>
          <w:lang w:val="en-US"/>
        </w:rPr>
        <w:t>commentators</w:t>
      </w:r>
      <w:r w:rsidR="008500EA" w:rsidRPr="00F31DD1">
        <w:rPr>
          <w:color w:val="000000" w:themeColor="text1"/>
          <w:lang w:val="en-US"/>
        </w:rPr>
        <w:t xml:space="preserve"> </w:t>
      </w:r>
      <w:r w:rsidR="00631CAB" w:rsidRPr="00F31DD1">
        <w:rPr>
          <w:color w:val="000000" w:themeColor="text1"/>
          <w:lang w:val="en-US"/>
        </w:rPr>
        <w:t>professed (</w:t>
      </w:r>
      <w:r w:rsidR="00AD33A7" w:rsidRPr="00F31DD1">
        <w:rPr>
          <w:color w:val="000000" w:themeColor="text1"/>
          <w:lang w:val="en-US"/>
        </w:rPr>
        <w:t xml:space="preserve">publicly, in </w:t>
      </w:r>
      <w:r w:rsidR="00035DD0" w:rsidRPr="00F31DD1">
        <w:rPr>
          <w:color w:val="000000" w:themeColor="text1"/>
          <w:lang w:val="en-US"/>
        </w:rPr>
        <w:t>print</w:t>
      </w:r>
      <w:r w:rsidR="00631CAB" w:rsidRPr="00F31DD1">
        <w:rPr>
          <w:color w:val="000000" w:themeColor="text1"/>
          <w:lang w:val="en-US"/>
        </w:rPr>
        <w:t>) to disbelieve in witchcraft</w:t>
      </w:r>
      <w:r w:rsidR="000B2750" w:rsidRPr="00F31DD1">
        <w:rPr>
          <w:color w:val="000000" w:themeColor="text1"/>
          <w:lang w:val="en-US"/>
        </w:rPr>
        <w:t xml:space="preserve">. </w:t>
      </w:r>
      <w:r w:rsidR="004649BE" w:rsidRPr="00F31DD1">
        <w:rPr>
          <w:color w:val="000000" w:themeColor="text1"/>
          <w:lang w:val="en-US"/>
        </w:rPr>
        <w:t>Witchcraft and witch trials were regarded as belonging to a previous age of irrationality, popular ignorance</w:t>
      </w:r>
      <w:r w:rsidR="00683FAB">
        <w:rPr>
          <w:color w:val="000000" w:themeColor="text1"/>
          <w:lang w:val="en-US"/>
        </w:rPr>
        <w:t>,</w:t>
      </w:r>
      <w:r w:rsidR="004649BE" w:rsidRPr="00F31DD1">
        <w:rPr>
          <w:color w:val="000000" w:themeColor="text1"/>
          <w:lang w:val="en-US"/>
        </w:rPr>
        <w:t xml:space="preserve"> and religious zeal</w:t>
      </w:r>
      <w:r w:rsidR="00035DD0" w:rsidRPr="00F31DD1">
        <w:rPr>
          <w:color w:val="000000" w:themeColor="text1"/>
          <w:lang w:val="en-US"/>
        </w:rPr>
        <w:t>;</w:t>
      </w:r>
      <w:r w:rsidR="006E4300" w:rsidRPr="00F31DD1">
        <w:rPr>
          <w:color w:val="000000" w:themeColor="text1"/>
          <w:lang w:val="en-US"/>
        </w:rPr>
        <w:t xml:space="preserve"> </w:t>
      </w:r>
      <w:r w:rsidR="00035DD0" w:rsidRPr="00F31DD1">
        <w:rPr>
          <w:color w:val="000000" w:themeColor="text1"/>
          <w:lang w:val="en-US"/>
        </w:rPr>
        <w:t>a</w:t>
      </w:r>
      <w:r w:rsidR="006E4300" w:rsidRPr="00F31DD1">
        <w:rPr>
          <w:color w:val="000000" w:themeColor="text1"/>
          <w:lang w:val="en-US"/>
        </w:rPr>
        <w:t xml:space="preserve">n era they believed </w:t>
      </w:r>
      <w:r w:rsidR="00035DD0" w:rsidRPr="00F31DD1">
        <w:rPr>
          <w:color w:val="000000" w:themeColor="text1"/>
          <w:lang w:val="en-US"/>
        </w:rPr>
        <w:t>contrasted</w:t>
      </w:r>
      <w:r w:rsidR="006E4300" w:rsidRPr="00F31DD1">
        <w:rPr>
          <w:color w:val="000000" w:themeColor="text1"/>
          <w:lang w:val="en-US"/>
        </w:rPr>
        <w:t xml:space="preserve"> sharply with present-day</w:t>
      </w:r>
      <w:r w:rsidR="004649BE" w:rsidRPr="00F31DD1">
        <w:rPr>
          <w:color w:val="000000" w:themeColor="text1"/>
          <w:lang w:val="en-US"/>
        </w:rPr>
        <w:t xml:space="preserve"> modern</w:t>
      </w:r>
      <w:r w:rsidR="006E4300" w:rsidRPr="00F31DD1">
        <w:rPr>
          <w:color w:val="000000" w:themeColor="text1"/>
          <w:lang w:val="en-US"/>
        </w:rPr>
        <w:t>ity</w:t>
      </w:r>
      <w:r w:rsidR="004649BE" w:rsidRPr="00F31DD1">
        <w:rPr>
          <w:color w:val="000000" w:themeColor="text1"/>
          <w:lang w:val="en-US"/>
        </w:rPr>
        <w:t xml:space="preserve"> </w:t>
      </w:r>
      <w:r w:rsidR="00683FAB">
        <w:rPr>
          <w:color w:val="000000" w:themeColor="text1"/>
          <w:lang w:val="en-US"/>
        </w:rPr>
        <w:t>with its hallmarks of</w:t>
      </w:r>
      <w:r w:rsidR="004649BE" w:rsidRPr="00F31DD1">
        <w:rPr>
          <w:color w:val="000000" w:themeColor="text1"/>
          <w:lang w:val="en-US"/>
        </w:rPr>
        <w:t xml:space="preserve"> rationality, scientific endeavor</w:t>
      </w:r>
      <w:r w:rsidR="00683FAB">
        <w:rPr>
          <w:color w:val="000000" w:themeColor="text1"/>
          <w:lang w:val="en-US"/>
        </w:rPr>
        <w:t>,</w:t>
      </w:r>
      <w:r w:rsidR="004649BE" w:rsidRPr="00F31DD1">
        <w:rPr>
          <w:color w:val="000000" w:themeColor="text1"/>
          <w:lang w:val="en-US"/>
        </w:rPr>
        <w:t xml:space="preserve"> and progress</w:t>
      </w:r>
      <w:r w:rsidR="006E4300" w:rsidRPr="00F31DD1">
        <w:rPr>
          <w:color w:val="000000" w:themeColor="text1"/>
          <w:lang w:val="en-US"/>
        </w:rPr>
        <w:t xml:space="preserve"> brought forth by the </w:t>
      </w:r>
      <w:r w:rsidR="004649BE" w:rsidRPr="00F31DD1">
        <w:rPr>
          <w:color w:val="000000" w:themeColor="text1"/>
          <w:lang w:val="en-US"/>
        </w:rPr>
        <w:t>Enlightenment</w:t>
      </w:r>
      <w:r w:rsidR="007B5165" w:rsidRPr="00F31DD1">
        <w:rPr>
          <w:color w:val="000000" w:themeColor="text1"/>
          <w:lang w:val="en-US"/>
        </w:rPr>
        <w:t xml:space="preserve"> (Sneddon 2015: 94</w:t>
      </w:r>
      <w:r w:rsidR="00683FAB">
        <w:rPr>
          <w:color w:val="000000" w:themeColor="text1"/>
          <w:lang w:val="en-US"/>
        </w:rPr>
        <w:t>–</w:t>
      </w:r>
      <w:r w:rsidR="007B5165" w:rsidRPr="00F31DD1">
        <w:rPr>
          <w:color w:val="000000" w:themeColor="text1"/>
          <w:lang w:val="en-US"/>
        </w:rPr>
        <w:t xml:space="preserve">123). </w:t>
      </w:r>
      <w:r w:rsidR="000B02E8" w:rsidRPr="00F31DD1">
        <w:rPr>
          <w:color w:val="000000" w:themeColor="text1"/>
          <w:lang w:val="en-US"/>
        </w:rPr>
        <w:t>Nineteenth</w:t>
      </w:r>
      <w:r w:rsidR="00683FAB">
        <w:rPr>
          <w:color w:val="000000" w:themeColor="text1"/>
          <w:lang w:val="en-US"/>
        </w:rPr>
        <w:t>-</w:t>
      </w:r>
      <w:r w:rsidR="000B02E8" w:rsidRPr="00F31DD1">
        <w:rPr>
          <w:color w:val="000000" w:themeColor="text1"/>
          <w:lang w:val="en-US"/>
        </w:rPr>
        <w:t xml:space="preserve"> and early twentieth</w:t>
      </w:r>
      <w:r w:rsidR="00683FAB">
        <w:rPr>
          <w:color w:val="000000" w:themeColor="text1"/>
          <w:lang w:val="en-US"/>
        </w:rPr>
        <w:t>-</w:t>
      </w:r>
      <w:r w:rsidR="000B02E8" w:rsidRPr="00F31DD1">
        <w:rPr>
          <w:color w:val="000000" w:themeColor="text1"/>
          <w:lang w:val="en-US"/>
        </w:rPr>
        <w:t>century j</w:t>
      </w:r>
      <w:r w:rsidR="007B5165" w:rsidRPr="00F31DD1">
        <w:rPr>
          <w:color w:val="000000" w:themeColor="text1"/>
          <w:lang w:val="en-US"/>
        </w:rPr>
        <w:t xml:space="preserve">ournalists and historians used </w:t>
      </w:r>
      <w:r w:rsidRPr="00F31DD1">
        <w:rPr>
          <w:color w:val="000000" w:themeColor="text1"/>
          <w:lang w:val="en-US"/>
        </w:rPr>
        <w:t xml:space="preserve">the </w:t>
      </w:r>
      <w:proofErr w:type="spellStart"/>
      <w:r w:rsidRPr="00F31DD1">
        <w:rPr>
          <w:color w:val="000000" w:themeColor="text1"/>
          <w:lang w:val="en-US"/>
        </w:rPr>
        <w:t>Islandmagee</w:t>
      </w:r>
      <w:proofErr w:type="spellEnd"/>
      <w:r w:rsidRPr="00F31DD1">
        <w:rPr>
          <w:color w:val="000000" w:themeColor="text1"/>
          <w:lang w:val="en-US"/>
        </w:rPr>
        <w:t xml:space="preserve"> witch</w:t>
      </w:r>
      <w:r w:rsidR="007B5165" w:rsidRPr="00F31DD1">
        <w:rPr>
          <w:color w:val="000000" w:themeColor="text1"/>
          <w:lang w:val="en-US"/>
        </w:rPr>
        <w:t xml:space="preserve"> </w:t>
      </w:r>
      <w:r w:rsidR="000B02E8" w:rsidRPr="00F31DD1">
        <w:rPr>
          <w:color w:val="000000" w:themeColor="text1"/>
          <w:lang w:val="en-US"/>
        </w:rPr>
        <w:t xml:space="preserve">to bolster this </w:t>
      </w:r>
      <w:r w:rsidRPr="00F31DD1">
        <w:rPr>
          <w:color w:val="000000" w:themeColor="text1"/>
          <w:lang w:val="en-US"/>
        </w:rPr>
        <w:t>narrative of Irish witchcraft, which at once questioned its reality while distancing Ireland from the legacy of early modern-European witch</w:t>
      </w:r>
      <w:r w:rsidR="00F31DD1" w:rsidRPr="00F31DD1">
        <w:rPr>
          <w:color w:val="000000" w:themeColor="text1"/>
          <w:lang w:val="en-US"/>
        </w:rPr>
        <w:t xml:space="preserve"> </w:t>
      </w:r>
      <w:r w:rsidRPr="00F31DD1">
        <w:rPr>
          <w:color w:val="000000" w:themeColor="text1"/>
          <w:lang w:val="en-US"/>
        </w:rPr>
        <w:t xml:space="preserve">hunting. </w:t>
      </w:r>
      <w:r w:rsidR="000B02E8" w:rsidRPr="00F31DD1">
        <w:rPr>
          <w:color w:val="000000" w:themeColor="text1"/>
          <w:lang w:val="en-US"/>
        </w:rPr>
        <w:t>In Irish provincial newspapers, no matter the editorial line taken, the</w:t>
      </w:r>
      <w:r w:rsidRPr="00F31DD1">
        <w:rPr>
          <w:color w:val="000000" w:themeColor="text1"/>
          <w:lang w:val="en-US"/>
        </w:rPr>
        <w:t xml:space="preserve"> </w:t>
      </w:r>
      <w:proofErr w:type="spellStart"/>
      <w:r w:rsidRPr="00F31DD1">
        <w:rPr>
          <w:color w:val="000000" w:themeColor="text1"/>
          <w:lang w:val="en-US"/>
        </w:rPr>
        <w:t>Islandmagee</w:t>
      </w:r>
      <w:proofErr w:type="spellEnd"/>
      <w:r w:rsidRPr="00F31DD1">
        <w:rPr>
          <w:color w:val="000000" w:themeColor="text1"/>
          <w:lang w:val="en-US"/>
        </w:rPr>
        <w:t xml:space="preserve"> case itself was explained away in enlightenment terms as an exceptional lapse of the Irish into the irrationality, zeal</w:t>
      </w:r>
      <w:r w:rsidR="007B5165" w:rsidRPr="00F31DD1">
        <w:rPr>
          <w:color w:val="000000" w:themeColor="text1"/>
          <w:lang w:val="en-US"/>
        </w:rPr>
        <w:t>otry</w:t>
      </w:r>
      <w:r w:rsidR="00683FAB">
        <w:rPr>
          <w:color w:val="000000" w:themeColor="text1"/>
          <w:lang w:val="en-US"/>
        </w:rPr>
        <w:t>,</w:t>
      </w:r>
      <w:r w:rsidR="007B5165" w:rsidRPr="00F31DD1">
        <w:rPr>
          <w:color w:val="000000" w:themeColor="text1"/>
          <w:lang w:val="en-US"/>
        </w:rPr>
        <w:t xml:space="preserve"> and ignorance</w:t>
      </w:r>
      <w:r w:rsidRPr="00F31DD1">
        <w:rPr>
          <w:color w:val="000000" w:themeColor="text1"/>
          <w:lang w:val="en-US"/>
        </w:rPr>
        <w:t xml:space="preserve"> that drove witch</w:t>
      </w:r>
      <w:r w:rsidR="00F31DD1" w:rsidRPr="00F31DD1">
        <w:rPr>
          <w:color w:val="000000" w:themeColor="text1"/>
          <w:lang w:val="en-US"/>
        </w:rPr>
        <w:t xml:space="preserve"> </w:t>
      </w:r>
      <w:r w:rsidRPr="00F31DD1">
        <w:rPr>
          <w:color w:val="000000" w:themeColor="text1"/>
          <w:lang w:val="en-US"/>
        </w:rPr>
        <w:t xml:space="preserve">hunts elsewhere in early modern Europe. </w:t>
      </w:r>
      <w:r w:rsidR="000B02E8" w:rsidRPr="00F31DD1">
        <w:rPr>
          <w:color w:val="000000" w:themeColor="text1"/>
          <w:lang w:val="en-US"/>
        </w:rPr>
        <w:t xml:space="preserve">This consensus is surprising given that </w:t>
      </w:r>
      <w:r w:rsidR="00710A8A" w:rsidRPr="00F31DD1">
        <w:rPr>
          <w:color w:val="000000" w:themeColor="text1"/>
          <w:lang w:val="en-US"/>
        </w:rPr>
        <w:t xml:space="preserve">Irish newspapers were increasingly </w:t>
      </w:r>
      <w:r w:rsidR="000B02E8" w:rsidRPr="00F31DD1">
        <w:rPr>
          <w:color w:val="000000" w:themeColor="text1"/>
          <w:lang w:val="en-US"/>
        </w:rPr>
        <w:t xml:space="preserve">polarized across </w:t>
      </w:r>
      <w:r w:rsidR="001A548D" w:rsidRPr="00F31DD1">
        <w:rPr>
          <w:color w:val="000000" w:themeColor="text1"/>
          <w:lang w:val="en-US"/>
        </w:rPr>
        <w:t>u</w:t>
      </w:r>
      <w:r w:rsidR="000B02E8" w:rsidRPr="00F31DD1">
        <w:rPr>
          <w:color w:val="000000" w:themeColor="text1"/>
          <w:lang w:val="en-US"/>
        </w:rPr>
        <w:t xml:space="preserve">nionist and </w:t>
      </w:r>
      <w:r w:rsidR="001A548D" w:rsidRPr="00F31DD1">
        <w:rPr>
          <w:color w:val="000000" w:themeColor="text1"/>
          <w:lang w:val="en-US"/>
        </w:rPr>
        <w:t>n</w:t>
      </w:r>
      <w:r w:rsidR="000B02E8" w:rsidRPr="00F31DD1">
        <w:rPr>
          <w:color w:val="000000" w:themeColor="text1"/>
          <w:lang w:val="en-US"/>
        </w:rPr>
        <w:t xml:space="preserve">ationalist lines, often catering for either a Protestant </w:t>
      </w:r>
      <w:r w:rsidR="001A548D" w:rsidRPr="00F31DD1">
        <w:rPr>
          <w:color w:val="000000" w:themeColor="text1"/>
          <w:lang w:val="en-US"/>
        </w:rPr>
        <w:t xml:space="preserve">and unionist </w:t>
      </w:r>
      <w:r w:rsidR="000B02E8" w:rsidRPr="00F31DD1">
        <w:rPr>
          <w:color w:val="000000" w:themeColor="text1"/>
          <w:lang w:val="en-US"/>
        </w:rPr>
        <w:t xml:space="preserve">or a Catholic and </w:t>
      </w:r>
      <w:r w:rsidR="001A548D" w:rsidRPr="00F31DD1">
        <w:rPr>
          <w:color w:val="000000" w:themeColor="text1"/>
          <w:lang w:val="en-US"/>
        </w:rPr>
        <w:t xml:space="preserve">nationalist </w:t>
      </w:r>
      <w:r w:rsidR="000B02E8" w:rsidRPr="00F31DD1">
        <w:rPr>
          <w:color w:val="000000" w:themeColor="text1"/>
          <w:lang w:val="en-US"/>
        </w:rPr>
        <w:t xml:space="preserve">readership. </w:t>
      </w:r>
      <w:r w:rsidR="00710A8A" w:rsidRPr="00F31DD1">
        <w:rPr>
          <w:color w:val="000000" w:themeColor="text1"/>
          <w:lang w:val="en-US"/>
        </w:rPr>
        <w:t xml:space="preserve">Irish </w:t>
      </w:r>
      <w:r w:rsidRPr="00F31DD1">
        <w:rPr>
          <w:color w:val="000000" w:themeColor="text1"/>
          <w:lang w:val="en-US"/>
        </w:rPr>
        <w:t xml:space="preserve">newspaper coverage </w:t>
      </w:r>
      <w:r w:rsidR="00710A8A" w:rsidRPr="00F31DD1">
        <w:rPr>
          <w:color w:val="000000" w:themeColor="text1"/>
          <w:lang w:val="en-US"/>
        </w:rPr>
        <w:t xml:space="preserve">of the 1711 trial </w:t>
      </w:r>
      <w:r w:rsidRPr="00F31DD1">
        <w:rPr>
          <w:color w:val="000000" w:themeColor="text1"/>
          <w:lang w:val="en-US"/>
        </w:rPr>
        <w:t>also tended to emphasi</w:t>
      </w:r>
      <w:r w:rsidR="00683FAB">
        <w:rPr>
          <w:color w:val="000000" w:themeColor="text1"/>
          <w:lang w:val="en-US"/>
        </w:rPr>
        <w:t>z</w:t>
      </w:r>
      <w:r w:rsidRPr="00F31DD1">
        <w:rPr>
          <w:color w:val="000000" w:themeColor="text1"/>
          <w:lang w:val="en-US"/>
        </w:rPr>
        <w:t>e the innocence, piety</w:t>
      </w:r>
      <w:r w:rsidR="00683FAB">
        <w:rPr>
          <w:color w:val="000000" w:themeColor="text1"/>
          <w:lang w:val="en-US"/>
        </w:rPr>
        <w:t>,</w:t>
      </w:r>
      <w:r w:rsidRPr="00F31DD1">
        <w:rPr>
          <w:color w:val="000000" w:themeColor="text1"/>
          <w:lang w:val="en-US"/>
        </w:rPr>
        <w:t xml:space="preserve"> and frailty of the female </w:t>
      </w:r>
      <w:proofErr w:type="spellStart"/>
      <w:r w:rsidRPr="00F31DD1">
        <w:rPr>
          <w:color w:val="000000" w:themeColor="text1"/>
          <w:lang w:val="en-US"/>
        </w:rPr>
        <w:t>Islandmagee</w:t>
      </w:r>
      <w:proofErr w:type="spellEnd"/>
      <w:r w:rsidRPr="00F31DD1">
        <w:rPr>
          <w:color w:val="000000" w:themeColor="text1"/>
          <w:lang w:val="en-US"/>
        </w:rPr>
        <w:t xml:space="preserve"> witches, in the face of insurmountable societal forces. Some placed their sufferings in the context of persecution by the Church and state, and by the mid</w:t>
      </w:r>
      <w:r w:rsidR="00683FAB">
        <w:rPr>
          <w:color w:val="000000" w:themeColor="text1"/>
          <w:lang w:val="en-US"/>
        </w:rPr>
        <w:t>-</w:t>
      </w:r>
      <w:r w:rsidRPr="00F31DD1">
        <w:rPr>
          <w:color w:val="000000" w:themeColor="text1"/>
          <w:lang w:val="en-US"/>
        </w:rPr>
        <w:t xml:space="preserve">twentieth century it was regarded as the product of professionally minded male doctors rooting out troublesome women who threatened their medical practice. </w:t>
      </w:r>
      <w:r w:rsidRPr="00F31DD1">
        <w:rPr>
          <w:rStyle w:val="apple-converted-space"/>
          <w:color w:val="000000" w:themeColor="text1"/>
          <w:lang w:val="en-US"/>
        </w:rPr>
        <w:t>More importantly,</w:t>
      </w:r>
      <w:r w:rsidRPr="00F31DD1">
        <w:rPr>
          <w:color w:val="000000" w:themeColor="text1"/>
          <w:lang w:val="en-US"/>
        </w:rPr>
        <w:t xml:space="preserve"> from the early nineteenth century onward, all discourse excluded William </w:t>
      </w:r>
      <w:proofErr w:type="spellStart"/>
      <w:r w:rsidRPr="00F31DD1">
        <w:rPr>
          <w:color w:val="000000" w:themeColor="text1"/>
          <w:lang w:val="en-US"/>
        </w:rPr>
        <w:t>Sellor</w:t>
      </w:r>
      <w:proofErr w:type="spellEnd"/>
      <w:r w:rsidRPr="00F31DD1">
        <w:rPr>
          <w:color w:val="000000" w:themeColor="text1"/>
          <w:lang w:val="en-US"/>
        </w:rPr>
        <w:t xml:space="preserve">, the only male </w:t>
      </w:r>
      <w:proofErr w:type="spellStart"/>
      <w:r w:rsidRPr="00F31DD1">
        <w:rPr>
          <w:color w:val="000000" w:themeColor="text1"/>
          <w:lang w:val="en-US"/>
        </w:rPr>
        <w:t>Islandmagee</w:t>
      </w:r>
      <w:proofErr w:type="spellEnd"/>
      <w:r w:rsidRPr="00F31DD1">
        <w:rPr>
          <w:color w:val="000000" w:themeColor="text1"/>
          <w:lang w:val="en-US"/>
        </w:rPr>
        <w:t xml:space="preserve"> witch, from their narratives. </w:t>
      </w:r>
      <w:r w:rsidR="0039736E" w:rsidRPr="00F31DD1">
        <w:rPr>
          <w:color w:val="000000" w:themeColor="text1"/>
          <w:lang w:val="en-US"/>
        </w:rPr>
        <w:t xml:space="preserve">It is impossible to state with certainty why </w:t>
      </w:r>
      <w:proofErr w:type="spellStart"/>
      <w:r w:rsidR="003D7679" w:rsidRPr="00F31DD1">
        <w:rPr>
          <w:color w:val="000000" w:themeColor="text1"/>
          <w:lang w:val="en-US"/>
        </w:rPr>
        <w:t>Sellor</w:t>
      </w:r>
      <w:proofErr w:type="spellEnd"/>
      <w:r w:rsidR="003D7679" w:rsidRPr="00F31DD1">
        <w:rPr>
          <w:color w:val="000000" w:themeColor="text1"/>
          <w:lang w:val="en-US"/>
        </w:rPr>
        <w:t xml:space="preserve"> was excluded. It could be that the more he was </w:t>
      </w:r>
      <w:r w:rsidR="005222BB" w:rsidRPr="00F31DD1">
        <w:rPr>
          <w:color w:val="000000" w:themeColor="text1"/>
          <w:lang w:val="en-US"/>
        </w:rPr>
        <w:t xml:space="preserve">excluded, </w:t>
      </w:r>
      <w:r w:rsidR="00A57551" w:rsidRPr="00F31DD1">
        <w:rPr>
          <w:color w:val="000000" w:themeColor="text1"/>
          <w:lang w:val="en-US"/>
        </w:rPr>
        <w:t>t</w:t>
      </w:r>
      <w:r w:rsidR="005222BB" w:rsidRPr="00F31DD1">
        <w:rPr>
          <w:color w:val="000000" w:themeColor="text1"/>
          <w:lang w:val="en-US"/>
        </w:rPr>
        <w:t>he more he was lost to histor</w:t>
      </w:r>
      <w:r w:rsidR="00A57551" w:rsidRPr="00F31DD1">
        <w:rPr>
          <w:color w:val="000000" w:themeColor="text1"/>
          <w:lang w:val="en-US"/>
        </w:rPr>
        <w:t>ians and journalist</w:t>
      </w:r>
      <w:r w:rsidR="002F1F1B" w:rsidRPr="00F31DD1">
        <w:rPr>
          <w:color w:val="000000" w:themeColor="text1"/>
          <w:lang w:val="en-US"/>
        </w:rPr>
        <w:t>s</w:t>
      </w:r>
      <w:r w:rsidR="005222BB" w:rsidRPr="00F31DD1">
        <w:rPr>
          <w:color w:val="000000" w:themeColor="text1"/>
          <w:lang w:val="en-US"/>
        </w:rPr>
        <w:t xml:space="preserve">. </w:t>
      </w:r>
      <w:r w:rsidR="005222BB" w:rsidRPr="00F31DD1">
        <w:rPr>
          <w:color w:val="000000" w:themeColor="text1"/>
          <w:lang w:val="en-US"/>
        </w:rPr>
        <w:lastRenderedPageBreak/>
        <w:t>However,</w:t>
      </w:r>
      <w:r w:rsidR="002F1F1B" w:rsidRPr="00F31DD1">
        <w:rPr>
          <w:color w:val="000000" w:themeColor="text1"/>
          <w:lang w:val="en-US"/>
        </w:rPr>
        <w:t xml:space="preserve"> his exclusion also served the </w:t>
      </w:r>
      <w:r w:rsidR="00A57551" w:rsidRPr="00F31DD1">
        <w:rPr>
          <w:color w:val="000000" w:themeColor="text1"/>
          <w:lang w:val="en-US"/>
        </w:rPr>
        <w:t xml:space="preserve">ideological concerns </w:t>
      </w:r>
      <w:r w:rsidR="002F1F1B" w:rsidRPr="00F31DD1">
        <w:rPr>
          <w:color w:val="000000" w:themeColor="text1"/>
          <w:lang w:val="en-US"/>
        </w:rPr>
        <w:t>of some commentators</w:t>
      </w:r>
      <w:r w:rsidR="00217B9F" w:rsidRPr="00F31DD1">
        <w:rPr>
          <w:color w:val="000000" w:themeColor="text1"/>
          <w:lang w:val="en-US"/>
        </w:rPr>
        <w:t>,</w:t>
      </w:r>
      <w:r w:rsidR="002F1F1B" w:rsidRPr="00F31DD1">
        <w:rPr>
          <w:color w:val="000000" w:themeColor="text1"/>
          <w:lang w:val="en-US"/>
        </w:rPr>
        <w:t xml:space="preserve"> in that</w:t>
      </w:r>
      <w:r w:rsidR="008E6E0C" w:rsidRPr="00F31DD1">
        <w:rPr>
          <w:color w:val="000000" w:themeColor="text1"/>
          <w:lang w:val="en-US"/>
        </w:rPr>
        <w:t xml:space="preserve"> male witches challenged</w:t>
      </w:r>
      <w:r w:rsidR="00A57551" w:rsidRPr="00F31DD1">
        <w:rPr>
          <w:color w:val="000000" w:themeColor="text1"/>
          <w:lang w:val="en-US"/>
        </w:rPr>
        <w:t xml:space="preserve"> the </w:t>
      </w:r>
      <w:r w:rsidRPr="00F31DD1">
        <w:rPr>
          <w:color w:val="000000" w:themeColor="text1"/>
          <w:lang w:val="en-US"/>
        </w:rPr>
        <w:t>gender stereotype</w:t>
      </w:r>
      <w:r w:rsidR="00217B9F" w:rsidRPr="00F31DD1">
        <w:rPr>
          <w:color w:val="000000" w:themeColor="text1"/>
          <w:lang w:val="en-US"/>
        </w:rPr>
        <w:t xml:space="preserve"> they wished to promulgate</w:t>
      </w:r>
      <w:r w:rsidR="00683FAB">
        <w:rPr>
          <w:color w:val="000000" w:themeColor="text1"/>
          <w:lang w:val="en-US"/>
        </w:rPr>
        <w:t>:</w:t>
      </w:r>
      <w:r w:rsidR="00217B9F" w:rsidRPr="00F31DD1">
        <w:rPr>
          <w:color w:val="000000" w:themeColor="text1"/>
          <w:lang w:val="en-US"/>
        </w:rPr>
        <w:t xml:space="preserve"> that witches and witchcraft were exclusively </w:t>
      </w:r>
      <w:r w:rsidRPr="00F31DD1">
        <w:rPr>
          <w:color w:val="000000" w:themeColor="text1"/>
          <w:lang w:val="en-US"/>
        </w:rPr>
        <w:t>female</w:t>
      </w:r>
      <w:r w:rsidR="00E0095E" w:rsidRPr="00F31DD1">
        <w:rPr>
          <w:color w:val="000000" w:themeColor="text1"/>
          <w:lang w:val="en-US"/>
        </w:rPr>
        <w:t xml:space="preserve">. </w:t>
      </w:r>
      <w:r w:rsidR="00ED1EFF" w:rsidRPr="00F31DD1">
        <w:rPr>
          <w:color w:val="000000" w:themeColor="text1"/>
          <w:lang w:val="en-US"/>
        </w:rPr>
        <w:t xml:space="preserve">As this treatment of William </w:t>
      </w:r>
      <w:proofErr w:type="spellStart"/>
      <w:r w:rsidR="00ED1EFF" w:rsidRPr="00F31DD1">
        <w:rPr>
          <w:color w:val="000000" w:themeColor="text1"/>
          <w:lang w:val="en-US"/>
        </w:rPr>
        <w:t>Sellor</w:t>
      </w:r>
      <w:proofErr w:type="spellEnd"/>
      <w:r w:rsidR="00ED1EFF" w:rsidRPr="00F31DD1">
        <w:rPr>
          <w:color w:val="000000" w:themeColor="text1"/>
          <w:lang w:val="en-US"/>
        </w:rPr>
        <w:t xml:space="preserve"> suggest</w:t>
      </w:r>
      <w:r w:rsidR="00042B63" w:rsidRPr="00F31DD1">
        <w:rPr>
          <w:color w:val="000000" w:themeColor="text1"/>
          <w:lang w:val="en-US"/>
        </w:rPr>
        <w:t>s</w:t>
      </w:r>
      <w:r w:rsidR="00ED1EFF" w:rsidRPr="00F31DD1">
        <w:rPr>
          <w:color w:val="000000" w:themeColor="text1"/>
          <w:lang w:val="en-US"/>
        </w:rPr>
        <w:t xml:space="preserve">, cultural representations in this period were highly gendered. They also deprived </w:t>
      </w:r>
      <w:r w:rsidR="00683FAB">
        <w:rPr>
          <w:color w:val="000000" w:themeColor="text1"/>
          <w:lang w:val="en-US"/>
        </w:rPr>
        <w:t>women</w:t>
      </w:r>
      <w:r w:rsidR="00683FAB" w:rsidRPr="00F31DD1">
        <w:rPr>
          <w:color w:val="000000" w:themeColor="text1"/>
          <w:lang w:val="en-US"/>
        </w:rPr>
        <w:t xml:space="preserve"> </w:t>
      </w:r>
      <w:r w:rsidR="00ED1EFF" w:rsidRPr="00F31DD1">
        <w:rPr>
          <w:color w:val="000000" w:themeColor="text1"/>
          <w:lang w:val="en-US"/>
        </w:rPr>
        <w:t>of the agency</w:t>
      </w:r>
      <w:r w:rsidR="00EE462F" w:rsidRPr="00F31DD1">
        <w:rPr>
          <w:color w:val="000000" w:themeColor="text1"/>
          <w:lang w:val="en-US"/>
        </w:rPr>
        <w:t xml:space="preserve"> (described above) they </w:t>
      </w:r>
      <w:r w:rsidR="00ED1EFF" w:rsidRPr="00F31DD1">
        <w:rPr>
          <w:color w:val="000000" w:themeColor="text1"/>
          <w:lang w:val="en-US"/>
        </w:rPr>
        <w:t>demonstrated in their everyday lives</w:t>
      </w:r>
      <w:r w:rsidR="00E1672F" w:rsidRPr="00F31DD1">
        <w:rPr>
          <w:color w:val="000000" w:themeColor="text1"/>
          <w:lang w:val="en-US"/>
        </w:rPr>
        <w:t xml:space="preserve"> against the restrictions of normative femininity</w:t>
      </w:r>
      <w:r w:rsidR="00ED1EFF" w:rsidRPr="00F31DD1">
        <w:rPr>
          <w:color w:val="000000" w:themeColor="text1"/>
          <w:lang w:val="en-US"/>
        </w:rPr>
        <w:t xml:space="preserve"> and during the</w:t>
      </w:r>
      <w:r w:rsidR="00E0095E" w:rsidRPr="00F31DD1">
        <w:rPr>
          <w:color w:val="000000" w:themeColor="text1"/>
          <w:lang w:val="en-US"/>
        </w:rPr>
        <w:t>ir</w:t>
      </w:r>
      <w:r w:rsidR="00ED1EFF" w:rsidRPr="00F31DD1">
        <w:rPr>
          <w:color w:val="000000" w:themeColor="text1"/>
          <w:lang w:val="en-US"/>
        </w:rPr>
        <w:t xml:space="preserve"> pro</w:t>
      </w:r>
      <w:r w:rsidR="00E0095E" w:rsidRPr="00F31DD1">
        <w:rPr>
          <w:color w:val="000000" w:themeColor="text1"/>
          <w:lang w:val="en-US"/>
        </w:rPr>
        <w:t>secution for witchcraft</w:t>
      </w:r>
      <w:r w:rsidR="00ED1EFF" w:rsidRPr="00F31DD1">
        <w:rPr>
          <w:color w:val="000000" w:themeColor="text1"/>
          <w:lang w:val="en-US"/>
        </w:rPr>
        <w:t>.</w:t>
      </w:r>
      <w:r w:rsidR="00FB021A" w:rsidRPr="00F31DD1">
        <w:rPr>
          <w:color w:val="000000" w:themeColor="text1"/>
          <w:lang w:val="en-US"/>
        </w:rPr>
        <w:t xml:space="preserve"> They were not gentle or weak</w:t>
      </w:r>
      <w:r w:rsidR="006A29AE" w:rsidRPr="00F31DD1">
        <w:rPr>
          <w:color w:val="000000" w:themeColor="text1"/>
          <w:lang w:val="en-US"/>
        </w:rPr>
        <w:t>:</w:t>
      </w:r>
      <w:r w:rsidR="00FB021A" w:rsidRPr="00F31DD1">
        <w:rPr>
          <w:color w:val="000000" w:themeColor="text1"/>
          <w:lang w:val="en-US"/>
        </w:rPr>
        <w:t xml:space="preserve"> they fought back with what limited social or political capital they had in terrible circumstances.</w:t>
      </w:r>
      <w:r w:rsidR="00ED1EFF" w:rsidRPr="00F31DD1">
        <w:rPr>
          <w:color w:val="000000" w:themeColor="text1"/>
          <w:lang w:val="en-US"/>
        </w:rPr>
        <w:t xml:space="preserve"> </w:t>
      </w:r>
      <w:r w:rsidRPr="00F31DD1">
        <w:rPr>
          <w:color w:val="000000" w:themeColor="text1"/>
          <w:lang w:val="en-US"/>
        </w:rPr>
        <w:t xml:space="preserve">The </w:t>
      </w:r>
      <w:proofErr w:type="spellStart"/>
      <w:r w:rsidRPr="00F31DD1">
        <w:rPr>
          <w:color w:val="000000" w:themeColor="text1"/>
          <w:lang w:val="en-US"/>
        </w:rPr>
        <w:t>Islandmagee</w:t>
      </w:r>
      <w:proofErr w:type="spellEnd"/>
      <w:r w:rsidRPr="00F31DD1">
        <w:rPr>
          <w:color w:val="000000" w:themeColor="text1"/>
          <w:lang w:val="en-US"/>
        </w:rPr>
        <w:t xml:space="preserve"> women </w:t>
      </w:r>
      <w:r w:rsidR="006A29AE" w:rsidRPr="00F31DD1">
        <w:rPr>
          <w:color w:val="000000" w:themeColor="text1"/>
          <w:lang w:val="en-US"/>
        </w:rPr>
        <w:t xml:space="preserve">however </w:t>
      </w:r>
      <w:r w:rsidRPr="00F31DD1">
        <w:rPr>
          <w:color w:val="000000" w:themeColor="text1"/>
          <w:lang w:val="en-US"/>
        </w:rPr>
        <w:t>were portrayed as worthy of pity because they were pious, innocent, weak</w:t>
      </w:r>
      <w:r w:rsidR="00683FAB">
        <w:rPr>
          <w:color w:val="000000" w:themeColor="text1"/>
          <w:lang w:val="en-US"/>
        </w:rPr>
        <w:t>,</w:t>
      </w:r>
      <w:r w:rsidRPr="00F31DD1">
        <w:rPr>
          <w:color w:val="000000" w:themeColor="text1"/>
          <w:lang w:val="en-US"/>
        </w:rPr>
        <w:t xml:space="preserve"> pli</w:t>
      </w:r>
      <w:r w:rsidR="006A29AE" w:rsidRPr="00F31DD1">
        <w:rPr>
          <w:color w:val="000000" w:themeColor="text1"/>
          <w:lang w:val="en-US"/>
        </w:rPr>
        <w:t>a</w:t>
      </w:r>
      <w:r w:rsidRPr="00F31DD1">
        <w:rPr>
          <w:color w:val="000000" w:themeColor="text1"/>
          <w:lang w:val="en-US"/>
        </w:rPr>
        <w:t>nt</w:t>
      </w:r>
      <w:r w:rsidR="00683FAB">
        <w:rPr>
          <w:color w:val="000000" w:themeColor="text1"/>
          <w:lang w:val="en-US"/>
        </w:rPr>
        <w:t>,</w:t>
      </w:r>
      <w:r w:rsidRPr="00F31DD1">
        <w:rPr>
          <w:color w:val="000000" w:themeColor="text1"/>
          <w:lang w:val="en-US"/>
        </w:rPr>
        <w:t xml:space="preserve"> and helpless in the face of the individuals, institutions</w:t>
      </w:r>
      <w:r w:rsidR="00683FAB">
        <w:rPr>
          <w:color w:val="000000" w:themeColor="text1"/>
          <w:lang w:val="en-US"/>
        </w:rPr>
        <w:t>,</w:t>
      </w:r>
      <w:r w:rsidRPr="00F31DD1">
        <w:rPr>
          <w:color w:val="000000" w:themeColor="text1"/>
          <w:lang w:val="en-US"/>
        </w:rPr>
        <w:t xml:space="preserve"> and power structures that were ranged against them (Sneddon 2019: 261</w:t>
      </w:r>
      <w:r w:rsidR="00683FAB">
        <w:rPr>
          <w:color w:val="000000" w:themeColor="text1"/>
          <w:lang w:val="en-US"/>
        </w:rPr>
        <w:t>–6</w:t>
      </w:r>
      <w:r w:rsidRPr="00F31DD1">
        <w:rPr>
          <w:color w:val="000000" w:themeColor="text1"/>
          <w:lang w:val="en-US"/>
        </w:rPr>
        <w:t xml:space="preserve">3). This aspect of </w:t>
      </w:r>
      <w:r w:rsidR="006A29AE" w:rsidRPr="00F31DD1">
        <w:rPr>
          <w:color w:val="000000" w:themeColor="text1"/>
          <w:lang w:val="en-US"/>
        </w:rPr>
        <w:t xml:space="preserve">the </w:t>
      </w:r>
      <w:proofErr w:type="spellStart"/>
      <w:r w:rsidRPr="00F31DD1">
        <w:rPr>
          <w:color w:val="000000" w:themeColor="text1"/>
          <w:lang w:val="en-US"/>
        </w:rPr>
        <w:t>Islandmagee</w:t>
      </w:r>
      <w:proofErr w:type="spellEnd"/>
      <w:r w:rsidRPr="00F31DD1">
        <w:rPr>
          <w:color w:val="000000" w:themeColor="text1"/>
          <w:lang w:val="en-US"/>
        </w:rPr>
        <w:t xml:space="preserve"> witch trials (along with the prosecution of William </w:t>
      </w:r>
      <w:proofErr w:type="spellStart"/>
      <w:r w:rsidRPr="00F31DD1">
        <w:rPr>
          <w:color w:val="000000" w:themeColor="text1"/>
          <w:lang w:val="en-US"/>
        </w:rPr>
        <w:t>Sellor</w:t>
      </w:r>
      <w:proofErr w:type="spellEnd"/>
      <w:r w:rsidRPr="00F31DD1">
        <w:rPr>
          <w:color w:val="000000" w:themeColor="text1"/>
          <w:lang w:val="en-US"/>
        </w:rPr>
        <w:t xml:space="preserve">) reminds us that although early modern society (including Irish society) was patriarchal and that male privilege was justified in </w:t>
      </w:r>
      <w:r w:rsidR="00683FAB">
        <w:rPr>
          <w:color w:val="000000" w:themeColor="text1"/>
          <w:lang w:val="en-US"/>
        </w:rPr>
        <w:t>b</w:t>
      </w:r>
      <w:r w:rsidRPr="00F31DD1">
        <w:rPr>
          <w:color w:val="000000" w:themeColor="text1"/>
          <w:lang w:val="en-US"/>
        </w:rPr>
        <w:t>iblical exegesis, expounded in medical theory, codified in law, and a fundamental part of social practice, we need also to take account of women’s agency and resistance and of “men’s varied access to patriarchal privilege, on the basis of age, social status, marital status and ethnic identity” (Shepard 2017: 331).</w:t>
      </w:r>
    </w:p>
    <w:p w14:paraId="286E5360" w14:textId="2B81563A" w:rsidR="00955AFB" w:rsidRPr="00F31DD1" w:rsidRDefault="00955AFB" w:rsidP="0058637A">
      <w:pPr>
        <w:spacing w:line="480" w:lineRule="auto"/>
        <w:rPr>
          <w:color w:val="000000" w:themeColor="text1"/>
          <w:lang w:val="en-US"/>
        </w:rPr>
      </w:pPr>
    </w:p>
    <w:p w14:paraId="7805B9D1" w14:textId="2B2FF21C" w:rsidR="00857E8E" w:rsidRPr="00683FAB" w:rsidRDefault="00683FAB" w:rsidP="0058637A">
      <w:pPr>
        <w:spacing w:line="480" w:lineRule="auto"/>
        <w:rPr>
          <w:color w:val="000000" w:themeColor="text1"/>
          <w:lang w:val="en-US"/>
        </w:rPr>
      </w:pPr>
      <w:r w:rsidRPr="00683FAB">
        <w:rPr>
          <w:color w:val="000000" w:themeColor="text1"/>
          <w:lang w:val="en-US"/>
        </w:rPr>
        <w:t>&lt;1&gt;</w:t>
      </w:r>
      <w:r w:rsidR="00857E8E" w:rsidRPr="00683FAB">
        <w:rPr>
          <w:color w:val="000000" w:themeColor="text1"/>
          <w:lang w:val="en-US"/>
        </w:rPr>
        <w:t xml:space="preserve">Public History and the </w:t>
      </w:r>
      <w:proofErr w:type="spellStart"/>
      <w:r w:rsidR="00857E8E" w:rsidRPr="00683FAB">
        <w:rPr>
          <w:color w:val="000000" w:themeColor="text1"/>
          <w:lang w:val="en-US"/>
        </w:rPr>
        <w:t>Islandmagee</w:t>
      </w:r>
      <w:proofErr w:type="spellEnd"/>
      <w:r w:rsidR="00857E8E" w:rsidRPr="00683FAB">
        <w:rPr>
          <w:color w:val="000000" w:themeColor="text1"/>
          <w:lang w:val="en-US"/>
        </w:rPr>
        <w:t xml:space="preserve"> Witches </w:t>
      </w:r>
    </w:p>
    <w:p w14:paraId="42217856" w14:textId="126D1748" w:rsidR="00C76030" w:rsidRPr="00F31DD1" w:rsidRDefault="00857E8E" w:rsidP="00EC31F2">
      <w:pPr>
        <w:spacing w:line="480" w:lineRule="auto"/>
        <w:rPr>
          <w:color w:val="000000" w:themeColor="text1"/>
          <w:lang w:val="en-US"/>
        </w:rPr>
      </w:pPr>
      <w:r w:rsidRPr="00F31DD1">
        <w:rPr>
          <w:color w:val="000000" w:themeColor="text1"/>
          <w:lang w:val="en-US"/>
        </w:rPr>
        <w:t>The third</w:t>
      </w:r>
      <w:r w:rsidR="00955AFB" w:rsidRPr="00F31DD1">
        <w:rPr>
          <w:color w:val="000000" w:themeColor="text1"/>
          <w:lang w:val="en-US"/>
        </w:rPr>
        <w:t>,</w:t>
      </w:r>
      <w:r w:rsidRPr="00F31DD1">
        <w:rPr>
          <w:color w:val="000000" w:themeColor="text1"/>
          <w:lang w:val="en-US"/>
        </w:rPr>
        <w:t xml:space="preserve"> public</w:t>
      </w:r>
      <w:r w:rsidR="00683FAB">
        <w:rPr>
          <w:color w:val="000000" w:themeColor="text1"/>
          <w:lang w:val="en-US"/>
        </w:rPr>
        <w:t>-</w:t>
      </w:r>
      <w:r w:rsidRPr="00F31DD1">
        <w:rPr>
          <w:color w:val="000000" w:themeColor="text1"/>
          <w:lang w:val="en-US"/>
        </w:rPr>
        <w:t xml:space="preserve">history phase of the project began after the </w:t>
      </w:r>
      <w:r w:rsidR="00955AFB" w:rsidRPr="00F31DD1">
        <w:rPr>
          <w:color w:val="000000" w:themeColor="text1"/>
          <w:lang w:val="en-US"/>
        </w:rPr>
        <w:t>launch of</w:t>
      </w:r>
      <w:r w:rsidR="00670122" w:rsidRPr="00F31DD1">
        <w:rPr>
          <w:color w:val="000000" w:themeColor="text1"/>
          <w:lang w:val="en-US"/>
        </w:rPr>
        <w:t xml:space="preserve"> </w:t>
      </w:r>
      <w:r w:rsidRPr="00F31DD1">
        <w:rPr>
          <w:i/>
          <w:iCs/>
          <w:color w:val="000000" w:themeColor="text1"/>
          <w:lang w:val="en-US"/>
        </w:rPr>
        <w:t>Possessed by the Devil</w:t>
      </w:r>
      <w:r w:rsidRPr="00F31DD1">
        <w:rPr>
          <w:color w:val="000000" w:themeColor="text1"/>
          <w:lang w:val="en-US"/>
        </w:rPr>
        <w:t xml:space="preserve"> in 2013</w:t>
      </w:r>
      <w:r w:rsidR="00955AFB" w:rsidRPr="00F31DD1">
        <w:rPr>
          <w:color w:val="000000" w:themeColor="text1"/>
          <w:lang w:val="en-US"/>
        </w:rPr>
        <w:t>, which was widely</w:t>
      </w:r>
      <w:r w:rsidRPr="00F31DD1">
        <w:rPr>
          <w:color w:val="000000" w:themeColor="text1"/>
          <w:lang w:val="en-US"/>
        </w:rPr>
        <w:t xml:space="preserve"> reported on Northern Irish radio and in newspapers</w:t>
      </w:r>
      <w:r w:rsidR="00355811" w:rsidRPr="00F31DD1">
        <w:rPr>
          <w:color w:val="000000" w:themeColor="text1"/>
          <w:lang w:val="en-US"/>
        </w:rPr>
        <w:t>.</w:t>
      </w:r>
      <w:r w:rsidRPr="00F31DD1">
        <w:rPr>
          <w:rStyle w:val="EndnoteReference"/>
          <w:color w:val="000000" w:themeColor="text1"/>
          <w:lang w:val="en-US"/>
        </w:rPr>
        <w:endnoteReference w:id="18"/>
      </w:r>
      <w:r w:rsidRPr="00F31DD1">
        <w:rPr>
          <w:color w:val="000000" w:themeColor="text1"/>
          <w:lang w:val="en-US"/>
        </w:rPr>
        <w:t xml:space="preserve"> </w:t>
      </w:r>
      <w:r w:rsidR="00167FE2" w:rsidRPr="00F31DD1">
        <w:rPr>
          <w:color w:val="000000" w:themeColor="text1"/>
          <w:lang w:val="en-US"/>
        </w:rPr>
        <w:t xml:space="preserve">This </w:t>
      </w:r>
      <w:r w:rsidR="00F964C2" w:rsidRPr="00F31DD1">
        <w:rPr>
          <w:color w:val="000000" w:themeColor="text1"/>
          <w:lang w:val="en-US"/>
        </w:rPr>
        <w:t xml:space="preserve">part of the project straddled </w:t>
      </w:r>
      <w:r w:rsidR="00F6247E" w:rsidRPr="00F31DD1">
        <w:rPr>
          <w:color w:val="000000" w:themeColor="text1"/>
          <w:lang w:val="en-US"/>
        </w:rPr>
        <w:t xml:space="preserve">two </w:t>
      </w:r>
      <w:r w:rsidRPr="00F31DD1">
        <w:rPr>
          <w:color w:val="000000" w:themeColor="text1"/>
          <w:lang w:val="en-US"/>
        </w:rPr>
        <w:t>different interpretations of public history, between</w:t>
      </w:r>
      <w:r w:rsidR="002E682D" w:rsidRPr="00F31DD1">
        <w:rPr>
          <w:color w:val="000000" w:themeColor="text1"/>
          <w:lang w:val="en-US"/>
        </w:rPr>
        <w:t xml:space="preserve"> one</w:t>
      </w:r>
      <w:r w:rsidRPr="00F31DD1">
        <w:rPr>
          <w:color w:val="000000" w:themeColor="text1"/>
          <w:lang w:val="en-US"/>
        </w:rPr>
        <w:t xml:space="preserve"> where it is “based on the form and nature of transmission of historical knowledge to wider audiences” and </w:t>
      </w:r>
      <w:r w:rsidR="00167FE2" w:rsidRPr="00F31DD1">
        <w:rPr>
          <w:color w:val="000000" w:themeColor="text1"/>
          <w:lang w:val="en-US"/>
        </w:rPr>
        <w:t xml:space="preserve">another </w:t>
      </w:r>
      <w:r w:rsidRPr="00F31DD1">
        <w:rPr>
          <w:color w:val="000000" w:themeColor="text1"/>
          <w:lang w:val="en-US"/>
        </w:rPr>
        <w:t xml:space="preserve">where the public participatory element </w:t>
      </w:r>
      <w:r w:rsidR="001E6775" w:rsidRPr="00F31DD1">
        <w:rPr>
          <w:color w:val="000000" w:themeColor="text1"/>
          <w:lang w:val="en-US"/>
        </w:rPr>
        <w:t>is</w:t>
      </w:r>
      <w:r w:rsidRPr="00F31DD1">
        <w:rPr>
          <w:color w:val="000000" w:themeColor="text1"/>
          <w:lang w:val="en-US"/>
        </w:rPr>
        <w:t xml:space="preserve"> greater </w:t>
      </w:r>
      <w:r w:rsidR="002D0927" w:rsidRPr="00F31DD1">
        <w:rPr>
          <w:color w:val="000000" w:themeColor="text1"/>
          <w:lang w:val="en-US"/>
        </w:rPr>
        <w:t>and</w:t>
      </w:r>
      <w:r w:rsidRPr="00F31DD1">
        <w:rPr>
          <w:color w:val="000000" w:themeColor="text1"/>
          <w:lang w:val="en-US"/>
        </w:rPr>
        <w:t xml:space="preserve"> all parties involved, including professional historians, become agents of historical creation (Kean 2010: 25, 26</w:t>
      </w:r>
      <w:r w:rsidR="00F964C2" w:rsidRPr="00F31DD1">
        <w:rPr>
          <w:color w:val="000000" w:themeColor="text1"/>
          <w:lang w:val="en-US"/>
        </w:rPr>
        <w:t xml:space="preserve">). </w:t>
      </w:r>
      <w:r w:rsidR="00FE41BD" w:rsidRPr="00F31DD1">
        <w:rPr>
          <w:color w:val="000000" w:themeColor="text1"/>
          <w:lang w:val="en-US"/>
        </w:rPr>
        <w:t xml:space="preserve">Dissemination of </w:t>
      </w:r>
      <w:r w:rsidR="00943F73">
        <w:rPr>
          <w:color w:val="000000" w:themeColor="text1"/>
          <w:lang w:val="en-US"/>
        </w:rPr>
        <w:t xml:space="preserve">my </w:t>
      </w:r>
      <w:r w:rsidR="00FE41BD" w:rsidRPr="00F31DD1">
        <w:rPr>
          <w:color w:val="000000" w:themeColor="text1"/>
          <w:lang w:val="en-US"/>
        </w:rPr>
        <w:t xml:space="preserve">historical research was </w:t>
      </w:r>
      <w:r w:rsidR="00A973BF" w:rsidRPr="00F31DD1">
        <w:rPr>
          <w:color w:val="000000" w:themeColor="text1"/>
          <w:lang w:val="en-US"/>
        </w:rPr>
        <w:t xml:space="preserve">conducted </w:t>
      </w:r>
      <w:r w:rsidR="00FE41BD" w:rsidRPr="00F31DD1">
        <w:rPr>
          <w:color w:val="000000" w:themeColor="text1"/>
          <w:lang w:val="en-US"/>
        </w:rPr>
        <w:t xml:space="preserve">through talks and public lectures for </w:t>
      </w:r>
      <w:r w:rsidR="00F964C2" w:rsidRPr="00F31DD1">
        <w:rPr>
          <w:color w:val="000000" w:themeColor="text1"/>
          <w:lang w:val="en-US"/>
        </w:rPr>
        <w:lastRenderedPageBreak/>
        <w:t>heritage, educational, and community groups</w:t>
      </w:r>
      <w:r w:rsidR="000D032D" w:rsidRPr="00F31DD1">
        <w:rPr>
          <w:color w:val="000000" w:themeColor="text1"/>
          <w:lang w:val="en-US"/>
        </w:rPr>
        <w:t xml:space="preserve"> in</w:t>
      </w:r>
      <w:r w:rsidR="00C76030" w:rsidRPr="00F31DD1">
        <w:rPr>
          <w:color w:val="000000" w:themeColor="text1"/>
          <w:lang w:val="en-US"/>
        </w:rPr>
        <w:t xml:space="preserve"> </w:t>
      </w:r>
      <w:r w:rsidR="00FE41BD" w:rsidRPr="00F31DD1">
        <w:rPr>
          <w:color w:val="000000" w:themeColor="text1"/>
          <w:lang w:val="en-US"/>
        </w:rPr>
        <w:t>the</w:t>
      </w:r>
      <w:r w:rsidR="000D032D" w:rsidRPr="00F31DD1">
        <w:rPr>
          <w:color w:val="000000" w:themeColor="text1"/>
          <w:lang w:val="en-US"/>
        </w:rPr>
        <w:t xml:space="preserve"> Republic</w:t>
      </w:r>
      <w:r w:rsidR="00FE41BD" w:rsidRPr="00F31DD1">
        <w:rPr>
          <w:color w:val="000000" w:themeColor="text1"/>
          <w:lang w:val="en-US"/>
        </w:rPr>
        <w:t xml:space="preserve"> of Ireland</w:t>
      </w:r>
      <w:r w:rsidR="000D032D" w:rsidRPr="00F31DD1">
        <w:rPr>
          <w:color w:val="000000" w:themeColor="text1"/>
          <w:lang w:val="en-US"/>
        </w:rPr>
        <w:t xml:space="preserve"> and in Northern Ireland</w:t>
      </w:r>
      <w:r w:rsidR="002E682D" w:rsidRPr="00F31DD1">
        <w:rPr>
          <w:color w:val="000000" w:themeColor="text1"/>
          <w:lang w:val="en-US"/>
        </w:rPr>
        <w:t xml:space="preserve">. </w:t>
      </w:r>
      <w:r w:rsidR="00943F73">
        <w:rPr>
          <w:color w:val="000000" w:themeColor="text1"/>
          <w:lang w:val="en-US"/>
        </w:rPr>
        <w:t xml:space="preserve">I </w:t>
      </w:r>
      <w:r w:rsidR="00A973BF" w:rsidRPr="00F31DD1">
        <w:rPr>
          <w:color w:val="000000" w:themeColor="text1"/>
          <w:lang w:val="en-US"/>
        </w:rPr>
        <w:t>also</w:t>
      </w:r>
      <w:r w:rsidR="002E682D" w:rsidRPr="00F31DD1">
        <w:rPr>
          <w:color w:val="000000" w:themeColor="text1"/>
          <w:lang w:val="en-US"/>
        </w:rPr>
        <w:t xml:space="preserve"> responded to requests from writers, directors</w:t>
      </w:r>
      <w:r w:rsidR="00E208D0">
        <w:rPr>
          <w:color w:val="000000" w:themeColor="text1"/>
          <w:lang w:val="en-US"/>
        </w:rPr>
        <w:t>,</w:t>
      </w:r>
      <w:r w:rsidR="002E682D" w:rsidRPr="00F31DD1">
        <w:rPr>
          <w:color w:val="000000" w:themeColor="text1"/>
          <w:lang w:val="en-US"/>
        </w:rPr>
        <w:t xml:space="preserve"> and production companies to work with them on movie scripts, radio</w:t>
      </w:r>
      <w:r w:rsidR="00E208D0">
        <w:rPr>
          <w:color w:val="000000" w:themeColor="text1"/>
          <w:lang w:val="en-US"/>
        </w:rPr>
        <w:t>,</w:t>
      </w:r>
      <w:r w:rsidR="002E682D" w:rsidRPr="00F31DD1">
        <w:rPr>
          <w:color w:val="000000" w:themeColor="text1"/>
          <w:lang w:val="en-US"/>
        </w:rPr>
        <w:t xml:space="preserve"> and television projects relating to the </w:t>
      </w:r>
      <w:proofErr w:type="spellStart"/>
      <w:r w:rsidR="002E682D" w:rsidRPr="00F31DD1">
        <w:rPr>
          <w:color w:val="000000" w:themeColor="text1"/>
          <w:lang w:val="en-US"/>
        </w:rPr>
        <w:t>Islandmagee</w:t>
      </w:r>
      <w:proofErr w:type="spellEnd"/>
      <w:r w:rsidR="002E682D" w:rsidRPr="00F31DD1">
        <w:rPr>
          <w:color w:val="000000" w:themeColor="text1"/>
          <w:lang w:val="en-US"/>
        </w:rPr>
        <w:t xml:space="preserve"> witches. </w:t>
      </w:r>
      <w:r w:rsidR="00C24BD8" w:rsidRPr="00F31DD1">
        <w:rPr>
          <w:color w:val="000000" w:themeColor="text1"/>
          <w:lang w:val="en-US"/>
        </w:rPr>
        <w:t xml:space="preserve">Both approaches took </w:t>
      </w:r>
      <w:r w:rsidR="00943F73">
        <w:rPr>
          <w:color w:val="000000" w:themeColor="text1"/>
          <w:lang w:val="en-US"/>
        </w:rPr>
        <w:t>my</w:t>
      </w:r>
      <w:r w:rsidR="00943F73" w:rsidRPr="00F31DD1">
        <w:rPr>
          <w:color w:val="000000" w:themeColor="text1"/>
          <w:lang w:val="en-US"/>
        </w:rPr>
        <w:t xml:space="preserve"> </w:t>
      </w:r>
      <w:r w:rsidR="00C24BD8" w:rsidRPr="00F31DD1">
        <w:rPr>
          <w:color w:val="000000" w:themeColor="text1"/>
          <w:lang w:val="en-US"/>
        </w:rPr>
        <w:t xml:space="preserve">historical research to larger audiences, but the latter </w:t>
      </w:r>
      <w:r w:rsidR="002E682D" w:rsidRPr="00F31DD1">
        <w:rPr>
          <w:color w:val="000000" w:themeColor="text1"/>
          <w:lang w:val="en-US"/>
        </w:rPr>
        <w:t xml:space="preserve">was </w:t>
      </w:r>
      <w:r w:rsidR="000D032D" w:rsidRPr="00F31DD1">
        <w:rPr>
          <w:color w:val="000000" w:themeColor="text1"/>
          <w:lang w:val="en-US"/>
        </w:rPr>
        <w:t xml:space="preserve">inherently </w:t>
      </w:r>
      <w:r w:rsidR="002E682D" w:rsidRPr="00F31DD1">
        <w:rPr>
          <w:color w:val="000000" w:themeColor="text1"/>
          <w:lang w:val="en-US"/>
        </w:rPr>
        <w:t xml:space="preserve">collaborative and allowed producers and directors to move beyond </w:t>
      </w:r>
      <w:r w:rsidR="00A973BF" w:rsidRPr="00F31DD1">
        <w:rPr>
          <w:color w:val="000000" w:themeColor="text1"/>
          <w:lang w:val="en-US"/>
        </w:rPr>
        <w:t>dissemination</w:t>
      </w:r>
      <w:r w:rsidR="002D0927" w:rsidRPr="00F31DD1">
        <w:rPr>
          <w:color w:val="000000" w:themeColor="text1"/>
          <w:lang w:val="en-US"/>
        </w:rPr>
        <w:t xml:space="preserve"> </w:t>
      </w:r>
      <w:r w:rsidR="00A973BF" w:rsidRPr="00F31DD1">
        <w:rPr>
          <w:color w:val="000000" w:themeColor="text1"/>
          <w:lang w:val="en-US"/>
        </w:rPr>
        <w:t xml:space="preserve">and </w:t>
      </w:r>
      <w:r w:rsidR="002D0927" w:rsidRPr="00F31DD1">
        <w:rPr>
          <w:color w:val="000000" w:themeColor="text1"/>
          <w:lang w:val="en-US"/>
        </w:rPr>
        <w:t>produce their own creative interpretations. The majority of these projects arose after individuals and groups ha</w:t>
      </w:r>
      <w:r w:rsidR="000D032D" w:rsidRPr="00F31DD1">
        <w:rPr>
          <w:color w:val="000000" w:themeColor="text1"/>
          <w:lang w:val="en-US"/>
        </w:rPr>
        <w:t>d</w:t>
      </w:r>
      <w:r w:rsidR="002D0927" w:rsidRPr="00F31DD1">
        <w:rPr>
          <w:color w:val="000000" w:themeColor="text1"/>
          <w:lang w:val="en-US"/>
        </w:rPr>
        <w:t xml:space="preserve"> read</w:t>
      </w:r>
      <w:r w:rsidR="00746A03" w:rsidRPr="00F31DD1">
        <w:rPr>
          <w:color w:val="000000" w:themeColor="text1"/>
          <w:lang w:val="en-US"/>
        </w:rPr>
        <w:t xml:space="preserve">, or at the very least </w:t>
      </w:r>
      <w:r w:rsidR="002D0927" w:rsidRPr="00F31DD1">
        <w:rPr>
          <w:color w:val="000000" w:themeColor="text1"/>
          <w:lang w:val="en-US"/>
        </w:rPr>
        <w:t>be</w:t>
      </w:r>
      <w:r w:rsidR="00746A03" w:rsidRPr="00F31DD1">
        <w:rPr>
          <w:color w:val="000000" w:themeColor="text1"/>
          <w:lang w:val="en-US"/>
        </w:rPr>
        <w:t>c</w:t>
      </w:r>
      <w:r w:rsidR="00417C42" w:rsidRPr="00F31DD1">
        <w:rPr>
          <w:color w:val="000000" w:themeColor="text1"/>
          <w:lang w:val="en-US"/>
        </w:rPr>
        <w:t>ame</w:t>
      </w:r>
      <w:r w:rsidR="00746A03" w:rsidRPr="00F31DD1">
        <w:rPr>
          <w:color w:val="000000" w:themeColor="text1"/>
          <w:lang w:val="en-US"/>
        </w:rPr>
        <w:t xml:space="preserve"> aware of </w:t>
      </w:r>
      <w:r w:rsidR="00417C42" w:rsidRPr="00F31DD1">
        <w:rPr>
          <w:i/>
          <w:iCs/>
          <w:color w:val="000000" w:themeColor="text1"/>
          <w:lang w:val="en-US"/>
        </w:rPr>
        <w:t>Possessed by the Devil</w:t>
      </w:r>
      <w:r w:rsidR="00AA32B9" w:rsidRPr="00F31DD1">
        <w:rPr>
          <w:color w:val="000000" w:themeColor="text1"/>
          <w:lang w:val="en-US"/>
        </w:rPr>
        <w:t>. This impact can be partly explained by the fact that m</w:t>
      </w:r>
      <w:r w:rsidR="00746A03" w:rsidRPr="00F31DD1">
        <w:rPr>
          <w:color w:val="000000" w:themeColor="text1"/>
          <w:lang w:val="en-US"/>
        </w:rPr>
        <w:t>icrohistory</w:t>
      </w:r>
      <w:r w:rsidR="00AA32B9" w:rsidRPr="00F31DD1">
        <w:rPr>
          <w:color w:val="000000" w:themeColor="text1"/>
          <w:lang w:val="en-US"/>
        </w:rPr>
        <w:t xml:space="preserve"> </w:t>
      </w:r>
      <w:r w:rsidR="00746A03" w:rsidRPr="00F31DD1">
        <w:rPr>
          <w:color w:val="000000" w:themeColor="text1"/>
          <w:lang w:val="en-US"/>
        </w:rPr>
        <w:t xml:space="preserve">works particularly well </w:t>
      </w:r>
      <w:r w:rsidR="00AA32B9" w:rsidRPr="00F31DD1">
        <w:rPr>
          <w:color w:val="000000" w:themeColor="text1"/>
          <w:lang w:val="en-US"/>
        </w:rPr>
        <w:t>in public histo</w:t>
      </w:r>
      <w:r w:rsidR="00417C42" w:rsidRPr="00F31DD1">
        <w:rPr>
          <w:color w:val="000000" w:themeColor="text1"/>
          <w:lang w:val="en-US"/>
        </w:rPr>
        <w:t>ry</w:t>
      </w:r>
      <w:r w:rsidR="00746A03" w:rsidRPr="00F31DD1">
        <w:rPr>
          <w:color w:val="000000" w:themeColor="text1"/>
          <w:lang w:val="en-US"/>
        </w:rPr>
        <w:t xml:space="preserve"> because “there is a strong public interest in the intimate histories of ‘ordinary’ people alongside elites</w:t>
      </w:r>
      <w:r w:rsidR="00E208D0">
        <w:rPr>
          <w:color w:val="000000" w:themeColor="text1"/>
          <w:lang w:val="en-US"/>
        </w:rPr>
        <w:t>.</w:t>
      </w:r>
      <w:r w:rsidR="00746A03" w:rsidRPr="00F31DD1">
        <w:rPr>
          <w:color w:val="000000" w:themeColor="text1"/>
          <w:lang w:val="en-US"/>
        </w:rPr>
        <w:t xml:space="preserve">” This explains why </w:t>
      </w:r>
      <w:r w:rsidR="00E208D0">
        <w:rPr>
          <w:color w:val="000000" w:themeColor="text1"/>
          <w:lang w:val="en-US"/>
        </w:rPr>
        <w:t>“</w:t>
      </w:r>
      <w:r w:rsidR="00746A03" w:rsidRPr="00F31DD1">
        <w:rPr>
          <w:color w:val="000000" w:themeColor="text1"/>
          <w:lang w:val="en-US"/>
        </w:rPr>
        <w:t>heritage sites often tell the</w:t>
      </w:r>
      <w:r w:rsidR="00746A03" w:rsidRPr="00F31DD1">
        <w:rPr>
          <w:color w:val="000000" w:themeColor="text1"/>
          <w:shd w:val="clear" w:color="auto" w:fill="FFFFFF"/>
          <w:lang w:val="en-US"/>
        </w:rPr>
        <w:t xml:space="preserve"> </w:t>
      </w:r>
      <w:r w:rsidR="00746A03" w:rsidRPr="00F31DD1">
        <w:rPr>
          <w:color w:val="000000" w:themeColor="text1"/>
          <w:lang w:val="en-US"/>
        </w:rPr>
        <w:t xml:space="preserve">story of a single family, community, event or </w:t>
      </w:r>
      <w:r w:rsidR="00E208D0" w:rsidRPr="00F31DD1">
        <w:rPr>
          <w:color w:val="000000" w:themeColor="text1"/>
          <w:lang w:val="en-US"/>
        </w:rPr>
        <w:t>trade</w:t>
      </w:r>
      <w:r w:rsidR="00E208D0">
        <w:rPr>
          <w:color w:val="000000" w:themeColor="text1"/>
          <w:lang w:val="en-US"/>
        </w:rPr>
        <w:t>”</w:t>
      </w:r>
      <w:r w:rsidR="00E208D0" w:rsidRPr="00F31DD1">
        <w:rPr>
          <w:color w:val="000000" w:themeColor="text1"/>
          <w:shd w:val="clear" w:color="auto" w:fill="FFFFFF"/>
          <w:lang w:val="en-US"/>
        </w:rPr>
        <w:t xml:space="preserve"> </w:t>
      </w:r>
      <w:r w:rsidR="00746A03" w:rsidRPr="00F31DD1">
        <w:rPr>
          <w:color w:val="000000" w:themeColor="text1"/>
          <w:shd w:val="clear" w:color="auto" w:fill="FFFFFF"/>
          <w:lang w:val="en-US"/>
        </w:rPr>
        <w:t>(</w:t>
      </w:r>
      <w:r w:rsidR="00746A03" w:rsidRPr="00F31DD1">
        <w:rPr>
          <w:color w:val="000000" w:themeColor="text1"/>
          <w:lang w:val="en-US"/>
        </w:rPr>
        <w:t>Hammett</w:t>
      </w:r>
      <w:r w:rsidR="00E208D0">
        <w:rPr>
          <w:color w:val="000000" w:themeColor="text1"/>
          <w:lang w:val="en-US"/>
        </w:rPr>
        <w:t>, Harrison, and King</w:t>
      </w:r>
      <w:r w:rsidR="00746A03" w:rsidRPr="00F31DD1">
        <w:rPr>
          <w:color w:val="000000" w:themeColor="text1"/>
          <w:lang w:val="en-US"/>
        </w:rPr>
        <w:t xml:space="preserve"> 2020: 250).</w:t>
      </w:r>
      <w:r w:rsidR="00AA32B9" w:rsidRPr="00F31DD1">
        <w:rPr>
          <w:color w:val="000000" w:themeColor="text1"/>
          <w:lang w:val="en-US"/>
        </w:rPr>
        <w:t xml:space="preserve"> </w:t>
      </w:r>
    </w:p>
    <w:p w14:paraId="31256548" w14:textId="02C35867" w:rsidR="0002299A" w:rsidRPr="00F31DD1" w:rsidRDefault="00E208D0" w:rsidP="00DB355C">
      <w:pPr>
        <w:spacing w:line="480" w:lineRule="auto"/>
        <w:rPr>
          <w:rStyle w:val="nlmgiven-names"/>
          <w:color w:val="000000" w:themeColor="text1"/>
          <w:lang w:val="en-US"/>
        </w:rPr>
      </w:pPr>
      <w:r>
        <w:rPr>
          <w:color w:val="000000" w:themeColor="text1"/>
          <w:lang w:val="en-US"/>
        </w:rPr>
        <w:tab/>
      </w:r>
      <w:r w:rsidR="00857E8E" w:rsidRPr="00F31DD1">
        <w:rPr>
          <w:color w:val="000000" w:themeColor="text1"/>
          <w:lang w:val="en-US"/>
        </w:rPr>
        <w:t xml:space="preserve">In the years after the publication of </w:t>
      </w:r>
      <w:r w:rsidR="00857E8E" w:rsidRPr="00F31DD1">
        <w:rPr>
          <w:i/>
          <w:iCs/>
          <w:color w:val="000000" w:themeColor="text1"/>
          <w:lang w:val="en-US"/>
        </w:rPr>
        <w:t>Possessed by the Devil</w:t>
      </w:r>
      <w:r w:rsidR="00857E8E" w:rsidRPr="00F31DD1">
        <w:rPr>
          <w:color w:val="000000" w:themeColor="text1"/>
          <w:lang w:val="en-US"/>
        </w:rPr>
        <w:t xml:space="preserve">, </w:t>
      </w:r>
      <w:r w:rsidR="00FE41BD" w:rsidRPr="00F31DD1">
        <w:rPr>
          <w:color w:val="000000" w:themeColor="text1"/>
          <w:lang w:val="en-US"/>
        </w:rPr>
        <w:t xml:space="preserve">when asked to talk about the </w:t>
      </w:r>
      <w:proofErr w:type="spellStart"/>
      <w:r w:rsidR="00857E8E" w:rsidRPr="00F31DD1">
        <w:rPr>
          <w:color w:val="000000" w:themeColor="text1"/>
          <w:lang w:val="en-US"/>
        </w:rPr>
        <w:t>Islandmagee</w:t>
      </w:r>
      <w:proofErr w:type="spellEnd"/>
      <w:r w:rsidR="00857E8E" w:rsidRPr="00F31DD1">
        <w:rPr>
          <w:color w:val="000000" w:themeColor="text1"/>
          <w:lang w:val="en-US"/>
        </w:rPr>
        <w:t xml:space="preserve"> witches</w:t>
      </w:r>
      <w:r w:rsidR="00FE41BD" w:rsidRPr="00F31DD1">
        <w:rPr>
          <w:color w:val="000000" w:themeColor="text1"/>
          <w:lang w:val="en-US"/>
        </w:rPr>
        <w:t xml:space="preserve">, </w:t>
      </w:r>
      <w:r w:rsidR="00943F73">
        <w:rPr>
          <w:color w:val="000000" w:themeColor="text1"/>
          <w:lang w:val="en-US"/>
        </w:rPr>
        <w:t xml:space="preserve">I </w:t>
      </w:r>
      <w:r w:rsidR="00857E8E" w:rsidRPr="00F31DD1">
        <w:rPr>
          <w:color w:val="000000" w:themeColor="text1"/>
          <w:lang w:val="en-US"/>
        </w:rPr>
        <w:t>prioriti</w:t>
      </w:r>
      <w:r>
        <w:rPr>
          <w:color w:val="000000" w:themeColor="text1"/>
          <w:lang w:val="en-US"/>
        </w:rPr>
        <w:t>z</w:t>
      </w:r>
      <w:r w:rsidR="00857E8E" w:rsidRPr="00F31DD1">
        <w:rPr>
          <w:color w:val="000000" w:themeColor="text1"/>
          <w:lang w:val="en-US"/>
        </w:rPr>
        <w:t xml:space="preserve">ed </w:t>
      </w:r>
      <w:r w:rsidR="00FE41BD" w:rsidRPr="00F31DD1">
        <w:rPr>
          <w:color w:val="000000" w:themeColor="text1"/>
          <w:lang w:val="en-US"/>
        </w:rPr>
        <w:t xml:space="preserve">events </w:t>
      </w:r>
      <w:r w:rsidR="00857E8E" w:rsidRPr="00F31DD1">
        <w:rPr>
          <w:color w:val="000000" w:themeColor="text1"/>
          <w:lang w:val="en-US"/>
        </w:rPr>
        <w:t>according to their ability to engage with as wide and diverse a public audience as possible. In practice, this meant prioriti</w:t>
      </w:r>
      <w:r>
        <w:rPr>
          <w:color w:val="000000" w:themeColor="text1"/>
          <w:lang w:val="en-US"/>
        </w:rPr>
        <w:t>z</w:t>
      </w:r>
      <w:r w:rsidR="00857E8E" w:rsidRPr="00F31DD1">
        <w:rPr>
          <w:color w:val="000000" w:themeColor="text1"/>
          <w:lang w:val="en-US"/>
        </w:rPr>
        <w:t>ing talks and workshops given at community-based events,</w:t>
      </w:r>
      <w:r w:rsidR="00857E8E" w:rsidRPr="00F31DD1">
        <w:rPr>
          <w:rStyle w:val="EndnoteReference"/>
          <w:color w:val="000000" w:themeColor="text1"/>
          <w:lang w:val="en-US"/>
        </w:rPr>
        <w:endnoteReference w:id="19"/>
      </w:r>
      <w:r w:rsidR="00857E8E" w:rsidRPr="00F31DD1">
        <w:rPr>
          <w:color w:val="000000" w:themeColor="text1"/>
          <w:lang w:val="en-US"/>
        </w:rPr>
        <w:t xml:space="preserve"> local libraries,</w:t>
      </w:r>
      <w:r w:rsidR="00857E8E" w:rsidRPr="00F31DD1">
        <w:rPr>
          <w:rStyle w:val="EndnoteReference"/>
          <w:color w:val="000000" w:themeColor="text1"/>
          <w:lang w:val="en-US"/>
        </w:rPr>
        <w:endnoteReference w:id="20"/>
      </w:r>
      <w:r w:rsidR="00857E8E" w:rsidRPr="00F31DD1">
        <w:rPr>
          <w:color w:val="000000" w:themeColor="text1"/>
          <w:lang w:val="en-US"/>
        </w:rPr>
        <w:t xml:space="preserve"> and Women’s Groups</w:t>
      </w:r>
      <w:r w:rsidR="00857E8E" w:rsidRPr="00F31DD1">
        <w:rPr>
          <w:rStyle w:val="EndnoteReference"/>
          <w:color w:val="000000" w:themeColor="text1"/>
          <w:lang w:val="en-US"/>
        </w:rPr>
        <w:endnoteReference w:id="21"/>
      </w:r>
      <w:r w:rsidR="00857E8E" w:rsidRPr="00F31DD1">
        <w:rPr>
          <w:color w:val="000000" w:themeColor="text1"/>
          <w:lang w:val="en-US"/>
        </w:rPr>
        <w:t xml:space="preserve"> over papers presented at academic conferences and seminars.</w:t>
      </w:r>
      <w:r w:rsidR="00857E8E" w:rsidRPr="00F31DD1">
        <w:rPr>
          <w:rStyle w:val="EndnoteReference"/>
          <w:color w:val="000000" w:themeColor="text1"/>
          <w:lang w:val="en-US"/>
        </w:rPr>
        <w:endnoteReference w:id="22"/>
      </w:r>
      <w:r w:rsidR="00857E8E" w:rsidRPr="00F31DD1">
        <w:rPr>
          <w:color w:val="000000" w:themeColor="text1"/>
          <w:lang w:val="en-US"/>
        </w:rPr>
        <w:t xml:space="preserve"> At the former events, the 1711 case was used as a launching point to discuss local history, folklore, and issues affecting present-day Northern Ireland relating to equality, inclusion, division, tolerance, and gender. </w:t>
      </w:r>
      <w:r w:rsidR="00943F73">
        <w:rPr>
          <w:color w:val="000000" w:themeColor="text1"/>
          <w:lang w:val="en-US"/>
        </w:rPr>
        <w:t>I</w:t>
      </w:r>
      <w:r w:rsidR="00943F73" w:rsidRPr="00F31DD1">
        <w:rPr>
          <w:color w:val="000000" w:themeColor="text1"/>
          <w:lang w:val="en-US"/>
        </w:rPr>
        <w:t xml:space="preserve"> </w:t>
      </w:r>
      <w:r w:rsidR="00B3501A">
        <w:rPr>
          <w:color w:val="000000" w:themeColor="text1"/>
          <w:lang w:val="en-US"/>
        </w:rPr>
        <w:t xml:space="preserve">also </w:t>
      </w:r>
      <w:r w:rsidR="00857E8E" w:rsidRPr="00F31DD1">
        <w:rPr>
          <w:color w:val="000000" w:themeColor="text1"/>
          <w:lang w:val="en-US"/>
        </w:rPr>
        <w:t xml:space="preserve">engaged with the arts and heritage sector, including </w:t>
      </w:r>
      <w:proofErr w:type="spellStart"/>
      <w:r w:rsidR="00857E8E" w:rsidRPr="00F31DD1">
        <w:rPr>
          <w:color w:val="000000" w:themeColor="text1"/>
          <w:lang w:val="en-US"/>
        </w:rPr>
        <w:t>Carrickfergus</w:t>
      </w:r>
      <w:proofErr w:type="spellEnd"/>
      <w:r w:rsidR="00857E8E" w:rsidRPr="00F31DD1">
        <w:rPr>
          <w:color w:val="000000" w:themeColor="text1"/>
          <w:lang w:val="en-US"/>
        </w:rPr>
        <w:t xml:space="preserve"> Museum, situated close to where the women were tried and punished,</w:t>
      </w:r>
      <w:r w:rsidR="00857E8E" w:rsidRPr="00F31DD1">
        <w:rPr>
          <w:rStyle w:val="EndnoteReference"/>
          <w:color w:val="000000" w:themeColor="text1"/>
          <w:lang w:val="en-US"/>
        </w:rPr>
        <w:endnoteReference w:id="23"/>
      </w:r>
      <w:r w:rsidR="00857E8E" w:rsidRPr="00F31DD1">
        <w:rPr>
          <w:color w:val="000000" w:themeColor="text1"/>
          <w:lang w:val="en-US"/>
        </w:rPr>
        <w:t xml:space="preserve"> and the Public Record Office </w:t>
      </w:r>
      <w:r w:rsidR="006A29AE" w:rsidRPr="00F31DD1">
        <w:rPr>
          <w:color w:val="000000" w:themeColor="text1"/>
          <w:lang w:val="en-US"/>
        </w:rPr>
        <w:t xml:space="preserve">of </w:t>
      </w:r>
      <w:r w:rsidR="00857E8E" w:rsidRPr="00F31DD1">
        <w:rPr>
          <w:color w:val="000000" w:themeColor="text1"/>
          <w:lang w:val="en-US"/>
        </w:rPr>
        <w:t xml:space="preserve">Northern Ireland in Belfast, where in October 2013 </w:t>
      </w:r>
      <w:r w:rsidR="00943F73">
        <w:rPr>
          <w:color w:val="000000" w:themeColor="text1"/>
          <w:lang w:val="en-US"/>
        </w:rPr>
        <w:t>I</w:t>
      </w:r>
      <w:r w:rsidR="00943F73" w:rsidRPr="00F31DD1">
        <w:rPr>
          <w:color w:val="000000" w:themeColor="text1"/>
          <w:lang w:val="en-US"/>
        </w:rPr>
        <w:t xml:space="preserve"> </w:t>
      </w:r>
      <w:r w:rsidR="00857E8E" w:rsidRPr="00F31DD1">
        <w:rPr>
          <w:color w:val="000000" w:themeColor="text1"/>
          <w:lang w:val="en-US"/>
        </w:rPr>
        <w:t xml:space="preserve">gave a book reading and talk on the </w:t>
      </w:r>
      <w:proofErr w:type="spellStart"/>
      <w:r w:rsidR="00857E8E" w:rsidRPr="00F31DD1">
        <w:rPr>
          <w:color w:val="000000" w:themeColor="text1"/>
          <w:lang w:val="en-US"/>
        </w:rPr>
        <w:t>Islandmagee</w:t>
      </w:r>
      <w:proofErr w:type="spellEnd"/>
      <w:r w:rsidR="00857E8E" w:rsidRPr="00F31DD1">
        <w:rPr>
          <w:color w:val="000000" w:themeColor="text1"/>
          <w:lang w:val="en-US"/>
        </w:rPr>
        <w:t xml:space="preserve"> witches. Due</w:t>
      </w:r>
      <w:r w:rsidR="00857E8E" w:rsidRPr="00F31DD1">
        <w:rPr>
          <w:rStyle w:val="eop"/>
          <w:color w:val="000000" w:themeColor="text1"/>
          <w:lang w:val="en-US"/>
        </w:rPr>
        <w:t xml:space="preserve"> to public demand, this event was repeated, </w:t>
      </w:r>
      <w:r w:rsidR="00857E8E" w:rsidRPr="00F31DD1">
        <w:rPr>
          <w:color w:val="000000" w:themeColor="text1"/>
          <w:lang w:val="en-US"/>
        </w:rPr>
        <w:t>filmed</w:t>
      </w:r>
      <w:r>
        <w:rPr>
          <w:color w:val="000000" w:themeColor="text1"/>
          <w:lang w:val="en-US"/>
        </w:rPr>
        <w:t>,</w:t>
      </w:r>
      <w:r w:rsidR="00857E8E" w:rsidRPr="00F31DD1">
        <w:rPr>
          <w:color w:val="000000" w:themeColor="text1"/>
          <w:lang w:val="en-US"/>
        </w:rPr>
        <w:t xml:space="preserve"> and repackaged as “The History, of the Devil, Magic and Witchcraft” and hosted on their website.</w:t>
      </w:r>
      <w:r w:rsidR="00857E8E" w:rsidRPr="00F31DD1">
        <w:rPr>
          <w:rStyle w:val="EndnoteReference"/>
          <w:color w:val="000000" w:themeColor="text1"/>
          <w:lang w:val="en-US"/>
        </w:rPr>
        <w:endnoteReference w:id="24"/>
      </w:r>
      <w:r w:rsidR="00857E8E" w:rsidRPr="00F31DD1">
        <w:rPr>
          <w:color w:val="000000" w:themeColor="text1"/>
          <w:lang w:val="en-US"/>
        </w:rPr>
        <w:t xml:space="preserve"> </w:t>
      </w:r>
      <w:r w:rsidR="00857E8E" w:rsidRPr="00F31DD1">
        <w:rPr>
          <w:rFonts w:eastAsia="Arial"/>
          <w:color w:val="000000" w:themeColor="text1"/>
          <w:lang w:val="en-US"/>
        </w:rPr>
        <w:t xml:space="preserve">Meanwhile, between 2016 and 2019, </w:t>
      </w:r>
      <w:r w:rsidR="00943F73">
        <w:rPr>
          <w:rFonts w:eastAsia="Arial"/>
          <w:color w:val="000000" w:themeColor="text1"/>
          <w:lang w:val="en-US"/>
        </w:rPr>
        <w:t xml:space="preserve">I </w:t>
      </w:r>
      <w:r w:rsidR="00857E8E" w:rsidRPr="00F31DD1">
        <w:rPr>
          <w:rFonts w:eastAsia="Arial"/>
          <w:color w:val="000000" w:themeColor="text1"/>
          <w:lang w:val="en-US"/>
        </w:rPr>
        <w:t xml:space="preserve">collaborated with </w:t>
      </w:r>
      <w:r w:rsidR="006814EF" w:rsidRPr="00F31DD1">
        <w:rPr>
          <w:rFonts w:eastAsia="Arial"/>
          <w:color w:val="000000" w:themeColor="text1"/>
          <w:lang w:val="en-US"/>
        </w:rPr>
        <w:t xml:space="preserve">Adam Turkington of </w:t>
      </w:r>
      <w:proofErr w:type="spellStart"/>
      <w:r w:rsidR="00857E8E" w:rsidRPr="00F31DD1">
        <w:rPr>
          <w:rFonts w:eastAsia="Arial"/>
          <w:color w:val="000000" w:themeColor="text1"/>
          <w:lang w:val="en-US"/>
        </w:rPr>
        <w:t>Seedhead</w:t>
      </w:r>
      <w:proofErr w:type="spellEnd"/>
      <w:r w:rsidR="00857E8E" w:rsidRPr="00F31DD1">
        <w:rPr>
          <w:rFonts w:eastAsia="Arial"/>
          <w:color w:val="000000" w:themeColor="text1"/>
          <w:lang w:val="en-US"/>
        </w:rPr>
        <w:t xml:space="preserve"> Arts in Belfast, which provides arts consultancy, event management and training services in Northern </w:t>
      </w:r>
      <w:r w:rsidR="00857E8E" w:rsidRPr="00F31DD1">
        <w:rPr>
          <w:rFonts w:eastAsia="Arial"/>
          <w:color w:val="000000" w:themeColor="text1"/>
          <w:lang w:val="en-US"/>
        </w:rPr>
        <w:lastRenderedPageBreak/>
        <w:t xml:space="preserve">Ireland, to develop new ways of reaching diverse, adult audiences via </w:t>
      </w:r>
      <w:r w:rsidR="004353A0" w:rsidRPr="00F31DD1">
        <w:rPr>
          <w:rFonts w:eastAsia="Arial"/>
          <w:color w:val="000000" w:themeColor="text1"/>
          <w:lang w:val="en-US"/>
        </w:rPr>
        <w:t xml:space="preserve">a </w:t>
      </w:r>
      <w:r w:rsidR="00857E8E" w:rsidRPr="00F31DD1">
        <w:rPr>
          <w:rFonts w:eastAsia="Arial"/>
          <w:color w:val="000000" w:themeColor="text1"/>
          <w:lang w:val="en-US"/>
        </w:rPr>
        <w:t>Northern Irish Arts venue, the Black Box in Belfast. Together</w:t>
      </w:r>
      <w:r w:rsidR="00B32283" w:rsidRPr="00F31DD1">
        <w:rPr>
          <w:rFonts w:eastAsia="Arial"/>
          <w:color w:val="000000" w:themeColor="text1"/>
          <w:lang w:val="en-US"/>
        </w:rPr>
        <w:t xml:space="preserve"> </w:t>
      </w:r>
      <w:r w:rsidR="001A5827" w:rsidRPr="00F31DD1">
        <w:rPr>
          <w:rFonts w:eastAsia="Arial"/>
          <w:color w:val="000000" w:themeColor="text1"/>
          <w:lang w:val="en-US"/>
        </w:rPr>
        <w:t xml:space="preserve">they </w:t>
      </w:r>
      <w:r w:rsidR="00857E8E" w:rsidRPr="00F31DD1">
        <w:rPr>
          <w:rFonts w:eastAsia="Arial"/>
          <w:color w:val="000000" w:themeColor="text1"/>
          <w:lang w:val="en-US"/>
        </w:rPr>
        <w:t xml:space="preserve">hosted nine public lectures on the </w:t>
      </w:r>
      <w:proofErr w:type="spellStart"/>
      <w:r w:rsidR="00857E8E" w:rsidRPr="00F31DD1">
        <w:rPr>
          <w:rFonts w:eastAsia="Arial"/>
          <w:color w:val="000000" w:themeColor="text1"/>
          <w:lang w:val="en-US"/>
        </w:rPr>
        <w:t>Islandmagee</w:t>
      </w:r>
      <w:proofErr w:type="spellEnd"/>
      <w:r w:rsidR="00857E8E" w:rsidRPr="00F31DD1">
        <w:rPr>
          <w:rFonts w:eastAsia="Arial"/>
          <w:color w:val="000000" w:themeColor="text1"/>
          <w:lang w:val="en-US"/>
        </w:rPr>
        <w:t xml:space="preserve"> witches and Irish witchcraft to around 1</w:t>
      </w:r>
      <w:r w:rsidR="004353A0" w:rsidRPr="00F31DD1">
        <w:rPr>
          <w:rFonts w:eastAsia="Arial"/>
          <w:color w:val="000000" w:themeColor="text1"/>
          <w:lang w:val="en-US"/>
        </w:rPr>
        <w:t>,</w:t>
      </w:r>
      <w:r w:rsidR="00857E8E" w:rsidRPr="00F31DD1">
        <w:rPr>
          <w:rFonts w:eastAsia="Arial"/>
          <w:color w:val="000000" w:themeColor="text1"/>
          <w:lang w:val="en-US"/>
        </w:rPr>
        <w:t>200 people, and public demand was such that every lecture was sold</w:t>
      </w:r>
      <w:r>
        <w:rPr>
          <w:rFonts w:eastAsia="Arial"/>
          <w:color w:val="000000" w:themeColor="text1"/>
          <w:lang w:val="en-US"/>
        </w:rPr>
        <w:t xml:space="preserve"> </w:t>
      </w:r>
      <w:r w:rsidR="00857E8E" w:rsidRPr="00F31DD1">
        <w:rPr>
          <w:rFonts w:eastAsia="Arial"/>
          <w:color w:val="000000" w:themeColor="text1"/>
          <w:lang w:val="en-US"/>
        </w:rPr>
        <w:t>out, some within a matter of hours.</w:t>
      </w:r>
      <w:r w:rsidR="003A519B" w:rsidRPr="00F31DD1">
        <w:rPr>
          <w:rStyle w:val="nlmgiven-names"/>
          <w:color w:val="000000" w:themeColor="text1"/>
          <w:lang w:val="en-US"/>
        </w:rPr>
        <w:t xml:space="preserve"> </w:t>
      </w:r>
      <w:r w:rsidR="003A519B" w:rsidRPr="00F31DD1">
        <w:rPr>
          <w:color w:val="000000" w:themeColor="text1"/>
          <w:lang w:val="en-US"/>
        </w:rPr>
        <w:t xml:space="preserve">This </w:t>
      </w:r>
      <w:r w:rsidR="007B56A7" w:rsidRPr="00F31DD1">
        <w:rPr>
          <w:color w:val="000000" w:themeColor="text1"/>
          <w:lang w:val="en-US"/>
        </w:rPr>
        <w:t xml:space="preserve">unexpected public </w:t>
      </w:r>
      <w:r w:rsidR="003A519B" w:rsidRPr="00F31DD1">
        <w:rPr>
          <w:color w:val="000000" w:themeColor="text1"/>
          <w:lang w:val="en-US"/>
        </w:rPr>
        <w:t xml:space="preserve">response revealed the extent of public appetite in Ireland for knowledge of the “dark” history of </w:t>
      </w:r>
      <w:r w:rsidR="00C267F7" w:rsidRPr="00F31DD1">
        <w:rPr>
          <w:color w:val="000000" w:themeColor="text1"/>
          <w:lang w:val="en-US"/>
        </w:rPr>
        <w:t xml:space="preserve">the </w:t>
      </w:r>
      <w:proofErr w:type="spellStart"/>
      <w:r w:rsidR="003A519B" w:rsidRPr="00F31DD1">
        <w:rPr>
          <w:color w:val="000000" w:themeColor="text1"/>
          <w:lang w:val="en-US"/>
        </w:rPr>
        <w:t>Islandmagee</w:t>
      </w:r>
      <w:proofErr w:type="spellEnd"/>
      <w:r w:rsidR="003A519B" w:rsidRPr="00F31DD1">
        <w:rPr>
          <w:color w:val="000000" w:themeColor="text1"/>
          <w:lang w:val="en-US"/>
        </w:rPr>
        <w:t xml:space="preserve"> witches.</w:t>
      </w:r>
      <w:r w:rsidR="003A519B" w:rsidRPr="00F31DD1">
        <w:rPr>
          <w:rStyle w:val="nlmgiven-names"/>
          <w:color w:val="000000" w:themeColor="text1"/>
          <w:lang w:val="en-US"/>
        </w:rPr>
        <w:t xml:space="preserve"> There is undoubtedly a large market in Ireland for dark</w:t>
      </w:r>
      <w:r w:rsidR="001A5827" w:rsidRPr="00F31DD1">
        <w:rPr>
          <w:rStyle w:val="nlmgiven-names"/>
          <w:color w:val="000000" w:themeColor="text1"/>
          <w:lang w:val="en-US"/>
        </w:rPr>
        <w:t xml:space="preserve"> </w:t>
      </w:r>
      <w:r w:rsidR="003A519B" w:rsidRPr="00F31DD1">
        <w:rPr>
          <w:rStyle w:val="nlmgiven-names"/>
          <w:color w:val="000000" w:themeColor="text1"/>
          <w:lang w:val="en-US"/>
        </w:rPr>
        <w:t>heritage and touri</w:t>
      </w:r>
      <w:r w:rsidR="003A519B" w:rsidRPr="00F31DD1">
        <w:rPr>
          <w:color w:val="000000" w:themeColor="text1"/>
          <w:lang w:val="en-US"/>
        </w:rPr>
        <w:t>sm</w:t>
      </w:r>
      <w:r>
        <w:rPr>
          <w:color w:val="000000" w:themeColor="text1"/>
          <w:lang w:val="en-US"/>
        </w:rPr>
        <w:t>,</w:t>
      </w:r>
      <w:r w:rsidR="003A519B" w:rsidRPr="00F31DD1">
        <w:rPr>
          <w:color w:val="000000" w:themeColor="text1"/>
          <w:lang w:val="en-US"/>
        </w:rPr>
        <w:t xml:space="preserve"> but this is largely catered for by “brick and mortar” attractions, from</w:t>
      </w:r>
      <w:r w:rsidR="003A519B" w:rsidRPr="00F31DD1">
        <w:rPr>
          <w:rStyle w:val="nlmgiven-names"/>
          <w:color w:val="000000" w:themeColor="text1"/>
          <w:lang w:val="en-US"/>
        </w:rPr>
        <w:t xml:space="preserve"> prisons</w:t>
      </w:r>
      <w:r>
        <w:rPr>
          <w:rStyle w:val="nlmgiven-names"/>
          <w:color w:val="000000" w:themeColor="text1"/>
          <w:lang w:val="en-US"/>
        </w:rPr>
        <w:t xml:space="preserve"> and</w:t>
      </w:r>
      <w:r w:rsidR="003A519B" w:rsidRPr="00F31DD1">
        <w:rPr>
          <w:rStyle w:val="nlmgiven-names"/>
          <w:color w:val="000000" w:themeColor="text1"/>
          <w:lang w:val="en-US"/>
        </w:rPr>
        <w:t xml:space="preserve"> castles to monuments and museums</w:t>
      </w:r>
      <w:r w:rsidR="003A519B" w:rsidRPr="00F31DD1">
        <w:rPr>
          <w:color w:val="000000" w:themeColor="text1"/>
          <w:lang w:val="en-US"/>
        </w:rPr>
        <w:t xml:space="preserve"> (</w:t>
      </w:r>
      <w:r w:rsidR="003A519B" w:rsidRPr="00F31DD1">
        <w:rPr>
          <w:rStyle w:val="nlmgiven-names"/>
          <w:color w:val="000000" w:themeColor="text1"/>
          <w:lang w:val="en-US"/>
        </w:rPr>
        <w:t>O’Brien 2020: 6). Gillian O’Brien attributes the allure of dark tourism to the fact that “Irish history is full of darkness, and perhaps it’s this history that encourages a fascination with the morbid, the melancholic, the miserable, the maudlin (so many ‘M’ words)”</w:t>
      </w:r>
      <w:r w:rsidR="003A519B" w:rsidRPr="00F31DD1">
        <w:rPr>
          <w:color w:val="000000" w:themeColor="text1"/>
          <w:lang w:val="en-US"/>
        </w:rPr>
        <w:t xml:space="preserve"> (</w:t>
      </w:r>
      <w:r w:rsidR="003A519B" w:rsidRPr="00F31DD1">
        <w:rPr>
          <w:rStyle w:val="nlmgiven-names"/>
          <w:color w:val="000000" w:themeColor="text1"/>
          <w:lang w:val="en-US"/>
        </w:rPr>
        <w:t>O’Brien 2020: 6). However, she also locates this fascination in Irish cultur</w:t>
      </w:r>
      <w:r w:rsidR="00223C3C" w:rsidRPr="00F31DD1">
        <w:rPr>
          <w:rStyle w:val="nlmgiven-names"/>
          <w:color w:val="000000" w:themeColor="text1"/>
          <w:lang w:val="en-US"/>
        </w:rPr>
        <w:t>e</w:t>
      </w:r>
      <w:r w:rsidR="003A519B" w:rsidRPr="00F31DD1">
        <w:rPr>
          <w:rStyle w:val="nlmgiven-names"/>
          <w:color w:val="000000" w:themeColor="text1"/>
          <w:lang w:val="en-US"/>
        </w:rPr>
        <w:t xml:space="preserve"> and the national psyche: </w:t>
      </w:r>
      <w:r>
        <w:rPr>
          <w:rStyle w:val="nlmgiven-names"/>
          <w:color w:val="000000" w:themeColor="text1"/>
          <w:lang w:val="en-US"/>
        </w:rPr>
        <w:t>“</w:t>
      </w:r>
      <w:r w:rsidR="003A519B" w:rsidRPr="00F31DD1">
        <w:rPr>
          <w:rStyle w:val="nlmgiven-names"/>
          <w:color w:val="000000" w:themeColor="text1"/>
          <w:lang w:val="en-US"/>
        </w:rPr>
        <w:t xml:space="preserve">The Irish do have a perverse attraction to nurturing their injuries. We don’t need to have experienced terrible events, we just need to have heard about them to have absorbed some of the outrage from the past </w:t>
      </w:r>
      <w:r w:rsidR="00B3501A">
        <w:rPr>
          <w:rStyle w:val="nlmgiven-names"/>
          <w:color w:val="000000" w:themeColor="text1"/>
          <w:lang w:val="en-US"/>
        </w:rPr>
        <w:t xml:space="preserve">… </w:t>
      </w:r>
      <w:r w:rsidR="003A519B" w:rsidRPr="00F31DD1">
        <w:rPr>
          <w:rStyle w:val="nlmgiven-names"/>
          <w:color w:val="000000" w:themeColor="text1"/>
          <w:lang w:val="en-US"/>
        </w:rPr>
        <w:t xml:space="preserve">And it’s certainly true, as Professor Liam Kennedy has written, that ‘the motif of victimhood bulks large in Irish national self-consciousness’ </w:t>
      </w:r>
      <w:r w:rsidR="00B3501A">
        <w:rPr>
          <w:rStyle w:val="nlmgiven-names"/>
          <w:color w:val="000000" w:themeColor="text1"/>
          <w:lang w:val="en-US"/>
        </w:rPr>
        <w:t xml:space="preserve">… </w:t>
      </w:r>
      <w:r w:rsidR="003A519B" w:rsidRPr="00F31DD1">
        <w:rPr>
          <w:rStyle w:val="nlmgiven-names"/>
          <w:color w:val="000000" w:themeColor="text1"/>
          <w:lang w:val="en-US"/>
        </w:rPr>
        <w:t xml:space="preserve"> And though we’re not the Most Oppressed People Ever, much of the history of Ireland is indeed traumatic </w:t>
      </w:r>
      <w:r w:rsidR="00B3501A">
        <w:rPr>
          <w:rStyle w:val="nlmgiven-names"/>
          <w:color w:val="000000" w:themeColor="text1"/>
          <w:lang w:val="en-US"/>
        </w:rPr>
        <w:t>…</w:t>
      </w:r>
      <w:r w:rsidR="003A519B" w:rsidRPr="00F31DD1">
        <w:rPr>
          <w:rStyle w:val="nlmgiven-names"/>
          <w:color w:val="000000" w:themeColor="text1"/>
          <w:lang w:val="en-US"/>
        </w:rPr>
        <w:t xml:space="preserve"> Irish history is an open wound, an object of veneration, proudly on display to all comers</w:t>
      </w:r>
      <w:r>
        <w:rPr>
          <w:rStyle w:val="nlmgiven-names"/>
          <w:color w:val="000000" w:themeColor="text1"/>
          <w:lang w:val="en-US"/>
        </w:rPr>
        <w:t>”</w:t>
      </w:r>
      <w:r w:rsidR="003A519B" w:rsidRPr="00F31DD1">
        <w:rPr>
          <w:rStyle w:val="nlmgiven-names"/>
          <w:color w:val="000000" w:themeColor="text1"/>
          <w:lang w:val="en-US"/>
        </w:rPr>
        <w:t xml:space="preserve"> (O’Brien 2020: 7). </w:t>
      </w:r>
    </w:p>
    <w:p w14:paraId="66D333DC" w14:textId="76F0AC5C" w:rsidR="00857E8E" w:rsidRPr="00F31DD1" w:rsidRDefault="003A519B" w:rsidP="00DB355C">
      <w:pPr>
        <w:spacing w:line="480" w:lineRule="auto"/>
        <w:ind w:firstLine="720"/>
        <w:rPr>
          <w:rFonts w:eastAsia="Arial"/>
          <w:color w:val="000000" w:themeColor="text1"/>
          <w:lang w:val="en-US"/>
        </w:rPr>
      </w:pPr>
      <w:r w:rsidRPr="00DB355C">
        <w:rPr>
          <w:rStyle w:val="nlmgiven-names"/>
          <w:color w:val="000000" w:themeColor="text1"/>
          <w:lang w:val="en-US"/>
        </w:rPr>
        <w:t>O’Brien has also noted that the supernatural stories and tales attached to heritage sites hold a special attraction for tourists: “</w:t>
      </w:r>
      <w:r w:rsidR="00DB355C">
        <w:rPr>
          <w:rStyle w:val="nlmgiven-names"/>
          <w:color w:val="000000" w:themeColor="text1"/>
          <w:lang w:val="en-US"/>
        </w:rPr>
        <w:t>[G]</w:t>
      </w:r>
      <w:r w:rsidRPr="00DB355C">
        <w:rPr>
          <w:rStyle w:val="nlmgiven-names"/>
          <w:color w:val="000000" w:themeColor="text1"/>
          <w:lang w:val="en-US"/>
        </w:rPr>
        <w:t xml:space="preserve">hosts are big business in contemporary Ireland, whether we believe in them or not. There’s not a castle that hasn’t a Knight haunting its ramparts </w:t>
      </w:r>
      <w:r w:rsidR="008245E2">
        <w:rPr>
          <w:rStyle w:val="nlmgiven-names"/>
          <w:color w:val="000000" w:themeColor="text1"/>
          <w:lang w:val="en-US"/>
        </w:rPr>
        <w:t xml:space="preserve">… </w:t>
      </w:r>
      <w:r w:rsidRPr="00DB355C">
        <w:rPr>
          <w:rStyle w:val="nlmgiven-names"/>
          <w:color w:val="000000" w:themeColor="text1"/>
          <w:lang w:val="en-US"/>
        </w:rPr>
        <w:t xml:space="preserve">or a ghost in the dungeons rattling their chains” (O’Brien 2020: 302). These hauntings </w:t>
      </w:r>
      <w:r w:rsidR="00CD0411" w:rsidRPr="00DB355C">
        <w:rPr>
          <w:rStyle w:val="nlmgiven-names"/>
          <w:color w:val="000000" w:themeColor="text1"/>
          <w:lang w:val="en-US"/>
        </w:rPr>
        <w:t>are often linked</w:t>
      </w:r>
      <w:r w:rsidRPr="00DB355C">
        <w:rPr>
          <w:rStyle w:val="nlmgiven-names"/>
          <w:color w:val="000000" w:themeColor="text1"/>
          <w:lang w:val="en-US"/>
        </w:rPr>
        <w:t xml:space="preserve"> to tragic events and/or deaths said to have occurred on-site in the past. For example, the </w:t>
      </w:r>
      <w:r w:rsidR="004353A0" w:rsidRPr="00DB355C">
        <w:rPr>
          <w:rStyle w:val="nlmgiven-names"/>
          <w:color w:val="000000" w:themeColor="text1"/>
          <w:lang w:val="en-US"/>
        </w:rPr>
        <w:t>“</w:t>
      </w:r>
      <w:r w:rsidRPr="00DB355C">
        <w:rPr>
          <w:rStyle w:val="nlmgiven-names"/>
          <w:color w:val="000000" w:themeColor="text1"/>
          <w:lang w:val="en-US"/>
        </w:rPr>
        <w:t>White Lady</w:t>
      </w:r>
      <w:r w:rsidR="004353A0" w:rsidRPr="00DB355C">
        <w:rPr>
          <w:rStyle w:val="nlmgiven-names"/>
          <w:color w:val="000000" w:themeColor="text1"/>
          <w:lang w:val="en-US"/>
        </w:rPr>
        <w:t>”</w:t>
      </w:r>
      <w:r w:rsidRPr="00DB355C">
        <w:rPr>
          <w:rStyle w:val="nlmgiven-names"/>
          <w:color w:val="000000" w:themeColor="text1"/>
          <w:lang w:val="en-US"/>
        </w:rPr>
        <w:t xml:space="preserve"> said to haunt the northeastern tower of Dunluce Castle in Co</w:t>
      </w:r>
      <w:r w:rsidR="00DB355C">
        <w:rPr>
          <w:rStyle w:val="nlmgiven-names"/>
          <w:color w:val="000000" w:themeColor="text1"/>
          <w:lang w:val="en-US"/>
        </w:rPr>
        <w:t>unty</w:t>
      </w:r>
      <w:r w:rsidRPr="00DB355C">
        <w:rPr>
          <w:rStyle w:val="nlmgiven-names"/>
          <w:color w:val="000000" w:themeColor="text1"/>
          <w:lang w:val="en-US"/>
        </w:rPr>
        <w:t xml:space="preserve"> Antrim </w:t>
      </w:r>
      <w:r w:rsidR="00CD0411" w:rsidRPr="00DB355C">
        <w:rPr>
          <w:rStyle w:val="nlmgiven-names"/>
          <w:color w:val="000000" w:themeColor="text1"/>
          <w:lang w:val="en-US"/>
        </w:rPr>
        <w:t xml:space="preserve">is </w:t>
      </w:r>
      <w:r w:rsidR="00C267F7" w:rsidRPr="00DB355C">
        <w:rPr>
          <w:rStyle w:val="nlmgiven-names"/>
          <w:color w:val="000000" w:themeColor="text1"/>
          <w:lang w:val="en-US"/>
        </w:rPr>
        <w:t xml:space="preserve">Maeve McQuillan, </w:t>
      </w:r>
      <w:r w:rsidRPr="00DB355C">
        <w:rPr>
          <w:rStyle w:val="nlmgiven-names"/>
          <w:color w:val="000000" w:themeColor="text1"/>
          <w:lang w:val="en-US"/>
        </w:rPr>
        <w:t xml:space="preserve">the only daughter of Lord McQuillan. Maeve is said </w:t>
      </w:r>
      <w:r w:rsidRPr="00DB355C">
        <w:rPr>
          <w:rStyle w:val="nlmgiven-names"/>
          <w:color w:val="000000" w:themeColor="text1"/>
          <w:lang w:val="en-US"/>
        </w:rPr>
        <w:lastRenderedPageBreak/>
        <w:t>to have drowned</w:t>
      </w:r>
      <w:r w:rsidR="00CD0411" w:rsidRPr="00DB355C">
        <w:rPr>
          <w:rStyle w:val="nlmgiven-names"/>
          <w:color w:val="000000" w:themeColor="text1"/>
          <w:lang w:val="en-US"/>
        </w:rPr>
        <w:t xml:space="preserve"> in the sea surrounding</w:t>
      </w:r>
      <w:r w:rsidRPr="00DB355C">
        <w:rPr>
          <w:rStyle w:val="nlmgiven-names"/>
          <w:color w:val="000000" w:themeColor="text1"/>
          <w:lang w:val="en-US"/>
        </w:rPr>
        <w:t xml:space="preserve"> the castle while trying </w:t>
      </w:r>
      <w:r w:rsidR="00DB355C">
        <w:rPr>
          <w:rStyle w:val="nlmgiven-names"/>
          <w:color w:val="000000" w:themeColor="text1"/>
          <w:lang w:val="en-US"/>
        </w:rPr>
        <w:t xml:space="preserve">to </w:t>
      </w:r>
      <w:r w:rsidRPr="00DB355C">
        <w:rPr>
          <w:rStyle w:val="nlmgiven-names"/>
          <w:color w:val="000000" w:themeColor="text1"/>
          <w:lang w:val="en-US"/>
        </w:rPr>
        <w:t xml:space="preserve">elope with a man </w:t>
      </w:r>
      <w:r w:rsidR="00CD0411" w:rsidRPr="00DB355C">
        <w:rPr>
          <w:rStyle w:val="nlmgiven-names"/>
          <w:color w:val="000000" w:themeColor="text1"/>
          <w:lang w:val="en-US"/>
        </w:rPr>
        <w:t xml:space="preserve">that </w:t>
      </w:r>
      <w:r w:rsidRPr="00DB355C">
        <w:rPr>
          <w:rStyle w:val="nlmgiven-names"/>
          <w:color w:val="000000" w:themeColor="text1"/>
          <w:lang w:val="en-US"/>
        </w:rPr>
        <w:t>her father disapproved of.</w:t>
      </w:r>
      <w:r w:rsidRPr="00DB355C">
        <w:rPr>
          <w:rStyle w:val="EndnoteReference"/>
          <w:color w:val="000000" w:themeColor="text1"/>
          <w:lang w:val="en-US"/>
        </w:rPr>
        <w:endnoteReference w:id="25"/>
      </w:r>
      <w:r w:rsidRPr="00F31DD1">
        <w:rPr>
          <w:rStyle w:val="nlmgiven-names"/>
          <w:color w:val="000000" w:themeColor="text1"/>
          <w:lang w:val="en-US"/>
        </w:rPr>
        <w:t xml:space="preserve">  </w:t>
      </w:r>
    </w:p>
    <w:p w14:paraId="57EC09F6" w14:textId="57A7A17C" w:rsidR="00E276AE" w:rsidRPr="00914343" w:rsidRDefault="00B91CAF" w:rsidP="00914343">
      <w:pPr>
        <w:spacing w:line="480" w:lineRule="auto"/>
      </w:pPr>
      <w:r>
        <w:rPr>
          <w:color w:val="000000" w:themeColor="text1"/>
          <w:lang w:val="en-US"/>
        </w:rPr>
        <w:tab/>
      </w:r>
      <w:r w:rsidR="00857E8E" w:rsidRPr="00F31DD1">
        <w:rPr>
          <w:color w:val="000000" w:themeColor="text1"/>
          <w:lang w:val="en-US"/>
        </w:rPr>
        <w:t>Between 2013 and 202</w:t>
      </w:r>
      <w:r w:rsidR="001A1065" w:rsidRPr="00F31DD1">
        <w:rPr>
          <w:color w:val="000000" w:themeColor="text1"/>
          <w:lang w:val="en-US"/>
        </w:rPr>
        <w:t>1</w:t>
      </w:r>
      <w:r w:rsidR="00857E8E" w:rsidRPr="00F31DD1">
        <w:rPr>
          <w:color w:val="000000" w:themeColor="text1"/>
          <w:lang w:val="en-US"/>
        </w:rPr>
        <w:t>, along with</w:t>
      </w:r>
      <w:r w:rsidR="00EC0906" w:rsidRPr="00F31DD1">
        <w:rPr>
          <w:color w:val="000000" w:themeColor="text1"/>
          <w:lang w:val="en-US"/>
        </w:rPr>
        <w:t xml:space="preserve"> hosting</w:t>
      </w:r>
      <w:r w:rsidR="00857E8E" w:rsidRPr="00F31DD1">
        <w:rPr>
          <w:color w:val="000000" w:themeColor="text1"/>
          <w:lang w:val="en-US"/>
        </w:rPr>
        <w:t xml:space="preserve"> workshops and talks, </w:t>
      </w:r>
      <w:r w:rsidR="001308CD">
        <w:rPr>
          <w:color w:val="000000" w:themeColor="text1"/>
          <w:lang w:val="en-US"/>
        </w:rPr>
        <w:t>I</w:t>
      </w:r>
      <w:r w:rsidR="001308CD" w:rsidRPr="00F31DD1">
        <w:rPr>
          <w:color w:val="000000" w:themeColor="text1"/>
          <w:lang w:val="en-US"/>
        </w:rPr>
        <w:t xml:space="preserve"> </w:t>
      </w:r>
      <w:r w:rsidR="00857E8E" w:rsidRPr="00F31DD1">
        <w:rPr>
          <w:color w:val="000000" w:themeColor="text1"/>
          <w:lang w:val="en-US"/>
        </w:rPr>
        <w:t xml:space="preserve">worked as consultant and contributor on a number </w:t>
      </w:r>
      <w:r>
        <w:rPr>
          <w:color w:val="000000" w:themeColor="text1"/>
          <w:lang w:val="en-US"/>
        </w:rPr>
        <w:t xml:space="preserve">of </w:t>
      </w:r>
      <w:r w:rsidR="00857E8E" w:rsidRPr="00F31DD1">
        <w:rPr>
          <w:color w:val="000000" w:themeColor="text1"/>
          <w:lang w:val="en-US"/>
        </w:rPr>
        <w:t xml:space="preserve">radio programs </w:t>
      </w:r>
      <w:r w:rsidR="00EC0906" w:rsidRPr="00F31DD1">
        <w:rPr>
          <w:color w:val="000000" w:themeColor="text1"/>
          <w:lang w:val="en-US"/>
        </w:rPr>
        <w:t>dedicated to</w:t>
      </w:r>
      <w:r w:rsidR="00857E8E" w:rsidRPr="00F31DD1">
        <w:rPr>
          <w:color w:val="000000" w:themeColor="text1"/>
          <w:lang w:val="en-US"/>
        </w:rPr>
        <w:t xml:space="preserve"> the trial</w:t>
      </w:r>
      <w:r w:rsidR="00EC0906" w:rsidRPr="00F31DD1">
        <w:rPr>
          <w:color w:val="000000" w:themeColor="text1"/>
          <w:lang w:val="en-US"/>
        </w:rPr>
        <w:t>.</w:t>
      </w:r>
      <w:r w:rsidR="00857E8E" w:rsidRPr="00F31DD1">
        <w:rPr>
          <w:rStyle w:val="EndnoteReference"/>
          <w:color w:val="000000" w:themeColor="text1"/>
          <w:lang w:val="en-US"/>
        </w:rPr>
        <w:endnoteReference w:id="26"/>
      </w:r>
      <w:r w:rsidR="00857E8E" w:rsidRPr="00F31DD1">
        <w:rPr>
          <w:color w:val="000000" w:themeColor="text1"/>
          <w:lang w:val="en-US"/>
        </w:rPr>
        <w:t xml:space="preserve"> </w:t>
      </w:r>
      <w:r w:rsidR="001308CD">
        <w:rPr>
          <w:color w:val="000000" w:themeColor="text1"/>
          <w:lang w:val="en-US"/>
        </w:rPr>
        <w:t xml:space="preserve">I </w:t>
      </w:r>
      <w:r w:rsidR="00857E8E" w:rsidRPr="00F31DD1">
        <w:rPr>
          <w:color w:val="000000" w:themeColor="text1"/>
          <w:lang w:val="en-US"/>
        </w:rPr>
        <w:t xml:space="preserve">also collaborated with production companies </w:t>
      </w:r>
      <w:r w:rsidR="00CF0279" w:rsidRPr="00F31DD1">
        <w:rPr>
          <w:color w:val="000000" w:themeColor="text1"/>
          <w:lang w:val="en-US"/>
        </w:rPr>
        <w:t>to “</w:t>
      </w:r>
      <w:r w:rsidR="00857E8E" w:rsidRPr="00F31DD1">
        <w:rPr>
          <w:color w:val="000000" w:themeColor="text1"/>
          <w:lang w:val="en-US"/>
        </w:rPr>
        <w:t>pitch</w:t>
      </w:r>
      <w:r w:rsidR="00CF0279" w:rsidRPr="00F31DD1">
        <w:rPr>
          <w:color w:val="000000" w:themeColor="text1"/>
          <w:lang w:val="en-US"/>
        </w:rPr>
        <w:t>”</w:t>
      </w:r>
      <w:r w:rsidR="00857E8E" w:rsidRPr="00F31DD1">
        <w:rPr>
          <w:color w:val="000000" w:themeColor="text1"/>
          <w:lang w:val="en-US"/>
        </w:rPr>
        <w:t xml:space="preserve"> films </w:t>
      </w:r>
      <w:r w:rsidR="00CF0279" w:rsidRPr="00F31DD1">
        <w:rPr>
          <w:color w:val="000000" w:themeColor="text1"/>
          <w:lang w:val="en-US"/>
        </w:rPr>
        <w:t>and</w:t>
      </w:r>
      <w:r w:rsidR="00857E8E" w:rsidRPr="00F31DD1">
        <w:rPr>
          <w:color w:val="000000" w:themeColor="text1"/>
          <w:lang w:val="en-US"/>
        </w:rPr>
        <w:t xml:space="preserve"> television programs to various funders and broadcasters. </w:t>
      </w:r>
      <w:r w:rsidR="001E51F7" w:rsidRPr="00F31DD1">
        <w:rPr>
          <w:color w:val="000000" w:themeColor="text1"/>
          <w:lang w:val="en-US"/>
        </w:rPr>
        <w:t xml:space="preserve">These collaborations, in common with the public talks, were </w:t>
      </w:r>
      <w:r>
        <w:rPr>
          <w:color w:val="000000" w:themeColor="text1"/>
          <w:lang w:val="en-US"/>
        </w:rPr>
        <w:t>o</w:t>
      </w:r>
      <w:r w:rsidR="001E51F7" w:rsidRPr="00F31DD1">
        <w:rPr>
          <w:color w:val="000000" w:themeColor="text1"/>
          <w:lang w:val="en-US"/>
        </w:rPr>
        <w:t>n nearly every occasion made after producers, screenwriters</w:t>
      </w:r>
      <w:r>
        <w:rPr>
          <w:color w:val="000000" w:themeColor="text1"/>
          <w:lang w:val="en-US"/>
        </w:rPr>
        <w:t>,</w:t>
      </w:r>
      <w:r w:rsidR="001E51F7" w:rsidRPr="00F31DD1">
        <w:rPr>
          <w:color w:val="000000" w:themeColor="text1"/>
          <w:lang w:val="en-US"/>
        </w:rPr>
        <w:t xml:space="preserve"> or directors had read</w:t>
      </w:r>
      <w:r w:rsidR="009F1DD7" w:rsidRPr="00F31DD1">
        <w:rPr>
          <w:color w:val="000000" w:themeColor="text1"/>
          <w:lang w:val="en-US"/>
        </w:rPr>
        <w:t xml:space="preserve"> </w:t>
      </w:r>
      <w:r w:rsidR="001E51F7" w:rsidRPr="00F31DD1">
        <w:rPr>
          <w:i/>
          <w:iCs/>
          <w:color w:val="000000" w:themeColor="text1"/>
          <w:lang w:val="en-US"/>
        </w:rPr>
        <w:t>Possessed by the Devil</w:t>
      </w:r>
      <w:r w:rsidR="001E51F7" w:rsidRPr="00F31DD1">
        <w:rPr>
          <w:color w:val="000000" w:themeColor="text1"/>
          <w:lang w:val="en-US"/>
        </w:rPr>
        <w:t xml:space="preserve"> or one of </w:t>
      </w:r>
      <w:r w:rsidR="001308CD">
        <w:rPr>
          <w:color w:val="000000" w:themeColor="text1"/>
          <w:lang w:val="en-US"/>
        </w:rPr>
        <w:t>my other</w:t>
      </w:r>
      <w:r w:rsidR="001E51F7" w:rsidRPr="00F31DD1">
        <w:rPr>
          <w:color w:val="000000" w:themeColor="text1"/>
          <w:lang w:val="en-US"/>
        </w:rPr>
        <w:t xml:space="preserve"> article</w:t>
      </w:r>
      <w:r w:rsidR="00CD0411" w:rsidRPr="00F31DD1">
        <w:rPr>
          <w:color w:val="000000" w:themeColor="text1"/>
          <w:lang w:val="en-US"/>
        </w:rPr>
        <w:t>s</w:t>
      </w:r>
      <w:r w:rsidR="001E51F7" w:rsidRPr="00F31DD1">
        <w:rPr>
          <w:color w:val="000000" w:themeColor="text1"/>
          <w:lang w:val="en-US"/>
        </w:rPr>
        <w:t xml:space="preserve">. </w:t>
      </w:r>
      <w:r w:rsidR="00CD0411" w:rsidRPr="00F31DD1">
        <w:rPr>
          <w:color w:val="000000" w:themeColor="text1"/>
          <w:lang w:val="en-US"/>
        </w:rPr>
        <w:t>P</w:t>
      </w:r>
      <w:r w:rsidR="001E51F7" w:rsidRPr="00F31DD1">
        <w:rPr>
          <w:color w:val="000000" w:themeColor="text1"/>
          <w:lang w:val="en-US"/>
        </w:rPr>
        <w:t>roduction companies</w:t>
      </w:r>
      <w:r w:rsidR="00205222">
        <w:rPr>
          <w:color w:val="000000" w:themeColor="text1"/>
          <w:lang w:val="en-US"/>
        </w:rPr>
        <w:t xml:space="preserve"> often told me</w:t>
      </w:r>
      <w:r w:rsidR="00205222" w:rsidRPr="00F31DD1">
        <w:rPr>
          <w:color w:val="000000" w:themeColor="text1"/>
          <w:lang w:val="en-US"/>
        </w:rPr>
        <w:t xml:space="preserve"> </w:t>
      </w:r>
      <w:r w:rsidR="00CD0411" w:rsidRPr="00F31DD1">
        <w:rPr>
          <w:color w:val="000000" w:themeColor="text1"/>
          <w:lang w:val="en-US"/>
        </w:rPr>
        <w:t xml:space="preserve">that because </w:t>
      </w:r>
      <w:r w:rsidR="001E51F7" w:rsidRPr="00F31DD1">
        <w:rPr>
          <w:color w:val="000000" w:themeColor="text1"/>
          <w:lang w:val="en-US"/>
        </w:rPr>
        <w:t>the narrative element</w:t>
      </w:r>
      <w:r w:rsidR="00CD0411" w:rsidRPr="00F31DD1">
        <w:rPr>
          <w:color w:val="000000" w:themeColor="text1"/>
          <w:lang w:val="en-US"/>
        </w:rPr>
        <w:t xml:space="preserve"> </w:t>
      </w:r>
      <w:r w:rsidR="001E51F7" w:rsidRPr="00F31DD1">
        <w:rPr>
          <w:color w:val="000000" w:themeColor="text1"/>
          <w:lang w:val="en-US"/>
        </w:rPr>
        <w:t>was</w:t>
      </w:r>
      <w:r w:rsidR="00CD0411" w:rsidRPr="00F31DD1">
        <w:rPr>
          <w:color w:val="000000" w:themeColor="text1"/>
          <w:lang w:val="en-US"/>
        </w:rPr>
        <w:t xml:space="preserve"> so </w:t>
      </w:r>
      <w:r w:rsidR="001E51F7" w:rsidRPr="00F31DD1">
        <w:rPr>
          <w:color w:val="000000" w:themeColor="text1"/>
          <w:lang w:val="en-US"/>
        </w:rPr>
        <w:t>strong</w:t>
      </w:r>
      <w:r w:rsidR="008245E2">
        <w:rPr>
          <w:color w:val="000000" w:themeColor="text1"/>
          <w:lang w:val="en-US"/>
        </w:rPr>
        <w:t xml:space="preserve"> in the book,</w:t>
      </w:r>
      <w:r w:rsidR="001E51F7" w:rsidRPr="00F31DD1">
        <w:rPr>
          <w:color w:val="000000" w:themeColor="text1"/>
          <w:lang w:val="en-US"/>
        </w:rPr>
        <w:t xml:space="preserve"> </w:t>
      </w:r>
      <w:r w:rsidR="00CD0411" w:rsidRPr="00F31DD1">
        <w:rPr>
          <w:color w:val="000000" w:themeColor="text1"/>
          <w:lang w:val="en-US"/>
        </w:rPr>
        <w:t xml:space="preserve">and because </w:t>
      </w:r>
      <w:r w:rsidR="001E51F7" w:rsidRPr="00F31DD1">
        <w:rPr>
          <w:color w:val="000000" w:themeColor="text1"/>
          <w:lang w:val="en-US"/>
        </w:rPr>
        <w:t>it was already structured like a documentary</w:t>
      </w:r>
      <w:r w:rsidR="00CD0411" w:rsidRPr="00F31DD1">
        <w:rPr>
          <w:color w:val="000000" w:themeColor="text1"/>
          <w:lang w:val="en-US"/>
        </w:rPr>
        <w:t>, it could be effectively and easily adapted for television</w:t>
      </w:r>
      <w:r w:rsidR="001E51F7" w:rsidRPr="00F31DD1">
        <w:rPr>
          <w:color w:val="000000" w:themeColor="text1"/>
          <w:lang w:val="en-US"/>
        </w:rPr>
        <w:t>.</w:t>
      </w:r>
      <w:r w:rsidR="00E70588" w:rsidRPr="00F31DD1">
        <w:rPr>
          <w:color w:val="000000" w:themeColor="text1"/>
          <w:lang w:val="en-US"/>
        </w:rPr>
        <w:t xml:space="preserve"> Its design, as </w:t>
      </w:r>
      <w:r w:rsidR="001E51F7" w:rsidRPr="00F31DD1">
        <w:rPr>
          <w:color w:val="000000" w:themeColor="text1"/>
          <w:lang w:val="en-US"/>
        </w:rPr>
        <w:t>creative microhistory</w:t>
      </w:r>
      <w:r w:rsidR="00E70588" w:rsidRPr="00F31DD1">
        <w:rPr>
          <w:color w:val="000000" w:themeColor="text1"/>
          <w:lang w:val="en-US"/>
        </w:rPr>
        <w:t>,</w:t>
      </w:r>
      <w:r w:rsidR="00CD0411" w:rsidRPr="00F31DD1">
        <w:rPr>
          <w:color w:val="000000" w:themeColor="text1"/>
          <w:lang w:val="en-US"/>
        </w:rPr>
        <w:t xml:space="preserve"> </w:t>
      </w:r>
      <w:r w:rsidR="00E70588" w:rsidRPr="00F31DD1">
        <w:rPr>
          <w:color w:val="000000" w:themeColor="text1"/>
          <w:lang w:val="en-US"/>
        </w:rPr>
        <w:t xml:space="preserve">thus not only </w:t>
      </w:r>
      <w:r w:rsidR="00CD0411" w:rsidRPr="00F31DD1">
        <w:rPr>
          <w:color w:val="000000" w:themeColor="text1"/>
          <w:lang w:val="en-US"/>
        </w:rPr>
        <w:t xml:space="preserve">brought it to the attention </w:t>
      </w:r>
      <w:r w:rsidR="00ED115D" w:rsidRPr="00F31DD1">
        <w:rPr>
          <w:color w:val="000000" w:themeColor="text1"/>
          <w:lang w:val="en-US"/>
        </w:rPr>
        <w:t>of</w:t>
      </w:r>
      <w:r w:rsidR="00CD0411" w:rsidRPr="00F31DD1">
        <w:rPr>
          <w:color w:val="000000" w:themeColor="text1"/>
          <w:lang w:val="en-US"/>
        </w:rPr>
        <w:t xml:space="preserve"> the media, it made the process of adapting it for wider consumption easier.</w:t>
      </w:r>
      <w:r w:rsidR="00E70588" w:rsidRPr="00F31DD1">
        <w:rPr>
          <w:color w:val="000000" w:themeColor="text1"/>
          <w:lang w:val="en-US"/>
        </w:rPr>
        <w:t xml:space="preserve"> </w:t>
      </w:r>
      <w:r w:rsidR="00EA1234" w:rsidRPr="00F31DD1">
        <w:rPr>
          <w:color w:val="000000" w:themeColor="text1"/>
          <w:lang w:val="en-US"/>
        </w:rPr>
        <w:t>Due to the limited funding available</w:t>
      </w:r>
      <w:r w:rsidR="00E70588" w:rsidRPr="00F31DD1">
        <w:rPr>
          <w:color w:val="000000" w:themeColor="text1"/>
          <w:lang w:val="en-US"/>
        </w:rPr>
        <w:t>,</w:t>
      </w:r>
      <w:r w:rsidR="00EA1234" w:rsidRPr="00F31DD1">
        <w:rPr>
          <w:color w:val="000000" w:themeColor="text1"/>
          <w:lang w:val="en-US"/>
        </w:rPr>
        <w:t xml:space="preserve"> and the competitive nature of tendering</w:t>
      </w:r>
      <w:r w:rsidR="00857E8E" w:rsidRPr="00F31DD1">
        <w:rPr>
          <w:color w:val="000000" w:themeColor="text1"/>
          <w:lang w:val="en-US"/>
        </w:rPr>
        <w:t xml:space="preserve"> </w:t>
      </w:r>
      <w:r w:rsidR="00EA1234" w:rsidRPr="00F31DD1">
        <w:rPr>
          <w:color w:val="000000" w:themeColor="text1"/>
          <w:lang w:val="en-US"/>
        </w:rPr>
        <w:t>process</w:t>
      </w:r>
      <w:r w:rsidR="00CF0279" w:rsidRPr="00F31DD1">
        <w:rPr>
          <w:color w:val="000000" w:themeColor="text1"/>
          <w:lang w:val="en-US"/>
        </w:rPr>
        <w:t>es</w:t>
      </w:r>
      <w:r w:rsidR="00EA1234" w:rsidRPr="00F31DD1">
        <w:rPr>
          <w:color w:val="000000" w:themeColor="text1"/>
          <w:lang w:val="en-US"/>
        </w:rPr>
        <w:t xml:space="preserve">, </w:t>
      </w:r>
      <w:r w:rsidRPr="00F31DD1">
        <w:rPr>
          <w:color w:val="000000" w:themeColor="text1"/>
          <w:lang w:val="en-US"/>
        </w:rPr>
        <w:t>most of</w:t>
      </w:r>
      <w:r w:rsidR="00857E8E" w:rsidRPr="00F31DD1">
        <w:rPr>
          <w:color w:val="000000" w:themeColor="text1"/>
          <w:lang w:val="en-US"/>
        </w:rPr>
        <w:t xml:space="preserve"> the</w:t>
      </w:r>
      <w:r w:rsidR="00CF0279" w:rsidRPr="00F31DD1">
        <w:rPr>
          <w:color w:val="000000" w:themeColor="text1"/>
          <w:lang w:val="en-US"/>
        </w:rPr>
        <w:t xml:space="preserve"> pitches </w:t>
      </w:r>
      <w:r w:rsidR="00857E8E" w:rsidRPr="00F31DD1">
        <w:rPr>
          <w:color w:val="000000" w:themeColor="text1"/>
          <w:lang w:val="en-US"/>
        </w:rPr>
        <w:t>were unsuccessful</w:t>
      </w:r>
      <w:r w:rsidR="00EA1234" w:rsidRPr="00F31DD1">
        <w:rPr>
          <w:color w:val="000000" w:themeColor="text1"/>
          <w:lang w:val="en-US"/>
        </w:rPr>
        <w:t>. S</w:t>
      </w:r>
      <w:r w:rsidR="00857E8E" w:rsidRPr="00F31DD1">
        <w:rPr>
          <w:color w:val="000000" w:themeColor="text1"/>
          <w:lang w:val="en-US"/>
        </w:rPr>
        <w:t xml:space="preserve">ome collaborations did </w:t>
      </w:r>
      <w:r w:rsidR="00E70588" w:rsidRPr="00F31DD1">
        <w:rPr>
          <w:color w:val="000000" w:themeColor="text1"/>
          <w:lang w:val="en-US"/>
        </w:rPr>
        <w:t xml:space="preserve">however </w:t>
      </w:r>
      <w:r w:rsidR="00857E8E" w:rsidRPr="00F31DD1">
        <w:rPr>
          <w:color w:val="000000" w:themeColor="text1"/>
          <w:lang w:val="en-US"/>
        </w:rPr>
        <w:t xml:space="preserve">bear fruit and led to consultancy and on-screen contributions to </w:t>
      </w:r>
      <w:r w:rsidR="00857E8E" w:rsidRPr="00F31DD1">
        <w:rPr>
          <w:rStyle w:val="normaltextrun"/>
          <w:color w:val="000000" w:themeColor="text1"/>
          <w:lang w:val="en-US"/>
        </w:rPr>
        <w:t>productions for broadcasters in Britain, Northern Ireland</w:t>
      </w:r>
      <w:r>
        <w:rPr>
          <w:rStyle w:val="normaltextrun"/>
          <w:color w:val="000000" w:themeColor="text1"/>
          <w:lang w:val="en-US"/>
        </w:rPr>
        <w:t>,</w:t>
      </w:r>
      <w:r w:rsidR="00857E8E" w:rsidRPr="00F31DD1">
        <w:rPr>
          <w:rStyle w:val="normaltextrun"/>
          <w:color w:val="000000" w:themeColor="text1"/>
          <w:lang w:val="en-US"/>
        </w:rPr>
        <w:t xml:space="preserve"> and the Republic of Ireland. These programs were variously targeted at </w:t>
      </w:r>
      <w:r w:rsidR="00857E8E" w:rsidRPr="00F31DD1">
        <w:rPr>
          <w:rStyle w:val="normaltextrun"/>
          <w:rFonts w:eastAsia="Arial"/>
          <w:color w:val="000000" w:themeColor="text1"/>
          <w:lang w:val="en-US"/>
        </w:rPr>
        <w:t>Ulster Scots</w:t>
      </w:r>
      <w:r>
        <w:rPr>
          <w:rStyle w:val="normaltextrun"/>
          <w:rFonts w:eastAsia="Arial"/>
          <w:color w:val="000000" w:themeColor="text1"/>
          <w:lang w:val="en-US"/>
        </w:rPr>
        <w:t xml:space="preserve"> and at</w:t>
      </w:r>
      <w:r w:rsidR="00857E8E" w:rsidRPr="00F31DD1">
        <w:rPr>
          <w:rStyle w:val="normaltextrun"/>
          <w:rFonts w:eastAsia="Arial"/>
          <w:color w:val="000000" w:themeColor="text1"/>
          <w:lang w:val="en-US"/>
        </w:rPr>
        <w:t xml:space="preserve"> English and Irish speakers in Northern Ireland and the Republic of Ireland (and further afield) and were often the first time the producer or broadcaster concerned had tackled the issue of Irish witchcraft. In this way, broadcasters were able to capture new and culturally and linguistically diverse audiences with their own interpretation of a story that was essentially about a Scots Presbyterian community living in Ulster.</w:t>
      </w:r>
      <w:r w:rsidR="00857E8E" w:rsidRPr="00F31DD1">
        <w:rPr>
          <w:rStyle w:val="EndnoteReference"/>
          <w:rFonts w:eastAsia="Arial"/>
          <w:color w:val="000000" w:themeColor="text1"/>
          <w:lang w:val="en-US"/>
        </w:rPr>
        <w:endnoteReference w:id="27"/>
      </w:r>
      <w:r w:rsidR="00857E8E" w:rsidRPr="00F31DD1">
        <w:rPr>
          <w:rStyle w:val="normaltextrun"/>
          <w:rFonts w:eastAsia="Arial"/>
          <w:color w:val="000000" w:themeColor="text1"/>
          <w:lang w:val="en-US"/>
        </w:rPr>
        <w:t xml:space="preserve"> </w:t>
      </w:r>
      <w:r w:rsidR="00721BED" w:rsidRPr="00F31DD1">
        <w:rPr>
          <w:rStyle w:val="normaltextrun"/>
          <w:rFonts w:eastAsia="Arial"/>
          <w:color w:val="000000" w:themeColor="text1"/>
          <w:lang w:val="en-US"/>
        </w:rPr>
        <w:t xml:space="preserve">In practice, </w:t>
      </w:r>
      <w:r w:rsidR="009C552E" w:rsidRPr="00F31DD1">
        <w:rPr>
          <w:rStyle w:val="normaltextrun"/>
          <w:rFonts w:eastAsia="Arial"/>
          <w:color w:val="000000" w:themeColor="text1"/>
          <w:lang w:val="en-US"/>
        </w:rPr>
        <w:t xml:space="preserve">along with on-screen appearances, </w:t>
      </w:r>
      <w:r w:rsidR="00E70588" w:rsidRPr="00F31DD1">
        <w:rPr>
          <w:rStyle w:val="normaltextrun"/>
          <w:rFonts w:eastAsia="Arial"/>
          <w:color w:val="000000" w:themeColor="text1"/>
          <w:lang w:val="en-US"/>
        </w:rPr>
        <w:t>the collaboration</w:t>
      </w:r>
      <w:r w:rsidR="009C552E" w:rsidRPr="00F31DD1">
        <w:rPr>
          <w:rStyle w:val="normaltextrun"/>
          <w:rFonts w:eastAsia="Arial"/>
          <w:color w:val="000000" w:themeColor="text1"/>
          <w:lang w:val="en-US"/>
        </w:rPr>
        <w:t>s</w:t>
      </w:r>
      <w:r w:rsidR="008240B1" w:rsidRPr="00F31DD1">
        <w:rPr>
          <w:rStyle w:val="normaltextrun"/>
          <w:rFonts w:eastAsia="Arial"/>
          <w:color w:val="000000" w:themeColor="text1"/>
          <w:lang w:val="en-US"/>
        </w:rPr>
        <w:t xml:space="preserve"> </w:t>
      </w:r>
      <w:r w:rsidR="00CE6FE3" w:rsidRPr="00F31DD1">
        <w:rPr>
          <w:rStyle w:val="normaltextrun"/>
          <w:rFonts w:eastAsia="Arial"/>
          <w:color w:val="000000" w:themeColor="text1"/>
          <w:lang w:val="en-US"/>
        </w:rPr>
        <w:t>involved</w:t>
      </w:r>
      <w:r w:rsidR="000F6F4A" w:rsidRPr="00F31DD1">
        <w:rPr>
          <w:rStyle w:val="normaltextrun"/>
          <w:rFonts w:eastAsia="Arial"/>
          <w:color w:val="000000" w:themeColor="text1"/>
          <w:lang w:val="en-US"/>
        </w:rPr>
        <w:t xml:space="preserve"> ensuring the historical accuracy of scripts, </w:t>
      </w:r>
      <w:r w:rsidR="00E70588" w:rsidRPr="00F31DD1">
        <w:rPr>
          <w:rStyle w:val="normaltextrun"/>
          <w:rFonts w:eastAsia="Arial"/>
          <w:color w:val="000000" w:themeColor="text1"/>
          <w:lang w:val="en-US"/>
        </w:rPr>
        <w:t xml:space="preserve">identifying shooting locations, and </w:t>
      </w:r>
      <w:r w:rsidR="00CE6FE3" w:rsidRPr="00F31DD1">
        <w:rPr>
          <w:rStyle w:val="normaltextrun"/>
          <w:rFonts w:eastAsia="Arial"/>
          <w:color w:val="000000" w:themeColor="text1"/>
          <w:lang w:val="en-US"/>
        </w:rPr>
        <w:t>locating and interpreting original documents to be used on</w:t>
      </w:r>
      <w:r w:rsidR="00E70588" w:rsidRPr="00F31DD1">
        <w:rPr>
          <w:rStyle w:val="normaltextrun"/>
          <w:rFonts w:eastAsia="Arial"/>
          <w:color w:val="000000" w:themeColor="text1"/>
          <w:lang w:val="en-US"/>
        </w:rPr>
        <w:t>-</w:t>
      </w:r>
      <w:r w:rsidR="00CE6FE3" w:rsidRPr="00F31DD1">
        <w:rPr>
          <w:rStyle w:val="normaltextrun"/>
          <w:rFonts w:eastAsia="Arial"/>
          <w:color w:val="000000" w:themeColor="text1"/>
          <w:lang w:val="en-US"/>
        </w:rPr>
        <w:t>screen and by researchers and directors.</w:t>
      </w:r>
      <w:r w:rsidR="00721BED" w:rsidRPr="00F31DD1">
        <w:rPr>
          <w:rStyle w:val="normaltextrun"/>
          <w:rFonts w:eastAsia="Arial"/>
          <w:color w:val="000000" w:themeColor="text1"/>
          <w:lang w:val="en-US"/>
        </w:rPr>
        <w:t xml:space="preserve"> </w:t>
      </w:r>
      <w:r w:rsidR="00E70588" w:rsidRPr="000D30C5">
        <w:rPr>
          <w:rStyle w:val="normaltextrun"/>
          <w:rFonts w:eastAsia="Arial"/>
          <w:color w:val="000000" w:themeColor="text1"/>
          <w:lang w:val="en-US"/>
        </w:rPr>
        <w:t>Consequently</w:t>
      </w:r>
      <w:r w:rsidR="009C552E" w:rsidRPr="000D30C5">
        <w:rPr>
          <w:rStyle w:val="normaltextrun"/>
          <w:rFonts w:eastAsia="Arial"/>
          <w:color w:val="000000" w:themeColor="text1"/>
          <w:lang w:val="en-US"/>
        </w:rPr>
        <w:t>,</w:t>
      </w:r>
      <w:r w:rsidR="00E70588" w:rsidRPr="000D30C5">
        <w:rPr>
          <w:rStyle w:val="normaltextrun"/>
          <w:rFonts w:eastAsia="Arial"/>
          <w:color w:val="000000" w:themeColor="text1"/>
          <w:lang w:val="en-US"/>
        </w:rPr>
        <w:t xml:space="preserve"> a </w:t>
      </w:r>
      <w:r w:rsidR="000F6F4A" w:rsidRPr="000D30C5">
        <w:rPr>
          <w:rStyle w:val="normaltextrun"/>
          <w:rFonts w:eastAsia="Arial"/>
          <w:color w:val="000000" w:themeColor="text1"/>
          <w:lang w:val="en-US"/>
        </w:rPr>
        <w:t>balance</w:t>
      </w:r>
      <w:r w:rsidR="00E70588" w:rsidRPr="000D30C5">
        <w:rPr>
          <w:rStyle w:val="normaltextrun"/>
          <w:rFonts w:eastAsia="Arial"/>
          <w:color w:val="000000" w:themeColor="text1"/>
          <w:lang w:val="en-US"/>
        </w:rPr>
        <w:t xml:space="preserve"> was struck</w:t>
      </w:r>
      <w:r w:rsidR="000F6F4A" w:rsidRPr="000D30C5">
        <w:rPr>
          <w:rStyle w:val="normaltextrun"/>
          <w:rFonts w:eastAsia="Arial"/>
          <w:color w:val="000000" w:themeColor="text1"/>
          <w:lang w:val="en-US"/>
        </w:rPr>
        <w:t xml:space="preserve"> between</w:t>
      </w:r>
      <w:r w:rsidR="00E276AE" w:rsidRPr="000D30C5">
        <w:rPr>
          <w:rStyle w:val="normaltextrun"/>
          <w:rFonts w:eastAsia="Arial"/>
          <w:color w:val="000000" w:themeColor="text1"/>
          <w:lang w:val="en-US"/>
        </w:rPr>
        <w:t xml:space="preserve"> the need to produce entertaining and interesting television and historical accuracy and interpretation based on </w:t>
      </w:r>
      <w:r w:rsidR="00E70588" w:rsidRPr="000D30C5">
        <w:rPr>
          <w:rStyle w:val="normaltextrun"/>
          <w:rFonts w:eastAsia="Arial"/>
          <w:color w:val="000000" w:themeColor="text1"/>
          <w:lang w:val="en-US"/>
        </w:rPr>
        <w:t>primary</w:t>
      </w:r>
      <w:r w:rsidR="00E276AE" w:rsidRPr="000D30C5">
        <w:rPr>
          <w:rStyle w:val="normaltextrun"/>
          <w:rFonts w:eastAsia="Arial"/>
          <w:color w:val="000000" w:themeColor="text1"/>
          <w:lang w:val="en-US"/>
        </w:rPr>
        <w:t xml:space="preserve"> evidence.</w:t>
      </w:r>
      <w:r w:rsidR="00286B06" w:rsidRPr="000D30C5">
        <w:rPr>
          <w:rStyle w:val="normaltextrun"/>
          <w:rFonts w:eastAsia="Arial"/>
          <w:color w:val="000000" w:themeColor="text1"/>
          <w:lang w:val="en-US"/>
        </w:rPr>
        <w:t xml:space="preserve"> </w:t>
      </w:r>
      <w:r w:rsidR="00721BED" w:rsidRPr="000D30C5">
        <w:rPr>
          <w:rStyle w:val="normaltextrun"/>
          <w:rFonts w:eastAsia="Arial"/>
          <w:color w:val="000000" w:themeColor="text1"/>
          <w:lang w:val="en-US"/>
        </w:rPr>
        <w:t xml:space="preserve">One of the </w:t>
      </w:r>
      <w:r w:rsidR="00721BED" w:rsidRPr="000D30C5">
        <w:rPr>
          <w:rStyle w:val="normaltextrun"/>
          <w:rFonts w:eastAsia="Arial"/>
          <w:color w:val="000000" w:themeColor="text1"/>
          <w:lang w:val="en-US"/>
        </w:rPr>
        <w:lastRenderedPageBreak/>
        <w:t xml:space="preserve">largest and last projects </w:t>
      </w:r>
      <w:r w:rsidR="001308CD">
        <w:rPr>
          <w:rStyle w:val="normaltextrun"/>
          <w:rFonts w:eastAsia="Arial"/>
          <w:color w:val="000000" w:themeColor="text1"/>
          <w:lang w:val="en-US"/>
        </w:rPr>
        <w:t xml:space="preserve">I </w:t>
      </w:r>
      <w:r w:rsidR="00721BED" w:rsidRPr="000D30C5">
        <w:rPr>
          <w:rStyle w:val="normaltextrun"/>
          <w:rFonts w:eastAsia="Arial"/>
          <w:color w:val="000000" w:themeColor="text1"/>
          <w:lang w:val="en-US"/>
        </w:rPr>
        <w:t>worked</w:t>
      </w:r>
      <w:r w:rsidR="00CF0279" w:rsidRPr="000D30C5">
        <w:rPr>
          <w:rStyle w:val="normaltextrun"/>
          <w:rFonts w:eastAsia="Arial"/>
          <w:color w:val="000000" w:themeColor="text1"/>
          <w:lang w:val="en-US"/>
        </w:rPr>
        <w:t xml:space="preserve"> on tipped th</w:t>
      </w:r>
      <w:r w:rsidR="004353A0" w:rsidRPr="000D30C5">
        <w:rPr>
          <w:rStyle w:val="normaltextrun"/>
          <w:rFonts w:eastAsia="Arial"/>
          <w:color w:val="000000" w:themeColor="text1"/>
          <w:lang w:val="en-US"/>
        </w:rPr>
        <w:t>e</w:t>
      </w:r>
      <w:r w:rsidR="00CF0279" w:rsidRPr="000D30C5">
        <w:rPr>
          <w:rStyle w:val="normaltextrun"/>
          <w:rFonts w:eastAsia="Arial"/>
          <w:color w:val="000000" w:themeColor="text1"/>
          <w:lang w:val="en-US"/>
        </w:rPr>
        <w:t xml:space="preserve"> balance</w:t>
      </w:r>
      <w:r w:rsidR="004353A0" w:rsidRPr="000D30C5">
        <w:rPr>
          <w:rStyle w:val="normaltextrun"/>
          <w:rFonts w:eastAsia="Arial"/>
          <w:color w:val="000000" w:themeColor="text1"/>
          <w:lang w:val="en-US"/>
        </w:rPr>
        <w:t xml:space="preserve"> further</w:t>
      </w:r>
      <w:r w:rsidR="00E70588" w:rsidRPr="000D30C5">
        <w:rPr>
          <w:rStyle w:val="normaltextrun"/>
          <w:rFonts w:eastAsia="Arial"/>
          <w:color w:val="000000" w:themeColor="text1"/>
          <w:lang w:val="en-US"/>
        </w:rPr>
        <w:t xml:space="preserve"> in favor of </w:t>
      </w:r>
      <w:r w:rsidR="00CF0279" w:rsidRPr="000D30C5">
        <w:rPr>
          <w:rStyle w:val="normaltextrun"/>
          <w:rFonts w:eastAsia="Arial"/>
          <w:color w:val="000000" w:themeColor="text1"/>
          <w:lang w:val="en-US"/>
        </w:rPr>
        <w:t>co-production and collaboration in that</w:t>
      </w:r>
      <w:r w:rsidR="001308CD">
        <w:rPr>
          <w:rStyle w:val="normaltextrun"/>
          <w:rFonts w:eastAsia="Arial"/>
          <w:color w:val="000000" w:themeColor="text1"/>
          <w:lang w:val="en-US"/>
        </w:rPr>
        <w:t xml:space="preserve"> my</w:t>
      </w:r>
      <w:r w:rsidR="00CF0279" w:rsidRPr="000D30C5">
        <w:rPr>
          <w:rStyle w:val="normaltextrun"/>
          <w:rFonts w:eastAsia="Arial"/>
          <w:color w:val="000000" w:themeColor="text1"/>
          <w:lang w:val="en-US"/>
        </w:rPr>
        <w:t xml:space="preserve"> historical research inspired others</w:t>
      </w:r>
      <w:r w:rsidR="00721BED" w:rsidRPr="000D30C5">
        <w:rPr>
          <w:rStyle w:val="normaltextrun"/>
          <w:rFonts w:eastAsia="Arial"/>
          <w:color w:val="000000" w:themeColor="text1"/>
          <w:lang w:val="en-US"/>
        </w:rPr>
        <w:t xml:space="preserve"> to produce their own creative interpretations (</w:t>
      </w:r>
      <w:r w:rsidR="00721BED" w:rsidRPr="00F31DD1">
        <w:rPr>
          <w:rStyle w:val="normaltextrun"/>
          <w:rFonts w:eastAsia="Arial"/>
          <w:color w:val="000000" w:themeColor="text1"/>
          <w:lang w:val="en-US"/>
        </w:rPr>
        <w:t>Hammett</w:t>
      </w:r>
      <w:r w:rsidR="002D2F6F">
        <w:rPr>
          <w:rStyle w:val="normaltextrun"/>
          <w:rFonts w:eastAsia="Arial"/>
          <w:color w:val="000000" w:themeColor="text1"/>
          <w:lang w:val="en-US"/>
        </w:rPr>
        <w:t>, Harrison, and King</w:t>
      </w:r>
      <w:r w:rsidR="00721BED" w:rsidRPr="00F31DD1">
        <w:rPr>
          <w:rStyle w:val="normaltextrun"/>
          <w:rFonts w:eastAsia="Arial"/>
          <w:color w:val="000000" w:themeColor="text1"/>
          <w:lang w:val="en-US"/>
        </w:rPr>
        <w:t xml:space="preserve"> 2020: 250</w:t>
      </w:r>
      <w:r w:rsidR="002D2F6F">
        <w:rPr>
          <w:rStyle w:val="normaltextrun"/>
          <w:rFonts w:eastAsia="Arial"/>
          <w:color w:val="000000" w:themeColor="text1"/>
          <w:lang w:val="en-US"/>
        </w:rPr>
        <w:t>–5</w:t>
      </w:r>
      <w:r w:rsidR="00721BED" w:rsidRPr="00F31DD1">
        <w:rPr>
          <w:rStyle w:val="normaltextrun"/>
          <w:rFonts w:eastAsia="Arial"/>
          <w:color w:val="000000" w:themeColor="text1"/>
          <w:lang w:val="en-US"/>
        </w:rPr>
        <w:t>1)</w:t>
      </w:r>
      <w:r w:rsidR="007B7C2D" w:rsidRPr="00F31DD1">
        <w:rPr>
          <w:rStyle w:val="normaltextrun"/>
          <w:rFonts w:eastAsia="Arial"/>
          <w:color w:val="000000" w:themeColor="text1"/>
          <w:lang w:val="en-US"/>
        </w:rPr>
        <w:t xml:space="preserve">. </w:t>
      </w:r>
      <w:r w:rsidR="00857E8E" w:rsidRPr="00F31DD1">
        <w:rPr>
          <w:rStyle w:val="normaltextrun"/>
          <w:rFonts w:eastAsia="Arial"/>
          <w:color w:val="000000" w:themeColor="text1"/>
          <w:lang w:val="en-US"/>
        </w:rPr>
        <w:t>Between 2016 and 202</w:t>
      </w:r>
      <w:r w:rsidR="003C75FC">
        <w:rPr>
          <w:rStyle w:val="normaltextrun"/>
          <w:rFonts w:eastAsia="Arial"/>
          <w:color w:val="000000" w:themeColor="text1"/>
          <w:lang w:val="en-US"/>
        </w:rPr>
        <w:t>1</w:t>
      </w:r>
      <w:r w:rsidR="00857E8E" w:rsidRPr="00F31DD1">
        <w:rPr>
          <w:rStyle w:val="normaltextrun"/>
          <w:rFonts w:eastAsia="Arial"/>
          <w:color w:val="000000" w:themeColor="text1"/>
          <w:lang w:val="en-US"/>
        </w:rPr>
        <w:t xml:space="preserve">, </w:t>
      </w:r>
      <w:r w:rsidR="001308CD">
        <w:rPr>
          <w:rStyle w:val="normaltextrun"/>
          <w:rFonts w:eastAsia="Arial"/>
          <w:color w:val="000000" w:themeColor="text1"/>
          <w:lang w:val="en-US"/>
        </w:rPr>
        <w:t xml:space="preserve">I </w:t>
      </w:r>
      <w:r w:rsidR="00857E8E" w:rsidRPr="00F31DD1">
        <w:rPr>
          <w:rStyle w:val="normaltextrun"/>
          <w:rFonts w:eastAsia="Arial"/>
          <w:color w:val="000000" w:themeColor="text1"/>
          <w:lang w:val="en-US"/>
        </w:rPr>
        <w:t>worked with</w:t>
      </w:r>
      <w:r w:rsidR="00857E8E" w:rsidRPr="00F31DD1">
        <w:rPr>
          <w:rStyle w:val="normaltextrun"/>
          <w:color w:val="000000" w:themeColor="text1"/>
          <w:lang w:val="en-US"/>
        </w:rPr>
        <w:t xml:space="preserve"> Lagan Media Productions on the production of a six-part, Irish</w:t>
      </w:r>
      <w:r w:rsidR="002D2F6F">
        <w:rPr>
          <w:rStyle w:val="normaltextrun"/>
          <w:color w:val="000000" w:themeColor="text1"/>
          <w:lang w:val="en-US"/>
        </w:rPr>
        <w:t>-</w:t>
      </w:r>
      <w:r w:rsidR="00857E8E" w:rsidRPr="00F31DD1">
        <w:rPr>
          <w:rStyle w:val="normaltextrun"/>
          <w:color w:val="000000" w:themeColor="text1"/>
          <w:lang w:val="en-US"/>
        </w:rPr>
        <w:t xml:space="preserve">language series </w:t>
      </w:r>
      <w:r w:rsidR="0053287A" w:rsidRPr="00F31DD1">
        <w:rPr>
          <w:rStyle w:val="normaltextrun"/>
          <w:color w:val="000000" w:themeColor="text1"/>
          <w:lang w:val="en-US"/>
        </w:rPr>
        <w:t>to</w:t>
      </w:r>
      <w:r w:rsidR="00857E8E" w:rsidRPr="00F31DD1">
        <w:rPr>
          <w:rStyle w:val="normaltextrun"/>
          <w:color w:val="000000" w:themeColor="text1"/>
          <w:lang w:val="en-US"/>
        </w:rPr>
        <w:t xml:space="preserve"> provide a new, nuanced, and broad (in terms of chronology and themes covered) examination of Irish witchcraft.</w:t>
      </w:r>
      <w:r w:rsidR="00857E8E" w:rsidRPr="00F31DD1">
        <w:rPr>
          <w:color w:val="000000" w:themeColor="text1"/>
          <w:lang w:val="en-US"/>
        </w:rPr>
        <w:t xml:space="preserve"> </w:t>
      </w:r>
      <w:r w:rsidR="001308CD">
        <w:rPr>
          <w:color w:val="000000" w:themeColor="text1"/>
          <w:lang w:val="en-US"/>
        </w:rPr>
        <w:t xml:space="preserve">I </w:t>
      </w:r>
      <w:r w:rsidR="00E276AE" w:rsidRPr="00F31DD1">
        <w:rPr>
          <w:color w:val="000000" w:themeColor="text1"/>
          <w:lang w:val="en-US"/>
        </w:rPr>
        <w:t xml:space="preserve">was closely involved in this series, </w:t>
      </w:r>
      <w:r w:rsidR="0053287A" w:rsidRPr="00F31DD1">
        <w:rPr>
          <w:color w:val="000000" w:themeColor="text1"/>
          <w:lang w:val="en-US"/>
        </w:rPr>
        <w:t>from “pitch” to “post-production</w:t>
      </w:r>
      <w:r w:rsidR="002D2F6F">
        <w:rPr>
          <w:color w:val="000000" w:themeColor="text1"/>
          <w:lang w:val="en-US"/>
        </w:rPr>
        <w:t>,</w:t>
      </w:r>
      <w:r w:rsidR="0053287A" w:rsidRPr="00F31DD1">
        <w:rPr>
          <w:color w:val="000000" w:themeColor="text1"/>
          <w:lang w:val="en-US"/>
        </w:rPr>
        <w:t xml:space="preserve">” </w:t>
      </w:r>
      <w:r w:rsidR="00E276AE" w:rsidRPr="00F31DD1">
        <w:rPr>
          <w:color w:val="000000" w:themeColor="text1"/>
          <w:lang w:val="en-US"/>
        </w:rPr>
        <w:t>and many of the episodes were directly based on</w:t>
      </w:r>
      <w:r w:rsidR="001308CD">
        <w:rPr>
          <w:color w:val="000000" w:themeColor="text1"/>
          <w:lang w:val="en-US"/>
        </w:rPr>
        <w:t xml:space="preserve"> my </w:t>
      </w:r>
      <w:r w:rsidR="00E276AE" w:rsidRPr="00F31DD1">
        <w:rPr>
          <w:color w:val="000000" w:themeColor="text1"/>
          <w:lang w:val="en-US"/>
        </w:rPr>
        <w:t>research</w:t>
      </w:r>
      <w:r w:rsidR="00AA64CE" w:rsidRPr="00F31DD1">
        <w:rPr>
          <w:color w:val="000000" w:themeColor="text1"/>
          <w:lang w:val="en-US"/>
        </w:rPr>
        <w:t xml:space="preserve"> and publications</w:t>
      </w:r>
      <w:r w:rsidR="00E276AE" w:rsidRPr="00F31DD1">
        <w:rPr>
          <w:color w:val="000000" w:themeColor="text1"/>
          <w:lang w:val="en-US"/>
        </w:rPr>
        <w:t xml:space="preserve">, including </w:t>
      </w:r>
      <w:r w:rsidR="00844C42" w:rsidRPr="00F31DD1">
        <w:rPr>
          <w:color w:val="000000" w:themeColor="text1"/>
          <w:lang w:val="en-US"/>
        </w:rPr>
        <w:t>those</w:t>
      </w:r>
      <w:r w:rsidR="00E276AE" w:rsidRPr="00F31DD1">
        <w:rPr>
          <w:color w:val="000000" w:themeColor="text1"/>
          <w:lang w:val="en-US"/>
        </w:rPr>
        <w:t xml:space="preserve"> on the trial </w:t>
      </w:r>
      <w:proofErr w:type="spellStart"/>
      <w:r w:rsidR="00E276AE" w:rsidRPr="00F31DD1">
        <w:rPr>
          <w:color w:val="000000" w:themeColor="text1"/>
          <w:lang w:val="en-US"/>
        </w:rPr>
        <w:t>Islandmagee</w:t>
      </w:r>
      <w:proofErr w:type="spellEnd"/>
      <w:r w:rsidR="00E276AE" w:rsidRPr="00F31DD1">
        <w:rPr>
          <w:color w:val="000000" w:themeColor="text1"/>
          <w:lang w:val="en-US"/>
        </w:rPr>
        <w:t xml:space="preserve"> witches and the extra-judicial killing of a witch</w:t>
      </w:r>
      <w:r w:rsidR="00AD3C41" w:rsidRPr="00F31DD1">
        <w:rPr>
          <w:color w:val="000000" w:themeColor="text1"/>
          <w:lang w:val="en-US"/>
        </w:rPr>
        <w:t xml:space="preserve"> in Antrim town, County Antrim in 1698.</w:t>
      </w:r>
      <w:r w:rsidR="00AD3C41" w:rsidRPr="00F31DD1">
        <w:rPr>
          <w:rStyle w:val="EndnoteReference"/>
          <w:color w:val="000000" w:themeColor="text1"/>
          <w:lang w:val="en-US"/>
        </w:rPr>
        <w:endnoteReference w:id="28"/>
      </w:r>
      <w:r w:rsidR="00170504" w:rsidRPr="00F31DD1">
        <w:rPr>
          <w:color w:val="000000" w:themeColor="text1"/>
          <w:lang w:val="en-US"/>
        </w:rPr>
        <w:t xml:space="preserve"> </w:t>
      </w:r>
      <w:r w:rsidR="009146E8" w:rsidRPr="00F31DD1">
        <w:rPr>
          <w:color w:val="000000" w:themeColor="text1"/>
          <w:lang w:val="en-US"/>
        </w:rPr>
        <w:t>The series</w:t>
      </w:r>
      <w:r w:rsidR="002D2F6F">
        <w:rPr>
          <w:color w:val="000000" w:themeColor="text1"/>
          <w:lang w:val="en-US"/>
        </w:rPr>
        <w:t>,</w:t>
      </w:r>
      <w:r w:rsidR="009146E8" w:rsidRPr="00F31DD1">
        <w:rPr>
          <w:color w:val="000000" w:themeColor="text1"/>
          <w:lang w:val="en-US"/>
        </w:rPr>
        <w:t xml:space="preserve"> howeve</w:t>
      </w:r>
      <w:r w:rsidR="009C552E" w:rsidRPr="00F31DD1">
        <w:rPr>
          <w:color w:val="000000" w:themeColor="text1"/>
          <w:lang w:val="en-US"/>
        </w:rPr>
        <w:t>r</w:t>
      </w:r>
      <w:r w:rsidR="002D2F6F">
        <w:rPr>
          <w:color w:val="000000" w:themeColor="text1"/>
          <w:lang w:val="en-US"/>
        </w:rPr>
        <w:t>,</w:t>
      </w:r>
      <w:r w:rsidR="009C552E" w:rsidRPr="00F31DD1">
        <w:rPr>
          <w:color w:val="000000" w:themeColor="text1"/>
          <w:lang w:val="en-US"/>
        </w:rPr>
        <w:t xml:space="preserve"> also</w:t>
      </w:r>
      <w:r w:rsidR="009146E8" w:rsidRPr="00F31DD1">
        <w:rPr>
          <w:color w:val="000000" w:themeColor="text1"/>
          <w:lang w:val="en-US"/>
        </w:rPr>
        <w:t xml:space="preserve"> </w:t>
      </w:r>
      <w:r w:rsidR="00170504" w:rsidRPr="00F31DD1">
        <w:rPr>
          <w:color w:val="000000" w:themeColor="text1"/>
          <w:lang w:val="en-US"/>
        </w:rPr>
        <w:t>reflects</w:t>
      </w:r>
      <w:r w:rsidR="00AA64CE" w:rsidRPr="00F31DD1">
        <w:rPr>
          <w:color w:val="000000" w:themeColor="text1"/>
          <w:lang w:val="en-US"/>
        </w:rPr>
        <w:t xml:space="preserve"> </w:t>
      </w:r>
      <w:r w:rsidR="0053287A" w:rsidRPr="00F31DD1">
        <w:rPr>
          <w:color w:val="000000" w:themeColor="text1"/>
          <w:lang w:val="en-US"/>
        </w:rPr>
        <w:t>the</w:t>
      </w:r>
      <w:r w:rsidR="00CF6E93" w:rsidRPr="00F31DD1">
        <w:rPr>
          <w:color w:val="000000" w:themeColor="text1"/>
          <w:lang w:val="en-US"/>
        </w:rPr>
        <w:t xml:space="preserve"> creative</w:t>
      </w:r>
      <w:r w:rsidR="00170504" w:rsidRPr="00F31DD1">
        <w:rPr>
          <w:color w:val="000000" w:themeColor="text1"/>
          <w:lang w:val="en-US"/>
        </w:rPr>
        <w:t xml:space="preserve"> input of producers and developers</w:t>
      </w:r>
      <w:r w:rsidR="0053287A" w:rsidRPr="00F31DD1">
        <w:rPr>
          <w:color w:val="000000" w:themeColor="text1"/>
          <w:lang w:val="en-US"/>
        </w:rPr>
        <w:t xml:space="preserve">, </w:t>
      </w:r>
      <w:r w:rsidR="009146E8" w:rsidRPr="00F31DD1">
        <w:rPr>
          <w:color w:val="000000" w:themeColor="text1"/>
          <w:lang w:val="en-US"/>
        </w:rPr>
        <w:t>providing a feminist interpretation of witch</w:t>
      </w:r>
      <w:r w:rsidR="00101A6E" w:rsidRPr="00F31DD1">
        <w:rPr>
          <w:color w:val="000000" w:themeColor="text1"/>
          <w:lang w:val="en-US"/>
        </w:rPr>
        <w:t xml:space="preserve"> trial</w:t>
      </w:r>
      <w:r w:rsidR="003B2A6E" w:rsidRPr="00F31DD1">
        <w:rPr>
          <w:color w:val="000000" w:themeColor="text1"/>
          <w:lang w:val="en-US"/>
        </w:rPr>
        <w:t>s</w:t>
      </w:r>
      <w:r w:rsidR="00101A6E" w:rsidRPr="00F31DD1">
        <w:rPr>
          <w:color w:val="000000" w:themeColor="text1"/>
          <w:lang w:val="en-US"/>
        </w:rPr>
        <w:t xml:space="preserve"> </w:t>
      </w:r>
      <w:r w:rsidR="009146E8" w:rsidRPr="00F31DD1">
        <w:rPr>
          <w:color w:val="000000" w:themeColor="text1"/>
          <w:lang w:val="en-US"/>
        </w:rPr>
        <w:t xml:space="preserve">in Ireland and placing </w:t>
      </w:r>
      <w:r w:rsidR="003B2A6E" w:rsidRPr="00F31DD1">
        <w:rPr>
          <w:color w:val="000000" w:themeColor="text1"/>
          <w:lang w:val="en-US"/>
        </w:rPr>
        <w:t>them in the wider</w:t>
      </w:r>
      <w:r w:rsidR="009146E8" w:rsidRPr="00F31DD1">
        <w:rPr>
          <w:color w:val="000000" w:themeColor="text1"/>
          <w:lang w:val="en-US"/>
        </w:rPr>
        <w:t xml:space="preserve"> context of ancient, Gaelic-Irish cosmology, mythology</w:t>
      </w:r>
      <w:r w:rsidR="002D2F6F">
        <w:rPr>
          <w:color w:val="000000" w:themeColor="text1"/>
          <w:lang w:val="en-US"/>
        </w:rPr>
        <w:t>,</w:t>
      </w:r>
      <w:r w:rsidR="009146E8" w:rsidRPr="00F31DD1">
        <w:rPr>
          <w:color w:val="000000" w:themeColor="text1"/>
          <w:lang w:val="en-US"/>
        </w:rPr>
        <w:t xml:space="preserve"> and folklore</w:t>
      </w:r>
      <w:r w:rsidR="00101A6E" w:rsidRPr="00F31DD1">
        <w:rPr>
          <w:color w:val="000000" w:themeColor="text1"/>
          <w:lang w:val="en-US"/>
        </w:rPr>
        <w:t xml:space="preserve">. The website for the series describes </w:t>
      </w:r>
      <w:r w:rsidR="00ED115D" w:rsidRPr="00F31DD1">
        <w:rPr>
          <w:color w:val="000000" w:themeColor="text1"/>
          <w:lang w:val="en-US"/>
        </w:rPr>
        <w:t>the</w:t>
      </w:r>
      <w:r w:rsidR="00101A6E" w:rsidRPr="00F31DD1">
        <w:rPr>
          <w:color w:val="000000" w:themeColor="text1"/>
          <w:lang w:val="en-US"/>
        </w:rPr>
        <w:t xml:space="preserve"> </w:t>
      </w:r>
      <w:r w:rsidR="003B2A6E" w:rsidRPr="00F31DD1">
        <w:rPr>
          <w:color w:val="000000" w:themeColor="text1"/>
          <w:lang w:val="en-US"/>
        </w:rPr>
        <w:t>program thus</w:t>
      </w:r>
      <w:r w:rsidR="00170504" w:rsidRPr="00F31DD1">
        <w:rPr>
          <w:color w:val="000000" w:themeColor="text1"/>
          <w:lang w:val="en-US"/>
        </w:rPr>
        <w:t>:</w:t>
      </w:r>
      <w:r w:rsidR="002D2F6F">
        <w:rPr>
          <w:color w:val="000000" w:themeColor="text1"/>
          <w:lang w:val="en-US"/>
        </w:rPr>
        <w:t xml:space="preserve"> “</w:t>
      </w:r>
      <w:r w:rsidR="003C75FC" w:rsidRPr="001A5F88">
        <w:t>Hundreds of thousands of people, mostly women, were persecuted in the witch hunts in Europe and America in the early modern period.</w:t>
      </w:r>
      <w:r w:rsidR="003C75FC">
        <w:t xml:space="preserve"> </w:t>
      </w:r>
      <w:r w:rsidR="003C75FC" w:rsidRPr="001A5F88">
        <w:t>Yet witch trials were rare in Ireland, a culture where ancient beliefs in powerful female archetypes remained. This series explores witchcraft accusations in Ireland, the religious beliefs and social conditions that underpinned them, and how a native cosmology may have protected the Irish from the horror of the witch hunts.</w:t>
      </w:r>
      <w:r w:rsidR="003C75FC">
        <w:t>”</w:t>
      </w:r>
      <w:r w:rsidR="00052086" w:rsidRPr="00F31DD1">
        <w:rPr>
          <w:rStyle w:val="EndnoteReference"/>
          <w:color w:val="000000" w:themeColor="text1"/>
          <w:lang w:val="en-US"/>
        </w:rPr>
        <w:endnoteReference w:id="29"/>
      </w:r>
    </w:p>
    <w:p w14:paraId="630DCEF9" w14:textId="0CA2412C" w:rsidR="00857E8E" w:rsidRPr="00F31DD1" w:rsidRDefault="002D2F6F" w:rsidP="0058637A">
      <w:pPr>
        <w:spacing w:line="480" w:lineRule="auto"/>
        <w:rPr>
          <w:color w:val="000000" w:themeColor="text1"/>
          <w:shd w:val="clear" w:color="auto" w:fill="FFFFFF"/>
          <w:lang w:val="en-US"/>
        </w:rPr>
      </w:pPr>
      <w:r>
        <w:rPr>
          <w:color w:val="000000" w:themeColor="text1"/>
          <w:shd w:val="clear" w:color="auto" w:fill="FFFFFF"/>
          <w:lang w:val="en-US"/>
        </w:rPr>
        <w:tab/>
      </w:r>
      <w:r w:rsidR="00857E8E" w:rsidRPr="00F31DD1">
        <w:rPr>
          <w:color w:val="000000" w:themeColor="text1"/>
          <w:shd w:val="clear" w:color="auto" w:fill="FFFFFF"/>
          <w:lang w:val="en-US"/>
        </w:rPr>
        <w:t>Despite</w:t>
      </w:r>
      <w:r w:rsidR="00043206" w:rsidRPr="00F31DD1">
        <w:rPr>
          <w:color w:val="000000" w:themeColor="text1"/>
          <w:shd w:val="clear" w:color="auto" w:fill="FFFFFF"/>
          <w:lang w:val="en-US"/>
        </w:rPr>
        <w:t xml:space="preserve"> </w:t>
      </w:r>
      <w:r w:rsidR="0026747C" w:rsidRPr="00F31DD1">
        <w:rPr>
          <w:color w:val="000000" w:themeColor="text1"/>
          <w:shd w:val="clear" w:color="auto" w:fill="FFFFFF"/>
          <w:lang w:val="en-US"/>
        </w:rPr>
        <w:t xml:space="preserve">public </w:t>
      </w:r>
      <w:r w:rsidR="00857E8E" w:rsidRPr="00F31DD1">
        <w:rPr>
          <w:color w:val="000000" w:themeColor="text1"/>
          <w:shd w:val="clear" w:color="auto" w:fill="FFFFFF"/>
          <w:lang w:val="en-US"/>
        </w:rPr>
        <w:t xml:space="preserve">interest in the trial, and the fact that it had been commemorated informally for centuries in the local area, </w:t>
      </w:r>
      <w:r w:rsidR="00857E8E" w:rsidRPr="00F31DD1">
        <w:rPr>
          <w:color w:val="000000" w:themeColor="text1"/>
          <w:lang w:val="en-US"/>
        </w:rPr>
        <w:t xml:space="preserve">it has yet (as of </w:t>
      </w:r>
      <w:r w:rsidR="00E70588" w:rsidRPr="00F31DD1">
        <w:rPr>
          <w:color w:val="000000" w:themeColor="text1"/>
          <w:lang w:val="en-US"/>
        </w:rPr>
        <w:t>October</w:t>
      </w:r>
      <w:r w:rsidR="00857E8E" w:rsidRPr="00F31DD1">
        <w:rPr>
          <w:color w:val="000000" w:themeColor="text1"/>
          <w:lang w:val="en-US"/>
        </w:rPr>
        <w:t xml:space="preserve"> 2021) to be officially commemorated or memoriali</w:t>
      </w:r>
      <w:r w:rsidR="001966CD">
        <w:rPr>
          <w:color w:val="000000" w:themeColor="text1"/>
          <w:lang w:val="en-US"/>
        </w:rPr>
        <w:t>z</w:t>
      </w:r>
      <w:r w:rsidR="00857E8E" w:rsidRPr="00F31DD1">
        <w:rPr>
          <w:color w:val="000000" w:themeColor="text1"/>
          <w:lang w:val="en-US"/>
        </w:rPr>
        <w:t xml:space="preserve">ed in Northern Ireland: there is no museum exhibition or memorial or signage dedicated to the </w:t>
      </w:r>
      <w:proofErr w:type="spellStart"/>
      <w:r w:rsidR="00857E8E" w:rsidRPr="00F31DD1">
        <w:rPr>
          <w:color w:val="000000" w:themeColor="text1"/>
          <w:lang w:val="en-US"/>
        </w:rPr>
        <w:t>Islandmagee</w:t>
      </w:r>
      <w:proofErr w:type="spellEnd"/>
      <w:r w:rsidR="00857E8E" w:rsidRPr="00F31DD1">
        <w:rPr>
          <w:color w:val="000000" w:themeColor="text1"/>
          <w:lang w:val="en-US"/>
        </w:rPr>
        <w:t xml:space="preserve"> witches. The plaque at the base of the modern imagining of the pillory in </w:t>
      </w:r>
      <w:proofErr w:type="spellStart"/>
      <w:r w:rsidR="00857E8E" w:rsidRPr="00F31DD1">
        <w:rPr>
          <w:color w:val="000000" w:themeColor="text1"/>
          <w:lang w:val="en-US"/>
        </w:rPr>
        <w:t>Carrickfergus</w:t>
      </w:r>
      <w:proofErr w:type="spellEnd"/>
      <w:r w:rsidR="00857E8E" w:rsidRPr="00F31DD1">
        <w:rPr>
          <w:color w:val="000000" w:themeColor="text1"/>
          <w:lang w:val="en-US"/>
        </w:rPr>
        <w:t xml:space="preserve">, placed near to where the women were tried and pilloried, does not mention the </w:t>
      </w:r>
      <w:proofErr w:type="spellStart"/>
      <w:r w:rsidR="00857E8E" w:rsidRPr="00F31DD1">
        <w:rPr>
          <w:color w:val="000000" w:themeColor="text1"/>
          <w:lang w:val="en-US"/>
        </w:rPr>
        <w:t>Islandmagee</w:t>
      </w:r>
      <w:proofErr w:type="spellEnd"/>
      <w:r w:rsidR="00857E8E" w:rsidRPr="00F31DD1">
        <w:rPr>
          <w:color w:val="000000" w:themeColor="text1"/>
          <w:lang w:val="en-US"/>
        </w:rPr>
        <w:t xml:space="preserve"> witches. However, unofficially in online guides, it has recently been referred to as “</w:t>
      </w:r>
      <w:proofErr w:type="spellStart"/>
      <w:r w:rsidR="00857E8E" w:rsidRPr="00F31DD1">
        <w:rPr>
          <w:color w:val="000000" w:themeColor="text1"/>
          <w:lang w:val="en-US"/>
        </w:rPr>
        <w:t>Carrickfergus</w:t>
      </w:r>
      <w:proofErr w:type="spellEnd"/>
      <w:r w:rsidR="00857E8E" w:rsidRPr="00F31DD1">
        <w:rPr>
          <w:color w:val="000000" w:themeColor="text1"/>
          <w:lang w:val="en-US"/>
        </w:rPr>
        <w:t xml:space="preserve"> Witches</w:t>
      </w:r>
      <w:r w:rsidR="001966CD">
        <w:rPr>
          <w:color w:val="000000" w:themeColor="text1"/>
          <w:lang w:val="en-US"/>
        </w:rPr>
        <w:t>’</w:t>
      </w:r>
      <w:r w:rsidR="00857E8E" w:rsidRPr="00F31DD1">
        <w:rPr>
          <w:color w:val="000000" w:themeColor="text1"/>
          <w:lang w:val="en-US"/>
        </w:rPr>
        <w:t xml:space="preserve"> Pillory.”</w:t>
      </w:r>
      <w:r w:rsidR="00857E8E" w:rsidRPr="00F31DD1">
        <w:rPr>
          <w:rStyle w:val="EndnoteReference"/>
          <w:color w:val="000000" w:themeColor="text1"/>
          <w:lang w:val="en-US"/>
        </w:rPr>
        <w:endnoteReference w:id="30"/>
      </w:r>
      <w:r w:rsidR="00857E8E" w:rsidRPr="00F31DD1">
        <w:rPr>
          <w:color w:val="000000" w:themeColor="text1"/>
          <w:lang w:val="en-US"/>
        </w:rPr>
        <w:t xml:space="preserve"> The situation in Northern Ireland is different to other countries that experienced mass witch trials in that </w:t>
      </w:r>
      <w:r w:rsidR="00042B63" w:rsidRPr="00F31DD1">
        <w:rPr>
          <w:color w:val="000000" w:themeColor="text1"/>
          <w:lang w:val="en-US"/>
        </w:rPr>
        <w:t xml:space="preserve">some </w:t>
      </w:r>
      <w:r w:rsidR="00042B63" w:rsidRPr="00F31DD1">
        <w:rPr>
          <w:color w:val="000000" w:themeColor="text1"/>
          <w:lang w:val="en-US"/>
        </w:rPr>
        <w:lastRenderedPageBreak/>
        <w:t>of those countries</w:t>
      </w:r>
      <w:r w:rsidR="00857E8E" w:rsidRPr="00F31DD1">
        <w:rPr>
          <w:color w:val="000000" w:themeColor="text1"/>
          <w:lang w:val="en-US"/>
        </w:rPr>
        <w:t xml:space="preserve"> have confronted their witch</w:t>
      </w:r>
      <w:r w:rsidR="00F31DD1" w:rsidRPr="00F31DD1">
        <w:rPr>
          <w:color w:val="000000" w:themeColor="text1"/>
          <w:lang w:val="en-US"/>
        </w:rPr>
        <w:t xml:space="preserve"> </w:t>
      </w:r>
      <w:r w:rsidR="00857E8E" w:rsidRPr="00F31DD1">
        <w:rPr>
          <w:color w:val="000000" w:themeColor="text1"/>
          <w:lang w:val="en-US"/>
        </w:rPr>
        <w:t>hunting past through pardons, memorials, monuments</w:t>
      </w:r>
      <w:r w:rsidR="001966CD">
        <w:rPr>
          <w:color w:val="000000" w:themeColor="text1"/>
          <w:lang w:val="en-US"/>
        </w:rPr>
        <w:t>,</w:t>
      </w:r>
      <w:r w:rsidR="00857E8E" w:rsidRPr="00F31DD1">
        <w:rPr>
          <w:color w:val="000000" w:themeColor="text1"/>
          <w:lang w:val="en-US"/>
        </w:rPr>
        <w:t xml:space="preserve"> and other commemorative activities: in England, in relation to the Lancaster witch trials of</w:t>
      </w:r>
      <w:r w:rsidR="00857E8E" w:rsidRPr="00F31DD1">
        <w:rPr>
          <w:rStyle w:val="normaltextrun"/>
          <w:color w:val="000000" w:themeColor="text1"/>
          <w:lang w:val="en-US"/>
        </w:rPr>
        <w:t xml:space="preserve"> 1612;</w:t>
      </w:r>
      <w:r w:rsidR="00857E8E" w:rsidRPr="00F31DD1">
        <w:rPr>
          <w:color w:val="000000" w:themeColor="text1"/>
          <w:lang w:val="en-US"/>
        </w:rPr>
        <w:t xml:space="preserve"> in the United States with regard</w:t>
      </w:r>
      <w:r w:rsidR="001966CD">
        <w:rPr>
          <w:color w:val="000000" w:themeColor="text1"/>
          <w:lang w:val="en-US"/>
        </w:rPr>
        <w:t xml:space="preserve"> to</w:t>
      </w:r>
      <w:r w:rsidR="00857E8E" w:rsidRPr="00F31DD1">
        <w:rPr>
          <w:color w:val="000000" w:themeColor="text1"/>
          <w:lang w:val="en-US"/>
        </w:rPr>
        <w:t xml:space="preserve"> the Salem Witch trials of 1692</w:t>
      </w:r>
      <w:r w:rsidR="001966CD">
        <w:rPr>
          <w:color w:val="000000" w:themeColor="text1"/>
          <w:lang w:val="en-US"/>
        </w:rPr>
        <w:t>–169</w:t>
      </w:r>
      <w:r w:rsidR="00857E8E" w:rsidRPr="00F31DD1">
        <w:rPr>
          <w:color w:val="000000" w:themeColor="text1"/>
          <w:lang w:val="en-US"/>
        </w:rPr>
        <w:t xml:space="preserve">3; and in </w:t>
      </w:r>
      <w:proofErr w:type="spellStart"/>
      <w:r w:rsidR="00857E8E" w:rsidRPr="00F31DD1">
        <w:rPr>
          <w:color w:val="000000" w:themeColor="text1"/>
          <w:shd w:val="clear" w:color="auto" w:fill="FFFFFF"/>
          <w:lang w:val="en-US"/>
        </w:rPr>
        <w:t>Vardø</w:t>
      </w:r>
      <w:proofErr w:type="spellEnd"/>
      <w:r w:rsidR="00857E8E" w:rsidRPr="00F31DD1">
        <w:rPr>
          <w:color w:val="000000" w:themeColor="text1"/>
          <w:shd w:val="clear" w:color="auto" w:fill="FFFFFF"/>
          <w:lang w:val="en-US"/>
        </w:rPr>
        <w:t xml:space="preserve">, Norway, where </w:t>
      </w:r>
      <w:r w:rsidR="00857E8E" w:rsidRPr="00F31DD1">
        <w:rPr>
          <w:color w:val="000000" w:themeColor="text1"/>
          <w:lang w:val="en-US"/>
        </w:rPr>
        <w:t xml:space="preserve">the </w:t>
      </w:r>
      <w:proofErr w:type="spellStart"/>
      <w:r w:rsidR="00857E8E" w:rsidRPr="00F31DD1">
        <w:rPr>
          <w:color w:val="000000" w:themeColor="text1"/>
          <w:shd w:val="clear" w:color="auto" w:fill="FFFFFF"/>
          <w:lang w:val="en-US"/>
        </w:rPr>
        <w:t>Steilneset</w:t>
      </w:r>
      <w:proofErr w:type="spellEnd"/>
      <w:r w:rsidR="00857E8E" w:rsidRPr="00F31DD1">
        <w:rPr>
          <w:color w:val="000000" w:themeColor="text1"/>
          <w:shd w:val="clear" w:color="auto" w:fill="FFFFFF"/>
          <w:lang w:val="en-US"/>
        </w:rPr>
        <w:t xml:space="preserve"> Memorial commemorates the 91 people executed for witchcraft at </w:t>
      </w:r>
      <w:r w:rsidR="00CD3A9F">
        <w:rPr>
          <w:color w:val="000000" w:themeColor="text1"/>
          <w:shd w:val="clear" w:color="auto" w:fill="FFFFFF"/>
          <w:lang w:val="en-US"/>
        </w:rPr>
        <w:t xml:space="preserve">a </w:t>
      </w:r>
      <w:r w:rsidR="00857E8E" w:rsidRPr="00F31DD1">
        <w:rPr>
          <w:color w:val="000000" w:themeColor="text1"/>
          <w:shd w:val="clear" w:color="auto" w:fill="FFFFFF"/>
          <w:lang w:val="en-US"/>
        </w:rPr>
        <w:t xml:space="preserve">series of trials in the seventeenth century in East </w:t>
      </w:r>
      <w:proofErr w:type="spellStart"/>
      <w:r w:rsidR="00857E8E" w:rsidRPr="00F31DD1">
        <w:rPr>
          <w:color w:val="000000" w:themeColor="text1"/>
          <w:shd w:val="clear" w:color="auto" w:fill="FFFFFF"/>
          <w:lang w:val="en-US"/>
        </w:rPr>
        <w:t>Finnmark</w:t>
      </w:r>
      <w:proofErr w:type="spellEnd"/>
      <w:r w:rsidR="00857E8E" w:rsidRPr="00F31DD1">
        <w:rPr>
          <w:color w:val="000000" w:themeColor="text1"/>
          <w:shd w:val="clear" w:color="auto" w:fill="FFFFFF"/>
          <w:lang w:val="en-US"/>
        </w:rPr>
        <w:t xml:space="preserve"> </w:t>
      </w:r>
      <w:r w:rsidR="00857E8E" w:rsidRPr="00F31DD1">
        <w:rPr>
          <w:color w:val="000000" w:themeColor="text1"/>
          <w:spacing w:val="-5"/>
          <w:shd w:val="clear" w:color="auto" w:fill="FFFFFF"/>
          <w:lang w:val="en-US"/>
        </w:rPr>
        <w:t>(Findlay</w:t>
      </w:r>
      <w:r w:rsidR="00CD3A9F">
        <w:rPr>
          <w:color w:val="000000" w:themeColor="text1"/>
          <w:spacing w:val="-5"/>
          <w:shd w:val="clear" w:color="auto" w:fill="FFFFFF"/>
          <w:lang w:val="en-US"/>
        </w:rPr>
        <w:t xml:space="preserve"> and</w:t>
      </w:r>
      <w:r w:rsidR="00857E8E" w:rsidRPr="00F31DD1">
        <w:rPr>
          <w:color w:val="000000" w:themeColor="text1"/>
          <w:spacing w:val="-5"/>
          <w:shd w:val="clear" w:color="auto" w:fill="FFFFFF"/>
          <w:lang w:val="en-US"/>
        </w:rPr>
        <w:t xml:space="preserve"> Oakley-Brown 2014: 1</w:t>
      </w:r>
      <w:r w:rsidR="00CD3A9F">
        <w:rPr>
          <w:color w:val="000000" w:themeColor="text1"/>
          <w:lang w:val="en-US"/>
        </w:rPr>
        <w:t>;</w:t>
      </w:r>
      <w:r w:rsidR="00857E8E" w:rsidRPr="00F31DD1">
        <w:rPr>
          <w:color w:val="000000" w:themeColor="text1"/>
          <w:shd w:val="clear" w:color="auto" w:fill="FFFFFF"/>
          <w:lang w:val="en-US"/>
        </w:rPr>
        <w:t xml:space="preserve"> </w:t>
      </w:r>
      <w:proofErr w:type="spellStart"/>
      <w:r w:rsidR="00857E8E" w:rsidRPr="00F31DD1">
        <w:rPr>
          <w:color w:val="000000" w:themeColor="text1"/>
          <w:shd w:val="clear" w:color="auto" w:fill="FFFFFF"/>
          <w:lang w:val="en-US"/>
        </w:rPr>
        <w:t>Tanović</w:t>
      </w:r>
      <w:proofErr w:type="spellEnd"/>
      <w:r w:rsidR="00857E8E" w:rsidRPr="00F31DD1">
        <w:rPr>
          <w:color w:val="000000" w:themeColor="text1"/>
          <w:shd w:val="clear" w:color="auto" w:fill="FFFFFF"/>
          <w:lang w:val="en-US"/>
        </w:rPr>
        <w:t xml:space="preserve"> 2019: 65</w:t>
      </w:r>
      <w:r w:rsidR="00CD3A9F">
        <w:rPr>
          <w:color w:val="000000" w:themeColor="text1"/>
          <w:shd w:val="clear" w:color="auto" w:fill="FFFFFF"/>
          <w:lang w:val="en-US"/>
        </w:rPr>
        <w:t>–</w:t>
      </w:r>
      <w:r w:rsidR="00857E8E" w:rsidRPr="00F31DD1">
        <w:rPr>
          <w:color w:val="000000" w:themeColor="text1"/>
          <w:shd w:val="clear" w:color="auto" w:fill="FFFFFF"/>
          <w:lang w:val="en-US"/>
        </w:rPr>
        <w:t>73</w:t>
      </w:r>
      <w:r w:rsidR="00CD3A9F">
        <w:rPr>
          <w:color w:val="000000" w:themeColor="text1"/>
          <w:shd w:val="clear" w:color="auto" w:fill="FFFFFF"/>
          <w:lang w:val="en-US"/>
        </w:rPr>
        <w:t>;</w:t>
      </w:r>
      <w:r w:rsidR="00857E8E" w:rsidRPr="00F31DD1">
        <w:rPr>
          <w:color w:val="000000" w:themeColor="text1"/>
          <w:shd w:val="clear" w:color="auto" w:fill="FFFFFF"/>
          <w:lang w:val="en-US"/>
        </w:rPr>
        <w:t xml:space="preserve"> </w:t>
      </w:r>
      <w:r w:rsidR="00857E8E" w:rsidRPr="00F31DD1">
        <w:rPr>
          <w:color w:val="000000" w:themeColor="text1"/>
          <w:lang w:val="en-US"/>
        </w:rPr>
        <w:t>Sneddon 2019: 258</w:t>
      </w:r>
      <w:r w:rsidR="00CD3A9F">
        <w:rPr>
          <w:color w:val="000000" w:themeColor="text1"/>
          <w:lang w:val="en-US"/>
        </w:rPr>
        <w:t>–5</w:t>
      </w:r>
      <w:r w:rsidR="00857E8E" w:rsidRPr="00F31DD1">
        <w:rPr>
          <w:color w:val="000000" w:themeColor="text1"/>
          <w:lang w:val="en-US"/>
        </w:rPr>
        <w:t>9).</w:t>
      </w:r>
      <w:r w:rsidR="00857E8E" w:rsidRPr="00F31DD1">
        <w:rPr>
          <w:color w:val="000000" w:themeColor="text1"/>
          <w:shd w:val="clear" w:color="auto" w:fill="FFFFFF"/>
          <w:lang w:val="en-US"/>
        </w:rPr>
        <w:t xml:space="preserve"> </w:t>
      </w:r>
      <w:r w:rsidR="00857E8E" w:rsidRPr="00F31DD1">
        <w:rPr>
          <w:color w:val="000000" w:themeColor="text1"/>
          <w:lang w:val="en-US"/>
        </w:rPr>
        <w:t>Indeed, some sectors of Northern Irish society have found the notion of commemorating convicted witches extremely problematic</w:t>
      </w:r>
      <w:r w:rsidR="00043206" w:rsidRPr="00F31DD1">
        <w:rPr>
          <w:color w:val="000000" w:themeColor="text1"/>
          <w:lang w:val="en-US"/>
        </w:rPr>
        <w:t xml:space="preserve">, and as such it can be considered </w:t>
      </w:r>
      <w:r w:rsidR="00043206" w:rsidRPr="00F31DD1">
        <w:rPr>
          <w:rStyle w:val="nlmgiven-names"/>
          <w:color w:val="000000" w:themeColor="text1"/>
          <w:lang w:val="en-US"/>
        </w:rPr>
        <w:t>difficult heritage.</w:t>
      </w:r>
      <w:r w:rsidR="00857E8E" w:rsidRPr="00F31DD1">
        <w:rPr>
          <w:color w:val="000000" w:themeColor="text1"/>
          <w:lang w:val="en-US"/>
        </w:rPr>
        <w:t xml:space="preserve"> In February 2015, wide media coverage was given to objections by Traditional Unionist Voice </w:t>
      </w:r>
      <w:proofErr w:type="spellStart"/>
      <w:r w:rsidR="00857E8E" w:rsidRPr="00F31DD1">
        <w:rPr>
          <w:color w:val="000000" w:themeColor="text1"/>
          <w:lang w:val="en-US"/>
        </w:rPr>
        <w:t>Councillor</w:t>
      </w:r>
      <w:proofErr w:type="spellEnd"/>
      <w:r w:rsidR="00857E8E" w:rsidRPr="00F31DD1">
        <w:rPr>
          <w:color w:val="000000" w:themeColor="text1"/>
          <w:lang w:val="en-US"/>
        </w:rPr>
        <w:t xml:space="preserve">, the late Jack McKee, to a proposal made to Larne Council by novelist Martina Devlin to erect a small memorial in </w:t>
      </w:r>
      <w:proofErr w:type="spellStart"/>
      <w:r w:rsidR="00857E8E" w:rsidRPr="00F31DD1">
        <w:rPr>
          <w:color w:val="000000" w:themeColor="text1"/>
          <w:lang w:val="en-US"/>
        </w:rPr>
        <w:t>Islandmagee</w:t>
      </w:r>
      <w:proofErr w:type="spellEnd"/>
      <w:r w:rsidR="00857E8E" w:rsidRPr="00F31DD1">
        <w:rPr>
          <w:color w:val="000000" w:themeColor="text1"/>
          <w:lang w:val="en-US"/>
        </w:rPr>
        <w:t xml:space="preserve"> to the eight women. This formed part of a wider call by Devlin to have the wom</w:t>
      </w:r>
      <w:r w:rsidR="0073538D" w:rsidRPr="00F31DD1">
        <w:rPr>
          <w:color w:val="000000" w:themeColor="text1"/>
          <w:lang w:val="en-US"/>
        </w:rPr>
        <w:t>e</w:t>
      </w:r>
      <w:r w:rsidR="00857E8E" w:rsidRPr="00F31DD1">
        <w:rPr>
          <w:color w:val="000000" w:themeColor="text1"/>
          <w:lang w:val="en-US"/>
        </w:rPr>
        <w:t xml:space="preserve">n posthumously pardoned. William </w:t>
      </w:r>
      <w:proofErr w:type="spellStart"/>
      <w:r w:rsidR="00857E8E" w:rsidRPr="00F31DD1">
        <w:rPr>
          <w:color w:val="000000" w:themeColor="text1"/>
          <w:lang w:val="en-US"/>
        </w:rPr>
        <w:t>Sellor</w:t>
      </w:r>
      <w:proofErr w:type="spellEnd"/>
      <w:r w:rsidR="00857E8E" w:rsidRPr="00F31DD1">
        <w:rPr>
          <w:color w:val="000000" w:themeColor="text1"/>
          <w:lang w:val="en-US"/>
        </w:rPr>
        <w:t xml:space="preserve"> was not mentioned in either the plan to have the </w:t>
      </w:r>
      <w:proofErr w:type="spellStart"/>
      <w:r w:rsidR="00857E8E" w:rsidRPr="00F31DD1">
        <w:rPr>
          <w:color w:val="000000" w:themeColor="text1"/>
          <w:lang w:val="en-US"/>
        </w:rPr>
        <w:t>Islandmagee</w:t>
      </w:r>
      <w:proofErr w:type="spellEnd"/>
      <w:r w:rsidR="00857E8E" w:rsidRPr="00F31DD1">
        <w:rPr>
          <w:color w:val="000000" w:themeColor="text1"/>
          <w:lang w:val="en-US"/>
        </w:rPr>
        <w:t xml:space="preserve"> witches pardoned or commemorated</w:t>
      </w:r>
      <w:r w:rsidR="008F0395" w:rsidRPr="00F31DD1">
        <w:rPr>
          <w:color w:val="000000" w:themeColor="text1"/>
          <w:lang w:val="en-US"/>
        </w:rPr>
        <w:t xml:space="preserve">. </w:t>
      </w:r>
      <w:r w:rsidR="00857E8E" w:rsidRPr="00F31DD1">
        <w:rPr>
          <w:color w:val="000000" w:themeColor="text1"/>
          <w:lang w:val="en-US"/>
        </w:rPr>
        <w:t xml:space="preserve">McKee argued that he knew of no evidence that the women had been wrongly convicted and felt that to commemorate the </w:t>
      </w:r>
      <w:proofErr w:type="spellStart"/>
      <w:r w:rsidR="00857E8E" w:rsidRPr="00F31DD1">
        <w:rPr>
          <w:color w:val="000000" w:themeColor="text1"/>
          <w:lang w:val="en-US"/>
        </w:rPr>
        <w:t>Islandmagee</w:t>
      </w:r>
      <w:proofErr w:type="spellEnd"/>
      <w:r w:rsidR="00857E8E" w:rsidRPr="00F31DD1">
        <w:rPr>
          <w:color w:val="000000" w:themeColor="text1"/>
          <w:lang w:val="en-US"/>
        </w:rPr>
        <w:t xml:space="preserve"> witches, would be “anti-God” and that “he was not going to support devil worship.”</w:t>
      </w:r>
      <w:r w:rsidR="00857E8E" w:rsidRPr="00F31DD1">
        <w:rPr>
          <w:rStyle w:val="EndnoteReference"/>
          <w:color w:val="000000" w:themeColor="text1"/>
          <w:lang w:val="en-US"/>
        </w:rPr>
        <w:endnoteReference w:id="31"/>
      </w:r>
      <w:r w:rsidR="00857E8E" w:rsidRPr="00F31DD1">
        <w:rPr>
          <w:rStyle w:val="EndnoteReference"/>
          <w:color w:val="000000" w:themeColor="text1"/>
          <w:lang w:val="en-US"/>
        </w:rPr>
        <w:t xml:space="preserve"> </w:t>
      </w:r>
      <w:r w:rsidR="00857E8E" w:rsidRPr="00F31DD1">
        <w:rPr>
          <w:rFonts w:eastAsiaTheme="minorEastAsia"/>
          <w:color w:val="000000" w:themeColor="text1"/>
          <w:lang w:val="en-US"/>
        </w:rPr>
        <w:t>By referring to McKee as “</w:t>
      </w:r>
      <w:r w:rsidR="00857E8E" w:rsidRPr="00F31DD1">
        <w:rPr>
          <w:color w:val="000000" w:themeColor="text1"/>
          <w:shd w:val="clear" w:color="auto" w:fill="FFFFFF"/>
          <w:lang w:val="en-US"/>
        </w:rPr>
        <w:t xml:space="preserve">a born-again Christian </w:t>
      </w:r>
      <w:proofErr w:type="spellStart"/>
      <w:r w:rsidR="00857E8E" w:rsidRPr="00F31DD1">
        <w:rPr>
          <w:color w:val="000000" w:themeColor="text1"/>
          <w:shd w:val="clear" w:color="auto" w:fill="FFFFFF"/>
          <w:lang w:val="en-US"/>
        </w:rPr>
        <w:t>councillor</w:t>
      </w:r>
      <w:proofErr w:type="spellEnd"/>
      <w:r w:rsidR="00857E8E" w:rsidRPr="00F31DD1">
        <w:rPr>
          <w:color w:val="000000" w:themeColor="text1"/>
          <w:shd w:val="clear" w:color="auto" w:fill="FFFFFF"/>
          <w:lang w:val="en-US"/>
        </w:rPr>
        <w:t xml:space="preserve">,” </w:t>
      </w:r>
      <w:r w:rsidR="00CD3A9F">
        <w:rPr>
          <w:rFonts w:eastAsiaTheme="minorEastAsia"/>
          <w:color w:val="000000" w:themeColor="text1"/>
          <w:lang w:val="en-US"/>
        </w:rPr>
        <w:t>the</w:t>
      </w:r>
      <w:r w:rsidR="00CD3A9F" w:rsidRPr="00F31DD1">
        <w:rPr>
          <w:rFonts w:eastAsiaTheme="minorEastAsia"/>
          <w:color w:val="000000" w:themeColor="text1"/>
          <w:lang w:val="en-US"/>
        </w:rPr>
        <w:t xml:space="preserve"> </w:t>
      </w:r>
      <w:r w:rsidR="00857E8E" w:rsidRPr="00F31DD1">
        <w:rPr>
          <w:rFonts w:eastAsiaTheme="minorEastAsia"/>
          <w:i/>
          <w:iCs/>
          <w:color w:val="000000" w:themeColor="text1"/>
          <w:lang w:val="en-US"/>
        </w:rPr>
        <w:t xml:space="preserve">Guardian </w:t>
      </w:r>
      <w:r w:rsidR="00857E8E" w:rsidRPr="00F31DD1">
        <w:rPr>
          <w:rFonts w:eastAsiaTheme="minorEastAsia"/>
          <w:color w:val="000000" w:themeColor="text1"/>
          <w:lang w:val="en-US"/>
        </w:rPr>
        <w:t xml:space="preserve">newspaper in February 2021 hinted that his objection was rooted in his religious ideology and membership of </w:t>
      </w:r>
      <w:r w:rsidR="0073538D" w:rsidRPr="00F31DD1">
        <w:rPr>
          <w:rFonts w:eastAsiaTheme="minorEastAsia"/>
          <w:color w:val="000000" w:themeColor="text1"/>
          <w:lang w:val="en-US"/>
        </w:rPr>
        <w:t xml:space="preserve">the </w:t>
      </w:r>
      <w:r w:rsidR="00857E8E" w:rsidRPr="00F31DD1">
        <w:rPr>
          <w:rFonts w:eastAsiaTheme="minorEastAsia"/>
          <w:color w:val="000000" w:themeColor="text1"/>
          <w:lang w:val="en-US"/>
        </w:rPr>
        <w:t>fundamentalist and evangelical Free Presbyterian Church of Ireland</w:t>
      </w:r>
      <w:r w:rsidR="00CD3A9F">
        <w:rPr>
          <w:rFonts w:eastAsiaTheme="minorEastAsia"/>
          <w:color w:val="000000" w:themeColor="text1"/>
          <w:lang w:val="en-US"/>
        </w:rPr>
        <w:t>,</w:t>
      </w:r>
      <w:r w:rsidR="00857E8E" w:rsidRPr="00F31DD1">
        <w:rPr>
          <w:rFonts w:eastAsiaTheme="minorEastAsia"/>
          <w:color w:val="000000" w:themeColor="text1"/>
          <w:lang w:val="en-US"/>
        </w:rPr>
        <w:t xml:space="preserve"> founded in 1951 by Reverend Ian Paisley</w:t>
      </w:r>
      <w:r w:rsidR="00857E8E" w:rsidRPr="00F31DD1">
        <w:rPr>
          <w:color w:val="000000" w:themeColor="text1"/>
          <w:shd w:val="clear" w:color="auto" w:fill="FFFFFF"/>
          <w:lang w:val="en-US"/>
        </w:rPr>
        <w:t>.</w:t>
      </w:r>
      <w:r w:rsidR="00857E8E" w:rsidRPr="00F31DD1">
        <w:rPr>
          <w:rStyle w:val="EndnoteReference"/>
          <w:color w:val="000000" w:themeColor="text1"/>
          <w:shd w:val="clear" w:color="auto" w:fill="FFFFFF"/>
          <w:lang w:val="en-US"/>
        </w:rPr>
        <w:endnoteReference w:id="32"/>
      </w:r>
      <w:r w:rsidR="00857E8E" w:rsidRPr="00F31DD1">
        <w:rPr>
          <w:color w:val="000000" w:themeColor="text1"/>
          <w:lang w:val="en-US"/>
        </w:rPr>
        <w:t xml:space="preserve"> McKee’s linking of the </w:t>
      </w:r>
      <w:proofErr w:type="spellStart"/>
      <w:r w:rsidR="00857E8E" w:rsidRPr="00F31DD1">
        <w:rPr>
          <w:color w:val="000000" w:themeColor="text1"/>
          <w:lang w:val="en-US"/>
        </w:rPr>
        <w:t>Islandmagee</w:t>
      </w:r>
      <w:proofErr w:type="spellEnd"/>
      <w:r w:rsidR="00857E8E" w:rsidRPr="00F31DD1">
        <w:rPr>
          <w:color w:val="000000" w:themeColor="text1"/>
          <w:lang w:val="en-US"/>
        </w:rPr>
        <w:t xml:space="preserve"> trial to “devil worship” however can be traced back </w:t>
      </w:r>
      <w:r w:rsidR="00857E8E" w:rsidRPr="00F31DD1">
        <w:rPr>
          <w:rFonts w:eastAsiaTheme="minorEastAsia"/>
          <w:color w:val="000000" w:themeColor="text1"/>
          <w:lang w:val="en-US"/>
        </w:rPr>
        <w:t xml:space="preserve">to the early 1970s in Northern Ireland during the 30 year period of conflict known euphemistically as </w:t>
      </w:r>
      <w:r w:rsidR="008F0395" w:rsidRPr="00F31DD1">
        <w:rPr>
          <w:rFonts w:eastAsiaTheme="minorEastAsia"/>
          <w:color w:val="000000" w:themeColor="text1"/>
          <w:lang w:val="en-US"/>
        </w:rPr>
        <w:t>“</w:t>
      </w:r>
      <w:r w:rsidR="00857E8E" w:rsidRPr="00F31DD1">
        <w:rPr>
          <w:rFonts w:eastAsiaTheme="minorEastAsia"/>
          <w:color w:val="000000" w:themeColor="text1"/>
          <w:lang w:val="en-US"/>
        </w:rPr>
        <w:t>The Troubles</w:t>
      </w:r>
      <w:r w:rsidR="00CD3A9F">
        <w:rPr>
          <w:rFonts w:eastAsiaTheme="minorEastAsia"/>
          <w:color w:val="000000" w:themeColor="text1"/>
          <w:lang w:val="en-US"/>
        </w:rPr>
        <w:t>.</w:t>
      </w:r>
      <w:r w:rsidR="008F0395" w:rsidRPr="00F31DD1">
        <w:rPr>
          <w:rFonts w:eastAsiaTheme="minorEastAsia"/>
          <w:color w:val="000000" w:themeColor="text1"/>
          <w:lang w:val="en-US"/>
        </w:rPr>
        <w:t>”</w:t>
      </w:r>
      <w:r w:rsidR="00857E8E" w:rsidRPr="00F31DD1">
        <w:rPr>
          <w:rFonts w:eastAsiaTheme="minorEastAsia"/>
          <w:color w:val="000000" w:themeColor="text1"/>
          <w:lang w:val="en-US"/>
        </w:rPr>
        <w:t xml:space="preserve"> Due to its historical association with witchcraft, </w:t>
      </w:r>
      <w:proofErr w:type="spellStart"/>
      <w:r w:rsidR="00857E8E" w:rsidRPr="00F31DD1">
        <w:rPr>
          <w:rFonts w:eastAsiaTheme="minorEastAsia"/>
          <w:color w:val="000000" w:themeColor="text1"/>
          <w:lang w:val="en-US"/>
        </w:rPr>
        <w:t>Islandmagee</w:t>
      </w:r>
      <w:proofErr w:type="spellEnd"/>
      <w:r w:rsidR="00857E8E" w:rsidRPr="00F31DD1">
        <w:rPr>
          <w:rFonts w:eastAsiaTheme="minorEastAsia"/>
          <w:color w:val="000000" w:themeColor="text1"/>
          <w:lang w:val="en-US"/>
        </w:rPr>
        <w:t xml:space="preserve"> was chosen in 1972 by operatives in Royal Ulster Constabulary’s Special Branch as the location of one of a number of staged black magic sites designed to invoke current concerns over modern </w:t>
      </w:r>
      <w:r w:rsidR="0026747C" w:rsidRPr="00F31DD1">
        <w:rPr>
          <w:rFonts w:eastAsiaTheme="minorEastAsia"/>
          <w:color w:val="000000" w:themeColor="text1"/>
          <w:lang w:val="en-US"/>
        </w:rPr>
        <w:t xml:space="preserve">Satanism </w:t>
      </w:r>
      <w:r w:rsidR="008F0395" w:rsidRPr="00F31DD1">
        <w:rPr>
          <w:rFonts w:eastAsiaTheme="minorEastAsia"/>
          <w:color w:val="000000" w:themeColor="text1"/>
          <w:lang w:val="en-US"/>
        </w:rPr>
        <w:t>that would</w:t>
      </w:r>
      <w:r w:rsidR="00857E8E" w:rsidRPr="00F31DD1">
        <w:rPr>
          <w:rFonts w:eastAsiaTheme="minorEastAsia"/>
          <w:color w:val="000000" w:themeColor="text1"/>
          <w:lang w:val="en-US"/>
        </w:rPr>
        <w:t xml:space="preserve"> keep children off the </w:t>
      </w:r>
      <w:r w:rsidR="00857E8E" w:rsidRPr="00F31DD1">
        <w:rPr>
          <w:rFonts w:eastAsiaTheme="minorEastAsia"/>
          <w:color w:val="000000" w:themeColor="text1"/>
          <w:lang w:val="en-US"/>
        </w:rPr>
        <w:lastRenderedPageBreak/>
        <w:t xml:space="preserve">street at night and away from places of strategic importance </w:t>
      </w:r>
      <w:r w:rsidR="00DA75C8" w:rsidRPr="00F31DD1">
        <w:rPr>
          <w:rFonts w:eastAsiaTheme="minorEastAsia"/>
          <w:color w:val="000000" w:themeColor="text1"/>
          <w:lang w:val="en-US"/>
        </w:rPr>
        <w:t xml:space="preserve">such as army bases </w:t>
      </w:r>
      <w:r w:rsidR="00857E8E" w:rsidRPr="00F31DD1">
        <w:rPr>
          <w:rFonts w:eastAsiaTheme="minorEastAsia"/>
          <w:color w:val="000000" w:themeColor="text1"/>
          <w:lang w:val="en-US"/>
        </w:rPr>
        <w:t>(Sneddon 2019: 258</w:t>
      </w:r>
      <w:r w:rsidR="00042B63" w:rsidRPr="00F31DD1">
        <w:rPr>
          <w:rFonts w:eastAsiaTheme="minorEastAsia"/>
          <w:color w:val="000000" w:themeColor="text1"/>
          <w:lang w:val="en-US"/>
        </w:rPr>
        <w:t>; Jenkins 2014</w:t>
      </w:r>
      <w:r w:rsidR="00857E8E" w:rsidRPr="00F31DD1">
        <w:rPr>
          <w:rFonts w:eastAsiaTheme="minorEastAsia"/>
          <w:color w:val="000000" w:themeColor="text1"/>
          <w:lang w:val="en-US"/>
        </w:rPr>
        <w:t>).</w:t>
      </w:r>
    </w:p>
    <w:p w14:paraId="389E5744" w14:textId="2CD13E29" w:rsidR="00136662" w:rsidRPr="00F31DD1" w:rsidRDefault="000341C3" w:rsidP="000A12B5">
      <w:pPr>
        <w:spacing w:line="480" w:lineRule="auto"/>
        <w:rPr>
          <w:color w:val="000000" w:themeColor="text1"/>
          <w:lang w:val="en-US"/>
        </w:rPr>
      </w:pPr>
      <w:r>
        <w:rPr>
          <w:rFonts w:eastAsiaTheme="minorEastAsia"/>
          <w:color w:val="000000" w:themeColor="text1"/>
          <w:lang w:val="en-US"/>
        </w:rPr>
        <w:tab/>
      </w:r>
      <w:r w:rsidR="00857E8E" w:rsidRPr="00F31DD1">
        <w:rPr>
          <w:rFonts w:eastAsiaTheme="minorEastAsia"/>
          <w:color w:val="000000" w:themeColor="text1"/>
          <w:lang w:val="en-US"/>
        </w:rPr>
        <w:t>The reluctance to commemorate, pardon or memoriali</w:t>
      </w:r>
      <w:r>
        <w:rPr>
          <w:rFonts w:eastAsiaTheme="minorEastAsia"/>
          <w:color w:val="000000" w:themeColor="text1"/>
          <w:lang w:val="en-US"/>
        </w:rPr>
        <w:t>z</w:t>
      </w:r>
      <w:r w:rsidR="00857E8E" w:rsidRPr="00F31DD1">
        <w:rPr>
          <w:rFonts w:eastAsiaTheme="minorEastAsia"/>
          <w:color w:val="000000" w:themeColor="text1"/>
          <w:lang w:val="en-US"/>
        </w:rPr>
        <w:t xml:space="preserve">e the </w:t>
      </w:r>
      <w:proofErr w:type="spellStart"/>
      <w:r w:rsidR="00857E8E" w:rsidRPr="00F31DD1">
        <w:rPr>
          <w:rFonts w:eastAsiaTheme="minorEastAsia"/>
          <w:color w:val="000000" w:themeColor="text1"/>
          <w:lang w:val="en-US"/>
        </w:rPr>
        <w:t>Islandmagee</w:t>
      </w:r>
      <w:proofErr w:type="spellEnd"/>
      <w:r w:rsidR="00857E8E" w:rsidRPr="00F31DD1">
        <w:rPr>
          <w:rFonts w:eastAsiaTheme="minorEastAsia"/>
          <w:color w:val="000000" w:themeColor="text1"/>
          <w:lang w:val="en-US"/>
        </w:rPr>
        <w:t xml:space="preserve"> witches may also be a consequence of the fact that post</w:t>
      </w:r>
      <w:r w:rsidR="00857E8E" w:rsidRPr="00F31DD1">
        <w:rPr>
          <w:color w:val="000000" w:themeColor="text1"/>
          <w:lang w:val="en-US"/>
        </w:rPr>
        <w:t>-conflict but still religiously, socially, culturally</w:t>
      </w:r>
      <w:r>
        <w:rPr>
          <w:color w:val="000000" w:themeColor="text1"/>
          <w:lang w:val="en-US"/>
        </w:rPr>
        <w:t>,</w:t>
      </w:r>
      <w:r w:rsidR="00857E8E" w:rsidRPr="00F31DD1">
        <w:rPr>
          <w:color w:val="000000" w:themeColor="text1"/>
          <w:lang w:val="en-US"/>
        </w:rPr>
        <w:t xml:space="preserve"> and politically divided Northern Ireland </w:t>
      </w:r>
      <w:r w:rsidR="00857E8E" w:rsidRPr="00F31DD1">
        <w:rPr>
          <w:rFonts w:eastAsiaTheme="minorEastAsia"/>
          <w:color w:val="000000" w:themeColor="text1"/>
          <w:lang w:val="en-US"/>
        </w:rPr>
        <w:t>is particularly sensitive to (and often wary of) secular remembrance and commemoration. This is especially true when it is underpinned by competing religiously and politically informed memories or interpretations of the past that have the potential to create controversy and deepen community or societal divisions.</w:t>
      </w:r>
      <w:r w:rsidR="00857E8E" w:rsidRPr="00F31DD1">
        <w:rPr>
          <w:rStyle w:val="EndnoteReference"/>
          <w:rFonts w:eastAsiaTheme="minorEastAsia"/>
          <w:color w:val="000000" w:themeColor="text1"/>
          <w:lang w:val="en-US"/>
        </w:rPr>
        <w:endnoteReference w:id="33"/>
      </w:r>
      <w:r w:rsidR="00857E8E" w:rsidRPr="00F31DD1">
        <w:rPr>
          <w:rFonts w:eastAsiaTheme="minorEastAsia"/>
          <w:color w:val="000000" w:themeColor="text1"/>
          <w:lang w:val="en-US"/>
        </w:rPr>
        <w:t xml:space="preserve"> </w:t>
      </w:r>
      <w:r w:rsidR="00857E8E" w:rsidRPr="000341C3">
        <w:rPr>
          <w:rFonts w:eastAsiaTheme="minorEastAsia"/>
          <w:color w:val="000000" w:themeColor="text1"/>
          <w:lang w:val="en-US"/>
        </w:rPr>
        <w:t>It is for this reason that the Community Relations Council in Northern Ireland, along with charities such as the Heritage Lottery Fund and the museum and heritage sector, approached</w:t>
      </w:r>
      <w:r w:rsidR="00857E8E" w:rsidRPr="000341C3">
        <w:rPr>
          <w:color w:val="000000" w:themeColor="text1"/>
          <w:lang w:val="en-US"/>
        </w:rPr>
        <w:t xml:space="preserve"> Ireland’s Decade of Centenaries strategically, cautiously</w:t>
      </w:r>
      <w:r>
        <w:rPr>
          <w:color w:val="000000" w:themeColor="text1"/>
          <w:lang w:val="en-US"/>
        </w:rPr>
        <w:t>,</w:t>
      </w:r>
      <w:r w:rsidR="00857E8E" w:rsidRPr="000341C3">
        <w:rPr>
          <w:color w:val="000000" w:themeColor="text1"/>
          <w:lang w:val="en-US"/>
        </w:rPr>
        <w:t xml:space="preserve"> and sensitively as an extremely important but difficult heritage with disruptive potential</w:t>
      </w:r>
      <w:r w:rsidR="00857E8E" w:rsidRPr="0003416E">
        <w:rPr>
          <w:color w:val="000000" w:themeColor="text1"/>
          <w:lang w:val="en-US"/>
        </w:rPr>
        <w:t>. The Decade of Centenaries marked events occurring during a period of intense conflict and change, starting with the signing of the Ulster Covenant in 1912 and passage of the Third Home Rule Bill, encountering the Easter Rising of 1916 and the First World War along the way, and</w:t>
      </w:r>
      <w:r w:rsidR="00857E8E" w:rsidRPr="00F31DD1">
        <w:rPr>
          <w:color w:val="000000" w:themeColor="text1"/>
          <w:lang w:val="en-US"/>
        </w:rPr>
        <w:t xml:space="preserve"> ending with the Irish Civil War and the partition of the island of Ireland in 1921/</w:t>
      </w:r>
      <w:r w:rsidR="00EC0906" w:rsidRPr="00F31DD1">
        <w:rPr>
          <w:color w:val="000000" w:themeColor="text1"/>
          <w:lang w:val="en-US"/>
        </w:rPr>
        <w:t>2</w:t>
      </w:r>
      <w:r w:rsidR="00857E8E" w:rsidRPr="00F31DD1">
        <w:rPr>
          <w:color w:val="000000" w:themeColor="text1"/>
          <w:lang w:val="en-US"/>
        </w:rPr>
        <w:t>2.</w:t>
      </w:r>
      <w:r w:rsidR="00857E8E" w:rsidRPr="00F31DD1">
        <w:rPr>
          <w:rStyle w:val="EndnoteReference"/>
          <w:color w:val="000000" w:themeColor="text1"/>
          <w:lang w:val="en-US"/>
        </w:rPr>
        <w:endnoteReference w:id="34"/>
      </w:r>
      <w:r w:rsidR="00857E8E" w:rsidRPr="00F31DD1">
        <w:rPr>
          <w:color w:val="000000" w:themeColor="text1"/>
          <w:lang w:val="en-US"/>
        </w:rPr>
        <w:t xml:space="preserve"> There are however</w:t>
      </w:r>
      <w:r w:rsidR="0073538D" w:rsidRPr="00F31DD1">
        <w:rPr>
          <w:color w:val="000000" w:themeColor="text1"/>
          <w:lang w:val="en-US"/>
        </w:rPr>
        <w:t>,</w:t>
      </w:r>
      <w:r w:rsidR="00857E8E" w:rsidRPr="00F31DD1">
        <w:rPr>
          <w:color w:val="000000" w:themeColor="text1"/>
          <w:lang w:val="en-US"/>
        </w:rPr>
        <w:t xml:space="preserve"> early indications that attitudes to the </w:t>
      </w:r>
      <w:proofErr w:type="spellStart"/>
      <w:r w:rsidR="00857E8E" w:rsidRPr="00F31DD1">
        <w:rPr>
          <w:color w:val="000000" w:themeColor="text1"/>
          <w:lang w:val="en-US"/>
        </w:rPr>
        <w:t>Islandmagee</w:t>
      </w:r>
      <w:proofErr w:type="spellEnd"/>
      <w:r w:rsidR="00857E8E" w:rsidRPr="00F31DD1">
        <w:rPr>
          <w:color w:val="000000" w:themeColor="text1"/>
          <w:lang w:val="en-US"/>
        </w:rPr>
        <w:t xml:space="preserve"> trial may be changing within local councils. In May 2015, a reorgani</w:t>
      </w:r>
      <w:r w:rsidR="001C732C">
        <w:rPr>
          <w:color w:val="000000" w:themeColor="text1"/>
          <w:lang w:val="en-US"/>
        </w:rPr>
        <w:t>z</w:t>
      </w:r>
      <w:r w:rsidR="00857E8E" w:rsidRPr="00F31DD1">
        <w:rPr>
          <w:color w:val="000000" w:themeColor="text1"/>
          <w:lang w:val="en-US"/>
        </w:rPr>
        <w:t xml:space="preserve">ation of local government in Northern Ireland saw Larne Borough </w:t>
      </w:r>
      <w:r w:rsidR="00467BA2" w:rsidRPr="00F31DD1">
        <w:rPr>
          <w:color w:val="000000" w:themeColor="text1"/>
          <w:lang w:val="en-US"/>
        </w:rPr>
        <w:t>C</w:t>
      </w:r>
      <w:r w:rsidR="00857E8E" w:rsidRPr="00F31DD1">
        <w:rPr>
          <w:color w:val="000000" w:themeColor="text1"/>
          <w:lang w:val="en-US"/>
        </w:rPr>
        <w:t>ouncil subsumed into the new, larger Mid and East Antrim Council. This new council has recogni</w:t>
      </w:r>
      <w:r w:rsidR="001C732C">
        <w:rPr>
          <w:color w:val="000000" w:themeColor="text1"/>
          <w:lang w:val="en-US"/>
        </w:rPr>
        <w:t>z</w:t>
      </w:r>
      <w:r w:rsidR="00857E8E" w:rsidRPr="00F31DD1">
        <w:rPr>
          <w:color w:val="000000" w:themeColor="text1"/>
          <w:lang w:val="en-US"/>
        </w:rPr>
        <w:t>ed the dark</w:t>
      </w:r>
      <w:r w:rsidR="001C732C">
        <w:rPr>
          <w:color w:val="000000" w:themeColor="text1"/>
          <w:lang w:val="en-US"/>
        </w:rPr>
        <w:t>-</w:t>
      </w:r>
      <w:r w:rsidR="00857E8E" w:rsidRPr="00F31DD1">
        <w:rPr>
          <w:color w:val="000000" w:themeColor="text1"/>
          <w:lang w:val="en-US"/>
        </w:rPr>
        <w:t xml:space="preserve">tourism potential of the </w:t>
      </w:r>
      <w:proofErr w:type="spellStart"/>
      <w:r w:rsidR="00857E8E" w:rsidRPr="00F31DD1">
        <w:rPr>
          <w:color w:val="000000" w:themeColor="text1"/>
          <w:lang w:val="en-US"/>
        </w:rPr>
        <w:t>Islandmagee</w:t>
      </w:r>
      <w:proofErr w:type="spellEnd"/>
      <w:r w:rsidR="00857E8E" w:rsidRPr="00F31DD1">
        <w:rPr>
          <w:color w:val="000000" w:themeColor="text1"/>
          <w:lang w:val="en-US"/>
        </w:rPr>
        <w:t xml:space="preserve"> trial and has included (from 2018) a discussion of the case</w:t>
      </w:r>
      <w:r w:rsidR="008E22A4" w:rsidRPr="00F31DD1">
        <w:rPr>
          <w:color w:val="000000" w:themeColor="text1"/>
          <w:lang w:val="en-US"/>
        </w:rPr>
        <w:t xml:space="preserve"> (based on </w:t>
      </w:r>
      <w:r w:rsidR="008E22A4" w:rsidRPr="00F31DD1">
        <w:rPr>
          <w:i/>
          <w:iCs/>
          <w:color w:val="000000" w:themeColor="text1"/>
          <w:lang w:val="en-US"/>
        </w:rPr>
        <w:t>Possessed by the Devil</w:t>
      </w:r>
      <w:r w:rsidR="008E22A4" w:rsidRPr="00F31DD1">
        <w:rPr>
          <w:color w:val="000000" w:themeColor="text1"/>
          <w:lang w:val="en-US"/>
        </w:rPr>
        <w:t xml:space="preserve">) </w:t>
      </w:r>
      <w:r w:rsidR="00857E8E" w:rsidRPr="00F31DD1">
        <w:rPr>
          <w:color w:val="000000" w:themeColor="text1"/>
          <w:lang w:val="en-US"/>
        </w:rPr>
        <w:t>on their website, “Shaped by Sea &amp; Stone,” which celebrates the history and heritage of mid and east Antrim.</w:t>
      </w:r>
      <w:r w:rsidR="00857E8E" w:rsidRPr="00F31DD1">
        <w:rPr>
          <w:rStyle w:val="EndnoteReference"/>
          <w:color w:val="000000" w:themeColor="text1"/>
          <w:lang w:val="en-US"/>
        </w:rPr>
        <w:endnoteReference w:id="35"/>
      </w:r>
      <w:r w:rsidR="003A519B" w:rsidRPr="00F31DD1">
        <w:rPr>
          <w:color w:val="000000" w:themeColor="text1"/>
          <w:lang w:val="en-US"/>
        </w:rPr>
        <w:t xml:space="preserve"> </w:t>
      </w:r>
      <w:r w:rsidR="001308CD">
        <w:rPr>
          <w:color w:val="000000" w:themeColor="text1"/>
          <w:lang w:val="en-US"/>
        </w:rPr>
        <w:t>I am</w:t>
      </w:r>
      <w:r w:rsidR="00467BA2" w:rsidRPr="00F31DD1">
        <w:rPr>
          <w:color w:val="000000" w:themeColor="text1"/>
          <w:lang w:val="en-US"/>
        </w:rPr>
        <w:t xml:space="preserve"> </w:t>
      </w:r>
      <w:r w:rsidR="003A519B" w:rsidRPr="00F31DD1">
        <w:rPr>
          <w:color w:val="000000" w:themeColor="text1"/>
          <w:lang w:val="en-US"/>
        </w:rPr>
        <w:t xml:space="preserve">currently working with </w:t>
      </w:r>
      <w:r w:rsidR="006B041D" w:rsidRPr="00F31DD1">
        <w:rPr>
          <w:color w:val="000000" w:themeColor="text1"/>
          <w:lang w:val="en-US"/>
        </w:rPr>
        <w:t xml:space="preserve">curators and </w:t>
      </w:r>
      <w:r w:rsidR="003A519B" w:rsidRPr="00F31DD1">
        <w:rPr>
          <w:color w:val="000000" w:themeColor="text1"/>
          <w:lang w:val="en-US"/>
        </w:rPr>
        <w:t xml:space="preserve">local museums in Northern Ireland </w:t>
      </w:r>
      <w:r w:rsidR="00D47DAB" w:rsidRPr="00F31DD1">
        <w:rPr>
          <w:color w:val="000000" w:themeColor="text1"/>
          <w:lang w:val="en-US"/>
        </w:rPr>
        <w:t xml:space="preserve">to design </w:t>
      </w:r>
      <w:r w:rsidR="00E37415" w:rsidRPr="00F31DD1">
        <w:rPr>
          <w:color w:val="000000" w:themeColor="text1"/>
          <w:lang w:val="en-US"/>
        </w:rPr>
        <w:t>an</w:t>
      </w:r>
      <w:r w:rsidR="00D47DAB" w:rsidRPr="00F31DD1">
        <w:rPr>
          <w:color w:val="000000" w:themeColor="text1"/>
          <w:lang w:val="en-US"/>
        </w:rPr>
        <w:t xml:space="preserve"> exhibition dedicated to the trial</w:t>
      </w:r>
      <w:r w:rsidR="006B041D" w:rsidRPr="00F31DD1">
        <w:rPr>
          <w:color w:val="000000" w:themeColor="text1"/>
          <w:lang w:val="en-US"/>
        </w:rPr>
        <w:t xml:space="preserve"> and how it was </w:t>
      </w:r>
      <w:r w:rsidR="00423626" w:rsidRPr="00F31DD1">
        <w:rPr>
          <w:color w:val="000000" w:themeColor="text1"/>
          <w:lang w:val="en-US"/>
        </w:rPr>
        <w:t xml:space="preserve">later </w:t>
      </w:r>
      <w:r w:rsidR="006B041D" w:rsidRPr="00F31DD1">
        <w:rPr>
          <w:color w:val="000000" w:themeColor="text1"/>
          <w:lang w:val="en-US"/>
        </w:rPr>
        <w:t>represented in culture</w:t>
      </w:r>
      <w:r w:rsidR="00D47DAB" w:rsidRPr="00F31DD1">
        <w:rPr>
          <w:color w:val="000000" w:themeColor="text1"/>
          <w:lang w:val="en-US"/>
        </w:rPr>
        <w:t xml:space="preserve">. This is in its initial planning stages </w:t>
      </w:r>
      <w:r w:rsidR="009546F9" w:rsidRPr="00F31DD1">
        <w:rPr>
          <w:color w:val="000000" w:themeColor="text1"/>
          <w:lang w:val="en-US"/>
        </w:rPr>
        <w:t>but will use commissioned works of visual art and soundscapes inspired by the trial</w:t>
      </w:r>
      <w:r w:rsidR="001C732C">
        <w:rPr>
          <w:color w:val="000000" w:themeColor="text1"/>
          <w:lang w:val="en-US"/>
        </w:rPr>
        <w:t>,</w:t>
      </w:r>
      <w:r w:rsidR="009546F9" w:rsidRPr="00F31DD1">
        <w:rPr>
          <w:color w:val="000000" w:themeColor="text1"/>
          <w:lang w:val="en-US"/>
        </w:rPr>
        <w:t xml:space="preserve"> as </w:t>
      </w:r>
      <w:r w:rsidR="009546F9" w:rsidRPr="00F31DD1">
        <w:rPr>
          <w:color w:val="000000" w:themeColor="text1"/>
          <w:lang w:val="en-US"/>
        </w:rPr>
        <w:lastRenderedPageBreak/>
        <w:t xml:space="preserve">well as </w:t>
      </w:r>
      <w:r w:rsidR="000935E1" w:rsidRPr="00F31DD1">
        <w:rPr>
          <w:color w:val="000000" w:themeColor="text1"/>
          <w:lang w:val="en-US"/>
        </w:rPr>
        <w:t>text and</w:t>
      </w:r>
      <w:r w:rsidR="009546F9" w:rsidRPr="00F31DD1">
        <w:rPr>
          <w:color w:val="000000" w:themeColor="text1"/>
          <w:lang w:val="en-US"/>
        </w:rPr>
        <w:t xml:space="preserve"> objects of material culture </w:t>
      </w:r>
      <w:r w:rsidR="000935E1" w:rsidRPr="00F31DD1">
        <w:rPr>
          <w:color w:val="000000" w:themeColor="text1"/>
          <w:lang w:val="en-US"/>
        </w:rPr>
        <w:t xml:space="preserve">to engage the viewer </w:t>
      </w:r>
      <w:r w:rsidR="00467BA2" w:rsidRPr="00F31DD1">
        <w:rPr>
          <w:color w:val="000000" w:themeColor="text1"/>
          <w:lang w:val="en-US"/>
        </w:rPr>
        <w:t xml:space="preserve">emotionally </w:t>
      </w:r>
      <w:r w:rsidR="000935E1" w:rsidRPr="00F31DD1">
        <w:rPr>
          <w:color w:val="000000" w:themeColor="text1"/>
          <w:lang w:val="en-US"/>
        </w:rPr>
        <w:t>and allow them to create their own interpretations</w:t>
      </w:r>
      <w:r w:rsidR="002D7AE2" w:rsidRPr="00F31DD1">
        <w:rPr>
          <w:color w:val="000000" w:themeColor="text1"/>
          <w:lang w:val="en-US"/>
        </w:rPr>
        <w:t>.</w:t>
      </w:r>
      <w:r w:rsidR="000C60C1" w:rsidRPr="00F31DD1">
        <w:rPr>
          <w:color w:val="000000" w:themeColor="text1"/>
          <w:lang w:val="en-US"/>
        </w:rPr>
        <w:t xml:space="preserve"> In doing so, a collaboration between </w:t>
      </w:r>
      <w:r w:rsidR="002D7AE2" w:rsidRPr="00F31DD1">
        <w:rPr>
          <w:color w:val="000000" w:themeColor="text1"/>
          <w:lang w:val="en-US"/>
        </w:rPr>
        <w:t>historians, artists, musicians</w:t>
      </w:r>
      <w:r w:rsidR="001C732C">
        <w:rPr>
          <w:color w:val="000000" w:themeColor="text1"/>
          <w:lang w:val="en-US"/>
        </w:rPr>
        <w:t>,</w:t>
      </w:r>
      <w:r w:rsidR="002D7AE2" w:rsidRPr="00F31DD1">
        <w:rPr>
          <w:color w:val="000000" w:themeColor="text1"/>
          <w:lang w:val="en-US"/>
        </w:rPr>
        <w:t xml:space="preserve"> and curators</w:t>
      </w:r>
      <w:r w:rsidR="005810C3" w:rsidRPr="00F31DD1">
        <w:rPr>
          <w:color w:val="000000" w:themeColor="text1"/>
          <w:lang w:val="en-US"/>
        </w:rPr>
        <w:t>, in conjunction with the viewer,</w:t>
      </w:r>
      <w:r w:rsidR="000C60C1" w:rsidRPr="00F31DD1">
        <w:rPr>
          <w:color w:val="000000" w:themeColor="text1"/>
          <w:lang w:val="en-US"/>
        </w:rPr>
        <w:t xml:space="preserve"> will</w:t>
      </w:r>
      <w:r w:rsidR="002D7AE2" w:rsidRPr="00F31DD1">
        <w:rPr>
          <w:color w:val="000000" w:themeColor="text1"/>
          <w:lang w:val="en-US"/>
        </w:rPr>
        <w:t xml:space="preserve"> </w:t>
      </w:r>
      <w:r w:rsidR="00D54CF9" w:rsidRPr="00F31DD1">
        <w:rPr>
          <w:color w:val="000000" w:themeColor="text1"/>
          <w:lang w:val="en-US"/>
        </w:rPr>
        <w:t>co-</w:t>
      </w:r>
      <w:r w:rsidR="004F6F70" w:rsidRPr="00F31DD1">
        <w:rPr>
          <w:color w:val="000000" w:themeColor="text1"/>
          <w:lang w:val="en-US"/>
        </w:rPr>
        <w:t xml:space="preserve">produce, perhaps in a more </w:t>
      </w:r>
      <w:r w:rsidR="005810C3" w:rsidRPr="00F31DD1">
        <w:rPr>
          <w:color w:val="000000" w:themeColor="text1"/>
          <w:lang w:val="en-US"/>
        </w:rPr>
        <w:t xml:space="preserve">immediate and meaningful way than a published book </w:t>
      </w:r>
      <w:r w:rsidR="004F6F70" w:rsidRPr="00F31DD1">
        <w:rPr>
          <w:color w:val="000000" w:themeColor="text1"/>
          <w:lang w:val="en-US"/>
        </w:rPr>
        <w:t>could</w:t>
      </w:r>
      <w:r w:rsidR="005810C3" w:rsidRPr="00F31DD1">
        <w:rPr>
          <w:color w:val="000000" w:themeColor="text1"/>
          <w:lang w:val="en-US"/>
        </w:rPr>
        <w:t xml:space="preserve">, </w:t>
      </w:r>
      <w:r w:rsidR="004F6F70" w:rsidRPr="00F31DD1">
        <w:rPr>
          <w:color w:val="000000" w:themeColor="text1"/>
          <w:lang w:val="en-US"/>
        </w:rPr>
        <w:t xml:space="preserve">a new </w:t>
      </w:r>
      <w:r w:rsidR="00D54CF9" w:rsidRPr="00F31DD1">
        <w:rPr>
          <w:color w:val="000000" w:themeColor="text1"/>
          <w:lang w:val="en-US"/>
        </w:rPr>
        <w:t>creative</w:t>
      </w:r>
      <w:r w:rsidR="004F6F70" w:rsidRPr="00F31DD1">
        <w:rPr>
          <w:color w:val="000000" w:themeColor="text1"/>
          <w:lang w:val="en-US"/>
        </w:rPr>
        <w:t xml:space="preserve"> microhistory</w:t>
      </w:r>
      <w:r w:rsidR="005810C3" w:rsidRPr="00F31DD1">
        <w:rPr>
          <w:color w:val="000000" w:themeColor="text1"/>
          <w:lang w:val="en-US"/>
        </w:rPr>
        <w:t>.</w:t>
      </w:r>
      <w:r w:rsidR="000C60C1" w:rsidRPr="00F31DD1">
        <w:rPr>
          <w:rStyle w:val="nlmgiven-names"/>
          <w:color w:val="000000" w:themeColor="text1"/>
          <w:lang w:val="en-US"/>
        </w:rPr>
        <w:t xml:space="preserve"> </w:t>
      </w:r>
      <w:r w:rsidR="002D7AE2" w:rsidRPr="00F31DD1">
        <w:rPr>
          <w:color w:val="000000" w:themeColor="text1"/>
          <w:lang w:val="en-US"/>
        </w:rPr>
        <w:t>And hopefully</w:t>
      </w:r>
      <w:r w:rsidR="00C7464D" w:rsidRPr="00F31DD1">
        <w:rPr>
          <w:color w:val="000000" w:themeColor="text1"/>
          <w:lang w:val="en-US"/>
        </w:rPr>
        <w:t xml:space="preserve"> </w:t>
      </w:r>
      <w:r w:rsidR="00181512" w:rsidRPr="00F31DD1">
        <w:rPr>
          <w:color w:val="000000" w:themeColor="text1"/>
          <w:lang w:val="en-US"/>
        </w:rPr>
        <w:t xml:space="preserve">in </w:t>
      </w:r>
      <w:r w:rsidR="00C7464D" w:rsidRPr="00F31DD1">
        <w:rPr>
          <w:color w:val="000000" w:themeColor="text1"/>
          <w:lang w:val="en-US"/>
        </w:rPr>
        <w:t>20</w:t>
      </w:r>
      <w:r w:rsidR="003A519B" w:rsidRPr="00F31DD1">
        <w:rPr>
          <w:color w:val="000000" w:themeColor="text1"/>
          <w:lang w:val="en-US"/>
        </w:rPr>
        <w:t>6</w:t>
      </w:r>
      <w:r w:rsidR="00C7464D" w:rsidRPr="00F31DD1">
        <w:rPr>
          <w:color w:val="000000" w:themeColor="text1"/>
          <w:lang w:val="en-US"/>
        </w:rPr>
        <w:t xml:space="preserve">1, </w:t>
      </w:r>
      <w:r w:rsidR="00181512" w:rsidRPr="00F31DD1">
        <w:rPr>
          <w:color w:val="000000" w:themeColor="text1"/>
          <w:lang w:val="en-US"/>
        </w:rPr>
        <w:t xml:space="preserve">which will mark </w:t>
      </w:r>
      <w:r w:rsidR="00C7464D" w:rsidRPr="00F31DD1">
        <w:rPr>
          <w:color w:val="000000" w:themeColor="text1"/>
          <w:lang w:val="en-US"/>
        </w:rPr>
        <w:t xml:space="preserve">the </w:t>
      </w:r>
      <w:r w:rsidR="003A519B" w:rsidRPr="00F31DD1">
        <w:rPr>
          <w:color w:val="000000" w:themeColor="text1"/>
          <w:lang w:val="en-US"/>
        </w:rPr>
        <w:t xml:space="preserve">three hundred and </w:t>
      </w:r>
      <w:r w:rsidR="00C7464D" w:rsidRPr="00F31DD1">
        <w:rPr>
          <w:color w:val="000000" w:themeColor="text1"/>
          <w:lang w:val="en-US"/>
        </w:rPr>
        <w:t>fiftieth anniversary</w:t>
      </w:r>
      <w:r w:rsidR="00C04DF3" w:rsidRPr="00F31DD1">
        <w:rPr>
          <w:color w:val="000000" w:themeColor="text1"/>
          <w:lang w:val="en-US"/>
        </w:rPr>
        <w:t xml:space="preserve"> of the trial of the </w:t>
      </w:r>
      <w:proofErr w:type="spellStart"/>
      <w:r w:rsidR="00C04DF3" w:rsidRPr="00F31DD1">
        <w:rPr>
          <w:color w:val="000000" w:themeColor="text1"/>
          <w:lang w:val="en-US"/>
        </w:rPr>
        <w:t>Islandmagee</w:t>
      </w:r>
      <w:proofErr w:type="spellEnd"/>
      <w:r w:rsidR="00C04DF3" w:rsidRPr="00F31DD1">
        <w:rPr>
          <w:color w:val="000000" w:themeColor="text1"/>
          <w:lang w:val="en-US"/>
        </w:rPr>
        <w:t xml:space="preserve"> witches</w:t>
      </w:r>
      <w:r w:rsidR="00136662" w:rsidRPr="00F31DD1">
        <w:rPr>
          <w:color w:val="000000" w:themeColor="text1"/>
          <w:lang w:val="en-US"/>
        </w:rPr>
        <w:t xml:space="preserve">, </w:t>
      </w:r>
      <w:r w:rsidR="00181512" w:rsidRPr="00F31DD1">
        <w:rPr>
          <w:color w:val="000000" w:themeColor="text1"/>
          <w:lang w:val="en-US"/>
        </w:rPr>
        <w:t xml:space="preserve">we </w:t>
      </w:r>
      <w:r w:rsidR="00DF2029" w:rsidRPr="00F31DD1">
        <w:rPr>
          <w:color w:val="000000" w:themeColor="text1"/>
          <w:lang w:val="en-US"/>
        </w:rPr>
        <w:t>will</w:t>
      </w:r>
      <w:r w:rsidR="00136662" w:rsidRPr="00F31DD1">
        <w:rPr>
          <w:color w:val="000000" w:themeColor="text1"/>
          <w:lang w:val="en-US"/>
        </w:rPr>
        <w:t xml:space="preserve"> see</w:t>
      </w:r>
      <w:r w:rsidR="00C7464D" w:rsidRPr="00F31DD1">
        <w:rPr>
          <w:color w:val="000000" w:themeColor="text1"/>
          <w:lang w:val="en-US"/>
        </w:rPr>
        <w:t xml:space="preserve"> the </w:t>
      </w:r>
      <w:r w:rsidR="00181512" w:rsidRPr="00F31DD1">
        <w:rPr>
          <w:color w:val="000000" w:themeColor="text1"/>
          <w:lang w:val="en-US"/>
        </w:rPr>
        <w:t>case</w:t>
      </w:r>
      <w:r w:rsidR="00B125E5" w:rsidRPr="00F31DD1">
        <w:rPr>
          <w:color w:val="000000" w:themeColor="text1"/>
          <w:lang w:val="en-US"/>
        </w:rPr>
        <w:t xml:space="preserve"> attract the</w:t>
      </w:r>
      <w:r w:rsidR="00136662" w:rsidRPr="00F31DD1">
        <w:rPr>
          <w:color w:val="000000" w:themeColor="text1"/>
          <w:lang w:val="en-US"/>
        </w:rPr>
        <w:t xml:space="preserve"> same level of official backing, commemoration, </w:t>
      </w:r>
      <w:r w:rsidR="00DF2029" w:rsidRPr="00F31DD1">
        <w:rPr>
          <w:color w:val="000000" w:themeColor="text1"/>
          <w:lang w:val="en-US"/>
        </w:rPr>
        <w:t xml:space="preserve">and </w:t>
      </w:r>
      <w:r w:rsidR="00136662" w:rsidRPr="00F31DD1">
        <w:rPr>
          <w:color w:val="000000" w:themeColor="text1"/>
          <w:lang w:val="en-US"/>
        </w:rPr>
        <w:t>public remembrance and memoriali</w:t>
      </w:r>
      <w:r w:rsidR="001C732C">
        <w:rPr>
          <w:color w:val="000000" w:themeColor="text1"/>
          <w:lang w:val="en-US"/>
        </w:rPr>
        <w:t>z</w:t>
      </w:r>
      <w:r w:rsidR="00136662" w:rsidRPr="00F31DD1">
        <w:rPr>
          <w:color w:val="000000" w:themeColor="text1"/>
          <w:lang w:val="en-US"/>
        </w:rPr>
        <w:t>ation (without the attendant commodification and commerciali</w:t>
      </w:r>
      <w:r w:rsidR="001C732C">
        <w:rPr>
          <w:color w:val="000000" w:themeColor="text1"/>
          <w:lang w:val="en-US"/>
        </w:rPr>
        <w:t>z</w:t>
      </w:r>
      <w:r w:rsidR="00136662" w:rsidRPr="00F31DD1">
        <w:rPr>
          <w:color w:val="000000" w:themeColor="text1"/>
          <w:lang w:val="en-US"/>
        </w:rPr>
        <w:t>ation</w:t>
      </w:r>
      <w:r w:rsidR="00E43069" w:rsidRPr="00F31DD1">
        <w:rPr>
          <w:color w:val="000000" w:themeColor="text1"/>
          <w:lang w:val="en-US"/>
        </w:rPr>
        <w:t xml:space="preserve"> perhaps</w:t>
      </w:r>
      <w:r w:rsidR="00136662" w:rsidRPr="00F31DD1">
        <w:rPr>
          <w:color w:val="000000" w:themeColor="text1"/>
          <w:lang w:val="en-US"/>
        </w:rPr>
        <w:t>) afforded to the Salem and Lancaster witch trials.</w:t>
      </w:r>
    </w:p>
    <w:p w14:paraId="23884A5E" w14:textId="77777777" w:rsidR="00E942C5" w:rsidRPr="00F31DD1" w:rsidRDefault="00E942C5" w:rsidP="0058637A">
      <w:pPr>
        <w:spacing w:line="480" w:lineRule="auto"/>
        <w:rPr>
          <w:b/>
          <w:bCs/>
          <w:color w:val="000000" w:themeColor="text1"/>
          <w:lang w:val="en-US"/>
        </w:rPr>
      </w:pPr>
    </w:p>
    <w:p w14:paraId="58CA5109" w14:textId="735BAB38" w:rsidR="00C63A04" w:rsidRPr="00F31DD1" w:rsidRDefault="00C63A04" w:rsidP="0058637A">
      <w:pPr>
        <w:spacing w:line="480" w:lineRule="auto"/>
        <w:rPr>
          <w:b/>
          <w:bCs/>
          <w:color w:val="000000" w:themeColor="text1"/>
          <w:lang w:val="en-US"/>
        </w:rPr>
      </w:pPr>
      <w:r w:rsidRPr="00F31DD1">
        <w:rPr>
          <w:b/>
          <w:bCs/>
          <w:color w:val="000000" w:themeColor="text1"/>
          <w:lang w:val="en-US"/>
        </w:rPr>
        <w:t>Conclusion</w:t>
      </w:r>
    </w:p>
    <w:p w14:paraId="774694A2" w14:textId="5FD0CBFB" w:rsidR="00B732B1" w:rsidRPr="00F31DD1" w:rsidRDefault="00156CCB" w:rsidP="0058637A">
      <w:pPr>
        <w:spacing w:line="480" w:lineRule="auto"/>
        <w:rPr>
          <w:color w:val="000000" w:themeColor="text1"/>
          <w:lang w:val="en-US"/>
        </w:rPr>
      </w:pPr>
      <w:r w:rsidRPr="00F31DD1">
        <w:rPr>
          <w:color w:val="000000" w:themeColor="text1"/>
          <w:lang w:val="en-US"/>
        </w:rPr>
        <w:t xml:space="preserve">This project </w:t>
      </w:r>
      <w:r w:rsidR="003C1ED0" w:rsidRPr="00F31DD1">
        <w:rPr>
          <w:color w:val="000000" w:themeColor="text1"/>
          <w:lang w:val="en-US"/>
        </w:rPr>
        <w:t>demonstrates</w:t>
      </w:r>
      <w:r w:rsidRPr="00F31DD1">
        <w:rPr>
          <w:color w:val="000000" w:themeColor="text1"/>
          <w:lang w:val="en-US"/>
        </w:rPr>
        <w:t xml:space="preserve"> that </w:t>
      </w:r>
      <w:r w:rsidR="0021423F" w:rsidRPr="00F31DD1">
        <w:rPr>
          <w:color w:val="000000" w:themeColor="text1"/>
          <w:lang w:val="en-US"/>
        </w:rPr>
        <w:t>microhistory</w:t>
      </w:r>
      <w:r w:rsidR="00116F0A" w:rsidRPr="00F31DD1">
        <w:rPr>
          <w:color w:val="000000" w:themeColor="text1"/>
          <w:lang w:val="en-US"/>
        </w:rPr>
        <w:t xml:space="preserve"> </w:t>
      </w:r>
      <w:r w:rsidR="001C732C">
        <w:rPr>
          <w:color w:val="000000" w:themeColor="text1"/>
          <w:lang w:val="en-US"/>
        </w:rPr>
        <w:t>that</w:t>
      </w:r>
      <w:r w:rsidR="001C732C" w:rsidRPr="00F31DD1">
        <w:rPr>
          <w:color w:val="000000" w:themeColor="text1"/>
          <w:lang w:val="en-US"/>
        </w:rPr>
        <w:t xml:space="preserve"> </w:t>
      </w:r>
      <w:r w:rsidR="00702647" w:rsidRPr="00F31DD1">
        <w:rPr>
          <w:color w:val="000000" w:themeColor="text1"/>
          <w:lang w:val="en-US"/>
        </w:rPr>
        <w:t>uses</w:t>
      </w:r>
      <w:r w:rsidR="003C1ED0" w:rsidRPr="00F31DD1">
        <w:rPr>
          <w:color w:val="000000" w:themeColor="text1"/>
          <w:lang w:val="en-US"/>
        </w:rPr>
        <w:t xml:space="preserve"> a</w:t>
      </w:r>
      <w:r w:rsidR="00702647" w:rsidRPr="00F31DD1">
        <w:rPr>
          <w:color w:val="000000" w:themeColor="text1"/>
          <w:lang w:val="en-US"/>
        </w:rPr>
        <w:t xml:space="preserve"> narrative</w:t>
      </w:r>
      <w:r w:rsidR="003C1ED0" w:rsidRPr="00F31DD1">
        <w:rPr>
          <w:color w:val="000000" w:themeColor="text1"/>
          <w:lang w:val="en-US"/>
        </w:rPr>
        <w:t xml:space="preserve"> structure</w:t>
      </w:r>
      <w:r w:rsidR="00702647" w:rsidRPr="00F31DD1">
        <w:rPr>
          <w:color w:val="000000" w:themeColor="text1"/>
          <w:lang w:val="en-US"/>
        </w:rPr>
        <w:t xml:space="preserve"> focused on people and place is a </w:t>
      </w:r>
      <w:r w:rsidR="00600379" w:rsidRPr="00F31DD1">
        <w:rPr>
          <w:color w:val="000000" w:themeColor="text1"/>
          <w:lang w:val="en-US"/>
        </w:rPr>
        <w:t>particularly</w:t>
      </w:r>
      <w:r w:rsidR="00702647" w:rsidRPr="00F31DD1">
        <w:rPr>
          <w:color w:val="000000" w:themeColor="text1"/>
          <w:lang w:val="en-US"/>
        </w:rPr>
        <w:t xml:space="preserve"> good fit with public history projects, especially when care is taken </w:t>
      </w:r>
      <w:r w:rsidR="00B67591" w:rsidRPr="00F31DD1">
        <w:rPr>
          <w:color w:val="000000" w:themeColor="text1"/>
          <w:lang w:val="en-US"/>
        </w:rPr>
        <w:t>in the planning stages to embrace the creativity inherent in</w:t>
      </w:r>
      <w:r w:rsidR="00E43069" w:rsidRPr="00F31DD1">
        <w:rPr>
          <w:color w:val="000000" w:themeColor="text1"/>
          <w:lang w:val="en-US"/>
        </w:rPr>
        <w:t xml:space="preserve"> the</w:t>
      </w:r>
      <w:r w:rsidR="00B67591" w:rsidRPr="00F31DD1">
        <w:rPr>
          <w:color w:val="000000" w:themeColor="text1"/>
          <w:lang w:val="en-US"/>
        </w:rPr>
        <w:t xml:space="preserve"> historical writing process </w:t>
      </w:r>
      <w:r w:rsidR="00E43069" w:rsidRPr="00F31DD1">
        <w:rPr>
          <w:color w:val="000000" w:themeColor="text1"/>
          <w:lang w:val="en-US"/>
        </w:rPr>
        <w:t xml:space="preserve">in order </w:t>
      </w:r>
      <w:r w:rsidR="00B67591" w:rsidRPr="00F31DD1">
        <w:rPr>
          <w:color w:val="000000" w:themeColor="text1"/>
          <w:lang w:val="en-US"/>
        </w:rPr>
        <w:t>to enhance appeal to</w:t>
      </w:r>
      <w:r w:rsidR="00702647" w:rsidRPr="00F31DD1">
        <w:rPr>
          <w:color w:val="000000" w:themeColor="text1"/>
          <w:lang w:val="en-US"/>
        </w:rPr>
        <w:t xml:space="preserve"> </w:t>
      </w:r>
      <w:r w:rsidR="00B67591" w:rsidRPr="00F31DD1">
        <w:rPr>
          <w:color w:val="000000" w:themeColor="text1"/>
          <w:lang w:val="en-US"/>
        </w:rPr>
        <w:t>wider audiences</w:t>
      </w:r>
      <w:r w:rsidR="00846DDC" w:rsidRPr="00F31DD1">
        <w:rPr>
          <w:color w:val="000000" w:themeColor="text1"/>
          <w:lang w:val="en-US"/>
        </w:rPr>
        <w:t xml:space="preserve">. This can be achieved without </w:t>
      </w:r>
      <w:r w:rsidR="0040484A" w:rsidRPr="00F31DD1">
        <w:rPr>
          <w:color w:val="000000" w:themeColor="text1"/>
          <w:lang w:val="en-US"/>
        </w:rPr>
        <w:t xml:space="preserve">relinquishing all scholarly apparatus or historiographical impact. </w:t>
      </w:r>
      <w:r w:rsidR="00D74AC1" w:rsidRPr="00F31DD1">
        <w:rPr>
          <w:color w:val="000000" w:themeColor="text1"/>
          <w:lang w:val="en-US"/>
        </w:rPr>
        <w:t>However, even nonnarrative microhistories published in academic journals can be adapted and u</w:t>
      </w:r>
      <w:r w:rsidR="003C1ED0" w:rsidRPr="00F31DD1">
        <w:rPr>
          <w:color w:val="000000" w:themeColor="text1"/>
          <w:lang w:val="en-US"/>
        </w:rPr>
        <w:t>tili</w:t>
      </w:r>
      <w:r w:rsidR="001C732C">
        <w:rPr>
          <w:color w:val="000000" w:themeColor="text1"/>
          <w:lang w:val="en-US"/>
        </w:rPr>
        <w:t>z</w:t>
      </w:r>
      <w:r w:rsidR="003C1ED0" w:rsidRPr="00F31DD1">
        <w:rPr>
          <w:color w:val="000000" w:themeColor="text1"/>
          <w:lang w:val="en-US"/>
        </w:rPr>
        <w:t>ed</w:t>
      </w:r>
      <w:r w:rsidR="00D74AC1" w:rsidRPr="00F31DD1">
        <w:rPr>
          <w:color w:val="000000" w:themeColor="text1"/>
          <w:lang w:val="en-US"/>
        </w:rPr>
        <w:t xml:space="preserve"> in public talks, </w:t>
      </w:r>
      <w:r w:rsidR="00785BE0" w:rsidRPr="00F31DD1">
        <w:rPr>
          <w:color w:val="000000" w:themeColor="text1"/>
          <w:lang w:val="en-US"/>
        </w:rPr>
        <w:t xml:space="preserve">online events, </w:t>
      </w:r>
      <w:r w:rsidR="00D74AC1" w:rsidRPr="00F31DD1">
        <w:rPr>
          <w:color w:val="000000" w:themeColor="text1"/>
          <w:lang w:val="en-US"/>
        </w:rPr>
        <w:t>workshops, and</w:t>
      </w:r>
      <w:r w:rsidR="00785BE0" w:rsidRPr="00F31DD1">
        <w:rPr>
          <w:color w:val="000000" w:themeColor="text1"/>
          <w:lang w:val="en-US"/>
        </w:rPr>
        <w:t xml:space="preserve"> radio and</w:t>
      </w:r>
      <w:r w:rsidR="00D74AC1" w:rsidRPr="00F31DD1">
        <w:rPr>
          <w:color w:val="000000" w:themeColor="text1"/>
          <w:lang w:val="en-US"/>
        </w:rPr>
        <w:t xml:space="preserve"> television programs. It was important for this project not only to establish the historical reality of the trial through </w:t>
      </w:r>
      <w:r w:rsidR="005574C9" w:rsidRPr="00F31DD1">
        <w:rPr>
          <w:color w:val="000000" w:themeColor="text1"/>
          <w:lang w:val="en-US"/>
        </w:rPr>
        <w:t>evidence-based</w:t>
      </w:r>
      <w:r w:rsidR="00D74AC1" w:rsidRPr="00F31DD1">
        <w:rPr>
          <w:color w:val="000000" w:themeColor="text1"/>
          <w:lang w:val="en-US"/>
        </w:rPr>
        <w:t xml:space="preserve"> research but </w:t>
      </w:r>
      <w:r w:rsidR="00846DDC" w:rsidRPr="00F31DD1">
        <w:rPr>
          <w:color w:val="000000" w:themeColor="text1"/>
          <w:lang w:val="en-US"/>
        </w:rPr>
        <w:t>to</w:t>
      </w:r>
      <w:r w:rsidR="003C1ED0" w:rsidRPr="00F31DD1">
        <w:rPr>
          <w:color w:val="000000" w:themeColor="text1"/>
          <w:lang w:val="en-US"/>
        </w:rPr>
        <w:t xml:space="preserve"> historici</w:t>
      </w:r>
      <w:r w:rsidR="001C732C">
        <w:rPr>
          <w:color w:val="000000" w:themeColor="text1"/>
          <w:lang w:val="en-US"/>
        </w:rPr>
        <w:t>z</w:t>
      </w:r>
      <w:r w:rsidR="003C1ED0" w:rsidRPr="00F31DD1">
        <w:rPr>
          <w:color w:val="000000" w:themeColor="text1"/>
          <w:lang w:val="en-US"/>
        </w:rPr>
        <w:t>e the</w:t>
      </w:r>
      <w:r w:rsidR="00D74AC1" w:rsidRPr="00F31DD1">
        <w:rPr>
          <w:color w:val="000000" w:themeColor="text1"/>
          <w:lang w:val="en-US"/>
        </w:rPr>
        <w:t xml:space="preserve"> interpretive frameworks through whi</w:t>
      </w:r>
      <w:r w:rsidR="003C1ED0" w:rsidRPr="00F31DD1">
        <w:rPr>
          <w:color w:val="000000" w:themeColor="text1"/>
          <w:lang w:val="en-US"/>
        </w:rPr>
        <w:t>ch it has been view</w:t>
      </w:r>
      <w:r w:rsidR="006D1620" w:rsidRPr="00F31DD1">
        <w:rPr>
          <w:color w:val="000000" w:themeColor="text1"/>
          <w:lang w:val="en-US"/>
        </w:rPr>
        <w:t>ed, in</w:t>
      </w:r>
      <w:r w:rsidR="00D74AC1" w:rsidRPr="00F31DD1">
        <w:rPr>
          <w:color w:val="000000" w:themeColor="text1"/>
          <w:lang w:val="en-US"/>
        </w:rPr>
        <w:t xml:space="preserve"> oral tradition and folk commemoration </w:t>
      </w:r>
      <w:r w:rsidR="006D1620" w:rsidRPr="00F31DD1">
        <w:rPr>
          <w:color w:val="000000" w:themeColor="text1"/>
          <w:lang w:val="en-US"/>
        </w:rPr>
        <w:t xml:space="preserve">and in </w:t>
      </w:r>
      <w:r w:rsidR="00D74AC1" w:rsidRPr="00F31DD1">
        <w:rPr>
          <w:color w:val="000000" w:themeColor="text1"/>
          <w:lang w:val="en-US"/>
        </w:rPr>
        <w:t xml:space="preserve">printed discourse. </w:t>
      </w:r>
      <w:r w:rsidR="00A23BCD" w:rsidRPr="00F31DD1">
        <w:rPr>
          <w:color w:val="000000" w:themeColor="text1"/>
          <w:lang w:val="en-US"/>
        </w:rPr>
        <w:t xml:space="preserve">The project </w:t>
      </w:r>
      <w:r w:rsidR="006D1620" w:rsidRPr="00F31DD1">
        <w:rPr>
          <w:color w:val="000000" w:themeColor="text1"/>
          <w:lang w:val="en-US"/>
        </w:rPr>
        <w:t>demonstrated</w:t>
      </w:r>
      <w:r w:rsidR="009E42E4" w:rsidRPr="00F31DD1">
        <w:rPr>
          <w:color w:val="000000" w:themeColor="text1"/>
          <w:lang w:val="en-US"/>
        </w:rPr>
        <w:t xml:space="preserve"> that a</w:t>
      </w:r>
      <w:r w:rsidR="00D74AC1" w:rsidRPr="00F31DD1">
        <w:rPr>
          <w:color w:val="000000" w:themeColor="text1"/>
          <w:lang w:val="en-US"/>
        </w:rPr>
        <w:t xml:space="preserve">ccessible </w:t>
      </w:r>
      <w:r w:rsidR="0021423F" w:rsidRPr="00F31DD1">
        <w:rPr>
          <w:color w:val="000000" w:themeColor="text1"/>
          <w:lang w:val="en-US"/>
        </w:rPr>
        <w:t>microhistory</w:t>
      </w:r>
      <w:r w:rsidR="009E42E4" w:rsidRPr="00F31DD1">
        <w:rPr>
          <w:color w:val="000000" w:themeColor="text1"/>
          <w:lang w:val="en-US"/>
        </w:rPr>
        <w:t xml:space="preserve"> </w:t>
      </w:r>
      <w:r w:rsidR="00A525C6" w:rsidRPr="00F31DD1">
        <w:rPr>
          <w:color w:val="000000" w:themeColor="text1"/>
          <w:lang w:val="en-US"/>
        </w:rPr>
        <w:t>can help</w:t>
      </w:r>
      <w:r w:rsidR="00A23BCD" w:rsidRPr="00F31DD1">
        <w:rPr>
          <w:color w:val="000000" w:themeColor="text1"/>
          <w:lang w:val="en-US"/>
        </w:rPr>
        <w:t xml:space="preserve"> </w:t>
      </w:r>
      <w:r w:rsidR="00D74AC1" w:rsidRPr="00F31DD1">
        <w:rPr>
          <w:color w:val="000000" w:themeColor="text1"/>
          <w:lang w:val="en-US"/>
        </w:rPr>
        <w:t xml:space="preserve">create new </w:t>
      </w:r>
      <w:r w:rsidR="004D546F" w:rsidRPr="00F31DD1">
        <w:rPr>
          <w:color w:val="000000" w:themeColor="text1"/>
          <w:lang w:val="en-US"/>
        </w:rPr>
        <w:t>opportunities</w:t>
      </w:r>
      <w:r w:rsidR="00A106A0" w:rsidRPr="00F31DD1">
        <w:rPr>
          <w:color w:val="000000" w:themeColor="text1"/>
          <w:lang w:val="en-US"/>
        </w:rPr>
        <w:t xml:space="preserve"> for</w:t>
      </w:r>
      <w:r w:rsidR="004D546F" w:rsidRPr="00F31DD1">
        <w:rPr>
          <w:color w:val="000000" w:themeColor="text1"/>
          <w:lang w:val="en-US"/>
        </w:rPr>
        <w:t xml:space="preserve"> </w:t>
      </w:r>
      <w:r w:rsidR="00A23BCD" w:rsidRPr="00F31DD1">
        <w:rPr>
          <w:color w:val="000000" w:themeColor="text1"/>
          <w:lang w:val="en-US"/>
        </w:rPr>
        <w:t xml:space="preserve">the </w:t>
      </w:r>
      <w:r w:rsidR="004D546F" w:rsidRPr="00F31DD1">
        <w:rPr>
          <w:color w:val="000000" w:themeColor="text1"/>
          <w:lang w:val="en-US"/>
        </w:rPr>
        <w:t xml:space="preserve">dissemination </w:t>
      </w:r>
      <w:r w:rsidR="00D74AC1" w:rsidRPr="00F31DD1">
        <w:rPr>
          <w:color w:val="000000" w:themeColor="text1"/>
          <w:lang w:val="en-US"/>
        </w:rPr>
        <w:t xml:space="preserve">of </w:t>
      </w:r>
      <w:r w:rsidR="00A23BCD" w:rsidRPr="00F31DD1">
        <w:rPr>
          <w:color w:val="000000" w:themeColor="text1"/>
          <w:lang w:val="en-US"/>
        </w:rPr>
        <w:t xml:space="preserve">academic </w:t>
      </w:r>
      <w:r w:rsidR="00D74AC1" w:rsidRPr="00F31DD1">
        <w:rPr>
          <w:color w:val="000000" w:themeColor="text1"/>
          <w:lang w:val="en-US"/>
        </w:rPr>
        <w:t xml:space="preserve">research </w:t>
      </w:r>
      <w:r w:rsidR="00A525C6" w:rsidRPr="00F31DD1">
        <w:rPr>
          <w:color w:val="000000" w:themeColor="text1"/>
          <w:lang w:val="en-US"/>
        </w:rPr>
        <w:t>and</w:t>
      </w:r>
      <w:r w:rsidR="004D546F" w:rsidRPr="00F31DD1">
        <w:rPr>
          <w:color w:val="000000" w:themeColor="text1"/>
          <w:lang w:val="en-US"/>
        </w:rPr>
        <w:t xml:space="preserve"> </w:t>
      </w:r>
      <w:r w:rsidR="00A23BCD" w:rsidRPr="00F31DD1">
        <w:rPr>
          <w:color w:val="000000" w:themeColor="text1"/>
          <w:lang w:val="en-US"/>
        </w:rPr>
        <w:t xml:space="preserve">facilitate </w:t>
      </w:r>
      <w:r w:rsidR="009E42E4" w:rsidRPr="00F31DD1">
        <w:rPr>
          <w:color w:val="000000" w:themeColor="text1"/>
          <w:lang w:val="en-US"/>
        </w:rPr>
        <w:t>collaborat</w:t>
      </w:r>
      <w:r w:rsidR="00A23BCD" w:rsidRPr="00F31DD1">
        <w:rPr>
          <w:color w:val="000000" w:themeColor="text1"/>
          <w:lang w:val="en-US"/>
        </w:rPr>
        <w:t xml:space="preserve">ions </w:t>
      </w:r>
      <w:r w:rsidR="00A525C6" w:rsidRPr="00F31DD1">
        <w:rPr>
          <w:color w:val="000000" w:themeColor="text1"/>
          <w:lang w:val="en-US"/>
        </w:rPr>
        <w:t xml:space="preserve">aimed at creating </w:t>
      </w:r>
      <w:r w:rsidR="006D1620" w:rsidRPr="00F31DD1">
        <w:rPr>
          <w:color w:val="000000" w:themeColor="text1"/>
          <w:lang w:val="en-US"/>
        </w:rPr>
        <w:t>new</w:t>
      </w:r>
      <w:r w:rsidR="004D546F" w:rsidRPr="00F31DD1">
        <w:rPr>
          <w:color w:val="000000" w:themeColor="text1"/>
          <w:lang w:val="en-US"/>
        </w:rPr>
        <w:t xml:space="preserve"> histories</w:t>
      </w:r>
      <w:r w:rsidR="00A525C6" w:rsidRPr="00F31DD1">
        <w:rPr>
          <w:color w:val="000000" w:themeColor="text1"/>
          <w:lang w:val="en-US"/>
        </w:rPr>
        <w:t xml:space="preserve"> and interpretations of</w:t>
      </w:r>
      <w:r w:rsidR="004D546F" w:rsidRPr="00F31DD1">
        <w:rPr>
          <w:color w:val="000000" w:themeColor="text1"/>
          <w:lang w:val="en-US"/>
        </w:rPr>
        <w:t xml:space="preserve"> </w:t>
      </w:r>
      <w:r w:rsidR="00A525C6" w:rsidRPr="00F31DD1">
        <w:rPr>
          <w:color w:val="000000" w:themeColor="text1"/>
          <w:lang w:val="en-US"/>
        </w:rPr>
        <w:t xml:space="preserve">Irish </w:t>
      </w:r>
      <w:r w:rsidR="006D1620" w:rsidRPr="00F31DD1">
        <w:rPr>
          <w:color w:val="000000" w:themeColor="text1"/>
          <w:lang w:val="en-US"/>
        </w:rPr>
        <w:t>witchcraft</w:t>
      </w:r>
      <w:r w:rsidR="00150804" w:rsidRPr="00F31DD1">
        <w:rPr>
          <w:color w:val="000000" w:themeColor="text1"/>
          <w:lang w:val="en-US"/>
        </w:rPr>
        <w:t xml:space="preserve"> </w:t>
      </w:r>
      <w:r w:rsidR="000A5DB5" w:rsidRPr="00F31DD1">
        <w:rPr>
          <w:color w:val="000000" w:themeColor="text1"/>
          <w:lang w:val="en-US"/>
        </w:rPr>
        <w:t xml:space="preserve">both within and </w:t>
      </w:r>
      <w:r w:rsidR="00E002DF" w:rsidRPr="00F31DD1">
        <w:rPr>
          <w:color w:val="000000" w:themeColor="text1"/>
          <w:lang w:val="en-US"/>
        </w:rPr>
        <w:t>outside of</w:t>
      </w:r>
      <w:r w:rsidR="000A5DB5" w:rsidRPr="00F31DD1">
        <w:rPr>
          <w:color w:val="000000" w:themeColor="text1"/>
          <w:lang w:val="en-US"/>
        </w:rPr>
        <w:t xml:space="preserve"> </w:t>
      </w:r>
      <w:r w:rsidR="00150804" w:rsidRPr="00F31DD1">
        <w:rPr>
          <w:color w:val="000000" w:themeColor="text1"/>
          <w:lang w:val="en-US"/>
        </w:rPr>
        <w:t>academia</w:t>
      </w:r>
      <w:r w:rsidR="004D546F" w:rsidRPr="00F31DD1">
        <w:rPr>
          <w:color w:val="000000" w:themeColor="text1"/>
          <w:lang w:val="en-US"/>
        </w:rPr>
        <w:t>.</w:t>
      </w:r>
      <w:r w:rsidR="008B44AB" w:rsidRPr="00F31DD1">
        <w:rPr>
          <w:color w:val="000000" w:themeColor="text1"/>
          <w:lang w:val="en-US"/>
        </w:rPr>
        <w:t xml:space="preserve"> Although it seems</w:t>
      </w:r>
      <w:r w:rsidR="004C6C56" w:rsidRPr="00F31DD1">
        <w:rPr>
          <w:color w:val="000000" w:themeColor="text1"/>
          <w:lang w:val="en-US"/>
        </w:rPr>
        <w:t xml:space="preserve"> almost </w:t>
      </w:r>
      <w:r w:rsidR="005574C9" w:rsidRPr="00F31DD1">
        <w:rPr>
          <w:color w:val="000000" w:themeColor="text1"/>
          <w:lang w:val="en-US"/>
        </w:rPr>
        <w:t>too</w:t>
      </w:r>
      <w:r w:rsidR="008B44AB" w:rsidRPr="00F31DD1">
        <w:rPr>
          <w:color w:val="000000" w:themeColor="text1"/>
          <w:lang w:val="en-US"/>
        </w:rPr>
        <w:t xml:space="preserve"> obvious</w:t>
      </w:r>
      <w:r w:rsidR="004C6C56" w:rsidRPr="00F31DD1">
        <w:rPr>
          <w:color w:val="000000" w:themeColor="text1"/>
          <w:lang w:val="en-US"/>
        </w:rPr>
        <w:t xml:space="preserve"> to mention</w:t>
      </w:r>
      <w:r w:rsidR="008B44AB" w:rsidRPr="00F31DD1">
        <w:rPr>
          <w:color w:val="000000" w:themeColor="text1"/>
          <w:lang w:val="en-US"/>
        </w:rPr>
        <w:t xml:space="preserve">, it is nevertheless worth stating that </w:t>
      </w:r>
      <w:r w:rsidR="005F4F87" w:rsidRPr="00F31DD1">
        <w:rPr>
          <w:color w:val="000000" w:themeColor="text1"/>
          <w:lang w:val="en-US"/>
        </w:rPr>
        <w:t xml:space="preserve">when disseminating research </w:t>
      </w:r>
      <w:r w:rsidR="005574C9" w:rsidRPr="00F31DD1">
        <w:rPr>
          <w:color w:val="000000" w:themeColor="text1"/>
          <w:lang w:val="en-US"/>
        </w:rPr>
        <w:t>findings,</w:t>
      </w:r>
      <w:r w:rsidR="005F4F87" w:rsidRPr="00F31DD1">
        <w:rPr>
          <w:color w:val="000000" w:themeColor="text1"/>
          <w:lang w:val="en-US"/>
        </w:rPr>
        <w:t xml:space="preserve"> it is</w:t>
      </w:r>
      <w:r w:rsidR="008B44AB" w:rsidRPr="00F31DD1">
        <w:rPr>
          <w:color w:val="000000" w:themeColor="text1"/>
          <w:lang w:val="en-US"/>
        </w:rPr>
        <w:t xml:space="preserve"> </w:t>
      </w:r>
      <w:r w:rsidR="008B44AB" w:rsidRPr="00F31DD1">
        <w:rPr>
          <w:color w:val="000000" w:themeColor="text1"/>
          <w:lang w:val="en-US"/>
        </w:rPr>
        <w:lastRenderedPageBreak/>
        <w:t xml:space="preserve">important to </w:t>
      </w:r>
      <w:r w:rsidR="005F4F87" w:rsidRPr="00F31DD1">
        <w:rPr>
          <w:color w:val="000000" w:themeColor="text1"/>
          <w:lang w:val="en-US"/>
        </w:rPr>
        <w:t xml:space="preserve">venture </w:t>
      </w:r>
      <w:r w:rsidR="008B44AB" w:rsidRPr="00F31DD1">
        <w:rPr>
          <w:color w:val="000000" w:themeColor="text1"/>
          <w:lang w:val="en-US"/>
        </w:rPr>
        <w:t>into the local community</w:t>
      </w:r>
      <w:r w:rsidR="004C6C56" w:rsidRPr="00F31DD1">
        <w:rPr>
          <w:color w:val="000000" w:themeColor="text1"/>
          <w:lang w:val="en-US"/>
        </w:rPr>
        <w:t xml:space="preserve"> and be</w:t>
      </w:r>
      <w:r w:rsidR="005F4F87" w:rsidRPr="00F31DD1">
        <w:rPr>
          <w:color w:val="000000" w:themeColor="text1"/>
          <w:lang w:val="en-US"/>
        </w:rPr>
        <w:t xml:space="preserve"> </w:t>
      </w:r>
      <w:r w:rsidR="008B44AB" w:rsidRPr="00F31DD1">
        <w:rPr>
          <w:color w:val="000000" w:themeColor="text1"/>
          <w:lang w:val="en-US"/>
        </w:rPr>
        <w:t xml:space="preserve">ready to adapt approaches and presentation style </w:t>
      </w:r>
      <w:r w:rsidR="005F4F87" w:rsidRPr="00F31DD1">
        <w:rPr>
          <w:color w:val="000000" w:themeColor="text1"/>
          <w:lang w:val="en-US"/>
        </w:rPr>
        <w:t>in anticipation of audience expectations</w:t>
      </w:r>
      <w:r w:rsidR="008B44AB" w:rsidRPr="00F31DD1">
        <w:rPr>
          <w:color w:val="000000" w:themeColor="text1"/>
          <w:lang w:val="en-US"/>
        </w:rPr>
        <w:t xml:space="preserve">. It </w:t>
      </w:r>
      <w:r w:rsidR="005F4F87" w:rsidRPr="00F31DD1">
        <w:rPr>
          <w:color w:val="000000" w:themeColor="text1"/>
          <w:lang w:val="en-US"/>
        </w:rPr>
        <w:t>is</w:t>
      </w:r>
      <w:r w:rsidR="008B44AB" w:rsidRPr="00F31DD1">
        <w:rPr>
          <w:color w:val="000000" w:themeColor="text1"/>
          <w:lang w:val="en-US"/>
        </w:rPr>
        <w:t xml:space="preserve"> impossible to </w:t>
      </w:r>
      <w:r w:rsidR="005F4F87" w:rsidRPr="00F31DD1">
        <w:rPr>
          <w:color w:val="000000" w:themeColor="text1"/>
          <w:lang w:val="en-US"/>
        </w:rPr>
        <w:t>quantify</w:t>
      </w:r>
      <w:r w:rsidR="008B44AB" w:rsidRPr="00F31DD1">
        <w:rPr>
          <w:color w:val="000000" w:themeColor="text1"/>
          <w:lang w:val="en-US"/>
        </w:rPr>
        <w:t xml:space="preserve"> the extent and nature to which cultural awareness of the trial of the </w:t>
      </w:r>
      <w:proofErr w:type="spellStart"/>
      <w:r w:rsidR="008B44AB" w:rsidRPr="00F31DD1">
        <w:rPr>
          <w:color w:val="000000" w:themeColor="text1"/>
          <w:lang w:val="en-US"/>
        </w:rPr>
        <w:t>Islandmagee</w:t>
      </w:r>
      <w:proofErr w:type="spellEnd"/>
      <w:r w:rsidR="008B44AB" w:rsidRPr="00F31DD1">
        <w:rPr>
          <w:color w:val="000000" w:themeColor="text1"/>
          <w:lang w:val="en-US"/>
        </w:rPr>
        <w:t xml:space="preserve"> witches has been raised in Northern Ireland and further afield</w:t>
      </w:r>
      <w:r w:rsidR="005F4F87" w:rsidRPr="00F31DD1">
        <w:rPr>
          <w:color w:val="000000" w:themeColor="text1"/>
          <w:lang w:val="en-US"/>
        </w:rPr>
        <w:t xml:space="preserve"> in the past decade</w:t>
      </w:r>
      <w:r w:rsidR="008B44AB" w:rsidRPr="00F31DD1">
        <w:rPr>
          <w:color w:val="000000" w:themeColor="text1"/>
          <w:lang w:val="en-US"/>
        </w:rPr>
        <w:t xml:space="preserve">, or indeed how far my research and public engagement </w:t>
      </w:r>
      <w:r w:rsidR="005F4F87" w:rsidRPr="00F31DD1">
        <w:rPr>
          <w:color w:val="000000" w:themeColor="text1"/>
          <w:lang w:val="en-US"/>
        </w:rPr>
        <w:t>activ</w:t>
      </w:r>
      <w:r w:rsidR="00150804" w:rsidRPr="00F31DD1">
        <w:rPr>
          <w:color w:val="000000" w:themeColor="text1"/>
          <w:lang w:val="en-US"/>
        </w:rPr>
        <w:t>ities</w:t>
      </w:r>
      <w:r w:rsidR="005F4F87" w:rsidRPr="00F31DD1">
        <w:rPr>
          <w:color w:val="000000" w:themeColor="text1"/>
          <w:lang w:val="en-US"/>
        </w:rPr>
        <w:t xml:space="preserve"> </w:t>
      </w:r>
      <w:r w:rsidR="008B44AB" w:rsidRPr="00F31DD1">
        <w:rPr>
          <w:color w:val="000000" w:themeColor="text1"/>
          <w:lang w:val="en-US"/>
        </w:rPr>
        <w:t>w</w:t>
      </w:r>
      <w:r w:rsidR="00150804" w:rsidRPr="00F31DD1">
        <w:rPr>
          <w:color w:val="000000" w:themeColor="text1"/>
          <w:lang w:val="en-US"/>
        </w:rPr>
        <w:t>ere</w:t>
      </w:r>
      <w:r w:rsidR="008B44AB" w:rsidRPr="00F31DD1">
        <w:rPr>
          <w:color w:val="000000" w:themeColor="text1"/>
          <w:lang w:val="en-US"/>
        </w:rPr>
        <w:t xml:space="preserve"> responsible for </w:t>
      </w:r>
      <w:r w:rsidR="005F4F87" w:rsidRPr="00F31DD1">
        <w:rPr>
          <w:color w:val="000000" w:themeColor="text1"/>
          <w:lang w:val="en-US"/>
        </w:rPr>
        <w:t>this</w:t>
      </w:r>
      <w:r w:rsidR="008B44AB" w:rsidRPr="00F31DD1">
        <w:rPr>
          <w:color w:val="000000" w:themeColor="text1"/>
          <w:lang w:val="en-US"/>
        </w:rPr>
        <w:t xml:space="preserve"> change. What is clear is that the extent to which social media, television, radio, and print media now engage with the </w:t>
      </w:r>
      <w:proofErr w:type="spellStart"/>
      <w:r w:rsidR="00150804" w:rsidRPr="00F31DD1">
        <w:rPr>
          <w:color w:val="000000" w:themeColor="text1"/>
          <w:lang w:val="en-US"/>
        </w:rPr>
        <w:t>Islandmagee</w:t>
      </w:r>
      <w:proofErr w:type="spellEnd"/>
      <w:r w:rsidR="00150804" w:rsidRPr="00F31DD1">
        <w:rPr>
          <w:color w:val="000000" w:themeColor="text1"/>
          <w:lang w:val="en-US"/>
        </w:rPr>
        <w:t xml:space="preserve"> witches</w:t>
      </w:r>
      <w:r w:rsidR="008B44AB" w:rsidRPr="00F31DD1">
        <w:rPr>
          <w:color w:val="000000" w:themeColor="text1"/>
          <w:lang w:val="en-US"/>
        </w:rPr>
        <w:t xml:space="preserve"> is</w:t>
      </w:r>
      <w:r w:rsidR="00FC350C">
        <w:rPr>
          <w:color w:val="000000" w:themeColor="text1"/>
          <w:lang w:val="en-US"/>
        </w:rPr>
        <w:t xml:space="preserve"> unrecognizable </w:t>
      </w:r>
      <w:r w:rsidR="008B44AB" w:rsidRPr="00F31DD1">
        <w:rPr>
          <w:color w:val="000000" w:themeColor="text1"/>
          <w:lang w:val="en-US"/>
        </w:rPr>
        <w:t xml:space="preserve">compared </w:t>
      </w:r>
      <w:r w:rsidR="005F4F87" w:rsidRPr="00F31DD1">
        <w:rPr>
          <w:color w:val="000000" w:themeColor="text1"/>
          <w:lang w:val="en-US"/>
        </w:rPr>
        <w:t>with</w:t>
      </w:r>
      <w:r w:rsidR="008B44AB" w:rsidRPr="00F31DD1">
        <w:rPr>
          <w:color w:val="000000" w:themeColor="text1"/>
          <w:lang w:val="en-US"/>
        </w:rPr>
        <w:t xml:space="preserve"> a decade ago.</w:t>
      </w:r>
      <w:r w:rsidR="00116F0A" w:rsidRPr="00F31DD1">
        <w:rPr>
          <w:color w:val="000000" w:themeColor="text1"/>
          <w:lang w:val="en-US"/>
        </w:rPr>
        <w:t xml:space="preserve"> </w:t>
      </w:r>
      <w:r w:rsidR="00150804" w:rsidRPr="00F31DD1">
        <w:rPr>
          <w:color w:val="000000" w:themeColor="text1"/>
          <w:lang w:val="en-US"/>
        </w:rPr>
        <w:t xml:space="preserve">This engagement </w:t>
      </w:r>
      <w:r w:rsidR="00A525C6" w:rsidRPr="00F31DD1">
        <w:rPr>
          <w:color w:val="000000" w:themeColor="text1"/>
          <w:lang w:val="en-US"/>
        </w:rPr>
        <w:t xml:space="preserve">has also shown that the </w:t>
      </w:r>
      <w:r w:rsidR="00940CD4" w:rsidRPr="00F31DD1">
        <w:rPr>
          <w:color w:val="000000" w:themeColor="text1"/>
          <w:lang w:val="en-US"/>
        </w:rPr>
        <w:t>commemoration of historic witch tria</w:t>
      </w:r>
      <w:r w:rsidR="00CD3E5E" w:rsidRPr="00F31DD1">
        <w:rPr>
          <w:color w:val="000000" w:themeColor="text1"/>
          <w:lang w:val="en-US"/>
        </w:rPr>
        <w:t>ls</w:t>
      </w:r>
      <w:r w:rsidR="00B67591" w:rsidRPr="00F31DD1">
        <w:rPr>
          <w:color w:val="000000" w:themeColor="text1"/>
          <w:lang w:val="en-US"/>
        </w:rPr>
        <w:t>,</w:t>
      </w:r>
      <w:r w:rsidR="00940CD4" w:rsidRPr="00F31DD1">
        <w:rPr>
          <w:color w:val="000000" w:themeColor="text1"/>
          <w:lang w:val="en-US"/>
        </w:rPr>
        <w:t xml:space="preserve"> </w:t>
      </w:r>
      <w:r w:rsidR="00B67591" w:rsidRPr="00F31DD1">
        <w:rPr>
          <w:color w:val="000000" w:themeColor="text1"/>
          <w:lang w:val="en-US"/>
        </w:rPr>
        <w:t>in divided communities with contested pasts such as Northern Ireland, represent</w:t>
      </w:r>
      <w:r w:rsidR="0073538D" w:rsidRPr="00F31DD1">
        <w:rPr>
          <w:color w:val="000000" w:themeColor="text1"/>
          <w:lang w:val="en-US"/>
        </w:rPr>
        <w:t>s</w:t>
      </w:r>
      <w:r w:rsidR="00B67591" w:rsidRPr="00F31DD1">
        <w:rPr>
          <w:color w:val="000000" w:themeColor="text1"/>
          <w:lang w:val="en-US"/>
        </w:rPr>
        <w:t xml:space="preserve"> difficult heritage that has to </w:t>
      </w:r>
      <w:r w:rsidR="001C732C">
        <w:rPr>
          <w:color w:val="000000" w:themeColor="text1"/>
          <w:lang w:val="en-US"/>
        </w:rPr>
        <w:t xml:space="preserve">be </w:t>
      </w:r>
      <w:r w:rsidR="00B67591" w:rsidRPr="00F31DD1">
        <w:rPr>
          <w:color w:val="000000" w:themeColor="text1"/>
          <w:lang w:val="en-US"/>
        </w:rPr>
        <w:t xml:space="preserve">handled </w:t>
      </w:r>
      <w:r w:rsidR="00A525C6" w:rsidRPr="00F31DD1">
        <w:rPr>
          <w:color w:val="000000" w:themeColor="text1"/>
          <w:lang w:val="en-US"/>
        </w:rPr>
        <w:t>sensitively and carefully</w:t>
      </w:r>
      <w:r w:rsidR="00515FA9" w:rsidRPr="00F31DD1">
        <w:rPr>
          <w:color w:val="000000" w:themeColor="text1"/>
          <w:lang w:val="en-US"/>
        </w:rPr>
        <w:t>.</w:t>
      </w:r>
      <w:r w:rsidR="00940CD4" w:rsidRPr="00F31DD1">
        <w:rPr>
          <w:color w:val="000000" w:themeColor="text1"/>
          <w:lang w:val="en-US"/>
        </w:rPr>
        <w:t xml:space="preserve"> </w:t>
      </w:r>
      <w:r w:rsidR="00C25645" w:rsidRPr="00F31DD1">
        <w:rPr>
          <w:color w:val="000000" w:themeColor="text1"/>
          <w:lang w:val="en-US"/>
        </w:rPr>
        <w:t>There is</w:t>
      </w:r>
      <w:r w:rsidR="001C732C">
        <w:rPr>
          <w:color w:val="000000" w:themeColor="text1"/>
          <w:lang w:val="en-US"/>
        </w:rPr>
        <w:t>,</w:t>
      </w:r>
      <w:r w:rsidR="005F4F87" w:rsidRPr="00F31DD1">
        <w:rPr>
          <w:color w:val="000000" w:themeColor="text1"/>
          <w:lang w:val="en-US"/>
        </w:rPr>
        <w:t xml:space="preserve"> however</w:t>
      </w:r>
      <w:r w:rsidR="00174EF4" w:rsidRPr="00F31DD1">
        <w:rPr>
          <w:color w:val="000000" w:themeColor="text1"/>
          <w:lang w:val="en-US"/>
        </w:rPr>
        <w:t>,</w:t>
      </w:r>
      <w:r w:rsidR="00C25645" w:rsidRPr="00F31DD1">
        <w:rPr>
          <w:color w:val="000000" w:themeColor="text1"/>
          <w:lang w:val="en-US"/>
        </w:rPr>
        <w:t xml:space="preserve"> so much more that can be achieved to bring knowledge of </w:t>
      </w:r>
      <w:r w:rsidR="00FB05F2" w:rsidRPr="00F31DD1">
        <w:rPr>
          <w:color w:val="000000" w:themeColor="text1"/>
          <w:lang w:val="en-US"/>
        </w:rPr>
        <w:t xml:space="preserve">the </w:t>
      </w:r>
      <w:proofErr w:type="spellStart"/>
      <w:r w:rsidR="00FB05F2" w:rsidRPr="00F31DD1">
        <w:rPr>
          <w:color w:val="000000" w:themeColor="text1"/>
          <w:lang w:val="en-US"/>
        </w:rPr>
        <w:t>Islandmagee</w:t>
      </w:r>
      <w:proofErr w:type="spellEnd"/>
      <w:r w:rsidR="00FB05F2" w:rsidRPr="00F31DD1">
        <w:rPr>
          <w:color w:val="000000" w:themeColor="text1"/>
          <w:lang w:val="en-US"/>
        </w:rPr>
        <w:t xml:space="preserve"> </w:t>
      </w:r>
      <w:r w:rsidR="00C25645" w:rsidRPr="00F31DD1">
        <w:rPr>
          <w:color w:val="000000" w:themeColor="text1"/>
          <w:lang w:val="en-US"/>
        </w:rPr>
        <w:t xml:space="preserve">to wider audiences, </w:t>
      </w:r>
      <w:r w:rsidR="00FB05F2" w:rsidRPr="00F31DD1">
        <w:rPr>
          <w:color w:val="000000" w:themeColor="text1"/>
          <w:lang w:val="en-US"/>
        </w:rPr>
        <w:t xml:space="preserve">to </w:t>
      </w:r>
      <w:r w:rsidR="00C25645" w:rsidRPr="00F31DD1">
        <w:rPr>
          <w:color w:val="000000" w:themeColor="text1"/>
          <w:lang w:val="en-US"/>
        </w:rPr>
        <w:t>memoriali</w:t>
      </w:r>
      <w:r w:rsidR="001C732C">
        <w:rPr>
          <w:color w:val="000000" w:themeColor="text1"/>
          <w:lang w:val="en-US"/>
        </w:rPr>
        <w:t>z</w:t>
      </w:r>
      <w:r w:rsidR="00C25645" w:rsidRPr="00F31DD1">
        <w:rPr>
          <w:color w:val="000000" w:themeColor="text1"/>
          <w:lang w:val="en-US"/>
        </w:rPr>
        <w:t xml:space="preserve">e </w:t>
      </w:r>
      <w:r w:rsidR="00FB05F2" w:rsidRPr="00F31DD1">
        <w:rPr>
          <w:color w:val="000000" w:themeColor="text1"/>
          <w:lang w:val="en-US"/>
        </w:rPr>
        <w:t xml:space="preserve">the eight women and one man convicted of witchcraft in 1711, and to tie their story to the </w:t>
      </w:r>
      <w:r w:rsidR="00C25645" w:rsidRPr="00F31DD1">
        <w:rPr>
          <w:color w:val="000000" w:themeColor="text1"/>
          <w:lang w:val="en-US"/>
        </w:rPr>
        <w:t>landscape and the history of the region</w:t>
      </w:r>
      <w:r w:rsidR="008F67E0" w:rsidRPr="00F31DD1">
        <w:rPr>
          <w:color w:val="000000" w:themeColor="text1"/>
          <w:lang w:val="en-US"/>
        </w:rPr>
        <w:t>.</w:t>
      </w:r>
      <w:r w:rsidR="00C25645" w:rsidRPr="00F31DD1">
        <w:rPr>
          <w:color w:val="000000" w:themeColor="text1"/>
          <w:lang w:val="en-US"/>
        </w:rPr>
        <w:t xml:space="preserve"> Although </w:t>
      </w:r>
      <w:r w:rsidR="005F4F87" w:rsidRPr="00F31DD1">
        <w:rPr>
          <w:color w:val="000000" w:themeColor="text1"/>
          <w:lang w:val="en-US"/>
        </w:rPr>
        <w:t xml:space="preserve">the history of witchcraft </w:t>
      </w:r>
      <w:r w:rsidR="00C25645" w:rsidRPr="00F31DD1">
        <w:rPr>
          <w:color w:val="000000" w:themeColor="text1"/>
          <w:lang w:val="en-US"/>
        </w:rPr>
        <w:t>still has</w:t>
      </w:r>
      <w:r w:rsidR="005F4F87" w:rsidRPr="00F31DD1">
        <w:rPr>
          <w:color w:val="000000" w:themeColor="text1"/>
          <w:lang w:val="en-US"/>
        </w:rPr>
        <w:t xml:space="preserve"> the</w:t>
      </w:r>
      <w:r w:rsidR="00C25645" w:rsidRPr="00F31DD1">
        <w:rPr>
          <w:color w:val="000000" w:themeColor="text1"/>
          <w:lang w:val="en-US"/>
        </w:rPr>
        <w:t xml:space="preserve"> potential to divide and create controversy, b</w:t>
      </w:r>
      <w:r w:rsidR="00A87E6F" w:rsidRPr="00F31DD1">
        <w:rPr>
          <w:color w:val="000000" w:themeColor="text1"/>
          <w:lang w:val="en-US"/>
        </w:rPr>
        <w:t>elief in the supernatural is part of a shared Irish history</w:t>
      </w:r>
      <w:r w:rsidR="00B67591" w:rsidRPr="00F31DD1">
        <w:rPr>
          <w:color w:val="000000" w:themeColor="text1"/>
          <w:lang w:val="en-US"/>
        </w:rPr>
        <w:t xml:space="preserve"> and heritage that has the</w:t>
      </w:r>
      <w:r w:rsidR="00E43069" w:rsidRPr="00F31DD1">
        <w:rPr>
          <w:color w:val="000000" w:themeColor="text1"/>
          <w:lang w:val="en-US"/>
        </w:rPr>
        <w:t xml:space="preserve"> </w:t>
      </w:r>
      <w:r w:rsidR="00B67591" w:rsidRPr="00F31DD1">
        <w:rPr>
          <w:color w:val="000000" w:themeColor="text1"/>
          <w:lang w:val="en-US"/>
        </w:rPr>
        <w:t>potential to unite. It is</w:t>
      </w:r>
      <w:r w:rsidR="00A87E6F" w:rsidRPr="00F31DD1">
        <w:rPr>
          <w:color w:val="000000" w:themeColor="text1"/>
          <w:lang w:val="en-US"/>
        </w:rPr>
        <w:t xml:space="preserve"> a </w:t>
      </w:r>
      <w:r w:rsidR="0021730A" w:rsidRPr="00F31DD1">
        <w:rPr>
          <w:color w:val="000000" w:themeColor="text1"/>
          <w:lang w:val="en-US"/>
        </w:rPr>
        <w:t xml:space="preserve">cultural and historical </w:t>
      </w:r>
      <w:r w:rsidR="00A87E6F" w:rsidRPr="00F31DD1">
        <w:rPr>
          <w:color w:val="000000" w:themeColor="text1"/>
          <w:lang w:val="en-US"/>
        </w:rPr>
        <w:t>tie that binds</w:t>
      </w:r>
      <w:r w:rsidR="00F74B9E" w:rsidRPr="00F31DD1">
        <w:rPr>
          <w:color w:val="000000" w:themeColor="text1"/>
          <w:lang w:val="en-US"/>
        </w:rPr>
        <w:t xml:space="preserve"> together</w:t>
      </w:r>
      <w:r w:rsidR="00A87E6F" w:rsidRPr="00F31DD1">
        <w:rPr>
          <w:color w:val="000000" w:themeColor="text1"/>
          <w:lang w:val="en-US"/>
        </w:rPr>
        <w:t xml:space="preserve"> people of all religious and political backgrounds</w:t>
      </w:r>
      <w:r w:rsidR="005F4F87" w:rsidRPr="00F31DD1">
        <w:rPr>
          <w:color w:val="000000" w:themeColor="text1"/>
          <w:lang w:val="en-US"/>
        </w:rPr>
        <w:t xml:space="preserve"> in Northern Ireland</w:t>
      </w:r>
      <w:r w:rsidR="00590BC5" w:rsidRPr="00F31DD1">
        <w:rPr>
          <w:color w:val="000000" w:themeColor="text1"/>
          <w:lang w:val="en-US"/>
        </w:rPr>
        <w:t>.</w:t>
      </w:r>
      <w:r w:rsidR="00A87E6F" w:rsidRPr="00F31DD1">
        <w:rPr>
          <w:color w:val="000000" w:themeColor="text1"/>
          <w:lang w:val="en-US"/>
        </w:rPr>
        <w:t xml:space="preserve"> </w:t>
      </w:r>
    </w:p>
    <w:p w14:paraId="54DCE4A9" w14:textId="77777777" w:rsidR="00C0226A" w:rsidRPr="00F31DD1" w:rsidRDefault="00C0226A" w:rsidP="0058637A">
      <w:pPr>
        <w:spacing w:line="480" w:lineRule="auto"/>
        <w:rPr>
          <w:color w:val="000000" w:themeColor="text1"/>
          <w:lang w:val="en-US"/>
        </w:rPr>
      </w:pPr>
    </w:p>
    <w:p w14:paraId="749EA9E1" w14:textId="1AA4632B" w:rsidR="00C0226A" w:rsidRPr="00F31DD1" w:rsidRDefault="00C0226A" w:rsidP="00C0226A">
      <w:pPr>
        <w:spacing w:line="480" w:lineRule="auto"/>
        <w:rPr>
          <w:lang w:val="en-US" w:eastAsia="en-US" w:bidi="he-IL"/>
        </w:rPr>
      </w:pPr>
      <w:r w:rsidRPr="00F31DD1">
        <w:rPr>
          <w:color w:val="000000" w:themeColor="text1"/>
          <w:lang w:val="en-US"/>
        </w:rPr>
        <w:t>&lt;</w:t>
      </w:r>
      <w:proofErr w:type="spellStart"/>
      <w:r w:rsidRPr="00F31DD1">
        <w:rPr>
          <w:color w:val="000000" w:themeColor="text1"/>
          <w:lang w:val="en-US"/>
        </w:rPr>
        <w:t>aubio</w:t>
      </w:r>
      <w:proofErr w:type="spellEnd"/>
      <w:r w:rsidRPr="00F31DD1">
        <w:rPr>
          <w:color w:val="000000" w:themeColor="text1"/>
          <w:lang w:val="en-US"/>
        </w:rPr>
        <w:t>&gt;&lt;</w:t>
      </w:r>
      <w:proofErr w:type="spellStart"/>
      <w:r w:rsidRPr="00F31DD1">
        <w:rPr>
          <w:color w:val="000000" w:themeColor="text1"/>
          <w:lang w:val="en-US"/>
        </w:rPr>
        <w:t>smcaps</w:t>
      </w:r>
      <w:proofErr w:type="spellEnd"/>
      <w:r w:rsidRPr="00F31DD1">
        <w:rPr>
          <w:color w:val="000000" w:themeColor="text1"/>
          <w:lang w:val="en-US"/>
        </w:rPr>
        <w:t>&gt;</w:t>
      </w:r>
      <w:proofErr w:type="spellStart"/>
      <w:r w:rsidRPr="00F31DD1">
        <w:rPr>
          <w:bdr w:val="none" w:sz="0" w:space="0" w:color="auto" w:frame="1"/>
          <w:lang w:val="en-US" w:eastAsia="en-US" w:bidi="he-IL"/>
        </w:rPr>
        <w:t>andrew</w:t>
      </w:r>
      <w:proofErr w:type="spellEnd"/>
      <w:r w:rsidRPr="00F31DD1">
        <w:rPr>
          <w:bdr w:val="none" w:sz="0" w:space="0" w:color="auto" w:frame="1"/>
          <w:lang w:val="en-US" w:eastAsia="en-US" w:bidi="he-IL"/>
        </w:rPr>
        <w:t xml:space="preserve"> </w:t>
      </w:r>
      <w:proofErr w:type="spellStart"/>
      <w:r w:rsidRPr="00F31DD1">
        <w:rPr>
          <w:bdr w:val="none" w:sz="0" w:space="0" w:color="auto" w:frame="1"/>
          <w:lang w:val="en-US" w:eastAsia="en-US" w:bidi="he-IL"/>
        </w:rPr>
        <w:t>sneddon</w:t>
      </w:r>
      <w:proofErr w:type="spellEnd"/>
      <w:r w:rsidRPr="00F31DD1">
        <w:rPr>
          <w:bdr w:val="none" w:sz="0" w:space="0" w:color="auto" w:frame="1"/>
          <w:lang w:val="en-US" w:eastAsia="en-US" w:bidi="he-IL"/>
        </w:rPr>
        <w:t>&lt;/</w:t>
      </w:r>
      <w:proofErr w:type="spellStart"/>
      <w:r w:rsidRPr="00F31DD1">
        <w:rPr>
          <w:bdr w:val="none" w:sz="0" w:space="0" w:color="auto" w:frame="1"/>
          <w:lang w:val="en-US" w:eastAsia="en-US" w:bidi="he-IL"/>
        </w:rPr>
        <w:t>smcaps</w:t>
      </w:r>
      <w:proofErr w:type="spellEnd"/>
      <w:r w:rsidRPr="00F31DD1">
        <w:rPr>
          <w:bdr w:val="none" w:sz="0" w:space="0" w:color="auto" w:frame="1"/>
          <w:lang w:val="en-US" w:eastAsia="en-US" w:bidi="he-IL"/>
        </w:rPr>
        <w:t xml:space="preserve">&gt; is lecturer in international history at Ulster University and president of the Ulster Society for Irish Historical Studies. His third and latest monograph, </w:t>
      </w:r>
      <w:r w:rsidRPr="00F31DD1">
        <w:rPr>
          <w:i/>
          <w:iCs/>
          <w:bdr w:val="none" w:sz="0" w:space="0" w:color="auto" w:frame="1"/>
          <w:lang w:val="en-US" w:eastAsia="en-US" w:bidi="he-IL"/>
        </w:rPr>
        <w:t>Witchcraft and Magic in Ireland</w:t>
      </w:r>
      <w:r w:rsidRPr="00F31DD1">
        <w:rPr>
          <w:bdr w:val="none" w:sz="0" w:space="0" w:color="auto" w:frame="1"/>
          <w:lang w:val="en-US" w:eastAsia="en-US" w:bidi="he-IL"/>
        </w:rPr>
        <w:t xml:space="preserve">, was published by Palgrave, and his latest articles on witchcraft and magic appear in </w:t>
      </w:r>
      <w:r w:rsidRPr="00F31DD1">
        <w:rPr>
          <w:i/>
          <w:iCs/>
          <w:bdr w:val="none" w:sz="0" w:space="0" w:color="auto" w:frame="1"/>
          <w:lang w:val="en-US" w:eastAsia="en-US" w:bidi="he-IL"/>
        </w:rPr>
        <w:t>Irish Historical Studies</w:t>
      </w:r>
      <w:r w:rsidRPr="00F31DD1">
        <w:rPr>
          <w:bdr w:val="none" w:sz="0" w:space="0" w:color="auto" w:frame="1"/>
          <w:lang w:val="en-US" w:eastAsia="en-US" w:bidi="he-IL"/>
        </w:rPr>
        <w:t xml:space="preserve">, </w:t>
      </w:r>
      <w:r w:rsidRPr="00F31DD1">
        <w:rPr>
          <w:i/>
          <w:iCs/>
          <w:bdr w:val="none" w:sz="0" w:space="0" w:color="auto" w:frame="1"/>
          <w:lang w:val="en-US" w:eastAsia="en-US" w:bidi="he-IL"/>
        </w:rPr>
        <w:t>Historical Journal</w:t>
      </w:r>
      <w:r w:rsidRPr="00F31DD1">
        <w:rPr>
          <w:bdr w:val="none" w:sz="0" w:space="0" w:color="auto" w:frame="1"/>
          <w:lang w:val="en-US" w:eastAsia="en-US" w:bidi="he-IL"/>
        </w:rPr>
        <w:t xml:space="preserve">, and </w:t>
      </w:r>
      <w:r w:rsidRPr="00F31DD1">
        <w:rPr>
          <w:i/>
          <w:iCs/>
          <w:bdr w:val="none" w:sz="0" w:space="0" w:color="auto" w:frame="1"/>
          <w:lang w:val="en-US" w:eastAsia="en-US" w:bidi="he-IL"/>
        </w:rPr>
        <w:t>Cultural and Social History</w:t>
      </w:r>
      <w:r w:rsidRPr="00F31DD1">
        <w:rPr>
          <w:bdr w:val="none" w:sz="0" w:space="0" w:color="auto" w:frame="1"/>
          <w:lang w:val="en-US" w:eastAsia="en-US" w:bidi="he-IL"/>
        </w:rPr>
        <w:t>. He is currently writing two monographs for Cambridge University Press (“Magic and Identity in Modern Ireland,” and “Disability and Magic in Early Modern Britain and America”) and editing a collection for Bloomsbury on the cultural history of magic in enlightenment Europe.</w:t>
      </w:r>
    </w:p>
    <w:p w14:paraId="0CCE366B" w14:textId="75D33F93" w:rsidR="005F159C" w:rsidRPr="00F31DD1" w:rsidRDefault="005F159C" w:rsidP="00C0226A">
      <w:pPr>
        <w:spacing w:line="480" w:lineRule="auto"/>
        <w:rPr>
          <w:color w:val="000000" w:themeColor="text1"/>
          <w:lang w:val="en-US"/>
        </w:rPr>
      </w:pPr>
    </w:p>
    <w:p w14:paraId="593C0F3B" w14:textId="77777777" w:rsidR="00ED6342" w:rsidRPr="00C0226A" w:rsidRDefault="00ED6342" w:rsidP="00ED6342">
      <w:pPr>
        <w:spacing w:line="480" w:lineRule="auto"/>
        <w:ind w:left="720" w:hanging="720"/>
        <w:rPr>
          <w:color w:val="000000" w:themeColor="text1"/>
        </w:rPr>
      </w:pPr>
      <w:r>
        <w:rPr>
          <w:color w:val="000000" w:themeColor="text1"/>
        </w:rPr>
        <w:t>Works Cited</w:t>
      </w:r>
    </w:p>
    <w:p w14:paraId="70212146" w14:textId="77777777" w:rsidR="00ED6342" w:rsidRPr="00174EF4" w:rsidRDefault="00ED6342" w:rsidP="00ED6342">
      <w:pPr>
        <w:spacing w:line="480" w:lineRule="auto"/>
        <w:ind w:left="720" w:hanging="720"/>
        <w:rPr>
          <w:color w:val="000000" w:themeColor="text1"/>
        </w:rPr>
      </w:pPr>
      <w:r w:rsidRPr="00560773">
        <w:rPr>
          <w:color w:val="000000" w:themeColor="text1"/>
        </w:rPr>
        <w:t>Akenson</w:t>
      </w:r>
      <w:r w:rsidRPr="00174EF4">
        <w:rPr>
          <w:color w:val="000000" w:themeColor="text1"/>
        </w:rPr>
        <w:t>, D</w:t>
      </w:r>
      <w:r>
        <w:rPr>
          <w:color w:val="000000" w:themeColor="text1"/>
        </w:rPr>
        <w:t>.</w:t>
      </w:r>
      <w:r w:rsidRPr="00174EF4">
        <w:rPr>
          <w:color w:val="000000" w:themeColor="text1"/>
        </w:rPr>
        <w:t xml:space="preserve"> H</w:t>
      </w:r>
      <w:r>
        <w:rPr>
          <w:color w:val="000000" w:themeColor="text1"/>
        </w:rPr>
        <w:t>.</w:t>
      </w:r>
      <w:r w:rsidRPr="00174EF4">
        <w:rPr>
          <w:color w:val="000000" w:themeColor="text1"/>
        </w:rPr>
        <w:t xml:space="preserve"> (1979). </w:t>
      </w:r>
      <w:r w:rsidRPr="00174EF4">
        <w:rPr>
          <w:i/>
          <w:iCs/>
          <w:color w:val="000000" w:themeColor="text1"/>
        </w:rPr>
        <w:t xml:space="preserve">Between Two Revolutions: </w:t>
      </w:r>
      <w:proofErr w:type="spellStart"/>
      <w:r w:rsidRPr="00174EF4">
        <w:rPr>
          <w:i/>
          <w:iCs/>
          <w:color w:val="000000" w:themeColor="text1"/>
        </w:rPr>
        <w:t>Islandmagee</w:t>
      </w:r>
      <w:proofErr w:type="spellEnd"/>
      <w:r w:rsidRPr="00174EF4">
        <w:rPr>
          <w:i/>
          <w:iCs/>
          <w:color w:val="000000" w:themeColor="text1"/>
        </w:rPr>
        <w:t>, County Antrim 1798</w:t>
      </w:r>
      <w:r>
        <w:rPr>
          <w:i/>
          <w:iCs/>
          <w:color w:val="000000" w:themeColor="text1"/>
        </w:rPr>
        <w:t>–</w:t>
      </w:r>
      <w:r w:rsidRPr="00174EF4">
        <w:rPr>
          <w:i/>
          <w:iCs/>
          <w:color w:val="000000" w:themeColor="text1"/>
        </w:rPr>
        <w:t>1920</w:t>
      </w:r>
      <w:r w:rsidRPr="00174EF4">
        <w:rPr>
          <w:color w:val="000000" w:themeColor="text1"/>
        </w:rPr>
        <w:t>. Ontario: P.</w:t>
      </w:r>
      <w:r>
        <w:rPr>
          <w:color w:val="000000" w:themeColor="text1"/>
        </w:rPr>
        <w:t xml:space="preserve"> </w:t>
      </w:r>
      <w:r w:rsidRPr="00174EF4">
        <w:rPr>
          <w:color w:val="000000" w:themeColor="text1"/>
        </w:rPr>
        <w:t>D. Meany.</w:t>
      </w:r>
    </w:p>
    <w:p w14:paraId="42066846" w14:textId="77777777" w:rsidR="00ED6342" w:rsidRPr="00174EF4" w:rsidRDefault="00ED6342" w:rsidP="00ED6342">
      <w:pPr>
        <w:spacing w:line="480" w:lineRule="auto"/>
        <w:ind w:left="720" w:hanging="720"/>
        <w:rPr>
          <w:color w:val="000000" w:themeColor="text1"/>
        </w:rPr>
      </w:pPr>
      <w:r w:rsidRPr="00560773">
        <w:rPr>
          <w:color w:val="000000" w:themeColor="text1"/>
        </w:rPr>
        <w:t>Almond</w:t>
      </w:r>
      <w:r w:rsidRPr="00174EF4">
        <w:rPr>
          <w:color w:val="000000" w:themeColor="text1"/>
        </w:rPr>
        <w:t>, P</w:t>
      </w:r>
      <w:r>
        <w:rPr>
          <w:color w:val="000000" w:themeColor="text1"/>
        </w:rPr>
        <w:t>.</w:t>
      </w:r>
      <w:r w:rsidRPr="00174EF4">
        <w:rPr>
          <w:color w:val="000000" w:themeColor="text1"/>
        </w:rPr>
        <w:t xml:space="preserve"> C.</w:t>
      </w:r>
      <w:r>
        <w:rPr>
          <w:color w:val="000000" w:themeColor="text1"/>
        </w:rPr>
        <w:t>,</w:t>
      </w:r>
      <w:r w:rsidRPr="00174EF4">
        <w:rPr>
          <w:color w:val="000000" w:themeColor="text1"/>
        </w:rPr>
        <w:t xml:space="preserve"> ed. (2004). </w:t>
      </w:r>
      <w:r w:rsidRPr="00174EF4">
        <w:rPr>
          <w:i/>
          <w:iCs/>
          <w:color w:val="000000" w:themeColor="text1"/>
        </w:rPr>
        <w:t>Demonic Possession and Exorcism in Early Modern England: Contemporary Texts and Their Cultural Contexts</w:t>
      </w:r>
      <w:r w:rsidRPr="00174EF4">
        <w:rPr>
          <w:color w:val="000000" w:themeColor="text1"/>
        </w:rPr>
        <w:t>. Cambridge: Cambridge University Press.</w:t>
      </w:r>
    </w:p>
    <w:p w14:paraId="0ADB2A5D" w14:textId="77777777" w:rsidR="00ED6342" w:rsidRPr="00174EF4" w:rsidRDefault="00ED6342" w:rsidP="00ED6342">
      <w:pPr>
        <w:pStyle w:val="EndnoteText"/>
        <w:spacing w:line="480" w:lineRule="auto"/>
        <w:ind w:left="720" w:hanging="720"/>
        <w:rPr>
          <w:bCs/>
          <w:color w:val="000000" w:themeColor="text1"/>
        </w:rPr>
      </w:pPr>
      <w:proofErr w:type="spellStart"/>
      <w:r w:rsidRPr="00560773">
        <w:rPr>
          <w:bCs/>
          <w:color w:val="000000" w:themeColor="text1"/>
        </w:rPr>
        <w:t>Ankarloo</w:t>
      </w:r>
      <w:proofErr w:type="spellEnd"/>
      <w:r w:rsidRPr="00174EF4">
        <w:rPr>
          <w:bCs/>
          <w:color w:val="000000" w:themeColor="text1"/>
        </w:rPr>
        <w:t>,</w:t>
      </w:r>
      <w:r>
        <w:rPr>
          <w:bCs/>
          <w:color w:val="000000" w:themeColor="text1"/>
        </w:rPr>
        <w:t xml:space="preserve"> B.,</w:t>
      </w:r>
      <w:r w:rsidRPr="00174EF4">
        <w:rPr>
          <w:bCs/>
          <w:color w:val="000000" w:themeColor="text1"/>
        </w:rPr>
        <w:t xml:space="preserve"> </w:t>
      </w:r>
      <w:r>
        <w:rPr>
          <w:bCs/>
          <w:color w:val="000000" w:themeColor="text1"/>
        </w:rPr>
        <w:t xml:space="preserve">and </w:t>
      </w:r>
      <w:r w:rsidRPr="00174EF4">
        <w:rPr>
          <w:bCs/>
          <w:color w:val="000000" w:themeColor="text1"/>
        </w:rPr>
        <w:t>G</w:t>
      </w:r>
      <w:r>
        <w:rPr>
          <w:bCs/>
          <w:color w:val="000000" w:themeColor="text1"/>
        </w:rPr>
        <w:t>.</w:t>
      </w:r>
      <w:r w:rsidRPr="00174EF4">
        <w:rPr>
          <w:bCs/>
          <w:color w:val="000000" w:themeColor="text1"/>
        </w:rPr>
        <w:t xml:space="preserve"> Henningsen (1990). </w:t>
      </w:r>
      <w:r w:rsidRPr="00174EF4">
        <w:rPr>
          <w:bCs/>
          <w:i/>
          <w:color w:val="000000" w:themeColor="text1"/>
        </w:rPr>
        <w:t xml:space="preserve">Early Modern European Witchcraft: </w:t>
      </w:r>
      <w:proofErr w:type="spellStart"/>
      <w:r w:rsidRPr="00174EF4">
        <w:rPr>
          <w:bCs/>
          <w:i/>
          <w:color w:val="000000" w:themeColor="text1"/>
        </w:rPr>
        <w:t>Centres</w:t>
      </w:r>
      <w:proofErr w:type="spellEnd"/>
      <w:r w:rsidRPr="00174EF4">
        <w:rPr>
          <w:bCs/>
          <w:i/>
          <w:color w:val="000000" w:themeColor="text1"/>
        </w:rPr>
        <w:t xml:space="preserve"> and Peripheries</w:t>
      </w:r>
      <w:r w:rsidRPr="00174EF4">
        <w:rPr>
          <w:bCs/>
          <w:color w:val="000000" w:themeColor="text1"/>
        </w:rPr>
        <w:t>. Oxford: Clarendon.</w:t>
      </w:r>
    </w:p>
    <w:p w14:paraId="14F4D89A" w14:textId="77777777" w:rsidR="00ED6342" w:rsidRPr="00174EF4" w:rsidRDefault="00ED6342" w:rsidP="00ED6342">
      <w:pPr>
        <w:pStyle w:val="EndnoteText"/>
        <w:spacing w:line="480" w:lineRule="auto"/>
        <w:ind w:left="720" w:hanging="720"/>
        <w:rPr>
          <w:color w:val="000000" w:themeColor="text1"/>
        </w:rPr>
      </w:pPr>
      <w:r w:rsidRPr="00560773">
        <w:rPr>
          <w:color w:val="000000" w:themeColor="text1"/>
        </w:rPr>
        <w:t>Anonymous</w:t>
      </w:r>
      <w:r w:rsidRPr="00174EF4">
        <w:rPr>
          <w:color w:val="000000" w:themeColor="text1"/>
        </w:rPr>
        <w:t xml:space="preserve"> (</w:t>
      </w:r>
      <w:r>
        <w:rPr>
          <w:color w:val="000000" w:themeColor="text1"/>
        </w:rPr>
        <w:t>[</w:t>
      </w:r>
      <w:r w:rsidRPr="00174EF4">
        <w:rPr>
          <w:color w:val="000000" w:themeColor="text1"/>
        </w:rPr>
        <w:t>1711</w:t>
      </w:r>
      <w:r>
        <w:rPr>
          <w:color w:val="000000" w:themeColor="text1"/>
        </w:rPr>
        <w:t>]</w:t>
      </w:r>
      <w:r w:rsidRPr="00174EF4">
        <w:rPr>
          <w:color w:val="000000" w:themeColor="text1"/>
        </w:rPr>
        <w:t xml:space="preserve"> 1822</w:t>
      </w:r>
      <w:r>
        <w:rPr>
          <w:color w:val="000000" w:themeColor="text1"/>
        </w:rPr>
        <w:t>)</w:t>
      </w:r>
      <w:r w:rsidRPr="00174EF4">
        <w:rPr>
          <w:color w:val="000000" w:themeColor="text1"/>
        </w:rPr>
        <w:t xml:space="preserve">. </w:t>
      </w:r>
      <w:r w:rsidRPr="00174EF4">
        <w:rPr>
          <w:i/>
          <w:color w:val="000000" w:themeColor="text1"/>
        </w:rPr>
        <w:t xml:space="preserve">The </w:t>
      </w:r>
      <w:proofErr w:type="spellStart"/>
      <w:r w:rsidRPr="00174EF4">
        <w:rPr>
          <w:i/>
          <w:color w:val="000000" w:themeColor="text1"/>
        </w:rPr>
        <w:t>Islandmagee</w:t>
      </w:r>
      <w:proofErr w:type="spellEnd"/>
      <w:r w:rsidRPr="00174EF4">
        <w:rPr>
          <w:i/>
          <w:color w:val="000000" w:themeColor="text1"/>
        </w:rPr>
        <w:t xml:space="preserve"> Witches: </w:t>
      </w:r>
      <w:r>
        <w:rPr>
          <w:i/>
          <w:color w:val="000000" w:themeColor="text1"/>
        </w:rPr>
        <w:t>A</w:t>
      </w:r>
      <w:r w:rsidRPr="00174EF4">
        <w:rPr>
          <w:i/>
          <w:color w:val="000000" w:themeColor="text1"/>
        </w:rPr>
        <w:t xml:space="preserve"> Narrative of the Suffering of a Young Girl Called Mary Dunbar</w:t>
      </w:r>
      <w:r w:rsidRPr="00174EF4">
        <w:rPr>
          <w:color w:val="000000" w:themeColor="text1"/>
        </w:rPr>
        <w:t xml:space="preserve"> </w:t>
      </w:r>
      <w:r>
        <w:rPr>
          <w:color w:val="000000" w:themeColor="text1"/>
        </w:rPr>
        <w:t>. . .</w:t>
      </w:r>
      <w:r w:rsidRPr="00174EF4">
        <w:rPr>
          <w:color w:val="000000" w:themeColor="text1"/>
        </w:rPr>
        <w:t xml:space="preserve"> </w:t>
      </w:r>
      <w:r w:rsidRPr="00174EF4">
        <w:rPr>
          <w:i/>
          <w:color w:val="000000" w:themeColor="text1"/>
        </w:rPr>
        <w:t>in the Latter End of 1710 and the Beginning of</w:t>
      </w:r>
      <w:r w:rsidRPr="00582121">
        <w:rPr>
          <w:i/>
          <w:iCs/>
          <w:color w:val="000000" w:themeColor="text1"/>
        </w:rPr>
        <w:t xml:space="preserve"> 1711</w:t>
      </w:r>
      <w:r>
        <w:rPr>
          <w:color w:val="000000" w:themeColor="text1"/>
        </w:rPr>
        <w:t>.</w:t>
      </w:r>
      <w:r w:rsidRPr="00174EF4">
        <w:rPr>
          <w:color w:val="000000" w:themeColor="text1"/>
        </w:rPr>
        <w:t xml:space="preserve"> </w:t>
      </w:r>
      <w:r>
        <w:rPr>
          <w:color w:val="000000" w:themeColor="text1"/>
        </w:rPr>
        <w:t>Ed.</w:t>
      </w:r>
      <w:r w:rsidRPr="00174EF4">
        <w:rPr>
          <w:color w:val="000000" w:themeColor="text1"/>
        </w:rPr>
        <w:t xml:space="preserve"> S</w:t>
      </w:r>
      <w:r>
        <w:rPr>
          <w:color w:val="000000" w:themeColor="text1"/>
        </w:rPr>
        <w:t>.</w:t>
      </w:r>
      <w:r w:rsidRPr="00174EF4">
        <w:rPr>
          <w:color w:val="000000" w:themeColor="text1"/>
        </w:rPr>
        <w:t xml:space="preserve"> </w:t>
      </w:r>
      <w:proofErr w:type="spellStart"/>
      <w:r w:rsidRPr="00174EF4">
        <w:rPr>
          <w:color w:val="000000" w:themeColor="text1"/>
        </w:rPr>
        <w:t>McSkimin</w:t>
      </w:r>
      <w:proofErr w:type="spellEnd"/>
      <w:r w:rsidRPr="00174EF4">
        <w:rPr>
          <w:color w:val="000000" w:themeColor="text1"/>
        </w:rPr>
        <w:t>. Belfast.</w:t>
      </w:r>
    </w:p>
    <w:p w14:paraId="102642DF" w14:textId="77777777" w:rsidR="00ED6342" w:rsidRPr="00174EF4" w:rsidRDefault="00ED6342" w:rsidP="00ED6342">
      <w:pPr>
        <w:pStyle w:val="NoSpacing"/>
        <w:spacing w:line="480" w:lineRule="auto"/>
        <w:ind w:left="720" w:hanging="720"/>
        <w:rPr>
          <w:rFonts w:ascii="Times New Roman" w:hAnsi="Times New Roman" w:cs="Times New Roman"/>
          <w:color w:val="000000" w:themeColor="text1"/>
          <w:sz w:val="24"/>
          <w:szCs w:val="24"/>
        </w:rPr>
      </w:pPr>
      <w:r w:rsidRPr="00560773">
        <w:rPr>
          <w:rFonts w:ascii="Times New Roman" w:hAnsi="Times New Roman" w:cs="Times New Roman"/>
          <w:color w:val="000000" w:themeColor="text1"/>
          <w:sz w:val="24"/>
          <w:szCs w:val="24"/>
        </w:rPr>
        <w:t>Apps</w:t>
      </w:r>
      <w:r w:rsidRPr="00174EF4">
        <w:rPr>
          <w:rFonts w:ascii="Times New Roman" w:hAnsi="Times New Roman" w:cs="Times New Roman"/>
          <w:color w:val="000000" w:themeColor="text1"/>
          <w:sz w:val="24"/>
          <w:szCs w:val="24"/>
        </w:rPr>
        <w:t>, L</w:t>
      </w:r>
      <w:r>
        <w:rPr>
          <w:rFonts w:ascii="Times New Roman" w:hAnsi="Times New Roman" w:cs="Times New Roman"/>
          <w:color w:val="000000" w:themeColor="text1"/>
          <w:sz w:val="24"/>
          <w:szCs w:val="24"/>
        </w:rPr>
        <w:t>.</w:t>
      </w:r>
      <w:r w:rsidRPr="00174E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w:t>
      </w:r>
      <w:r w:rsidRPr="00174EF4">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w:t>
      </w:r>
      <w:r w:rsidRPr="00174EF4">
        <w:rPr>
          <w:rFonts w:ascii="Times New Roman" w:hAnsi="Times New Roman" w:cs="Times New Roman"/>
          <w:color w:val="000000" w:themeColor="text1"/>
          <w:sz w:val="24"/>
          <w:szCs w:val="24"/>
        </w:rPr>
        <w:t xml:space="preserve"> </w:t>
      </w:r>
      <w:proofErr w:type="spellStart"/>
      <w:r w:rsidRPr="00174EF4">
        <w:rPr>
          <w:rFonts w:ascii="Times New Roman" w:hAnsi="Times New Roman" w:cs="Times New Roman"/>
          <w:color w:val="000000" w:themeColor="text1"/>
          <w:sz w:val="24"/>
          <w:szCs w:val="24"/>
        </w:rPr>
        <w:t>Gow</w:t>
      </w:r>
      <w:proofErr w:type="spellEnd"/>
      <w:r w:rsidRPr="00174EF4">
        <w:rPr>
          <w:rFonts w:ascii="Times New Roman" w:hAnsi="Times New Roman" w:cs="Times New Roman"/>
          <w:color w:val="000000" w:themeColor="text1"/>
          <w:sz w:val="24"/>
          <w:szCs w:val="24"/>
        </w:rPr>
        <w:t xml:space="preserve"> (2003). </w:t>
      </w:r>
      <w:r w:rsidRPr="00174EF4">
        <w:rPr>
          <w:rFonts w:ascii="Times New Roman" w:hAnsi="Times New Roman" w:cs="Times New Roman"/>
          <w:i/>
          <w:color w:val="000000" w:themeColor="text1"/>
          <w:sz w:val="24"/>
          <w:szCs w:val="24"/>
        </w:rPr>
        <w:t>Male Witches in Early Modern Europe</w:t>
      </w:r>
      <w:r w:rsidRPr="00174EF4">
        <w:rPr>
          <w:rFonts w:ascii="Times New Roman" w:hAnsi="Times New Roman" w:cs="Times New Roman"/>
          <w:color w:val="000000" w:themeColor="text1"/>
          <w:sz w:val="24"/>
          <w:szCs w:val="24"/>
        </w:rPr>
        <w:t xml:space="preserve">. Manchester: Manchester University Press. </w:t>
      </w:r>
    </w:p>
    <w:p w14:paraId="26E01DF6" w14:textId="77777777" w:rsidR="00ED6342" w:rsidRPr="00174EF4" w:rsidRDefault="00ED6342" w:rsidP="00ED6342">
      <w:pPr>
        <w:spacing w:line="480" w:lineRule="auto"/>
        <w:ind w:left="720" w:hanging="720"/>
        <w:rPr>
          <w:color w:val="000000" w:themeColor="text1"/>
        </w:rPr>
      </w:pPr>
      <w:r w:rsidRPr="00560773">
        <w:rPr>
          <w:color w:val="000000" w:themeColor="text1"/>
        </w:rPr>
        <w:t>Barry</w:t>
      </w:r>
      <w:r w:rsidRPr="00174EF4">
        <w:rPr>
          <w:color w:val="000000" w:themeColor="text1"/>
        </w:rPr>
        <w:t>, J</w:t>
      </w:r>
      <w:r>
        <w:rPr>
          <w:color w:val="000000" w:themeColor="text1"/>
        </w:rPr>
        <w:t>.</w:t>
      </w:r>
      <w:r w:rsidRPr="00174EF4">
        <w:rPr>
          <w:color w:val="000000" w:themeColor="text1"/>
        </w:rPr>
        <w:t xml:space="preserve"> (2013). </w:t>
      </w:r>
      <w:r w:rsidRPr="00174EF4">
        <w:rPr>
          <w:i/>
          <w:color w:val="000000" w:themeColor="text1"/>
        </w:rPr>
        <w:t xml:space="preserve">Raising Spirits: How a Conjuror’s Tale was Transmitted across the Enlightenment. </w:t>
      </w:r>
      <w:r w:rsidRPr="00174EF4">
        <w:rPr>
          <w:color w:val="000000" w:themeColor="text1"/>
        </w:rPr>
        <w:t>Basingstoke: Palgrave.</w:t>
      </w:r>
    </w:p>
    <w:p w14:paraId="7EEA1BA3" w14:textId="77777777" w:rsidR="00ED6342" w:rsidRPr="00174EF4" w:rsidRDefault="00ED6342" w:rsidP="00ED6342">
      <w:pPr>
        <w:pStyle w:val="EndnoteText"/>
        <w:spacing w:line="480" w:lineRule="auto"/>
        <w:ind w:left="720" w:hanging="720"/>
        <w:rPr>
          <w:color w:val="000000" w:themeColor="text1"/>
        </w:rPr>
      </w:pPr>
      <w:r w:rsidRPr="00560773">
        <w:rPr>
          <w:color w:val="000000" w:themeColor="text1"/>
        </w:rPr>
        <w:t>Behringer</w:t>
      </w:r>
      <w:r w:rsidRPr="00174EF4">
        <w:rPr>
          <w:color w:val="000000" w:themeColor="text1"/>
        </w:rPr>
        <w:t>, W</w:t>
      </w:r>
      <w:r>
        <w:rPr>
          <w:color w:val="000000" w:themeColor="text1"/>
        </w:rPr>
        <w:t>.</w:t>
      </w:r>
      <w:r w:rsidRPr="00174EF4">
        <w:rPr>
          <w:color w:val="000000" w:themeColor="text1"/>
        </w:rPr>
        <w:t xml:space="preserve"> (2008). </w:t>
      </w:r>
      <w:r w:rsidRPr="00174EF4">
        <w:rPr>
          <w:i/>
          <w:iCs/>
          <w:color w:val="000000" w:themeColor="text1"/>
        </w:rPr>
        <w:t>Witches and Witch-</w:t>
      </w:r>
      <w:r>
        <w:rPr>
          <w:i/>
          <w:iCs/>
          <w:color w:val="000000" w:themeColor="text1"/>
        </w:rPr>
        <w:t>H</w:t>
      </w:r>
      <w:r w:rsidRPr="00174EF4">
        <w:rPr>
          <w:i/>
          <w:iCs/>
          <w:color w:val="000000" w:themeColor="text1"/>
        </w:rPr>
        <w:t xml:space="preserve">unts. </w:t>
      </w:r>
      <w:r w:rsidRPr="00174EF4">
        <w:rPr>
          <w:color w:val="000000" w:themeColor="text1"/>
        </w:rPr>
        <w:t>Cambridge: Polity Press.</w:t>
      </w:r>
    </w:p>
    <w:p w14:paraId="76334209" w14:textId="77777777" w:rsidR="00ED6342" w:rsidRPr="00174EF4" w:rsidRDefault="00ED6342" w:rsidP="00ED6342">
      <w:pPr>
        <w:pStyle w:val="EndnoteText"/>
        <w:spacing w:line="480" w:lineRule="auto"/>
        <w:ind w:left="720" w:hanging="720"/>
        <w:rPr>
          <w:b/>
          <w:bCs/>
          <w:color w:val="000000" w:themeColor="text1"/>
        </w:rPr>
      </w:pPr>
      <w:proofErr w:type="spellStart"/>
      <w:r w:rsidRPr="00560773">
        <w:rPr>
          <w:color w:val="000000" w:themeColor="text1"/>
          <w:shd w:val="clear" w:color="auto" w:fill="FFFFFF"/>
        </w:rPr>
        <w:t>Beiner</w:t>
      </w:r>
      <w:proofErr w:type="spellEnd"/>
      <w:r w:rsidRPr="00174EF4">
        <w:rPr>
          <w:color w:val="000000" w:themeColor="text1"/>
          <w:shd w:val="clear" w:color="auto" w:fill="FFFFFF"/>
        </w:rPr>
        <w:t>,</w:t>
      </w:r>
      <w:r w:rsidRPr="00174EF4">
        <w:rPr>
          <w:color w:val="000000" w:themeColor="text1"/>
        </w:rPr>
        <w:t xml:space="preserve"> </w:t>
      </w:r>
      <w:r w:rsidRPr="00174EF4">
        <w:rPr>
          <w:color w:val="000000" w:themeColor="text1"/>
          <w:shd w:val="clear" w:color="auto" w:fill="FFFFFF"/>
        </w:rPr>
        <w:t>G</w:t>
      </w:r>
      <w:r>
        <w:rPr>
          <w:color w:val="000000" w:themeColor="text1"/>
          <w:shd w:val="clear" w:color="auto" w:fill="FFFFFF"/>
        </w:rPr>
        <w:t>.</w:t>
      </w:r>
      <w:r w:rsidRPr="00174EF4">
        <w:rPr>
          <w:color w:val="000000" w:themeColor="text1"/>
          <w:shd w:val="clear" w:color="auto" w:fill="FFFFFF"/>
        </w:rPr>
        <w:t xml:space="preserve"> (2007). </w:t>
      </w:r>
      <w:r w:rsidRPr="00174EF4">
        <w:rPr>
          <w:i/>
          <w:iCs/>
          <w:color w:val="000000" w:themeColor="text1"/>
          <w:shd w:val="clear" w:color="auto" w:fill="FFFFFF"/>
        </w:rPr>
        <w:t>Remembering the Year of the French: Irish Folk History and Social Memory</w:t>
      </w:r>
      <w:r w:rsidRPr="00174EF4">
        <w:rPr>
          <w:color w:val="000000" w:themeColor="text1"/>
          <w:shd w:val="clear" w:color="auto" w:fill="FFFFFF"/>
        </w:rPr>
        <w:t>. Madison: University of Wisconsin Press</w:t>
      </w:r>
      <w:r w:rsidRPr="00174EF4">
        <w:rPr>
          <w:i/>
          <w:iCs/>
          <w:color w:val="000000" w:themeColor="text1"/>
        </w:rPr>
        <w:t>.</w:t>
      </w:r>
    </w:p>
    <w:p w14:paraId="27793CFF" w14:textId="77777777" w:rsidR="00ED6342" w:rsidRPr="00174EF4" w:rsidRDefault="00ED6342" w:rsidP="00ED6342">
      <w:pPr>
        <w:spacing w:line="480" w:lineRule="auto"/>
        <w:ind w:left="720" w:hanging="720"/>
        <w:rPr>
          <w:color w:val="000000" w:themeColor="text1"/>
        </w:rPr>
      </w:pPr>
      <w:r w:rsidRPr="00560773">
        <w:rPr>
          <w:color w:val="000000" w:themeColor="text1"/>
        </w:rPr>
        <w:t>Bell</w:t>
      </w:r>
      <w:r w:rsidRPr="00174EF4">
        <w:rPr>
          <w:color w:val="000000" w:themeColor="text1"/>
        </w:rPr>
        <w:t>, K</w:t>
      </w:r>
      <w:r>
        <w:rPr>
          <w:color w:val="000000" w:themeColor="text1"/>
        </w:rPr>
        <w:t>.</w:t>
      </w:r>
      <w:r w:rsidRPr="00174EF4">
        <w:rPr>
          <w:color w:val="000000" w:themeColor="text1"/>
        </w:rPr>
        <w:t xml:space="preserve"> (2007). “Breaking Modernity</w:t>
      </w:r>
      <w:r>
        <w:rPr>
          <w:color w:val="000000" w:themeColor="text1"/>
        </w:rPr>
        <w:t>’</w:t>
      </w:r>
      <w:r w:rsidRPr="00174EF4">
        <w:rPr>
          <w:color w:val="000000" w:themeColor="text1"/>
        </w:rPr>
        <w:t>s Spell</w:t>
      </w:r>
      <w:r>
        <w:rPr>
          <w:color w:val="000000" w:themeColor="text1"/>
        </w:rPr>
        <w:t>—</w:t>
      </w:r>
      <w:r w:rsidRPr="00174EF4">
        <w:rPr>
          <w:color w:val="000000" w:themeColor="text1"/>
        </w:rPr>
        <w:t xml:space="preserve">Magic and Modern History.” </w:t>
      </w:r>
      <w:r w:rsidRPr="00174EF4">
        <w:rPr>
          <w:i/>
          <w:color w:val="000000" w:themeColor="text1"/>
        </w:rPr>
        <w:t>Cultural and Social History</w:t>
      </w:r>
      <w:r w:rsidRPr="00174EF4">
        <w:rPr>
          <w:color w:val="000000" w:themeColor="text1"/>
        </w:rPr>
        <w:t xml:space="preserve"> 4: 115</w:t>
      </w:r>
      <w:r>
        <w:rPr>
          <w:color w:val="000000" w:themeColor="text1"/>
        </w:rPr>
        <w:t>–</w:t>
      </w:r>
      <w:r w:rsidRPr="00174EF4">
        <w:rPr>
          <w:color w:val="000000" w:themeColor="text1"/>
        </w:rPr>
        <w:t>22.</w:t>
      </w:r>
    </w:p>
    <w:p w14:paraId="7125C180" w14:textId="77777777" w:rsidR="00ED6342" w:rsidRPr="00174EF4" w:rsidRDefault="00ED6342" w:rsidP="00ED6342">
      <w:pPr>
        <w:pStyle w:val="EndnoteText"/>
        <w:spacing w:line="480" w:lineRule="auto"/>
        <w:ind w:left="720" w:hanging="720"/>
        <w:rPr>
          <w:color w:val="000000" w:themeColor="text1"/>
        </w:rPr>
      </w:pPr>
      <w:r w:rsidRPr="00560773">
        <w:rPr>
          <w:color w:val="000000" w:themeColor="text1"/>
        </w:rPr>
        <w:t>Bickers</w:t>
      </w:r>
      <w:r w:rsidRPr="00544072">
        <w:rPr>
          <w:color w:val="000000" w:themeColor="text1"/>
        </w:rPr>
        <w:t xml:space="preserve">, R., T. Cole, </w:t>
      </w:r>
      <w:r w:rsidRPr="00AD5889">
        <w:rPr>
          <w:color w:val="000000" w:themeColor="text1"/>
        </w:rPr>
        <w:t>M. Dudley, E. Hanna</w:t>
      </w:r>
      <w:r>
        <w:rPr>
          <w:color w:val="000000" w:themeColor="text1"/>
        </w:rPr>
        <w:t>, J. McLellan, W. Pooley, and B. Williamson</w:t>
      </w:r>
      <w:r w:rsidRPr="00544072">
        <w:rPr>
          <w:color w:val="000000" w:themeColor="text1"/>
        </w:rPr>
        <w:t xml:space="preserve"> </w:t>
      </w:r>
      <w:r w:rsidRPr="00174EF4">
        <w:rPr>
          <w:color w:val="000000" w:themeColor="text1"/>
        </w:rPr>
        <w:t xml:space="preserve">(2020). “Creative Dislocation: </w:t>
      </w:r>
      <w:r>
        <w:rPr>
          <w:color w:val="000000" w:themeColor="text1"/>
        </w:rPr>
        <w:t>A</w:t>
      </w:r>
      <w:r w:rsidRPr="00174EF4">
        <w:rPr>
          <w:color w:val="000000" w:themeColor="text1"/>
        </w:rPr>
        <w:t>n Experiment in Collaborative Historical Research.” </w:t>
      </w:r>
      <w:r w:rsidRPr="00174EF4">
        <w:rPr>
          <w:i/>
          <w:iCs/>
          <w:color w:val="000000" w:themeColor="text1"/>
        </w:rPr>
        <w:t>History Workshop Journal</w:t>
      </w:r>
      <w:r w:rsidRPr="00174EF4">
        <w:rPr>
          <w:color w:val="000000" w:themeColor="text1"/>
        </w:rPr>
        <w:t xml:space="preserve"> 90: 273</w:t>
      </w:r>
      <w:r>
        <w:rPr>
          <w:color w:val="000000" w:themeColor="text1"/>
        </w:rPr>
        <w:t>–</w:t>
      </w:r>
      <w:r w:rsidRPr="00174EF4">
        <w:rPr>
          <w:color w:val="000000" w:themeColor="text1"/>
        </w:rPr>
        <w:t>96.</w:t>
      </w:r>
    </w:p>
    <w:p w14:paraId="507D348C" w14:textId="77777777" w:rsidR="00ED6342" w:rsidRPr="00174EF4" w:rsidRDefault="00ED6342" w:rsidP="00ED6342">
      <w:pPr>
        <w:pStyle w:val="EndnoteText"/>
        <w:spacing w:line="480" w:lineRule="auto"/>
        <w:ind w:left="720" w:hanging="720"/>
        <w:rPr>
          <w:color w:val="000000" w:themeColor="text1"/>
        </w:rPr>
      </w:pPr>
      <w:proofErr w:type="spellStart"/>
      <w:r w:rsidRPr="00560773">
        <w:rPr>
          <w:rStyle w:val="hlfld-contribauthor"/>
          <w:color w:val="000000" w:themeColor="text1"/>
        </w:rPr>
        <w:lastRenderedPageBreak/>
        <w:t>Biran</w:t>
      </w:r>
      <w:proofErr w:type="spellEnd"/>
      <w:r w:rsidRPr="00174EF4">
        <w:rPr>
          <w:rStyle w:val="hlfld-contribauthor"/>
          <w:color w:val="000000" w:themeColor="text1"/>
        </w:rPr>
        <w:t>,</w:t>
      </w:r>
      <w:r w:rsidRPr="00174EF4">
        <w:rPr>
          <w:rStyle w:val="apple-converted-space"/>
          <w:color w:val="000000" w:themeColor="text1"/>
        </w:rPr>
        <w:t> </w:t>
      </w:r>
      <w:r w:rsidRPr="00174EF4">
        <w:rPr>
          <w:rStyle w:val="nlmgiven-names"/>
          <w:color w:val="000000" w:themeColor="text1"/>
        </w:rPr>
        <w:t>A</w:t>
      </w:r>
      <w:r>
        <w:rPr>
          <w:rStyle w:val="nlmgiven-names"/>
          <w:color w:val="000000" w:themeColor="text1"/>
        </w:rPr>
        <w:t>.</w:t>
      </w:r>
      <w:r w:rsidRPr="00174EF4">
        <w:rPr>
          <w:rStyle w:val="apple-converted-space"/>
          <w:color w:val="000000" w:themeColor="text1"/>
        </w:rPr>
        <w:t xml:space="preserve">, </w:t>
      </w:r>
      <w:r w:rsidRPr="00174EF4">
        <w:rPr>
          <w:rStyle w:val="nlmgiven-names"/>
          <w:color w:val="000000" w:themeColor="text1"/>
        </w:rPr>
        <w:t>Y</w:t>
      </w:r>
      <w:r>
        <w:rPr>
          <w:rStyle w:val="nlmgiven-names"/>
          <w:color w:val="000000" w:themeColor="text1"/>
        </w:rPr>
        <w:t>.</w:t>
      </w:r>
      <w:r w:rsidRPr="00174EF4">
        <w:rPr>
          <w:rStyle w:val="apple-converted-space"/>
          <w:color w:val="000000" w:themeColor="text1"/>
        </w:rPr>
        <w:t> </w:t>
      </w:r>
      <w:proofErr w:type="spellStart"/>
      <w:r w:rsidRPr="00174EF4">
        <w:rPr>
          <w:rStyle w:val="hlfld-contribauthor"/>
          <w:color w:val="000000" w:themeColor="text1"/>
        </w:rPr>
        <w:t>Poria</w:t>
      </w:r>
      <w:proofErr w:type="spellEnd"/>
      <w:r w:rsidRPr="00174EF4">
        <w:rPr>
          <w:color w:val="000000" w:themeColor="text1"/>
        </w:rPr>
        <w:t xml:space="preserve">, </w:t>
      </w:r>
      <w:r>
        <w:rPr>
          <w:color w:val="000000" w:themeColor="text1"/>
        </w:rPr>
        <w:t xml:space="preserve">and </w:t>
      </w:r>
      <w:r w:rsidRPr="00174EF4">
        <w:rPr>
          <w:rStyle w:val="nlmgiven-names"/>
          <w:color w:val="000000" w:themeColor="text1"/>
        </w:rPr>
        <w:t>G</w:t>
      </w:r>
      <w:r>
        <w:rPr>
          <w:rStyle w:val="nlmgiven-names"/>
          <w:color w:val="000000" w:themeColor="text1"/>
        </w:rPr>
        <w:t>.</w:t>
      </w:r>
      <w:r w:rsidRPr="00174EF4">
        <w:rPr>
          <w:rStyle w:val="apple-converted-space"/>
          <w:color w:val="000000" w:themeColor="text1"/>
        </w:rPr>
        <w:t> </w:t>
      </w:r>
      <w:r w:rsidRPr="00174EF4">
        <w:rPr>
          <w:rStyle w:val="hlfld-contribauthor"/>
          <w:color w:val="000000" w:themeColor="text1"/>
        </w:rPr>
        <w:t>Oren (2011)</w:t>
      </w:r>
      <w:r w:rsidRPr="00174EF4">
        <w:rPr>
          <w:color w:val="000000" w:themeColor="text1"/>
        </w:rPr>
        <w:t>. “</w:t>
      </w:r>
      <w:r w:rsidRPr="00174EF4">
        <w:rPr>
          <w:rStyle w:val="nlmarticle-title"/>
          <w:color w:val="000000" w:themeColor="text1"/>
        </w:rPr>
        <w:t>Sought Experiences at Dark Heritage Sites.</w:t>
      </w:r>
      <w:r w:rsidRPr="00174EF4">
        <w:rPr>
          <w:color w:val="000000" w:themeColor="text1"/>
        </w:rPr>
        <w:t>”</w:t>
      </w:r>
      <w:r w:rsidRPr="00174EF4">
        <w:rPr>
          <w:rStyle w:val="apple-converted-space"/>
          <w:color w:val="000000" w:themeColor="text1"/>
        </w:rPr>
        <w:t> </w:t>
      </w:r>
      <w:r w:rsidRPr="00174EF4">
        <w:rPr>
          <w:i/>
          <w:iCs/>
          <w:color w:val="000000" w:themeColor="text1"/>
        </w:rPr>
        <w:t>Annals of Tourism Research</w:t>
      </w:r>
      <w:r w:rsidRPr="00174EF4">
        <w:rPr>
          <w:rStyle w:val="apple-converted-space"/>
          <w:color w:val="000000" w:themeColor="text1"/>
        </w:rPr>
        <w:t xml:space="preserve"> </w:t>
      </w:r>
      <w:r w:rsidRPr="00174EF4">
        <w:rPr>
          <w:color w:val="000000" w:themeColor="text1"/>
        </w:rPr>
        <w:t>38.3</w:t>
      </w:r>
      <w:r w:rsidRPr="00174EF4">
        <w:rPr>
          <w:rStyle w:val="apple-converted-space"/>
          <w:color w:val="000000" w:themeColor="text1"/>
        </w:rPr>
        <w:t>:</w:t>
      </w:r>
      <w:r w:rsidRPr="00174EF4">
        <w:rPr>
          <w:color w:val="000000" w:themeColor="text1"/>
        </w:rPr>
        <w:t xml:space="preserve"> </w:t>
      </w:r>
      <w:r w:rsidRPr="00174EF4">
        <w:rPr>
          <w:rStyle w:val="nlmfpage"/>
          <w:color w:val="000000" w:themeColor="text1"/>
        </w:rPr>
        <w:t>820</w:t>
      </w:r>
      <w:r w:rsidRPr="00174EF4">
        <w:rPr>
          <w:color w:val="000000" w:themeColor="text1"/>
        </w:rPr>
        <w:t>–</w:t>
      </w:r>
      <w:r w:rsidRPr="00174EF4">
        <w:rPr>
          <w:rStyle w:val="nlmlpage"/>
          <w:color w:val="000000" w:themeColor="text1"/>
        </w:rPr>
        <w:t>41.</w:t>
      </w:r>
    </w:p>
    <w:p w14:paraId="6E55D22C" w14:textId="77777777" w:rsidR="00ED6342" w:rsidRPr="00174EF4" w:rsidRDefault="00ED6342" w:rsidP="00ED6342">
      <w:pPr>
        <w:spacing w:line="480" w:lineRule="auto"/>
        <w:ind w:left="720" w:hanging="720"/>
        <w:rPr>
          <w:color w:val="000000" w:themeColor="text1"/>
        </w:rPr>
      </w:pPr>
      <w:r w:rsidRPr="00560773">
        <w:rPr>
          <w:color w:val="000000" w:themeColor="text1"/>
        </w:rPr>
        <w:t>Breen</w:t>
      </w:r>
      <w:r w:rsidRPr="00174EF4">
        <w:rPr>
          <w:color w:val="000000" w:themeColor="text1"/>
        </w:rPr>
        <w:t>, C</w:t>
      </w:r>
      <w:r>
        <w:rPr>
          <w:color w:val="000000" w:themeColor="text1"/>
        </w:rPr>
        <w:t>.</w:t>
      </w:r>
      <w:r w:rsidRPr="00174EF4">
        <w:rPr>
          <w:color w:val="000000" w:themeColor="text1"/>
        </w:rPr>
        <w:t xml:space="preserve"> (2012). </w:t>
      </w:r>
      <w:r w:rsidRPr="00174EF4">
        <w:rPr>
          <w:i/>
          <w:iCs/>
          <w:color w:val="000000" w:themeColor="text1"/>
        </w:rPr>
        <w:t>Dunluce Castle: History and Archaeology</w:t>
      </w:r>
      <w:r w:rsidRPr="00174EF4">
        <w:rPr>
          <w:color w:val="000000" w:themeColor="text1"/>
        </w:rPr>
        <w:t>. Dublin: Four Courts Press.</w:t>
      </w:r>
    </w:p>
    <w:p w14:paraId="6D6CD0BA" w14:textId="29EBC06F" w:rsidR="00ED6342" w:rsidRDefault="00ED6342" w:rsidP="00ED6342">
      <w:pPr>
        <w:pStyle w:val="EndnoteText"/>
        <w:spacing w:line="480" w:lineRule="auto"/>
        <w:ind w:left="720" w:hanging="720"/>
        <w:rPr>
          <w:color w:val="000000" w:themeColor="text1"/>
        </w:rPr>
      </w:pPr>
      <w:r w:rsidRPr="00560773">
        <w:rPr>
          <w:color w:val="000000" w:themeColor="text1"/>
        </w:rPr>
        <w:t>Briggs</w:t>
      </w:r>
      <w:r w:rsidRPr="00174EF4">
        <w:rPr>
          <w:color w:val="000000" w:themeColor="text1"/>
        </w:rPr>
        <w:t>, R</w:t>
      </w:r>
      <w:r>
        <w:rPr>
          <w:color w:val="000000" w:themeColor="text1"/>
        </w:rPr>
        <w:t>.</w:t>
      </w:r>
      <w:r w:rsidRPr="00174EF4">
        <w:rPr>
          <w:color w:val="000000" w:themeColor="text1"/>
        </w:rPr>
        <w:t xml:space="preserve"> (2002). </w:t>
      </w:r>
      <w:r w:rsidRPr="00174EF4">
        <w:rPr>
          <w:i/>
          <w:color w:val="000000" w:themeColor="text1"/>
        </w:rPr>
        <w:t xml:space="preserve">Witches and </w:t>
      </w:r>
      <w:proofErr w:type="spellStart"/>
      <w:r w:rsidRPr="00174EF4">
        <w:rPr>
          <w:i/>
          <w:color w:val="000000" w:themeColor="text1"/>
        </w:rPr>
        <w:t>Neighbours</w:t>
      </w:r>
      <w:proofErr w:type="spellEnd"/>
      <w:r w:rsidRPr="00174EF4">
        <w:rPr>
          <w:i/>
          <w:color w:val="000000" w:themeColor="text1"/>
        </w:rPr>
        <w:t>: The Social and Cultural Context of Witchcraft</w:t>
      </w:r>
      <w:r w:rsidRPr="00174EF4">
        <w:rPr>
          <w:color w:val="000000" w:themeColor="text1"/>
        </w:rPr>
        <w:t>. Oxford: Blackwell.</w:t>
      </w:r>
    </w:p>
    <w:p w14:paraId="5442374B" w14:textId="2F4357BF" w:rsidR="003377DA" w:rsidRPr="00914343" w:rsidRDefault="003377DA" w:rsidP="00D008B4">
      <w:pPr>
        <w:spacing w:line="480" w:lineRule="auto"/>
        <w:rPr>
          <w:color w:val="000000" w:themeColor="text1"/>
          <w:spacing w:val="-5"/>
          <w:shd w:val="clear" w:color="auto" w:fill="FFFFFF"/>
        </w:rPr>
      </w:pPr>
      <w:r w:rsidRPr="00174EF4">
        <w:rPr>
          <w:color w:val="000000" w:themeColor="text1"/>
          <w:spacing w:val="-5"/>
          <w:shd w:val="clear" w:color="auto" w:fill="FFFFFF"/>
        </w:rPr>
        <w:t>Bryan</w:t>
      </w:r>
      <w:r>
        <w:rPr>
          <w:color w:val="000000" w:themeColor="text1"/>
          <w:spacing w:val="-5"/>
          <w:shd w:val="clear" w:color="auto" w:fill="FFFFFF"/>
        </w:rPr>
        <w:t>,</w:t>
      </w:r>
      <w:r w:rsidRPr="00174EF4">
        <w:rPr>
          <w:color w:val="000000" w:themeColor="text1"/>
          <w:spacing w:val="-5"/>
          <w:shd w:val="clear" w:color="auto" w:fill="FFFFFF"/>
        </w:rPr>
        <w:t xml:space="preserve"> Dominic, et al (2013). "Ireland's Decade of Commemorations: A Roundtable." </w:t>
      </w:r>
      <w:r w:rsidRPr="00174EF4">
        <w:rPr>
          <w:i/>
          <w:iCs/>
          <w:color w:val="000000" w:themeColor="text1"/>
          <w:spacing w:val="-5"/>
        </w:rPr>
        <w:t xml:space="preserve">New Hibernia Review / Iris </w:t>
      </w:r>
      <w:proofErr w:type="spellStart"/>
      <w:r w:rsidRPr="00174EF4">
        <w:rPr>
          <w:i/>
          <w:iCs/>
          <w:color w:val="000000" w:themeColor="text1"/>
          <w:spacing w:val="-5"/>
        </w:rPr>
        <w:t>Éireannach</w:t>
      </w:r>
      <w:proofErr w:type="spellEnd"/>
      <w:r w:rsidRPr="00174EF4">
        <w:rPr>
          <w:i/>
          <w:iCs/>
          <w:color w:val="000000" w:themeColor="text1"/>
          <w:spacing w:val="-5"/>
        </w:rPr>
        <w:t xml:space="preserve"> Nua, </w:t>
      </w:r>
      <w:r w:rsidRPr="00174EF4">
        <w:rPr>
          <w:color w:val="000000" w:themeColor="text1"/>
          <w:spacing w:val="-5"/>
          <w:shd w:val="clear" w:color="auto" w:fill="FFFFFF"/>
        </w:rPr>
        <w:t>7. 3: 63-86.</w:t>
      </w:r>
    </w:p>
    <w:p w14:paraId="02905B65" w14:textId="77777777" w:rsidR="00ED6342" w:rsidRPr="00174EF4" w:rsidRDefault="00ED6342" w:rsidP="00ED6342">
      <w:pPr>
        <w:spacing w:line="480" w:lineRule="auto"/>
        <w:ind w:left="720" w:hanging="720"/>
        <w:rPr>
          <w:color w:val="000000" w:themeColor="text1"/>
        </w:rPr>
      </w:pPr>
      <w:proofErr w:type="spellStart"/>
      <w:r w:rsidRPr="00560773">
        <w:rPr>
          <w:color w:val="000000" w:themeColor="text1"/>
        </w:rPr>
        <w:t>Connerton</w:t>
      </w:r>
      <w:proofErr w:type="spellEnd"/>
      <w:r w:rsidRPr="00174EF4">
        <w:rPr>
          <w:color w:val="000000" w:themeColor="text1"/>
        </w:rPr>
        <w:t>, P</w:t>
      </w:r>
      <w:r>
        <w:rPr>
          <w:color w:val="000000" w:themeColor="text1"/>
        </w:rPr>
        <w:t>.</w:t>
      </w:r>
      <w:r w:rsidRPr="00174EF4">
        <w:rPr>
          <w:color w:val="000000" w:themeColor="text1"/>
        </w:rPr>
        <w:t xml:space="preserve"> (1989). </w:t>
      </w:r>
      <w:r w:rsidRPr="00174EF4">
        <w:rPr>
          <w:i/>
          <w:color w:val="000000" w:themeColor="text1"/>
        </w:rPr>
        <w:t>How Societies Remember</w:t>
      </w:r>
      <w:r w:rsidRPr="00174EF4">
        <w:rPr>
          <w:color w:val="000000" w:themeColor="text1"/>
        </w:rPr>
        <w:t>. Cambridge: Cambridge University Press.</w:t>
      </w:r>
    </w:p>
    <w:p w14:paraId="770EF3DA" w14:textId="77777777" w:rsidR="00ED6342" w:rsidRPr="00174EF4" w:rsidRDefault="00ED6342" w:rsidP="00ED6342">
      <w:pPr>
        <w:spacing w:line="480" w:lineRule="auto"/>
        <w:ind w:left="720" w:hanging="720"/>
        <w:rPr>
          <w:color w:val="000000" w:themeColor="text1"/>
        </w:rPr>
      </w:pPr>
      <w:r w:rsidRPr="00560773">
        <w:rPr>
          <w:color w:val="000000" w:themeColor="text1"/>
        </w:rPr>
        <w:t>Davies</w:t>
      </w:r>
      <w:r w:rsidRPr="00174EF4">
        <w:rPr>
          <w:color w:val="000000" w:themeColor="text1"/>
        </w:rPr>
        <w:t>, O</w:t>
      </w:r>
      <w:r>
        <w:rPr>
          <w:color w:val="000000" w:themeColor="text1"/>
        </w:rPr>
        <w:t xml:space="preserve">. </w:t>
      </w:r>
      <w:r w:rsidRPr="00174EF4">
        <w:rPr>
          <w:color w:val="000000" w:themeColor="text1"/>
        </w:rPr>
        <w:t xml:space="preserve">(1999). </w:t>
      </w:r>
      <w:r w:rsidRPr="00174EF4">
        <w:rPr>
          <w:i/>
          <w:color w:val="000000" w:themeColor="text1"/>
        </w:rPr>
        <w:t>Witchcraft, Magic and Culture, 1736</w:t>
      </w:r>
      <w:r>
        <w:rPr>
          <w:i/>
          <w:color w:val="000000" w:themeColor="text1"/>
        </w:rPr>
        <w:t>–</w:t>
      </w:r>
      <w:r w:rsidRPr="00174EF4">
        <w:rPr>
          <w:i/>
          <w:color w:val="000000" w:themeColor="text1"/>
        </w:rPr>
        <w:t xml:space="preserve">1951. </w:t>
      </w:r>
      <w:r w:rsidRPr="00174EF4">
        <w:rPr>
          <w:color w:val="000000" w:themeColor="text1"/>
        </w:rPr>
        <w:t>Manchester: Manchester University Press.</w:t>
      </w:r>
    </w:p>
    <w:p w14:paraId="13ADDAF3" w14:textId="77777777" w:rsidR="00ED6342" w:rsidRPr="00174EF4" w:rsidRDefault="00ED6342" w:rsidP="00ED6342">
      <w:pPr>
        <w:spacing w:line="480" w:lineRule="auto"/>
        <w:ind w:left="720" w:hanging="720"/>
        <w:rPr>
          <w:color w:val="000000" w:themeColor="text1"/>
        </w:rPr>
      </w:pPr>
      <w:r w:rsidRPr="00560773">
        <w:rPr>
          <w:color w:val="000000" w:themeColor="text1"/>
        </w:rPr>
        <w:t>———</w:t>
      </w:r>
      <w:r>
        <w:rPr>
          <w:color w:val="000000" w:themeColor="text1"/>
        </w:rPr>
        <w:t xml:space="preserve"> </w:t>
      </w:r>
      <w:r w:rsidRPr="00174EF4">
        <w:rPr>
          <w:color w:val="000000" w:themeColor="text1"/>
        </w:rPr>
        <w:t xml:space="preserve">(2013). </w:t>
      </w:r>
      <w:r w:rsidRPr="00174EF4">
        <w:rPr>
          <w:i/>
          <w:iCs/>
          <w:color w:val="000000" w:themeColor="text1"/>
        </w:rPr>
        <w:t xml:space="preserve">America Bewitched: The Story of Witchcraft after Salem. </w:t>
      </w:r>
      <w:r w:rsidRPr="00174EF4">
        <w:rPr>
          <w:color w:val="000000" w:themeColor="text1"/>
        </w:rPr>
        <w:t>Oxford:</w:t>
      </w:r>
      <w:r w:rsidRPr="00174EF4">
        <w:rPr>
          <w:iCs/>
          <w:color w:val="000000" w:themeColor="text1"/>
        </w:rPr>
        <w:t xml:space="preserve"> Oxford University Press</w:t>
      </w:r>
      <w:r w:rsidRPr="00174EF4">
        <w:rPr>
          <w:color w:val="000000" w:themeColor="text1"/>
        </w:rPr>
        <w:t>.</w:t>
      </w:r>
    </w:p>
    <w:p w14:paraId="0FB56449" w14:textId="77777777" w:rsidR="00ED6342" w:rsidRPr="00174EF4" w:rsidRDefault="00ED6342" w:rsidP="00ED6342">
      <w:pPr>
        <w:pStyle w:val="EndnoteText"/>
        <w:spacing w:line="480" w:lineRule="auto"/>
        <w:ind w:left="720" w:hanging="720"/>
        <w:rPr>
          <w:color w:val="000000" w:themeColor="text1"/>
        </w:rPr>
      </w:pPr>
      <w:r w:rsidRPr="00560773">
        <w:rPr>
          <w:color w:val="000000" w:themeColor="text1"/>
        </w:rPr>
        <w:t>———</w:t>
      </w:r>
      <w:r w:rsidRPr="00174EF4">
        <w:rPr>
          <w:color w:val="000000" w:themeColor="text1"/>
        </w:rPr>
        <w:t xml:space="preserve"> (2018). “Researching Reverse Witch Trials in Nineteenth- and Early Twentieth-Century England.” In </w:t>
      </w:r>
      <w:r w:rsidRPr="00174EF4">
        <w:rPr>
          <w:i/>
          <w:iCs/>
          <w:color w:val="000000" w:themeColor="text1"/>
        </w:rPr>
        <w:t>Cultures of Witchcraft in Europe from the Middle Ages to the Present</w:t>
      </w:r>
      <w:r>
        <w:rPr>
          <w:color w:val="000000" w:themeColor="text1"/>
        </w:rPr>
        <w:t>. Ed.</w:t>
      </w:r>
      <w:r w:rsidRPr="00174EF4">
        <w:rPr>
          <w:color w:val="000000" w:themeColor="text1"/>
        </w:rPr>
        <w:t xml:space="preserve"> J</w:t>
      </w:r>
      <w:r>
        <w:rPr>
          <w:color w:val="000000" w:themeColor="text1"/>
        </w:rPr>
        <w:t>.</w:t>
      </w:r>
      <w:r w:rsidRPr="00174EF4">
        <w:rPr>
          <w:color w:val="000000" w:themeColor="text1"/>
        </w:rPr>
        <w:t xml:space="preserve"> Barry, O</w:t>
      </w:r>
      <w:r>
        <w:rPr>
          <w:color w:val="000000" w:themeColor="text1"/>
        </w:rPr>
        <w:t>.</w:t>
      </w:r>
      <w:r w:rsidRPr="00174EF4">
        <w:rPr>
          <w:color w:val="000000" w:themeColor="text1"/>
        </w:rPr>
        <w:t xml:space="preserve"> Davies, </w:t>
      </w:r>
      <w:r>
        <w:rPr>
          <w:color w:val="000000" w:themeColor="text1"/>
        </w:rPr>
        <w:t xml:space="preserve">and </w:t>
      </w:r>
      <w:r w:rsidRPr="00174EF4">
        <w:rPr>
          <w:color w:val="000000" w:themeColor="text1"/>
        </w:rPr>
        <w:t>C</w:t>
      </w:r>
      <w:r>
        <w:rPr>
          <w:color w:val="000000" w:themeColor="text1"/>
        </w:rPr>
        <w:t>.</w:t>
      </w:r>
      <w:r w:rsidRPr="00174EF4">
        <w:rPr>
          <w:color w:val="000000" w:themeColor="text1"/>
        </w:rPr>
        <w:t xml:space="preserve"> Usborne, 215</w:t>
      </w:r>
      <w:r>
        <w:rPr>
          <w:color w:val="000000" w:themeColor="text1"/>
        </w:rPr>
        <w:t>–</w:t>
      </w:r>
      <w:r w:rsidRPr="00174EF4">
        <w:rPr>
          <w:color w:val="000000" w:themeColor="text1"/>
        </w:rPr>
        <w:t>33. Basingstoke: Palgrave.</w:t>
      </w:r>
    </w:p>
    <w:p w14:paraId="3CD50D5A" w14:textId="77777777" w:rsidR="00ED6342" w:rsidRPr="00174EF4" w:rsidRDefault="00ED6342" w:rsidP="00ED6342">
      <w:pPr>
        <w:spacing w:line="480" w:lineRule="auto"/>
        <w:ind w:left="720" w:hanging="720"/>
        <w:rPr>
          <w:color w:val="000000" w:themeColor="text1"/>
        </w:rPr>
      </w:pPr>
      <w:r w:rsidRPr="00560773">
        <w:rPr>
          <w:color w:val="000000" w:themeColor="text1"/>
        </w:rPr>
        <w:t xml:space="preserve">De </w:t>
      </w:r>
      <w:proofErr w:type="spellStart"/>
      <w:r w:rsidRPr="00560773">
        <w:rPr>
          <w:color w:val="000000" w:themeColor="text1"/>
        </w:rPr>
        <w:t>Blécourt</w:t>
      </w:r>
      <w:proofErr w:type="spellEnd"/>
      <w:r w:rsidRPr="00174EF4">
        <w:rPr>
          <w:color w:val="000000" w:themeColor="text1"/>
        </w:rPr>
        <w:t>, W</w:t>
      </w:r>
      <w:r>
        <w:rPr>
          <w:color w:val="000000" w:themeColor="text1"/>
        </w:rPr>
        <w:t>.</w:t>
      </w:r>
      <w:r w:rsidRPr="00174EF4">
        <w:rPr>
          <w:color w:val="000000" w:themeColor="text1"/>
        </w:rPr>
        <w:t xml:space="preserve"> (1996). “On the Continuation of Witchcraft.” In </w:t>
      </w:r>
      <w:r w:rsidRPr="00174EF4">
        <w:rPr>
          <w:i/>
          <w:color w:val="000000" w:themeColor="text1"/>
        </w:rPr>
        <w:t>Witchcraft in Early Modern Europe</w:t>
      </w:r>
      <w:r>
        <w:rPr>
          <w:iCs/>
          <w:color w:val="000000" w:themeColor="text1"/>
        </w:rPr>
        <w:t xml:space="preserve">. </w:t>
      </w:r>
      <w:r>
        <w:rPr>
          <w:color w:val="000000" w:themeColor="text1"/>
        </w:rPr>
        <w:t>Ed.</w:t>
      </w:r>
      <w:r w:rsidRPr="00174EF4">
        <w:rPr>
          <w:color w:val="000000" w:themeColor="text1"/>
        </w:rPr>
        <w:t xml:space="preserve"> J</w:t>
      </w:r>
      <w:r>
        <w:rPr>
          <w:color w:val="000000" w:themeColor="text1"/>
        </w:rPr>
        <w:t>.</w:t>
      </w:r>
      <w:r w:rsidRPr="00174EF4">
        <w:rPr>
          <w:color w:val="000000" w:themeColor="text1"/>
        </w:rPr>
        <w:t xml:space="preserve"> Barry, M</w:t>
      </w:r>
      <w:r>
        <w:rPr>
          <w:color w:val="000000" w:themeColor="text1"/>
        </w:rPr>
        <w:t>.</w:t>
      </w:r>
      <w:r w:rsidRPr="00174EF4">
        <w:rPr>
          <w:color w:val="000000" w:themeColor="text1"/>
        </w:rPr>
        <w:t xml:space="preserve"> Hester, </w:t>
      </w:r>
      <w:r>
        <w:rPr>
          <w:color w:val="000000" w:themeColor="text1"/>
        </w:rPr>
        <w:t xml:space="preserve">and </w:t>
      </w:r>
      <w:r w:rsidRPr="00174EF4">
        <w:rPr>
          <w:color w:val="000000" w:themeColor="text1"/>
        </w:rPr>
        <w:t>G</w:t>
      </w:r>
      <w:r>
        <w:rPr>
          <w:color w:val="000000" w:themeColor="text1"/>
        </w:rPr>
        <w:t>.</w:t>
      </w:r>
      <w:r w:rsidRPr="00174EF4">
        <w:rPr>
          <w:color w:val="000000" w:themeColor="text1"/>
        </w:rPr>
        <w:t xml:space="preserve"> Roberts, 335</w:t>
      </w:r>
      <w:r>
        <w:rPr>
          <w:color w:val="000000" w:themeColor="text1"/>
        </w:rPr>
        <w:t>–</w:t>
      </w:r>
      <w:r w:rsidRPr="00174EF4">
        <w:rPr>
          <w:color w:val="000000" w:themeColor="text1"/>
        </w:rPr>
        <w:t>52. Cambridge: Cambridge University Press.</w:t>
      </w:r>
    </w:p>
    <w:p w14:paraId="546DFE73" w14:textId="77777777" w:rsidR="00ED6342" w:rsidRPr="00174EF4" w:rsidRDefault="00ED6342" w:rsidP="00ED6342">
      <w:pPr>
        <w:pStyle w:val="EndnoteText"/>
        <w:spacing w:line="480" w:lineRule="auto"/>
        <w:ind w:left="720" w:hanging="720"/>
        <w:rPr>
          <w:color w:val="000000" w:themeColor="text1"/>
        </w:rPr>
      </w:pPr>
      <w:proofErr w:type="spellStart"/>
      <w:r w:rsidRPr="00AD5889">
        <w:rPr>
          <w:color w:val="000000" w:themeColor="text1"/>
        </w:rPr>
        <w:t>Dimitrovski</w:t>
      </w:r>
      <w:proofErr w:type="spellEnd"/>
      <w:r w:rsidRPr="00AD5889">
        <w:rPr>
          <w:color w:val="000000" w:themeColor="text1"/>
        </w:rPr>
        <w:t xml:space="preserve">, D., V. </w:t>
      </w:r>
      <w:proofErr w:type="spellStart"/>
      <w:r w:rsidRPr="00AD5889">
        <w:rPr>
          <w:color w:val="000000" w:themeColor="text1"/>
          <w:lang w:val="fr-FR"/>
        </w:rPr>
        <w:t>Seni</w:t>
      </w:r>
      <w:proofErr w:type="spellEnd"/>
      <w:r w:rsidRPr="00180BB5">
        <w:rPr>
          <w:color w:val="000000" w:themeColor="text1"/>
          <w:lang w:val="pl-PL"/>
        </w:rPr>
        <w:t>ć</w:t>
      </w:r>
      <w:r w:rsidRPr="00AD5889">
        <w:rPr>
          <w:color w:val="000000" w:themeColor="text1"/>
          <w:lang w:val="fr-FR"/>
        </w:rPr>
        <w:t xml:space="preserve">, D. </w:t>
      </w:r>
      <w:proofErr w:type="spellStart"/>
      <w:r w:rsidRPr="00AD5889">
        <w:rPr>
          <w:color w:val="000000" w:themeColor="text1"/>
          <w:lang w:val="fr-FR"/>
        </w:rPr>
        <w:t>Marić</w:t>
      </w:r>
      <w:proofErr w:type="spellEnd"/>
      <w:r w:rsidRPr="00AD5889">
        <w:rPr>
          <w:color w:val="000000" w:themeColor="text1"/>
          <w:lang w:val="fr-FR"/>
        </w:rPr>
        <w:t xml:space="preserve">, and V. </w:t>
      </w:r>
      <w:proofErr w:type="spellStart"/>
      <w:r w:rsidRPr="00AD5889">
        <w:rPr>
          <w:color w:val="000000" w:themeColor="text1"/>
          <w:lang w:val="fr-FR"/>
        </w:rPr>
        <w:t>Marinković</w:t>
      </w:r>
      <w:proofErr w:type="spellEnd"/>
      <w:r w:rsidRPr="00AD5889">
        <w:rPr>
          <w:color w:val="000000" w:themeColor="text1"/>
        </w:rPr>
        <w:t xml:space="preserve"> (2017). </w:t>
      </w:r>
      <w:r w:rsidRPr="00174EF4">
        <w:rPr>
          <w:color w:val="000000" w:themeColor="text1"/>
        </w:rPr>
        <w:t>“Commemorative Events at Destination Memorials</w:t>
      </w:r>
      <w:r>
        <w:rPr>
          <w:color w:val="000000" w:themeColor="text1"/>
        </w:rPr>
        <w:t>—A</w:t>
      </w:r>
      <w:r w:rsidRPr="00174EF4">
        <w:rPr>
          <w:color w:val="000000" w:themeColor="text1"/>
        </w:rPr>
        <w:t xml:space="preserve"> Dark (</w:t>
      </w:r>
      <w:r>
        <w:rPr>
          <w:color w:val="000000" w:themeColor="text1"/>
        </w:rPr>
        <w:t>H</w:t>
      </w:r>
      <w:r w:rsidRPr="00174EF4">
        <w:rPr>
          <w:color w:val="000000" w:themeColor="text1"/>
        </w:rPr>
        <w:t xml:space="preserve">eritage) Tourism Context.” </w:t>
      </w:r>
      <w:r w:rsidRPr="00174EF4">
        <w:rPr>
          <w:i/>
          <w:color w:val="000000" w:themeColor="text1"/>
        </w:rPr>
        <w:t>International Journal of Tourism Research</w:t>
      </w:r>
      <w:r w:rsidRPr="00174EF4">
        <w:rPr>
          <w:color w:val="000000" w:themeColor="text1"/>
        </w:rPr>
        <w:t xml:space="preserve"> 23: 695</w:t>
      </w:r>
      <w:r>
        <w:rPr>
          <w:color w:val="000000" w:themeColor="text1"/>
        </w:rPr>
        <w:t>–</w:t>
      </w:r>
      <w:r w:rsidRPr="00174EF4">
        <w:rPr>
          <w:color w:val="000000" w:themeColor="text1"/>
        </w:rPr>
        <w:t>708.</w:t>
      </w:r>
    </w:p>
    <w:p w14:paraId="6F37955E" w14:textId="77777777" w:rsidR="00ED6342" w:rsidRPr="00174EF4" w:rsidRDefault="00ED6342" w:rsidP="00ED6342">
      <w:pPr>
        <w:pStyle w:val="NoSpacing"/>
        <w:spacing w:line="480" w:lineRule="auto"/>
        <w:ind w:left="720" w:hanging="720"/>
        <w:rPr>
          <w:rStyle w:val="authors"/>
          <w:rFonts w:ascii="Times New Roman" w:hAnsi="Times New Roman" w:cs="Times New Roman"/>
          <w:color w:val="000000" w:themeColor="text1"/>
          <w:sz w:val="24"/>
          <w:szCs w:val="24"/>
        </w:rPr>
      </w:pPr>
      <w:r w:rsidRPr="00560773">
        <w:rPr>
          <w:rStyle w:val="authors"/>
          <w:rFonts w:ascii="Times New Roman" w:hAnsi="Times New Roman" w:cs="Times New Roman"/>
          <w:color w:val="000000" w:themeColor="text1"/>
          <w:sz w:val="24"/>
          <w:szCs w:val="24"/>
        </w:rPr>
        <w:t>Donaldson</w:t>
      </w:r>
      <w:r w:rsidRPr="00174EF4">
        <w:rPr>
          <w:rStyle w:val="authors"/>
          <w:rFonts w:ascii="Times New Roman" w:hAnsi="Times New Roman" w:cs="Times New Roman"/>
          <w:color w:val="000000" w:themeColor="text1"/>
          <w:sz w:val="24"/>
          <w:szCs w:val="24"/>
        </w:rPr>
        <w:t>, D</w:t>
      </w:r>
      <w:r>
        <w:rPr>
          <w:rStyle w:val="authors"/>
          <w:rFonts w:ascii="Times New Roman" w:hAnsi="Times New Roman" w:cs="Times New Roman"/>
          <w:color w:val="000000" w:themeColor="text1"/>
          <w:sz w:val="24"/>
          <w:szCs w:val="24"/>
        </w:rPr>
        <w:t>.</w:t>
      </w:r>
      <w:r w:rsidRPr="00174EF4">
        <w:rPr>
          <w:rStyle w:val="authors"/>
          <w:rFonts w:ascii="Times New Roman" w:hAnsi="Times New Roman" w:cs="Times New Roman"/>
          <w:color w:val="000000" w:themeColor="text1"/>
          <w:sz w:val="24"/>
          <w:szCs w:val="24"/>
        </w:rPr>
        <w:t xml:space="preserve"> (</w:t>
      </w:r>
      <w:r>
        <w:rPr>
          <w:rStyle w:val="authors"/>
          <w:rFonts w:ascii="Times New Roman" w:hAnsi="Times New Roman" w:cs="Times New Roman"/>
          <w:color w:val="000000" w:themeColor="text1"/>
          <w:sz w:val="24"/>
          <w:szCs w:val="24"/>
        </w:rPr>
        <w:t>[</w:t>
      </w:r>
      <w:r w:rsidRPr="00174EF4">
        <w:rPr>
          <w:rStyle w:val="authors"/>
          <w:rFonts w:ascii="Times New Roman" w:hAnsi="Times New Roman" w:cs="Times New Roman"/>
          <w:color w:val="000000" w:themeColor="text1"/>
          <w:sz w:val="24"/>
          <w:szCs w:val="24"/>
        </w:rPr>
        <w:t>1927</w:t>
      </w:r>
      <w:r>
        <w:rPr>
          <w:rStyle w:val="authors"/>
          <w:rFonts w:ascii="Times New Roman" w:hAnsi="Times New Roman" w:cs="Times New Roman"/>
          <w:color w:val="000000" w:themeColor="text1"/>
          <w:sz w:val="24"/>
          <w:szCs w:val="24"/>
        </w:rPr>
        <w:t>]</w:t>
      </w:r>
      <w:r w:rsidRPr="00174EF4">
        <w:rPr>
          <w:rStyle w:val="authors"/>
          <w:rFonts w:ascii="Times New Roman" w:hAnsi="Times New Roman" w:cs="Times New Roman"/>
          <w:color w:val="000000" w:themeColor="text1"/>
          <w:sz w:val="24"/>
          <w:szCs w:val="24"/>
        </w:rPr>
        <w:t xml:space="preserve"> 2002)</w:t>
      </w:r>
      <w:r>
        <w:rPr>
          <w:rStyle w:val="authors"/>
          <w:rFonts w:ascii="Times New Roman" w:hAnsi="Times New Roman" w:cs="Times New Roman"/>
          <w:color w:val="000000" w:themeColor="text1"/>
          <w:sz w:val="24"/>
          <w:szCs w:val="24"/>
        </w:rPr>
        <w:t>.</w:t>
      </w:r>
      <w:r w:rsidRPr="00174EF4">
        <w:rPr>
          <w:rStyle w:val="authors"/>
          <w:rFonts w:ascii="Times New Roman" w:hAnsi="Times New Roman" w:cs="Times New Roman"/>
          <w:color w:val="000000" w:themeColor="text1"/>
          <w:sz w:val="24"/>
          <w:szCs w:val="24"/>
        </w:rPr>
        <w:t xml:space="preserve"> </w:t>
      </w:r>
      <w:r w:rsidRPr="00174EF4">
        <w:rPr>
          <w:rStyle w:val="authors"/>
          <w:rFonts w:ascii="Times New Roman" w:hAnsi="Times New Roman" w:cs="Times New Roman"/>
          <w:i/>
          <w:iCs/>
          <w:color w:val="000000" w:themeColor="text1"/>
          <w:sz w:val="24"/>
          <w:szCs w:val="24"/>
        </w:rPr>
        <w:t xml:space="preserve">History of </w:t>
      </w:r>
      <w:proofErr w:type="spellStart"/>
      <w:r w:rsidRPr="00174EF4">
        <w:rPr>
          <w:rStyle w:val="authors"/>
          <w:rFonts w:ascii="Times New Roman" w:hAnsi="Times New Roman" w:cs="Times New Roman"/>
          <w:i/>
          <w:iCs/>
          <w:color w:val="000000" w:themeColor="text1"/>
          <w:sz w:val="24"/>
          <w:szCs w:val="24"/>
        </w:rPr>
        <w:t>Islandmagee</w:t>
      </w:r>
      <w:proofErr w:type="spellEnd"/>
      <w:r w:rsidRPr="00174EF4">
        <w:rPr>
          <w:rStyle w:val="authors"/>
          <w:rFonts w:ascii="Times New Roman" w:hAnsi="Times New Roman" w:cs="Times New Roman"/>
          <w:color w:val="000000" w:themeColor="text1"/>
          <w:sz w:val="24"/>
          <w:szCs w:val="24"/>
        </w:rPr>
        <w:t xml:space="preserve">. </w:t>
      </w:r>
      <w:proofErr w:type="spellStart"/>
      <w:r w:rsidRPr="00174EF4">
        <w:rPr>
          <w:rStyle w:val="authors"/>
          <w:rFonts w:ascii="Times New Roman" w:hAnsi="Times New Roman" w:cs="Times New Roman"/>
          <w:color w:val="000000" w:themeColor="text1"/>
          <w:sz w:val="24"/>
          <w:szCs w:val="24"/>
        </w:rPr>
        <w:t>Islandmagee</w:t>
      </w:r>
      <w:proofErr w:type="spellEnd"/>
      <w:r w:rsidRPr="00174EF4">
        <w:rPr>
          <w:rStyle w:val="authors"/>
          <w:rFonts w:ascii="Times New Roman" w:hAnsi="Times New Roman" w:cs="Times New Roman"/>
          <w:color w:val="000000" w:themeColor="text1"/>
          <w:sz w:val="24"/>
          <w:szCs w:val="24"/>
        </w:rPr>
        <w:t xml:space="preserve">: </w:t>
      </w:r>
      <w:proofErr w:type="spellStart"/>
      <w:r w:rsidRPr="00174EF4">
        <w:rPr>
          <w:rStyle w:val="authors"/>
          <w:rFonts w:ascii="Times New Roman" w:hAnsi="Times New Roman" w:cs="Times New Roman"/>
          <w:color w:val="000000" w:themeColor="text1"/>
          <w:sz w:val="24"/>
          <w:szCs w:val="24"/>
        </w:rPr>
        <w:t>Islandmagee</w:t>
      </w:r>
      <w:proofErr w:type="spellEnd"/>
      <w:r w:rsidRPr="00174EF4">
        <w:rPr>
          <w:rStyle w:val="authors"/>
          <w:rFonts w:ascii="Times New Roman" w:hAnsi="Times New Roman" w:cs="Times New Roman"/>
          <w:color w:val="000000" w:themeColor="text1"/>
          <w:sz w:val="24"/>
          <w:szCs w:val="24"/>
        </w:rPr>
        <w:t xml:space="preserve"> Development Agency.</w:t>
      </w:r>
    </w:p>
    <w:p w14:paraId="426A230C" w14:textId="359693E2" w:rsidR="00ED6342" w:rsidRDefault="00ED6342" w:rsidP="00ED6342">
      <w:pPr>
        <w:pStyle w:val="NoSpacing"/>
        <w:spacing w:line="480" w:lineRule="auto"/>
        <w:ind w:left="720" w:hanging="720"/>
        <w:rPr>
          <w:rStyle w:val="authors"/>
          <w:rFonts w:ascii="Times New Roman" w:hAnsi="Times New Roman" w:cs="Times New Roman"/>
          <w:color w:val="000000" w:themeColor="text1"/>
          <w:sz w:val="24"/>
          <w:szCs w:val="24"/>
        </w:rPr>
      </w:pPr>
      <w:r>
        <w:rPr>
          <w:rStyle w:val="authors"/>
          <w:rFonts w:ascii="Times New Roman" w:hAnsi="Times New Roman" w:cs="Times New Roman"/>
          <w:i/>
          <w:iCs/>
          <w:color w:val="000000" w:themeColor="text1"/>
          <w:sz w:val="24"/>
          <w:szCs w:val="24"/>
        </w:rPr>
        <w:t>Dublin Intelligence</w:t>
      </w:r>
      <w:r>
        <w:rPr>
          <w:rStyle w:val="authors"/>
          <w:rFonts w:ascii="Times New Roman" w:hAnsi="Times New Roman" w:cs="Times New Roman"/>
          <w:color w:val="000000" w:themeColor="text1"/>
          <w:sz w:val="24"/>
          <w:szCs w:val="24"/>
        </w:rPr>
        <w:t xml:space="preserve">. 14 April 1711. </w:t>
      </w:r>
    </w:p>
    <w:p w14:paraId="7CCF4C69" w14:textId="5195DD71" w:rsidR="00ED6342" w:rsidRPr="00180BB5" w:rsidRDefault="00ED6342" w:rsidP="00ED6342">
      <w:pPr>
        <w:pStyle w:val="NoSpacing"/>
        <w:spacing w:line="480" w:lineRule="auto"/>
        <w:ind w:left="720" w:hanging="720"/>
        <w:rPr>
          <w:rStyle w:val="authors"/>
          <w:rFonts w:ascii="Times New Roman" w:hAnsi="Times New Roman" w:cs="Times New Roman"/>
          <w:color w:val="000000" w:themeColor="text1"/>
          <w:sz w:val="24"/>
          <w:szCs w:val="24"/>
        </w:rPr>
      </w:pPr>
      <w:r w:rsidRPr="00AD5889">
        <w:rPr>
          <w:rStyle w:val="authors"/>
          <w:rFonts w:ascii="Times New Roman" w:hAnsi="Times New Roman" w:cs="Times New Roman"/>
          <w:color w:val="000000" w:themeColor="text1"/>
          <w:sz w:val="24"/>
          <w:szCs w:val="24"/>
        </w:rPr>
        <w:t>—</w:t>
      </w:r>
      <w:r>
        <w:rPr>
          <w:rStyle w:val="authors"/>
          <w:rFonts w:ascii="Times New Roman" w:hAnsi="Times New Roman" w:cs="Times New Roman"/>
          <w:color w:val="000000" w:themeColor="text1"/>
          <w:sz w:val="24"/>
          <w:szCs w:val="24"/>
        </w:rPr>
        <w:t>——</w:t>
      </w:r>
      <w:r w:rsidR="00914343">
        <w:rPr>
          <w:rStyle w:val="authors"/>
          <w:rFonts w:ascii="Times New Roman" w:hAnsi="Times New Roman" w:cs="Times New Roman"/>
          <w:color w:val="000000" w:themeColor="text1"/>
          <w:sz w:val="24"/>
          <w:szCs w:val="24"/>
        </w:rPr>
        <w:t>.</w:t>
      </w:r>
      <w:r>
        <w:rPr>
          <w:rStyle w:val="authors"/>
          <w:rFonts w:ascii="Times New Roman" w:hAnsi="Times New Roman" w:cs="Times New Roman"/>
          <w:color w:val="000000" w:themeColor="text1"/>
          <w:sz w:val="24"/>
          <w:szCs w:val="24"/>
        </w:rPr>
        <w:t>24 April 1711.</w:t>
      </w:r>
    </w:p>
    <w:p w14:paraId="37B35C2B" w14:textId="77777777" w:rsidR="00ED6342" w:rsidRPr="00174EF4" w:rsidRDefault="00ED6342" w:rsidP="00ED6342">
      <w:pPr>
        <w:pStyle w:val="NoSpacing"/>
        <w:spacing w:line="480" w:lineRule="auto"/>
        <w:ind w:left="720" w:hanging="720"/>
        <w:rPr>
          <w:rStyle w:val="pagerange"/>
          <w:rFonts w:ascii="Times New Roman" w:hAnsi="Times New Roman" w:cs="Times New Roman"/>
          <w:color w:val="000000" w:themeColor="text1"/>
          <w:sz w:val="24"/>
          <w:szCs w:val="24"/>
        </w:rPr>
      </w:pPr>
      <w:r w:rsidRPr="00560773">
        <w:rPr>
          <w:rStyle w:val="authors"/>
          <w:rFonts w:ascii="Times New Roman" w:hAnsi="Times New Roman" w:cs="Times New Roman"/>
          <w:color w:val="000000" w:themeColor="text1"/>
          <w:sz w:val="24"/>
          <w:szCs w:val="24"/>
        </w:rPr>
        <w:lastRenderedPageBreak/>
        <w:t>Eaton</w:t>
      </w:r>
      <w:r w:rsidRPr="00174EF4">
        <w:rPr>
          <w:rStyle w:val="authors"/>
          <w:rFonts w:ascii="Times New Roman" w:hAnsi="Times New Roman" w:cs="Times New Roman"/>
          <w:color w:val="000000" w:themeColor="text1"/>
          <w:sz w:val="24"/>
          <w:szCs w:val="24"/>
        </w:rPr>
        <w:t>,</w:t>
      </w:r>
      <w:r w:rsidRPr="00174EF4">
        <w:rPr>
          <w:rStyle w:val="apple-converted-space"/>
          <w:rFonts w:ascii="Times New Roman" w:hAnsi="Times New Roman" w:cs="Times New Roman"/>
          <w:color w:val="000000" w:themeColor="text1"/>
          <w:sz w:val="24"/>
          <w:szCs w:val="24"/>
          <w:shd w:val="clear" w:color="auto" w:fill="FFFFFF"/>
        </w:rPr>
        <w:t> </w:t>
      </w:r>
      <w:r w:rsidRPr="00174EF4">
        <w:rPr>
          <w:rStyle w:val="authors"/>
          <w:rFonts w:ascii="Times New Roman" w:hAnsi="Times New Roman" w:cs="Times New Roman"/>
          <w:color w:val="000000" w:themeColor="text1"/>
          <w:sz w:val="24"/>
          <w:szCs w:val="24"/>
        </w:rPr>
        <w:t>S</w:t>
      </w:r>
      <w:r>
        <w:rPr>
          <w:rStyle w:val="authors"/>
          <w:rFonts w:ascii="Times New Roman" w:hAnsi="Times New Roman" w:cs="Times New Roman"/>
          <w:color w:val="000000" w:themeColor="text1"/>
          <w:sz w:val="24"/>
          <w:szCs w:val="24"/>
        </w:rPr>
        <w:t>.</w:t>
      </w:r>
      <w:r w:rsidRPr="00174EF4">
        <w:rPr>
          <w:rStyle w:val="authors"/>
          <w:rFonts w:ascii="Times New Roman" w:hAnsi="Times New Roman" w:cs="Times New Roman"/>
          <w:color w:val="000000" w:themeColor="text1"/>
          <w:sz w:val="24"/>
          <w:szCs w:val="24"/>
        </w:rPr>
        <w:t xml:space="preserve"> </w:t>
      </w:r>
      <w:r w:rsidRPr="00174EF4">
        <w:rPr>
          <w:rStyle w:val="Date2"/>
          <w:rFonts w:ascii="Times New Roman" w:hAnsi="Times New Roman" w:cs="Times New Roman"/>
          <w:color w:val="000000" w:themeColor="text1"/>
          <w:sz w:val="24"/>
          <w:szCs w:val="24"/>
        </w:rPr>
        <w:t>(2020)</w:t>
      </w:r>
      <w:r w:rsidRPr="00174EF4">
        <w:rPr>
          <w:rStyle w:val="volumeissue"/>
          <w:rFonts w:ascii="Times New Roman" w:hAnsi="Times New Roman" w:cs="Times New Roman"/>
          <w:color w:val="000000" w:themeColor="text1"/>
          <w:sz w:val="24"/>
          <w:szCs w:val="24"/>
        </w:rPr>
        <w:t xml:space="preserve">. </w:t>
      </w:r>
      <w:r w:rsidRPr="00174EF4">
        <w:rPr>
          <w:rStyle w:val="apple-converted-space"/>
          <w:rFonts w:ascii="Times New Roman" w:hAnsi="Times New Roman" w:cs="Times New Roman"/>
          <w:color w:val="000000" w:themeColor="text1"/>
          <w:sz w:val="24"/>
          <w:szCs w:val="24"/>
          <w:shd w:val="clear" w:color="auto" w:fill="FFFFFF"/>
        </w:rPr>
        <w:t>“</w:t>
      </w:r>
      <w:r w:rsidRPr="00174EF4">
        <w:rPr>
          <w:rStyle w:val="arttitle"/>
          <w:rFonts w:ascii="Times New Roman" w:hAnsi="Times New Roman" w:cs="Times New Roman"/>
          <w:color w:val="000000" w:themeColor="text1"/>
          <w:sz w:val="24"/>
          <w:szCs w:val="24"/>
        </w:rPr>
        <w:t xml:space="preserve">Witchcraft and Deformity in </w:t>
      </w:r>
      <w:r>
        <w:rPr>
          <w:rStyle w:val="arttitle"/>
          <w:rFonts w:ascii="Times New Roman" w:hAnsi="Times New Roman" w:cs="Times New Roman"/>
          <w:color w:val="000000" w:themeColor="text1"/>
          <w:sz w:val="24"/>
          <w:szCs w:val="24"/>
        </w:rPr>
        <w:t>E</w:t>
      </w:r>
      <w:r w:rsidRPr="00174EF4">
        <w:rPr>
          <w:rStyle w:val="arttitle"/>
          <w:rFonts w:ascii="Times New Roman" w:hAnsi="Times New Roman" w:cs="Times New Roman"/>
          <w:color w:val="000000" w:themeColor="text1"/>
          <w:sz w:val="24"/>
          <w:szCs w:val="24"/>
        </w:rPr>
        <w:t xml:space="preserve">arly </w:t>
      </w:r>
      <w:r>
        <w:rPr>
          <w:rStyle w:val="arttitle"/>
          <w:rFonts w:ascii="Times New Roman" w:hAnsi="Times New Roman" w:cs="Times New Roman"/>
          <w:color w:val="000000" w:themeColor="text1"/>
          <w:sz w:val="24"/>
          <w:szCs w:val="24"/>
        </w:rPr>
        <w:t>M</w:t>
      </w:r>
      <w:r w:rsidRPr="00174EF4">
        <w:rPr>
          <w:rStyle w:val="arttitle"/>
          <w:rFonts w:ascii="Times New Roman" w:hAnsi="Times New Roman" w:cs="Times New Roman"/>
          <w:color w:val="000000" w:themeColor="text1"/>
          <w:sz w:val="24"/>
          <w:szCs w:val="24"/>
        </w:rPr>
        <w:t xml:space="preserve">odern English </w:t>
      </w:r>
      <w:r>
        <w:rPr>
          <w:rStyle w:val="arttitle"/>
          <w:rFonts w:ascii="Times New Roman" w:hAnsi="Times New Roman" w:cs="Times New Roman"/>
          <w:color w:val="000000" w:themeColor="text1"/>
          <w:sz w:val="24"/>
          <w:szCs w:val="24"/>
        </w:rPr>
        <w:t>L</w:t>
      </w:r>
      <w:r w:rsidRPr="00174EF4">
        <w:rPr>
          <w:rStyle w:val="arttitle"/>
          <w:rFonts w:ascii="Times New Roman" w:hAnsi="Times New Roman" w:cs="Times New Roman"/>
          <w:color w:val="000000" w:themeColor="text1"/>
          <w:sz w:val="24"/>
          <w:szCs w:val="24"/>
        </w:rPr>
        <w:t>iterature.”</w:t>
      </w:r>
      <w:r w:rsidRPr="00174EF4">
        <w:rPr>
          <w:rStyle w:val="apple-converted-space"/>
          <w:rFonts w:ascii="Times New Roman" w:hAnsi="Times New Roman" w:cs="Times New Roman"/>
          <w:color w:val="000000" w:themeColor="text1"/>
          <w:sz w:val="24"/>
          <w:szCs w:val="24"/>
          <w:shd w:val="clear" w:color="auto" w:fill="FFFFFF"/>
        </w:rPr>
        <w:t> </w:t>
      </w:r>
      <w:r w:rsidRPr="00174EF4">
        <w:rPr>
          <w:rStyle w:val="serialtitle"/>
          <w:rFonts w:ascii="Times New Roman" w:hAnsi="Times New Roman" w:cs="Times New Roman"/>
          <w:i/>
          <w:iCs/>
          <w:color w:val="000000" w:themeColor="text1"/>
          <w:sz w:val="24"/>
          <w:szCs w:val="24"/>
        </w:rPr>
        <w:t>The Seventeenth Century</w:t>
      </w:r>
      <w:r w:rsidRPr="00174EF4">
        <w:rPr>
          <w:rStyle w:val="apple-converted-space"/>
          <w:rFonts w:ascii="Times New Roman" w:hAnsi="Times New Roman" w:cs="Times New Roman"/>
          <w:color w:val="000000" w:themeColor="text1"/>
          <w:sz w:val="24"/>
          <w:szCs w:val="24"/>
          <w:shd w:val="clear" w:color="auto" w:fill="FFFFFF"/>
        </w:rPr>
        <w:t> </w:t>
      </w:r>
      <w:r w:rsidRPr="00174EF4">
        <w:rPr>
          <w:rStyle w:val="volumeissue"/>
          <w:rFonts w:ascii="Times New Roman" w:hAnsi="Times New Roman" w:cs="Times New Roman"/>
          <w:color w:val="000000" w:themeColor="text1"/>
          <w:sz w:val="24"/>
          <w:szCs w:val="24"/>
        </w:rPr>
        <w:t xml:space="preserve">35: </w:t>
      </w:r>
      <w:r w:rsidRPr="00174EF4">
        <w:rPr>
          <w:rStyle w:val="pagerange"/>
          <w:rFonts w:ascii="Times New Roman" w:hAnsi="Times New Roman" w:cs="Times New Roman"/>
          <w:color w:val="000000" w:themeColor="text1"/>
          <w:sz w:val="24"/>
          <w:szCs w:val="24"/>
        </w:rPr>
        <w:t>815</w:t>
      </w:r>
      <w:r>
        <w:rPr>
          <w:rStyle w:val="pagerange"/>
          <w:rFonts w:ascii="Times New Roman" w:hAnsi="Times New Roman" w:cs="Times New Roman"/>
          <w:color w:val="000000" w:themeColor="text1"/>
          <w:sz w:val="24"/>
          <w:szCs w:val="24"/>
        </w:rPr>
        <w:t>–</w:t>
      </w:r>
      <w:r w:rsidRPr="00174EF4">
        <w:rPr>
          <w:rStyle w:val="pagerange"/>
          <w:rFonts w:ascii="Times New Roman" w:hAnsi="Times New Roman" w:cs="Times New Roman"/>
          <w:color w:val="000000" w:themeColor="text1"/>
          <w:sz w:val="24"/>
          <w:szCs w:val="24"/>
        </w:rPr>
        <w:t xml:space="preserve">28. </w:t>
      </w:r>
    </w:p>
    <w:p w14:paraId="76E3B98E" w14:textId="77777777" w:rsidR="00ED6342" w:rsidRPr="00174EF4" w:rsidRDefault="00ED6342" w:rsidP="00ED6342">
      <w:pPr>
        <w:spacing w:line="480" w:lineRule="auto"/>
        <w:ind w:left="720" w:hanging="720"/>
        <w:rPr>
          <w:color w:val="000000" w:themeColor="text1"/>
        </w:rPr>
      </w:pPr>
      <w:proofErr w:type="spellStart"/>
      <w:r w:rsidRPr="00560773">
        <w:rPr>
          <w:color w:val="000000" w:themeColor="text1"/>
        </w:rPr>
        <w:t>Fentress</w:t>
      </w:r>
      <w:proofErr w:type="spellEnd"/>
      <w:r w:rsidRPr="00174EF4">
        <w:rPr>
          <w:color w:val="000000" w:themeColor="text1"/>
        </w:rPr>
        <w:t xml:space="preserve"> J</w:t>
      </w:r>
      <w:r>
        <w:rPr>
          <w:color w:val="000000" w:themeColor="text1"/>
        </w:rPr>
        <w:t>.</w:t>
      </w:r>
      <w:r w:rsidRPr="00174EF4">
        <w:rPr>
          <w:color w:val="000000" w:themeColor="text1"/>
        </w:rPr>
        <w:t xml:space="preserve">, </w:t>
      </w:r>
      <w:r>
        <w:rPr>
          <w:color w:val="000000" w:themeColor="text1"/>
        </w:rPr>
        <w:t xml:space="preserve">and </w:t>
      </w:r>
      <w:r w:rsidRPr="00174EF4">
        <w:rPr>
          <w:color w:val="000000" w:themeColor="text1"/>
        </w:rPr>
        <w:t>C</w:t>
      </w:r>
      <w:r>
        <w:rPr>
          <w:color w:val="000000" w:themeColor="text1"/>
        </w:rPr>
        <w:t>.</w:t>
      </w:r>
      <w:r w:rsidRPr="00174EF4">
        <w:rPr>
          <w:color w:val="000000" w:themeColor="text1"/>
        </w:rPr>
        <w:t xml:space="preserve"> Wickham (1992). </w:t>
      </w:r>
      <w:r w:rsidRPr="00174EF4">
        <w:rPr>
          <w:i/>
          <w:color w:val="000000" w:themeColor="text1"/>
        </w:rPr>
        <w:t>Social Memory</w:t>
      </w:r>
      <w:r w:rsidRPr="00174EF4">
        <w:rPr>
          <w:color w:val="000000" w:themeColor="text1"/>
        </w:rPr>
        <w:t>. Oxford: Blackwell.</w:t>
      </w:r>
    </w:p>
    <w:p w14:paraId="195277EC" w14:textId="77777777" w:rsidR="00ED6342" w:rsidRPr="00174EF4" w:rsidRDefault="00ED6342" w:rsidP="00ED6342">
      <w:pPr>
        <w:spacing w:line="480" w:lineRule="auto"/>
        <w:ind w:left="720" w:hanging="720"/>
        <w:rPr>
          <w:color w:val="000000" w:themeColor="text1"/>
        </w:rPr>
      </w:pPr>
      <w:r w:rsidRPr="00560773">
        <w:rPr>
          <w:color w:val="000000" w:themeColor="text1"/>
          <w:spacing w:val="-5"/>
          <w:shd w:val="clear" w:color="auto" w:fill="FFFFFF"/>
        </w:rPr>
        <w:t>Findlay</w:t>
      </w:r>
      <w:r w:rsidRPr="00174EF4">
        <w:rPr>
          <w:color w:val="000000" w:themeColor="text1"/>
          <w:spacing w:val="-5"/>
          <w:shd w:val="clear" w:color="auto" w:fill="FFFFFF"/>
        </w:rPr>
        <w:t>, A</w:t>
      </w:r>
      <w:r>
        <w:rPr>
          <w:color w:val="000000" w:themeColor="text1"/>
          <w:spacing w:val="-5"/>
          <w:shd w:val="clear" w:color="auto" w:fill="FFFFFF"/>
        </w:rPr>
        <w:t>.,</w:t>
      </w:r>
      <w:r w:rsidRPr="00174EF4">
        <w:rPr>
          <w:color w:val="000000" w:themeColor="text1"/>
          <w:spacing w:val="-5"/>
          <w:shd w:val="clear" w:color="auto" w:fill="FFFFFF"/>
        </w:rPr>
        <w:t xml:space="preserve"> and L</w:t>
      </w:r>
      <w:r>
        <w:rPr>
          <w:color w:val="000000" w:themeColor="text1"/>
          <w:spacing w:val="-5"/>
          <w:shd w:val="clear" w:color="auto" w:fill="FFFFFF"/>
        </w:rPr>
        <w:t>.</w:t>
      </w:r>
      <w:r w:rsidRPr="00174EF4">
        <w:rPr>
          <w:color w:val="000000" w:themeColor="text1"/>
          <w:spacing w:val="-5"/>
          <w:shd w:val="clear" w:color="auto" w:fill="FFFFFF"/>
        </w:rPr>
        <w:t xml:space="preserve"> Oakley-Brown (2014). </w:t>
      </w:r>
      <w:r>
        <w:rPr>
          <w:color w:val="000000" w:themeColor="text1"/>
          <w:spacing w:val="-5"/>
          <w:shd w:val="clear" w:color="auto" w:fill="FFFFFF"/>
        </w:rPr>
        <w:t>“</w:t>
      </w:r>
      <w:r w:rsidRPr="00174EF4">
        <w:rPr>
          <w:color w:val="000000" w:themeColor="text1"/>
          <w:spacing w:val="-5"/>
          <w:shd w:val="clear" w:color="auto" w:fill="FFFFFF"/>
        </w:rPr>
        <w:t>Introduction.</w:t>
      </w:r>
      <w:r>
        <w:rPr>
          <w:color w:val="000000" w:themeColor="text1"/>
          <w:spacing w:val="-5"/>
          <w:shd w:val="clear" w:color="auto" w:fill="FFFFFF"/>
        </w:rPr>
        <w:t>”</w:t>
      </w:r>
      <w:r w:rsidRPr="00174EF4">
        <w:rPr>
          <w:color w:val="000000" w:themeColor="text1"/>
          <w:spacing w:val="-5"/>
          <w:shd w:val="clear" w:color="auto" w:fill="FFFFFF"/>
        </w:rPr>
        <w:t> </w:t>
      </w:r>
      <w:proofErr w:type="spellStart"/>
      <w:r w:rsidRPr="00174EF4">
        <w:rPr>
          <w:i/>
          <w:iCs/>
          <w:color w:val="000000" w:themeColor="text1"/>
          <w:spacing w:val="-5"/>
        </w:rPr>
        <w:t>Preternature</w:t>
      </w:r>
      <w:proofErr w:type="spellEnd"/>
      <w:r w:rsidRPr="00174EF4">
        <w:rPr>
          <w:color w:val="000000" w:themeColor="text1"/>
          <w:spacing w:val="-5"/>
          <w:shd w:val="clear" w:color="auto" w:fill="FFFFFF"/>
        </w:rPr>
        <w:t xml:space="preserve"> 3: 1</w:t>
      </w:r>
      <w:r>
        <w:rPr>
          <w:color w:val="000000" w:themeColor="text1"/>
          <w:spacing w:val="-5"/>
          <w:shd w:val="clear" w:color="auto" w:fill="FFFFFF"/>
        </w:rPr>
        <w:t>–</w:t>
      </w:r>
      <w:r w:rsidRPr="00174EF4">
        <w:rPr>
          <w:color w:val="000000" w:themeColor="text1"/>
          <w:spacing w:val="-5"/>
          <w:shd w:val="clear" w:color="auto" w:fill="FFFFFF"/>
        </w:rPr>
        <w:t>12.</w:t>
      </w:r>
    </w:p>
    <w:p w14:paraId="2A948653" w14:textId="77777777" w:rsidR="00ED6342" w:rsidRPr="00174EF4" w:rsidRDefault="00ED6342" w:rsidP="00ED6342">
      <w:pPr>
        <w:spacing w:line="480" w:lineRule="auto"/>
        <w:ind w:left="720" w:hanging="720"/>
        <w:rPr>
          <w:color w:val="000000" w:themeColor="text1"/>
        </w:rPr>
      </w:pPr>
      <w:r w:rsidRPr="00560773">
        <w:rPr>
          <w:color w:val="000000" w:themeColor="text1"/>
        </w:rPr>
        <w:t>Gibson</w:t>
      </w:r>
      <w:r w:rsidRPr="00174EF4">
        <w:rPr>
          <w:color w:val="000000" w:themeColor="text1"/>
        </w:rPr>
        <w:t>, M</w:t>
      </w:r>
      <w:r>
        <w:rPr>
          <w:color w:val="000000" w:themeColor="text1"/>
        </w:rPr>
        <w:t>.</w:t>
      </w:r>
      <w:r w:rsidRPr="00174EF4">
        <w:rPr>
          <w:color w:val="000000" w:themeColor="text1"/>
        </w:rPr>
        <w:t xml:space="preserve"> (2007). </w:t>
      </w:r>
      <w:r w:rsidRPr="00174EF4">
        <w:rPr>
          <w:i/>
          <w:color w:val="000000" w:themeColor="text1"/>
        </w:rPr>
        <w:t>Witchcraft Myths in American Culture</w:t>
      </w:r>
      <w:r w:rsidRPr="00174EF4">
        <w:rPr>
          <w:color w:val="000000" w:themeColor="text1"/>
        </w:rPr>
        <w:t xml:space="preserve">. London: Routledge. </w:t>
      </w:r>
    </w:p>
    <w:p w14:paraId="1EF1F226" w14:textId="77777777" w:rsidR="00ED6342" w:rsidRPr="00174EF4" w:rsidRDefault="00ED6342" w:rsidP="00ED6342">
      <w:pPr>
        <w:pStyle w:val="EndnoteText"/>
        <w:spacing w:line="480" w:lineRule="auto"/>
        <w:ind w:left="720" w:hanging="720"/>
        <w:rPr>
          <w:color w:val="000000" w:themeColor="text1"/>
        </w:rPr>
      </w:pPr>
      <w:r w:rsidRPr="00560773">
        <w:rPr>
          <w:color w:val="000000" w:themeColor="text1"/>
        </w:rPr>
        <w:t>Gillespie</w:t>
      </w:r>
      <w:r w:rsidRPr="00174EF4">
        <w:rPr>
          <w:color w:val="000000" w:themeColor="text1"/>
        </w:rPr>
        <w:t>, R</w:t>
      </w:r>
      <w:r>
        <w:rPr>
          <w:color w:val="000000" w:themeColor="text1"/>
        </w:rPr>
        <w:t>.</w:t>
      </w:r>
      <w:r w:rsidRPr="00174EF4">
        <w:rPr>
          <w:color w:val="000000" w:themeColor="text1"/>
        </w:rPr>
        <w:t xml:space="preserve"> (1991). “Women and Crime in Seventeenth-Century Ireland.” In </w:t>
      </w:r>
      <w:r w:rsidRPr="00174EF4">
        <w:rPr>
          <w:i/>
          <w:color w:val="000000" w:themeColor="text1"/>
        </w:rPr>
        <w:t>Women in Early Modern Ireland</w:t>
      </w:r>
      <w:r>
        <w:rPr>
          <w:color w:val="000000" w:themeColor="text1"/>
        </w:rPr>
        <w:t>.</w:t>
      </w:r>
      <w:r w:rsidRPr="00174EF4">
        <w:rPr>
          <w:color w:val="000000" w:themeColor="text1"/>
        </w:rPr>
        <w:t xml:space="preserve"> </w:t>
      </w:r>
      <w:r>
        <w:rPr>
          <w:color w:val="000000" w:themeColor="text1"/>
        </w:rPr>
        <w:t>Ed.</w:t>
      </w:r>
      <w:r w:rsidRPr="00174EF4">
        <w:rPr>
          <w:color w:val="000000" w:themeColor="text1"/>
        </w:rPr>
        <w:t xml:space="preserve"> M</w:t>
      </w:r>
      <w:r>
        <w:rPr>
          <w:color w:val="000000" w:themeColor="text1"/>
        </w:rPr>
        <w:t>.</w:t>
      </w:r>
      <w:r w:rsidRPr="00174EF4">
        <w:rPr>
          <w:color w:val="000000" w:themeColor="text1"/>
        </w:rPr>
        <w:t xml:space="preserve"> </w:t>
      </w:r>
      <w:proofErr w:type="spellStart"/>
      <w:r w:rsidRPr="00174EF4">
        <w:rPr>
          <w:color w:val="000000" w:themeColor="text1"/>
        </w:rPr>
        <w:t>MacCurtain</w:t>
      </w:r>
      <w:proofErr w:type="spellEnd"/>
      <w:r w:rsidRPr="00174EF4">
        <w:rPr>
          <w:color w:val="000000" w:themeColor="text1"/>
        </w:rPr>
        <w:t xml:space="preserve"> and M</w:t>
      </w:r>
      <w:r>
        <w:rPr>
          <w:color w:val="000000" w:themeColor="text1"/>
        </w:rPr>
        <w:t>.</w:t>
      </w:r>
      <w:r w:rsidRPr="00174EF4">
        <w:rPr>
          <w:color w:val="000000" w:themeColor="text1"/>
        </w:rPr>
        <w:t xml:space="preserve"> O’Dowd, 43</w:t>
      </w:r>
      <w:r>
        <w:rPr>
          <w:color w:val="000000" w:themeColor="text1"/>
        </w:rPr>
        <w:t>–</w:t>
      </w:r>
      <w:r w:rsidRPr="00174EF4">
        <w:rPr>
          <w:color w:val="000000" w:themeColor="text1"/>
        </w:rPr>
        <w:t>52. Edinburgh: Edinburgh University Press.</w:t>
      </w:r>
    </w:p>
    <w:p w14:paraId="42E36708" w14:textId="77777777" w:rsidR="00ED6342" w:rsidRPr="00174EF4" w:rsidRDefault="00ED6342" w:rsidP="00ED6342">
      <w:pPr>
        <w:autoSpaceDE w:val="0"/>
        <w:autoSpaceDN w:val="0"/>
        <w:adjustRightInd w:val="0"/>
        <w:spacing w:line="480" w:lineRule="auto"/>
        <w:ind w:left="720" w:hanging="720"/>
        <w:rPr>
          <w:color w:val="000000" w:themeColor="text1"/>
          <w:spacing w:val="-5"/>
          <w:shd w:val="clear" w:color="auto" w:fill="FFFFFF"/>
        </w:rPr>
      </w:pPr>
      <w:r w:rsidRPr="00560773">
        <w:rPr>
          <w:color w:val="000000" w:themeColor="text1"/>
          <w:spacing w:val="-5"/>
          <w:shd w:val="clear" w:color="auto" w:fill="FFFFFF"/>
        </w:rPr>
        <w:t>Ginzburg</w:t>
      </w:r>
      <w:r w:rsidRPr="00174EF4">
        <w:rPr>
          <w:color w:val="000000" w:themeColor="text1"/>
          <w:spacing w:val="-5"/>
          <w:shd w:val="clear" w:color="auto" w:fill="FFFFFF"/>
        </w:rPr>
        <w:t>, C</w:t>
      </w:r>
      <w:r>
        <w:rPr>
          <w:color w:val="000000" w:themeColor="text1"/>
          <w:spacing w:val="-5"/>
          <w:shd w:val="clear" w:color="auto" w:fill="FFFFFF"/>
        </w:rPr>
        <w:t>.</w:t>
      </w:r>
      <w:r w:rsidRPr="00174EF4">
        <w:rPr>
          <w:color w:val="000000" w:themeColor="text1"/>
          <w:spacing w:val="-5"/>
          <w:shd w:val="clear" w:color="auto" w:fill="FFFFFF"/>
        </w:rPr>
        <w:t>, J</w:t>
      </w:r>
      <w:r>
        <w:rPr>
          <w:color w:val="000000" w:themeColor="text1"/>
          <w:spacing w:val="-5"/>
          <w:shd w:val="clear" w:color="auto" w:fill="FFFFFF"/>
        </w:rPr>
        <w:t>.</w:t>
      </w:r>
      <w:r w:rsidRPr="00174EF4">
        <w:rPr>
          <w:color w:val="000000" w:themeColor="text1"/>
          <w:spacing w:val="-5"/>
          <w:shd w:val="clear" w:color="auto" w:fill="FFFFFF"/>
        </w:rPr>
        <w:t xml:space="preserve"> Tedeschi, and A</w:t>
      </w:r>
      <w:r>
        <w:rPr>
          <w:color w:val="000000" w:themeColor="text1"/>
          <w:spacing w:val="-5"/>
          <w:shd w:val="clear" w:color="auto" w:fill="FFFFFF"/>
        </w:rPr>
        <w:t>.</w:t>
      </w:r>
      <w:r w:rsidRPr="00174EF4">
        <w:rPr>
          <w:color w:val="000000" w:themeColor="text1"/>
          <w:spacing w:val="-5"/>
          <w:shd w:val="clear" w:color="auto" w:fill="FFFFFF"/>
        </w:rPr>
        <w:t xml:space="preserve"> C. Tedeschi (1993). </w:t>
      </w:r>
      <w:r>
        <w:rPr>
          <w:color w:val="000000" w:themeColor="text1"/>
          <w:spacing w:val="-5"/>
          <w:shd w:val="clear" w:color="auto" w:fill="FFFFFF"/>
        </w:rPr>
        <w:t>“</w:t>
      </w:r>
      <w:r w:rsidRPr="00174EF4">
        <w:rPr>
          <w:color w:val="000000" w:themeColor="text1"/>
          <w:spacing w:val="-5"/>
          <w:shd w:val="clear" w:color="auto" w:fill="FFFFFF"/>
        </w:rPr>
        <w:t>Microhistory: Two or Three Things That I Know about It.</w:t>
      </w:r>
      <w:r>
        <w:rPr>
          <w:color w:val="000000" w:themeColor="text1"/>
          <w:spacing w:val="-5"/>
          <w:shd w:val="clear" w:color="auto" w:fill="FFFFFF"/>
        </w:rPr>
        <w:t>”</w:t>
      </w:r>
      <w:r w:rsidRPr="00174EF4">
        <w:rPr>
          <w:rStyle w:val="apple-converted-space"/>
          <w:color w:val="000000" w:themeColor="text1"/>
          <w:spacing w:val="-5"/>
          <w:shd w:val="clear" w:color="auto" w:fill="FFFFFF"/>
        </w:rPr>
        <w:t> </w:t>
      </w:r>
      <w:r w:rsidRPr="00174EF4">
        <w:rPr>
          <w:i/>
          <w:iCs/>
          <w:color w:val="000000" w:themeColor="text1"/>
          <w:spacing w:val="-5"/>
        </w:rPr>
        <w:t>Critical Inquiry</w:t>
      </w:r>
      <w:r w:rsidRPr="00174EF4">
        <w:rPr>
          <w:rStyle w:val="apple-converted-space"/>
          <w:color w:val="000000" w:themeColor="text1"/>
          <w:spacing w:val="-5"/>
          <w:shd w:val="clear" w:color="auto" w:fill="FFFFFF"/>
        </w:rPr>
        <w:t xml:space="preserve"> </w:t>
      </w:r>
      <w:r w:rsidRPr="00174EF4">
        <w:rPr>
          <w:color w:val="000000" w:themeColor="text1"/>
          <w:spacing w:val="-5"/>
          <w:shd w:val="clear" w:color="auto" w:fill="FFFFFF"/>
        </w:rPr>
        <w:t>20: 10</w:t>
      </w:r>
      <w:r>
        <w:rPr>
          <w:color w:val="000000" w:themeColor="text1"/>
          <w:spacing w:val="-5"/>
          <w:shd w:val="clear" w:color="auto" w:fill="FFFFFF"/>
        </w:rPr>
        <w:t>–</w:t>
      </w:r>
      <w:r w:rsidRPr="00174EF4">
        <w:rPr>
          <w:color w:val="000000" w:themeColor="text1"/>
          <w:spacing w:val="-5"/>
          <w:shd w:val="clear" w:color="auto" w:fill="FFFFFF"/>
        </w:rPr>
        <w:t>35.</w:t>
      </w:r>
    </w:p>
    <w:p w14:paraId="28F485D5" w14:textId="77777777" w:rsidR="00ED6342" w:rsidRPr="00174EF4" w:rsidRDefault="00ED6342" w:rsidP="00ED6342">
      <w:pPr>
        <w:spacing w:line="480" w:lineRule="auto"/>
        <w:ind w:left="720" w:hanging="720"/>
        <w:rPr>
          <w:color w:val="000000" w:themeColor="text1"/>
        </w:rPr>
      </w:pPr>
      <w:r w:rsidRPr="00560773">
        <w:rPr>
          <w:color w:val="000000" w:themeColor="text1"/>
        </w:rPr>
        <w:t>Henderson</w:t>
      </w:r>
      <w:r w:rsidRPr="00174EF4">
        <w:rPr>
          <w:color w:val="000000" w:themeColor="text1"/>
        </w:rPr>
        <w:t>, L</w:t>
      </w:r>
      <w:r>
        <w:rPr>
          <w:color w:val="000000" w:themeColor="text1"/>
        </w:rPr>
        <w:t>.</w:t>
      </w:r>
      <w:r w:rsidRPr="00174EF4">
        <w:rPr>
          <w:color w:val="000000" w:themeColor="text1"/>
        </w:rPr>
        <w:t xml:space="preserve"> (2016). </w:t>
      </w:r>
      <w:r w:rsidRPr="00174EF4">
        <w:rPr>
          <w:i/>
          <w:color w:val="000000" w:themeColor="text1"/>
        </w:rPr>
        <w:t>Witchcraft and Folk Belief in the Age of Enlightenment</w:t>
      </w:r>
      <w:r>
        <w:rPr>
          <w:i/>
          <w:color w:val="000000" w:themeColor="text1"/>
        </w:rPr>
        <w:t>:</w:t>
      </w:r>
      <w:r w:rsidRPr="00174EF4">
        <w:rPr>
          <w:i/>
          <w:color w:val="000000" w:themeColor="text1"/>
        </w:rPr>
        <w:t xml:space="preserve"> Scotland, 1670</w:t>
      </w:r>
      <w:r>
        <w:rPr>
          <w:i/>
          <w:color w:val="000000" w:themeColor="text1"/>
        </w:rPr>
        <w:t>–</w:t>
      </w:r>
      <w:r w:rsidRPr="00174EF4">
        <w:rPr>
          <w:i/>
          <w:color w:val="000000" w:themeColor="text1"/>
        </w:rPr>
        <w:t>1740</w:t>
      </w:r>
      <w:r w:rsidRPr="00174EF4">
        <w:rPr>
          <w:color w:val="000000" w:themeColor="text1"/>
        </w:rPr>
        <w:t xml:space="preserve">. Basingstoke: Palgrave. </w:t>
      </w:r>
    </w:p>
    <w:p w14:paraId="47BF13BF" w14:textId="77777777" w:rsidR="00ED6342" w:rsidRPr="00174EF4" w:rsidRDefault="00ED6342" w:rsidP="00ED6342">
      <w:pPr>
        <w:spacing w:line="480" w:lineRule="auto"/>
        <w:ind w:left="720" w:hanging="720"/>
        <w:rPr>
          <w:color w:val="000000" w:themeColor="text1"/>
        </w:rPr>
      </w:pPr>
      <w:r w:rsidRPr="00560773">
        <w:rPr>
          <w:color w:val="000000" w:themeColor="text1"/>
        </w:rPr>
        <w:t>Hammett</w:t>
      </w:r>
      <w:r w:rsidRPr="00174EF4">
        <w:rPr>
          <w:color w:val="000000" w:themeColor="text1"/>
        </w:rPr>
        <w:t>, J</w:t>
      </w:r>
      <w:r>
        <w:rPr>
          <w:color w:val="000000" w:themeColor="text1"/>
        </w:rPr>
        <w:t>.</w:t>
      </w:r>
      <w:r w:rsidRPr="00174EF4">
        <w:rPr>
          <w:color w:val="000000" w:themeColor="text1"/>
        </w:rPr>
        <w:t>, E</w:t>
      </w:r>
      <w:r>
        <w:rPr>
          <w:color w:val="000000" w:themeColor="text1"/>
        </w:rPr>
        <w:t>.</w:t>
      </w:r>
      <w:r w:rsidRPr="00174EF4">
        <w:rPr>
          <w:color w:val="000000" w:themeColor="text1"/>
        </w:rPr>
        <w:t xml:space="preserve"> Harrison, </w:t>
      </w:r>
      <w:r>
        <w:rPr>
          <w:color w:val="000000" w:themeColor="text1"/>
        </w:rPr>
        <w:t xml:space="preserve">and </w:t>
      </w:r>
      <w:r w:rsidRPr="00174EF4">
        <w:rPr>
          <w:color w:val="000000" w:themeColor="text1"/>
        </w:rPr>
        <w:t>L</w:t>
      </w:r>
      <w:r>
        <w:rPr>
          <w:color w:val="000000" w:themeColor="text1"/>
        </w:rPr>
        <w:t>.</w:t>
      </w:r>
      <w:r w:rsidRPr="00174EF4">
        <w:rPr>
          <w:color w:val="000000" w:themeColor="text1"/>
        </w:rPr>
        <w:t xml:space="preserve"> King (2020). “Art, Collaboration and Multi-Sensory Approaches in Public Microhistory: Journey with Absent Friends.” </w:t>
      </w:r>
      <w:r w:rsidRPr="00174EF4">
        <w:rPr>
          <w:i/>
          <w:iCs/>
          <w:color w:val="000000" w:themeColor="text1"/>
        </w:rPr>
        <w:t>History Workshop Journal</w:t>
      </w:r>
      <w:r w:rsidRPr="00174EF4">
        <w:rPr>
          <w:color w:val="000000" w:themeColor="text1"/>
        </w:rPr>
        <w:t xml:space="preserve"> 89: 246–69. </w:t>
      </w:r>
    </w:p>
    <w:p w14:paraId="08655849" w14:textId="77777777" w:rsidR="00ED6342" w:rsidRPr="00174EF4" w:rsidRDefault="00ED6342" w:rsidP="00ED6342">
      <w:pPr>
        <w:spacing w:line="480" w:lineRule="auto"/>
        <w:ind w:left="720" w:hanging="720"/>
        <w:rPr>
          <w:color w:val="000000" w:themeColor="text1"/>
        </w:rPr>
      </w:pPr>
      <w:r w:rsidRPr="00560773">
        <w:rPr>
          <w:color w:val="000000" w:themeColor="text1"/>
        </w:rPr>
        <w:t>Hutton</w:t>
      </w:r>
      <w:r w:rsidRPr="00174EF4">
        <w:rPr>
          <w:color w:val="000000" w:themeColor="text1"/>
        </w:rPr>
        <w:t>, R</w:t>
      </w:r>
      <w:r>
        <w:rPr>
          <w:color w:val="000000" w:themeColor="text1"/>
        </w:rPr>
        <w:t>.</w:t>
      </w:r>
      <w:r w:rsidRPr="00174EF4">
        <w:rPr>
          <w:color w:val="000000" w:themeColor="text1"/>
        </w:rPr>
        <w:t xml:space="preserve"> (2010). “The Changing Face of Manx Witchcraft.” </w:t>
      </w:r>
      <w:r w:rsidRPr="00174EF4">
        <w:rPr>
          <w:i/>
          <w:color w:val="000000" w:themeColor="text1"/>
        </w:rPr>
        <w:t>Cultural and Social History</w:t>
      </w:r>
      <w:r w:rsidRPr="00174EF4">
        <w:rPr>
          <w:color w:val="000000" w:themeColor="text1"/>
        </w:rPr>
        <w:t xml:space="preserve"> 7: 153</w:t>
      </w:r>
      <w:r>
        <w:rPr>
          <w:color w:val="000000" w:themeColor="text1"/>
        </w:rPr>
        <w:t>–</w:t>
      </w:r>
      <w:r w:rsidRPr="00174EF4">
        <w:rPr>
          <w:color w:val="000000" w:themeColor="text1"/>
        </w:rPr>
        <w:t>69.</w:t>
      </w:r>
    </w:p>
    <w:p w14:paraId="32F8B074" w14:textId="77777777" w:rsidR="00ED6342" w:rsidRPr="00174EF4" w:rsidRDefault="00ED6342" w:rsidP="00ED6342">
      <w:pPr>
        <w:pStyle w:val="NoSpacing"/>
        <w:spacing w:line="480" w:lineRule="auto"/>
        <w:ind w:left="720" w:hanging="720"/>
        <w:rPr>
          <w:rFonts w:ascii="Times New Roman" w:hAnsi="Times New Roman" w:cs="Times New Roman"/>
          <w:color w:val="000000" w:themeColor="text1"/>
          <w:sz w:val="24"/>
          <w:szCs w:val="24"/>
        </w:rPr>
      </w:pPr>
      <w:r w:rsidRPr="0056077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74EF4">
        <w:rPr>
          <w:rFonts w:ascii="Times New Roman" w:hAnsi="Times New Roman" w:cs="Times New Roman"/>
          <w:color w:val="000000" w:themeColor="text1"/>
          <w:sz w:val="24"/>
          <w:szCs w:val="24"/>
        </w:rPr>
        <w:t xml:space="preserve">(2011). </w:t>
      </w:r>
      <w:r>
        <w:rPr>
          <w:rFonts w:ascii="Times New Roman" w:hAnsi="Times New Roman" w:cs="Times New Roman"/>
          <w:color w:val="000000" w:themeColor="text1"/>
          <w:sz w:val="24"/>
          <w:szCs w:val="24"/>
        </w:rPr>
        <w:t>“</w:t>
      </w:r>
      <w:r w:rsidRPr="00174EF4">
        <w:rPr>
          <w:rFonts w:ascii="Times New Roman" w:hAnsi="Times New Roman" w:cs="Times New Roman"/>
          <w:color w:val="000000" w:themeColor="text1"/>
          <w:sz w:val="24"/>
          <w:szCs w:val="24"/>
        </w:rPr>
        <w:t>Witch-</w:t>
      </w:r>
      <w:r>
        <w:rPr>
          <w:rFonts w:ascii="Times New Roman" w:hAnsi="Times New Roman" w:cs="Times New Roman"/>
          <w:color w:val="000000" w:themeColor="text1"/>
          <w:sz w:val="24"/>
          <w:szCs w:val="24"/>
        </w:rPr>
        <w:t>H</w:t>
      </w:r>
      <w:r w:rsidRPr="00174EF4">
        <w:rPr>
          <w:rFonts w:ascii="Times New Roman" w:hAnsi="Times New Roman" w:cs="Times New Roman"/>
          <w:color w:val="000000" w:themeColor="text1"/>
          <w:sz w:val="24"/>
          <w:szCs w:val="24"/>
        </w:rPr>
        <w:t>unting in Celtic Societies.</w:t>
      </w:r>
      <w:r>
        <w:rPr>
          <w:rFonts w:ascii="Times New Roman" w:hAnsi="Times New Roman" w:cs="Times New Roman"/>
          <w:color w:val="000000" w:themeColor="text1"/>
          <w:sz w:val="24"/>
          <w:szCs w:val="24"/>
        </w:rPr>
        <w:t>”</w:t>
      </w:r>
      <w:r w:rsidRPr="00174EF4">
        <w:rPr>
          <w:rFonts w:ascii="Times New Roman" w:hAnsi="Times New Roman" w:cs="Times New Roman"/>
          <w:color w:val="000000" w:themeColor="text1"/>
          <w:sz w:val="24"/>
          <w:szCs w:val="24"/>
        </w:rPr>
        <w:t xml:space="preserve"> </w:t>
      </w:r>
      <w:r w:rsidRPr="00174EF4">
        <w:rPr>
          <w:rFonts w:ascii="Times New Roman" w:hAnsi="Times New Roman" w:cs="Times New Roman"/>
          <w:i/>
          <w:color w:val="000000" w:themeColor="text1"/>
          <w:sz w:val="24"/>
          <w:szCs w:val="24"/>
        </w:rPr>
        <w:t>Past and Present</w:t>
      </w:r>
      <w:r w:rsidRPr="00174EF4">
        <w:rPr>
          <w:rFonts w:ascii="Times New Roman" w:hAnsi="Times New Roman" w:cs="Times New Roman"/>
          <w:color w:val="000000" w:themeColor="text1"/>
          <w:sz w:val="24"/>
          <w:szCs w:val="24"/>
        </w:rPr>
        <w:t xml:space="preserve"> 212: 43</w:t>
      </w:r>
      <w:r>
        <w:rPr>
          <w:rFonts w:ascii="Times New Roman" w:hAnsi="Times New Roman" w:cs="Times New Roman"/>
          <w:color w:val="000000" w:themeColor="text1"/>
          <w:sz w:val="24"/>
          <w:szCs w:val="24"/>
        </w:rPr>
        <w:t>–</w:t>
      </w:r>
      <w:r w:rsidRPr="00174EF4">
        <w:rPr>
          <w:rFonts w:ascii="Times New Roman" w:hAnsi="Times New Roman" w:cs="Times New Roman"/>
          <w:color w:val="000000" w:themeColor="text1"/>
          <w:sz w:val="24"/>
          <w:szCs w:val="24"/>
        </w:rPr>
        <w:t>71.</w:t>
      </w:r>
    </w:p>
    <w:p w14:paraId="09961402" w14:textId="77777777" w:rsidR="00ED6342" w:rsidRPr="00174EF4" w:rsidRDefault="00ED6342" w:rsidP="00ED6342">
      <w:pPr>
        <w:pStyle w:val="EndnoteText"/>
        <w:spacing w:line="480" w:lineRule="auto"/>
        <w:ind w:left="720" w:hanging="720"/>
        <w:rPr>
          <w:color w:val="000000" w:themeColor="text1"/>
        </w:rPr>
      </w:pPr>
      <w:r w:rsidRPr="00560773">
        <w:rPr>
          <w:color w:val="000000" w:themeColor="text1"/>
        </w:rPr>
        <w:t>Jenkins</w:t>
      </w:r>
      <w:r w:rsidRPr="00174EF4">
        <w:rPr>
          <w:color w:val="000000" w:themeColor="text1"/>
        </w:rPr>
        <w:t>, R</w:t>
      </w:r>
      <w:r>
        <w:rPr>
          <w:color w:val="000000" w:themeColor="text1"/>
        </w:rPr>
        <w:t>.</w:t>
      </w:r>
      <w:r w:rsidRPr="00174EF4">
        <w:rPr>
          <w:color w:val="000000" w:themeColor="text1"/>
        </w:rPr>
        <w:t xml:space="preserve"> (2014). </w:t>
      </w:r>
      <w:r w:rsidRPr="00174EF4">
        <w:rPr>
          <w:i/>
          <w:color w:val="000000" w:themeColor="text1"/>
        </w:rPr>
        <w:t xml:space="preserve">Black Magic and Bogeymen: Fear, </w:t>
      </w:r>
      <w:proofErr w:type="spellStart"/>
      <w:r w:rsidRPr="00174EF4">
        <w:rPr>
          <w:i/>
          <w:color w:val="000000" w:themeColor="text1"/>
        </w:rPr>
        <w:t>Rumour</w:t>
      </w:r>
      <w:proofErr w:type="spellEnd"/>
      <w:r w:rsidRPr="00174EF4">
        <w:rPr>
          <w:i/>
          <w:color w:val="000000" w:themeColor="text1"/>
        </w:rPr>
        <w:t xml:space="preserve"> and Popular Belief in the North of Ireland, 1972</w:t>
      </w:r>
      <w:r>
        <w:rPr>
          <w:i/>
          <w:color w:val="000000" w:themeColor="text1"/>
        </w:rPr>
        <w:t>–</w:t>
      </w:r>
      <w:r w:rsidRPr="00174EF4">
        <w:rPr>
          <w:i/>
          <w:color w:val="000000" w:themeColor="text1"/>
        </w:rPr>
        <w:t xml:space="preserve">4. </w:t>
      </w:r>
      <w:r w:rsidRPr="00174EF4">
        <w:rPr>
          <w:color w:val="000000" w:themeColor="text1"/>
        </w:rPr>
        <w:t>Cork: Cork University Press.</w:t>
      </w:r>
    </w:p>
    <w:p w14:paraId="5D8A373D" w14:textId="77777777" w:rsidR="00ED6342" w:rsidRPr="00174EF4" w:rsidRDefault="00ED6342" w:rsidP="00ED6342">
      <w:pPr>
        <w:pStyle w:val="EndnoteText"/>
        <w:spacing w:line="480" w:lineRule="auto"/>
        <w:ind w:left="720" w:hanging="720"/>
        <w:rPr>
          <w:color w:val="000000" w:themeColor="text1"/>
        </w:rPr>
      </w:pPr>
      <w:r w:rsidRPr="00560773">
        <w:rPr>
          <w:color w:val="000000" w:themeColor="text1"/>
        </w:rPr>
        <w:t>Kean</w:t>
      </w:r>
      <w:r w:rsidRPr="00174EF4">
        <w:rPr>
          <w:color w:val="000000" w:themeColor="text1"/>
        </w:rPr>
        <w:t>, H</w:t>
      </w:r>
      <w:r>
        <w:rPr>
          <w:color w:val="000000" w:themeColor="text1"/>
        </w:rPr>
        <w:t>.</w:t>
      </w:r>
      <w:r w:rsidRPr="00174EF4">
        <w:rPr>
          <w:color w:val="000000" w:themeColor="text1"/>
        </w:rPr>
        <w:t xml:space="preserve"> (2010). “People, Historians, and Public History: Demystifying the Process of History Making.”</w:t>
      </w:r>
      <w:r w:rsidRPr="00174EF4">
        <w:rPr>
          <w:i/>
          <w:iCs/>
          <w:color w:val="000000" w:themeColor="text1"/>
        </w:rPr>
        <w:t xml:space="preserve"> Public Historian</w:t>
      </w:r>
      <w:r w:rsidRPr="00174EF4">
        <w:rPr>
          <w:color w:val="000000" w:themeColor="text1"/>
        </w:rPr>
        <w:t xml:space="preserve"> 32.3: 25</w:t>
      </w:r>
      <w:r>
        <w:rPr>
          <w:color w:val="000000" w:themeColor="text1"/>
        </w:rPr>
        <w:t>–</w:t>
      </w:r>
      <w:r w:rsidRPr="00174EF4">
        <w:rPr>
          <w:color w:val="000000" w:themeColor="text1"/>
        </w:rPr>
        <w:t>38.</w:t>
      </w:r>
    </w:p>
    <w:p w14:paraId="1A7606F0" w14:textId="77777777" w:rsidR="00ED6342" w:rsidRPr="00174EF4" w:rsidRDefault="00ED6342" w:rsidP="00ED6342">
      <w:pPr>
        <w:pStyle w:val="EndnoteText"/>
        <w:spacing w:line="480" w:lineRule="auto"/>
        <w:ind w:left="720" w:hanging="720"/>
        <w:rPr>
          <w:color w:val="000000" w:themeColor="text1"/>
        </w:rPr>
      </w:pPr>
      <w:proofErr w:type="spellStart"/>
      <w:r w:rsidRPr="00560773">
        <w:rPr>
          <w:color w:val="000000" w:themeColor="text1"/>
        </w:rPr>
        <w:t>Lapoint</w:t>
      </w:r>
      <w:proofErr w:type="spellEnd"/>
      <w:r w:rsidRPr="00174EF4">
        <w:rPr>
          <w:color w:val="000000" w:themeColor="text1"/>
        </w:rPr>
        <w:t>, E</w:t>
      </w:r>
      <w:r>
        <w:rPr>
          <w:color w:val="000000" w:themeColor="text1"/>
        </w:rPr>
        <w:t>.</w:t>
      </w:r>
      <w:r w:rsidRPr="00174EF4">
        <w:rPr>
          <w:color w:val="000000" w:themeColor="text1"/>
        </w:rPr>
        <w:t xml:space="preserve"> C. (1992). “Irish Immunity to Witch-</w:t>
      </w:r>
      <w:r>
        <w:rPr>
          <w:color w:val="000000" w:themeColor="text1"/>
        </w:rPr>
        <w:t>H</w:t>
      </w:r>
      <w:r w:rsidRPr="00174EF4">
        <w:rPr>
          <w:color w:val="000000" w:themeColor="text1"/>
        </w:rPr>
        <w:t>unting, 1534</w:t>
      </w:r>
      <w:r>
        <w:rPr>
          <w:color w:val="000000" w:themeColor="text1"/>
        </w:rPr>
        <w:t>–</w:t>
      </w:r>
      <w:r w:rsidRPr="00174EF4">
        <w:rPr>
          <w:color w:val="000000" w:themeColor="text1"/>
        </w:rPr>
        <w:t xml:space="preserve">1711.” </w:t>
      </w:r>
      <w:r w:rsidRPr="00174EF4">
        <w:rPr>
          <w:i/>
          <w:iCs/>
          <w:color w:val="000000" w:themeColor="text1"/>
        </w:rPr>
        <w:t>Eire-Ireland</w:t>
      </w:r>
      <w:r w:rsidRPr="00174EF4">
        <w:rPr>
          <w:color w:val="000000" w:themeColor="text1"/>
        </w:rPr>
        <w:t xml:space="preserve"> 27: 76</w:t>
      </w:r>
      <w:r>
        <w:rPr>
          <w:color w:val="000000" w:themeColor="text1"/>
        </w:rPr>
        <w:t>–</w:t>
      </w:r>
      <w:r w:rsidRPr="00174EF4">
        <w:rPr>
          <w:color w:val="000000" w:themeColor="text1"/>
        </w:rPr>
        <w:t>92.</w:t>
      </w:r>
    </w:p>
    <w:p w14:paraId="3CF4EE9E" w14:textId="77777777" w:rsidR="00ED6342" w:rsidRPr="00174EF4" w:rsidRDefault="00ED6342" w:rsidP="00ED6342">
      <w:pPr>
        <w:pStyle w:val="EndnoteText"/>
        <w:spacing w:line="480" w:lineRule="auto"/>
        <w:ind w:left="720" w:hanging="720"/>
        <w:rPr>
          <w:color w:val="000000" w:themeColor="text1"/>
        </w:rPr>
      </w:pPr>
      <w:proofErr w:type="spellStart"/>
      <w:r w:rsidRPr="00560773">
        <w:rPr>
          <w:color w:val="000000" w:themeColor="text1"/>
        </w:rPr>
        <w:t>Levack</w:t>
      </w:r>
      <w:proofErr w:type="spellEnd"/>
      <w:r w:rsidRPr="00174EF4">
        <w:rPr>
          <w:color w:val="000000" w:themeColor="text1"/>
        </w:rPr>
        <w:t>, B</w:t>
      </w:r>
      <w:r>
        <w:rPr>
          <w:color w:val="000000" w:themeColor="text1"/>
        </w:rPr>
        <w:t>.</w:t>
      </w:r>
      <w:r w:rsidRPr="00174EF4">
        <w:rPr>
          <w:color w:val="000000" w:themeColor="text1"/>
        </w:rPr>
        <w:t xml:space="preserve"> P. (2006). </w:t>
      </w:r>
      <w:r w:rsidRPr="00174EF4">
        <w:rPr>
          <w:i/>
          <w:iCs/>
          <w:color w:val="000000" w:themeColor="text1"/>
        </w:rPr>
        <w:t>The Witch-</w:t>
      </w:r>
      <w:r>
        <w:rPr>
          <w:i/>
          <w:iCs/>
          <w:color w:val="000000" w:themeColor="text1"/>
        </w:rPr>
        <w:t>H</w:t>
      </w:r>
      <w:r w:rsidRPr="00174EF4">
        <w:rPr>
          <w:i/>
          <w:iCs/>
          <w:color w:val="000000" w:themeColor="text1"/>
        </w:rPr>
        <w:t>unt in Early Modern Europe</w:t>
      </w:r>
      <w:r w:rsidRPr="00174EF4">
        <w:rPr>
          <w:color w:val="000000" w:themeColor="text1"/>
        </w:rPr>
        <w:t>. Harlow: Pearson Education.</w:t>
      </w:r>
    </w:p>
    <w:p w14:paraId="1B72FD8A" w14:textId="77777777" w:rsidR="00ED6342" w:rsidRPr="00174EF4" w:rsidRDefault="00ED6342" w:rsidP="00ED6342">
      <w:pPr>
        <w:spacing w:line="480" w:lineRule="auto"/>
        <w:ind w:left="720" w:hanging="720"/>
        <w:rPr>
          <w:color w:val="000000" w:themeColor="text1"/>
        </w:rPr>
      </w:pPr>
      <w:r w:rsidRPr="00560773">
        <w:rPr>
          <w:color w:val="000000" w:themeColor="text1"/>
        </w:rPr>
        <w:lastRenderedPageBreak/>
        <w:t>———</w:t>
      </w:r>
      <w:r>
        <w:rPr>
          <w:color w:val="000000" w:themeColor="text1"/>
        </w:rPr>
        <w:t xml:space="preserve"> (</w:t>
      </w:r>
      <w:r w:rsidRPr="00174EF4">
        <w:rPr>
          <w:color w:val="000000" w:themeColor="text1"/>
        </w:rPr>
        <w:t>2007</w:t>
      </w:r>
      <w:r>
        <w:rPr>
          <w:color w:val="000000" w:themeColor="text1"/>
        </w:rPr>
        <w:t>)</w:t>
      </w:r>
      <w:r w:rsidRPr="00174EF4">
        <w:rPr>
          <w:color w:val="000000" w:themeColor="text1"/>
        </w:rPr>
        <w:t xml:space="preserve">. </w:t>
      </w:r>
      <w:r w:rsidRPr="00174EF4">
        <w:rPr>
          <w:i/>
          <w:iCs/>
          <w:color w:val="000000" w:themeColor="text1"/>
        </w:rPr>
        <w:t>Witch-</w:t>
      </w:r>
      <w:r>
        <w:rPr>
          <w:i/>
          <w:iCs/>
          <w:color w:val="000000" w:themeColor="text1"/>
        </w:rPr>
        <w:t>H</w:t>
      </w:r>
      <w:r w:rsidRPr="00174EF4">
        <w:rPr>
          <w:i/>
          <w:iCs/>
          <w:color w:val="000000" w:themeColor="text1"/>
        </w:rPr>
        <w:t xml:space="preserve">unting in Scotland: Law, Politics and Religion. </w:t>
      </w:r>
      <w:r w:rsidRPr="00174EF4">
        <w:rPr>
          <w:color w:val="000000" w:themeColor="text1"/>
        </w:rPr>
        <w:t>London: Routledge.</w:t>
      </w:r>
    </w:p>
    <w:p w14:paraId="25755E51" w14:textId="77777777" w:rsidR="00ED6342" w:rsidRPr="00174EF4" w:rsidRDefault="00ED6342" w:rsidP="00ED6342">
      <w:pPr>
        <w:autoSpaceDE w:val="0"/>
        <w:autoSpaceDN w:val="0"/>
        <w:adjustRightInd w:val="0"/>
        <w:spacing w:line="480" w:lineRule="auto"/>
        <w:ind w:left="720" w:hanging="720"/>
        <w:rPr>
          <w:color w:val="000000" w:themeColor="text1"/>
        </w:rPr>
      </w:pPr>
      <w:r w:rsidRPr="00560773">
        <w:rPr>
          <w:color w:val="000000" w:themeColor="text1"/>
        </w:rPr>
        <w:t>Levi</w:t>
      </w:r>
      <w:r w:rsidRPr="00174EF4">
        <w:rPr>
          <w:color w:val="000000" w:themeColor="text1"/>
        </w:rPr>
        <w:t>, G</w:t>
      </w:r>
      <w:r>
        <w:rPr>
          <w:color w:val="000000" w:themeColor="text1"/>
        </w:rPr>
        <w:t>.</w:t>
      </w:r>
      <w:r w:rsidRPr="00174EF4">
        <w:rPr>
          <w:color w:val="000000" w:themeColor="text1"/>
        </w:rPr>
        <w:t xml:space="preserve"> (2005). “On Micro </w:t>
      </w:r>
      <w:r>
        <w:rPr>
          <w:color w:val="000000" w:themeColor="text1"/>
        </w:rPr>
        <w:t>H</w:t>
      </w:r>
      <w:r w:rsidRPr="00174EF4">
        <w:rPr>
          <w:color w:val="000000" w:themeColor="text1"/>
        </w:rPr>
        <w:t xml:space="preserve">istory.” In </w:t>
      </w:r>
      <w:r w:rsidRPr="00174EF4">
        <w:rPr>
          <w:i/>
          <w:iCs/>
          <w:color w:val="000000" w:themeColor="text1"/>
        </w:rPr>
        <w:t>New Perspectives on Historical Writing</w:t>
      </w:r>
      <w:r>
        <w:rPr>
          <w:color w:val="000000" w:themeColor="text1"/>
        </w:rPr>
        <w:t>.</w:t>
      </w:r>
      <w:r w:rsidRPr="00174EF4">
        <w:rPr>
          <w:color w:val="000000" w:themeColor="text1"/>
        </w:rPr>
        <w:t xml:space="preserve"> </w:t>
      </w:r>
      <w:r>
        <w:rPr>
          <w:color w:val="000000" w:themeColor="text1"/>
        </w:rPr>
        <w:t>Ed.</w:t>
      </w:r>
      <w:r w:rsidRPr="00174EF4">
        <w:rPr>
          <w:color w:val="000000" w:themeColor="text1"/>
        </w:rPr>
        <w:t xml:space="preserve"> P</w:t>
      </w:r>
      <w:r>
        <w:rPr>
          <w:color w:val="000000" w:themeColor="text1"/>
        </w:rPr>
        <w:t>.</w:t>
      </w:r>
      <w:r w:rsidRPr="00174EF4">
        <w:rPr>
          <w:color w:val="000000" w:themeColor="text1"/>
        </w:rPr>
        <w:t xml:space="preserve"> Burke, 97</w:t>
      </w:r>
      <w:r>
        <w:rPr>
          <w:color w:val="000000" w:themeColor="text1"/>
        </w:rPr>
        <w:t>–</w:t>
      </w:r>
      <w:r w:rsidRPr="00174EF4">
        <w:rPr>
          <w:color w:val="000000" w:themeColor="text1"/>
        </w:rPr>
        <w:t>119. Cambridge: Polity Press.</w:t>
      </w:r>
    </w:p>
    <w:p w14:paraId="22B01255" w14:textId="77777777" w:rsidR="00ED6342" w:rsidRPr="00174EF4" w:rsidRDefault="00ED6342" w:rsidP="00ED6342">
      <w:pPr>
        <w:pStyle w:val="EndnoteText"/>
        <w:spacing w:line="480" w:lineRule="auto"/>
        <w:ind w:left="720" w:hanging="720"/>
        <w:rPr>
          <w:color w:val="000000" w:themeColor="text1"/>
        </w:rPr>
      </w:pPr>
      <w:r w:rsidRPr="00560773">
        <w:rPr>
          <w:color w:val="000000" w:themeColor="text1"/>
        </w:rPr>
        <w:t>Longley</w:t>
      </w:r>
      <w:r w:rsidRPr="00174EF4">
        <w:rPr>
          <w:color w:val="000000" w:themeColor="text1"/>
        </w:rPr>
        <w:t>, E</w:t>
      </w:r>
      <w:r>
        <w:rPr>
          <w:color w:val="000000" w:themeColor="text1"/>
        </w:rPr>
        <w:t>.</w:t>
      </w:r>
      <w:r w:rsidRPr="00174EF4">
        <w:rPr>
          <w:color w:val="000000" w:themeColor="text1"/>
        </w:rPr>
        <w:t xml:space="preserve"> (2001). “Northern Ireland: Commemoration, Elegy, Forgetting.” In </w:t>
      </w:r>
      <w:r w:rsidRPr="00174EF4">
        <w:rPr>
          <w:i/>
          <w:iCs/>
          <w:color w:val="000000" w:themeColor="text1"/>
        </w:rPr>
        <w:t>History and Memory in Modern Ireland</w:t>
      </w:r>
      <w:r>
        <w:rPr>
          <w:color w:val="000000" w:themeColor="text1"/>
        </w:rPr>
        <w:t>.</w:t>
      </w:r>
      <w:r w:rsidRPr="00174EF4">
        <w:rPr>
          <w:color w:val="000000" w:themeColor="text1"/>
        </w:rPr>
        <w:t xml:space="preserve"> </w:t>
      </w:r>
      <w:r>
        <w:rPr>
          <w:color w:val="000000" w:themeColor="text1"/>
        </w:rPr>
        <w:t>Ed.</w:t>
      </w:r>
      <w:r w:rsidRPr="00174EF4">
        <w:rPr>
          <w:color w:val="000000" w:themeColor="text1"/>
        </w:rPr>
        <w:t xml:space="preserve"> I</w:t>
      </w:r>
      <w:r>
        <w:rPr>
          <w:color w:val="000000" w:themeColor="text1"/>
        </w:rPr>
        <w:t>.</w:t>
      </w:r>
      <w:r w:rsidRPr="00174EF4">
        <w:rPr>
          <w:color w:val="000000" w:themeColor="text1"/>
        </w:rPr>
        <w:t xml:space="preserve"> McBride, 223</w:t>
      </w:r>
      <w:r>
        <w:rPr>
          <w:color w:val="000000" w:themeColor="text1"/>
        </w:rPr>
        <w:t>–</w:t>
      </w:r>
      <w:r w:rsidRPr="00174EF4">
        <w:rPr>
          <w:color w:val="000000" w:themeColor="text1"/>
        </w:rPr>
        <w:t>53. Cambridge: Cambridge University Press.</w:t>
      </w:r>
    </w:p>
    <w:p w14:paraId="57BC169A" w14:textId="77777777" w:rsidR="00ED6342" w:rsidRPr="00174EF4" w:rsidRDefault="00ED6342" w:rsidP="00ED6342">
      <w:pPr>
        <w:pStyle w:val="EndnoteText"/>
        <w:spacing w:line="480" w:lineRule="auto"/>
        <w:ind w:left="720" w:hanging="720"/>
        <w:rPr>
          <w:color w:val="000000" w:themeColor="text1"/>
        </w:rPr>
      </w:pPr>
      <w:r w:rsidRPr="00560773">
        <w:rPr>
          <w:color w:val="000000" w:themeColor="text1"/>
        </w:rPr>
        <w:t>Macdonald</w:t>
      </w:r>
      <w:r w:rsidRPr="00174EF4">
        <w:rPr>
          <w:color w:val="000000" w:themeColor="text1"/>
        </w:rPr>
        <w:t>, S</w:t>
      </w:r>
      <w:r>
        <w:rPr>
          <w:color w:val="000000" w:themeColor="text1"/>
        </w:rPr>
        <w:t>.</w:t>
      </w:r>
      <w:r w:rsidRPr="00174EF4">
        <w:rPr>
          <w:color w:val="000000" w:themeColor="text1"/>
        </w:rPr>
        <w:t xml:space="preserve"> (2009). </w:t>
      </w:r>
      <w:r w:rsidRPr="00174EF4">
        <w:rPr>
          <w:i/>
          <w:iCs/>
          <w:color w:val="000000" w:themeColor="text1"/>
        </w:rPr>
        <w:t xml:space="preserve">Difficult Heritage: Negotiating Nazi </w:t>
      </w:r>
      <w:r>
        <w:rPr>
          <w:i/>
          <w:iCs/>
          <w:color w:val="000000" w:themeColor="text1"/>
        </w:rPr>
        <w:t>P</w:t>
      </w:r>
      <w:r w:rsidRPr="00174EF4">
        <w:rPr>
          <w:i/>
          <w:iCs/>
          <w:color w:val="000000" w:themeColor="text1"/>
        </w:rPr>
        <w:t>ast in Nuremberg and Beyond</w:t>
      </w:r>
      <w:r w:rsidRPr="00174EF4">
        <w:rPr>
          <w:color w:val="000000" w:themeColor="text1"/>
        </w:rPr>
        <w:t xml:space="preserve">. Abingdon: Routledge. </w:t>
      </w:r>
    </w:p>
    <w:p w14:paraId="65BBF5F9" w14:textId="77777777" w:rsidR="00ED6342" w:rsidRPr="00174EF4" w:rsidRDefault="00ED6342" w:rsidP="00ED6342">
      <w:pPr>
        <w:pStyle w:val="EndnoteText"/>
        <w:spacing w:line="480" w:lineRule="auto"/>
        <w:ind w:left="720" w:hanging="720"/>
        <w:rPr>
          <w:color w:val="000000" w:themeColor="text1"/>
        </w:rPr>
      </w:pPr>
      <w:r w:rsidRPr="00560773">
        <w:rPr>
          <w:color w:val="000000" w:themeColor="text1"/>
        </w:rPr>
        <w:t>McAuliffe</w:t>
      </w:r>
      <w:r w:rsidRPr="00174EF4">
        <w:rPr>
          <w:color w:val="000000" w:themeColor="text1"/>
        </w:rPr>
        <w:t>, M</w:t>
      </w:r>
      <w:r>
        <w:rPr>
          <w:color w:val="000000" w:themeColor="text1"/>
        </w:rPr>
        <w:t>.</w:t>
      </w:r>
      <w:r w:rsidRPr="00174EF4">
        <w:rPr>
          <w:color w:val="000000" w:themeColor="text1"/>
        </w:rPr>
        <w:t xml:space="preserve"> (2009). “Gender, History and Witchcraft in Early Modern Ireland: </w:t>
      </w:r>
      <w:r>
        <w:rPr>
          <w:color w:val="000000" w:themeColor="text1"/>
        </w:rPr>
        <w:t>A</w:t>
      </w:r>
      <w:r w:rsidRPr="00174EF4">
        <w:rPr>
          <w:color w:val="000000" w:themeColor="text1"/>
        </w:rPr>
        <w:t xml:space="preserve"> Re-Reading of the Florence Newton Trial.” In </w:t>
      </w:r>
      <w:r w:rsidRPr="00174EF4">
        <w:rPr>
          <w:i/>
          <w:color w:val="000000" w:themeColor="text1"/>
        </w:rPr>
        <w:t>Gender and Power in Irish History</w:t>
      </w:r>
      <w:r>
        <w:rPr>
          <w:color w:val="000000" w:themeColor="text1"/>
        </w:rPr>
        <w:t>.</w:t>
      </w:r>
      <w:r w:rsidRPr="00174EF4">
        <w:rPr>
          <w:color w:val="000000" w:themeColor="text1"/>
        </w:rPr>
        <w:t xml:space="preserve"> </w:t>
      </w:r>
      <w:r>
        <w:rPr>
          <w:color w:val="000000" w:themeColor="text1"/>
        </w:rPr>
        <w:t>Ed.</w:t>
      </w:r>
      <w:r w:rsidRPr="00174EF4">
        <w:rPr>
          <w:color w:val="000000" w:themeColor="text1"/>
        </w:rPr>
        <w:t xml:space="preserve"> M</w:t>
      </w:r>
      <w:r>
        <w:rPr>
          <w:color w:val="000000" w:themeColor="text1"/>
        </w:rPr>
        <w:t>.</w:t>
      </w:r>
      <w:r w:rsidRPr="00174EF4">
        <w:rPr>
          <w:color w:val="000000" w:themeColor="text1"/>
        </w:rPr>
        <w:t xml:space="preserve"> A</w:t>
      </w:r>
      <w:r>
        <w:rPr>
          <w:color w:val="000000" w:themeColor="text1"/>
        </w:rPr>
        <w:t>.</w:t>
      </w:r>
      <w:r w:rsidRPr="00174EF4">
        <w:rPr>
          <w:color w:val="000000" w:themeColor="text1"/>
        </w:rPr>
        <w:t xml:space="preserve"> </w:t>
      </w:r>
      <w:proofErr w:type="spellStart"/>
      <w:r w:rsidRPr="00174EF4">
        <w:rPr>
          <w:color w:val="000000" w:themeColor="text1"/>
        </w:rPr>
        <w:t>Gialenella</w:t>
      </w:r>
      <w:proofErr w:type="spellEnd"/>
      <w:r w:rsidRPr="00174EF4">
        <w:rPr>
          <w:color w:val="000000" w:themeColor="text1"/>
        </w:rPr>
        <w:t xml:space="preserve"> </w:t>
      </w:r>
      <w:proofErr w:type="spellStart"/>
      <w:r w:rsidRPr="00174EF4">
        <w:rPr>
          <w:color w:val="000000" w:themeColor="text1"/>
        </w:rPr>
        <w:t>Valiulis</w:t>
      </w:r>
      <w:proofErr w:type="spellEnd"/>
      <w:r w:rsidRPr="00174EF4">
        <w:rPr>
          <w:color w:val="000000" w:themeColor="text1"/>
        </w:rPr>
        <w:t>, 39</w:t>
      </w:r>
      <w:r>
        <w:rPr>
          <w:color w:val="000000" w:themeColor="text1"/>
        </w:rPr>
        <w:t>–</w:t>
      </w:r>
      <w:r w:rsidRPr="00174EF4">
        <w:rPr>
          <w:color w:val="000000" w:themeColor="text1"/>
        </w:rPr>
        <w:t>58. Dublin: Irish Academic Press.</w:t>
      </w:r>
    </w:p>
    <w:p w14:paraId="76D83E1A" w14:textId="77777777" w:rsidR="00ED6342" w:rsidRPr="00174EF4" w:rsidRDefault="00ED6342" w:rsidP="00ED6342">
      <w:pPr>
        <w:pStyle w:val="NoSpacing"/>
        <w:spacing w:line="480" w:lineRule="auto"/>
        <w:ind w:left="720" w:hanging="720"/>
        <w:rPr>
          <w:rFonts w:ascii="Times New Roman" w:hAnsi="Times New Roman" w:cs="Times New Roman"/>
          <w:color w:val="000000" w:themeColor="text1"/>
          <w:sz w:val="24"/>
          <w:szCs w:val="24"/>
        </w:rPr>
      </w:pPr>
      <w:r w:rsidRPr="00560773">
        <w:rPr>
          <w:rFonts w:ascii="Times New Roman" w:hAnsi="Times New Roman" w:cs="Times New Roman"/>
          <w:color w:val="000000" w:themeColor="text1"/>
          <w:sz w:val="24"/>
          <w:szCs w:val="24"/>
        </w:rPr>
        <w:t>Millar</w:t>
      </w:r>
      <w:r w:rsidRPr="00174EF4">
        <w:rPr>
          <w:rFonts w:ascii="Times New Roman" w:hAnsi="Times New Roman" w:cs="Times New Roman"/>
          <w:color w:val="000000" w:themeColor="text1"/>
          <w:sz w:val="24"/>
          <w:szCs w:val="24"/>
        </w:rPr>
        <w:t>, C</w:t>
      </w:r>
      <w:r>
        <w:rPr>
          <w:rFonts w:ascii="Times New Roman" w:hAnsi="Times New Roman" w:cs="Times New Roman"/>
          <w:color w:val="000000" w:themeColor="text1"/>
          <w:sz w:val="24"/>
          <w:szCs w:val="24"/>
        </w:rPr>
        <w:t>.</w:t>
      </w:r>
      <w:r w:rsidRPr="00174EF4">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w:t>
      </w:r>
      <w:r w:rsidRPr="00174EF4">
        <w:rPr>
          <w:rFonts w:ascii="Times New Roman" w:hAnsi="Times New Roman" w:cs="Times New Roman"/>
          <w:color w:val="000000" w:themeColor="text1"/>
          <w:sz w:val="24"/>
          <w:szCs w:val="24"/>
        </w:rPr>
        <w:t xml:space="preserve"> (20</w:t>
      </w:r>
      <w:r>
        <w:rPr>
          <w:rFonts w:ascii="Times New Roman" w:hAnsi="Times New Roman" w:cs="Times New Roman"/>
          <w:color w:val="000000" w:themeColor="text1"/>
          <w:sz w:val="24"/>
          <w:szCs w:val="24"/>
        </w:rPr>
        <w:t>20</w:t>
      </w:r>
      <w:r w:rsidRPr="00174EF4">
        <w:rPr>
          <w:rFonts w:ascii="Times New Roman" w:hAnsi="Times New Roman" w:cs="Times New Roman"/>
          <w:color w:val="000000" w:themeColor="text1"/>
          <w:sz w:val="24"/>
          <w:szCs w:val="24"/>
        </w:rPr>
        <w:t>). “Diabolical Men: Reintegrating Male Witches into English Witchcraft.” </w:t>
      </w:r>
      <w:r w:rsidRPr="00174EF4">
        <w:rPr>
          <w:rFonts w:ascii="Times New Roman" w:hAnsi="Times New Roman" w:cs="Times New Roman"/>
          <w:i/>
          <w:iCs/>
          <w:color w:val="000000" w:themeColor="text1"/>
          <w:sz w:val="24"/>
          <w:szCs w:val="24"/>
        </w:rPr>
        <w:t>The Seventeenth Century</w:t>
      </w:r>
      <w:r w:rsidRPr="00174EF4">
        <w:rPr>
          <w:rFonts w:ascii="Times New Roman" w:hAnsi="Times New Roman" w:cs="Times New Roman"/>
          <w:color w:val="000000" w:themeColor="text1"/>
          <w:sz w:val="24"/>
          <w:szCs w:val="24"/>
        </w:rPr>
        <w:t>. DOI: </w:t>
      </w:r>
      <w:hyperlink r:id="rId7" w:history="1">
        <w:r w:rsidRPr="00174EF4">
          <w:rPr>
            <w:rStyle w:val="Hyperlink"/>
            <w:rFonts w:ascii="Times New Roman" w:hAnsi="Times New Roman" w:cs="Times New Roman"/>
            <w:color w:val="000000" w:themeColor="text1"/>
            <w:sz w:val="24"/>
            <w:szCs w:val="24"/>
          </w:rPr>
          <w:t>10.1080/0268117X.2020.1838942</w:t>
        </w:r>
      </w:hyperlink>
      <w:r w:rsidRPr="00174EF4">
        <w:rPr>
          <w:rFonts w:ascii="Times New Roman" w:hAnsi="Times New Roman" w:cs="Times New Roman"/>
          <w:color w:val="000000" w:themeColor="text1"/>
          <w:sz w:val="24"/>
          <w:szCs w:val="24"/>
        </w:rPr>
        <w:t>.</w:t>
      </w:r>
    </w:p>
    <w:p w14:paraId="60D353D2" w14:textId="77777777" w:rsidR="00ED6342" w:rsidRPr="00174EF4" w:rsidRDefault="00ED6342" w:rsidP="00ED6342">
      <w:pPr>
        <w:spacing w:line="480" w:lineRule="auto"/>
        <w:ind w:left="720" w:hanging="720"/>
        <w:rPr>
          <w:color w:val="000000" w:themeColor="text1"/>
          <w:spacing w:val="-5"/>
          <w:shd w:val="clear" w:color="auto" w:fill="FFFFFF"/>
        </w:rPr>
      </w:pPr>
      <w:r w:rsidRPr="00560773">
        <w:rPr>
          <w:color w:val="000000" w:themeColor="text1"/>
          <w:spacing w:val="-5"/>
          <w:shd w:val="clear" w:color="auto" w:fill="FFFFFF"/>
        </w:rPr>
        <w:t>Mullen</w:t>
      </w:r>
      <w:r w:rsidRPr="00174EF4">
        <w:rPr>
          <w:color w:val="000000" w:themeColor="text1"/>
          <w:spacing w:val="-5"/>
          <w:shd w:val="clear" w:color="auto" w:fill="FFFFFF"/>
        </w:rPr>
        <w:t>, P</w:t>
      </w:r>
      <w:r>
        <w:rPr>
          <w:color w:val="000000" w:themeColor="text1"/>
          <w:spacing w:val="-5"/>
          <w:shd w:val="clear" w:color="auto" w:fill="FFFFFF"/>
        </w:rPr>
        <w:t xml:space="preserve">. </w:t>
      </w:r>
      <w:r w:rsidRPr="00174EF4">
        <w:rPr>
          <w:color w:val="000000" w:themeColor="text1"/>
          <w:spacing w:val="-5"/>
          <w:shd w:val="clear" w:color="auto" w:fill="FFFFFF"/>
        </w:rPr>
        <w:t xml:space="preserve">(2018). “The Decades of Centenaries and Methodology for Engaging with ‘Difficult Heritage.’” In </w:t>
      </w:r>
      <w:r w:rsidRPr="00174EF4">
        <w:rPr>
          <w:i/>
          <w:iCs/>
          <w:color w:val="000000" w:themeColor="text1"/>
          <w:spacing w:val="-5"/>
          <w:shd w:val="clear" w:color="auto" w:fill="FFFFFF"/>
        </w:rPr>
        <w:t>Heritage after Conflict: Northern Ireland</w:t>
      </w:r>
      <w:r>
        <w:rPr>
          <w:color w:val="000000" w:themeColor="text1"/>
          <w:spacing w:val="-5"/>
          <w:shd w:val="clear" w:color="auto" w:fill="FFFFFF"/>
        </w:rPr>
        <w:t>.</w:t>
      </w:r>
      <w:r w:rsidRPr="00174EF4">
        <w:rPr>
          <w:color w:val="000000" w:themeColor="text1"/>
          <w:spacing w:val="-5"/>
          <w:shd w:val="clear" w:color="auto" w:fill="FFFFFF"/>
        </w:rPr>
        <w:t xml:space="preserve"> </w:t>
      </w:r>
      <w:r>
        <w:rPr>
          <w:color w:val="000000" w:themeColor="text1"/>
          <w:spacing w:val="-5"/>
          <w:shd w:val="clear" w:color="auto" w:fill="FFFFFF"/>
        </w:rPr>
        <w:t>Ed.</w:t>
      </w:r>
      <w:r w:rsidRPr="00174EF4">
        <w:rPr>
          <w:color w:val="000000" w:themeColor="text1"/>
          <w:spacing w:val="-5"/>
          <w:shd w:val="clear" w:color="auto" w:fill="FFFFFF"/>
        </w:rPr>
        <w:t xml:space="preserve"> E</w:t>
      </w:r>
      <w:r>
        <w:rPr>
          <w:color w:val="000000" w:themeColor="text1"/>
          <w:spacing w:val="-5"/>
          <w:shd w:val="clear" w:color="auto" w:fill="FFFFFF"/>
        </w:rPr>
        <w:t>.</w:t>
      </w:r>
      <w:r w:rsidRPr="00174EF4">
        <w:rPr>
          <w:color w:val="000000" w:themeColor="text1"/>
          <w:spacing w:val="-5"/>
          <w:shd w:val="clear" w:color="auto" w:fill="FFFFFF"/>
        </w:rPr>
        <w:t xml:space="preserve"> Crooke and T</w:t>
      </w:r>
      <w:r>
        <w:rPr>
          <w:color w:val="000000" w:themeColor="text1"/>
          <w:spacing w:val="-5"/>
          <w:shd w:val="clear" w:color="auto" w:fill="FFFFFF"/>
        </w:rPr>
        <w:t>.</w:t>
      </w:r>
      <w:r w:rsidRPr="00174EF4">
        <w:rPr>
          <w:color w:val="000000" w:themeColor="text1"/>
          <w:spacing w:val="-5"/>
          <w:shd w:val="clear" w:color="auto" w:fill="FFFFFF"/>
        </w:rPr>
        <w:t xml:space="preserve"> Maguire, 34</w:t>
      </w:r>
      <w:r>
        <w:rPr>
          <w:color w:val="000000" w:themeColor="text1"/>
          <w:spacing w:val="-5"/>
          <w:shd w:val="clear" w:color="auto" w:fill="FFFFFF"/>
        </w:rPr>
        <w:t>–</w:t>
      </w:r>
      <w:r w:rsidRPr="00174EF4">
        <w:rPr>
          <w:color w:val="000000" w:themeColor="text1"/>
          <w:spacing w:val="-5"/>
          <w:shd w:val="clear" w:color="auto" w:fill="FFFFFF"/>
        </w:rPr>
        <w:t>48. Routledge: Abingdon.</w:t>
      </w:r>
    </w:p>
    <w:p w14:paraId="26437A2E" w14:textId="77777777" w:rsidR="00ED6342" w:rsidRPr="00174EF4" w:rsidRDefault="00ED6342" w:rsidP="00ED6342">
      <w:pPr>
        <w:pStyle w:val="EndnoteText"/>
        <w:spacing w:line="480" w:lineRule="auto"/>
        <w:ind w:left="720" w:hanging="720"/>
        <w:rPr>
          <w:color w:val="000000" w:themeColor="text1"/>
        </w:rPr>
      </w:pPr>
      <w:r w:rsidRPr="00560773">
        <w:rPr>
          <w:color w:val="000000" w:themeColor="text1"/>
        </w:rPr>
        <w:t>Murtagh</w:t>
      </w:r>
      <w:r w:rsidRPr="00174EF4">
        <w:rPr>
          <w:color w:val="000000" w:themeColor="text1"/>
        </w:rPr>
        <w:t>, B</w:t>
      </w:r>
      <w:r>
        <w:rPr>
          <w:color w:val="000000" w:themeColor="text1"/>
        </w:rPr>
        <w:t>.</w:t>
      </w:r>
      <w:r w:rsidRPr="00174EF4">
        <w:rPr>
          <w:color w:val="000000" w:themeColor="text1"/>
        </w:rPr>
        <w:t>, P</w:t>
      </w:r>
      <w:r>
        <w:rPr>
          <w:color w:val="000000" w:themeColor="text1"/>
        </w:rPr>
        <w:t>.</w:t>
      </w:r>
      <w:r w:rsidRPr="00174EF4">
        <w:rPr>
          <w:color w:val="000000" w:themeColor="text1"/>
        </w:rPr>
        <w:t xml:space="preserve"> Boland, </w:t>
      </w:r>
      <w:r>
        <w:rPr>
          <w:color w:val="000000" w:themeColor="text1"/>
        </w:rPr>
        <w:t xml:space="preserve">and </w:t>
      </w:r>
      <w:r w:rsidRPr="00174EF4">
        <w:rPr>
          <w:color w:val="000000" w:themeColor="text1"/>
        </w:rPr>
        <w:t>P</w:t>
      </w:r>
      <w:r>
        <w:rPr>
          <w:color w:val="000000" w:themeColor="text1"/>
        </w:rPr>
        <w:t>.</w:t>
      </w:r>
      <w:r w:rsidRPr="00174EF4">
        <w:rPr>
          <w:color w:val="000000" w:themeColor="text1"/>
        </w:rPr>
        <w:t xml:space="preserve"> </w:t>
      </w:r>
      <w:proofErr w:type="spellStart"/>
      <w:r w:rsidRPr="00174EF4">
        <w:rPr>
          <w:color w:val="000000" w:themeColor="text1"/>
        </w:rPr>
        <w:t>Shirlow</w:t>
      </w:r>
      <w:proofErr w:type="spellEnd"/>
      <w:r w:rsidRPr="00174EF4">
        <w:rPr>
          <w:color w:val="000000" w:themeColor="text1"/>
        </w:rPr>
        <w:t xml:space="preserve"> (2017).</w:t>
      </w:r>
      <w:r w:rsidRPr="00174EF4">
        <w:rPr>
          <w:color w:val="000000" w:themeColor="text1"/>
          <w:shd w:val="clear" w:color="auto" w:fill="FFFFFF"/>
        </w:rPr>
        <w:t> “</w:t>
      </w:r>
      <w:r w:rsidRPr="00174EF4">
        <w:rPr>
          <w:color w:val="000000" w:themeColor="text1"/>
        </w:rPr>
        <w:t xml:space="preserve">Contested Heritages and Cultural Tourism.” </w:t>
      </w:r>
      <w:r w:rsidRPr="00174EF4">
        <w:rPr>
          <w:i/>
          <w:iCs/>
          <w:color w:val="000000" w:themeColor="text1"/>
        </w:rPr>
        <w:t>International Journal of Heritage Studies</w:t>
      </w:r>
      <w:r w:rsidRPr="00174EF4">
        <w:rPr>
          <w:color w:val="000000" w:themeColor="text1"/>
          <w:shd w:val="clear" w:color="auto" w:fill="FFFFFF"/>
        </w:rPr>
        <w:t> </w:t>
      </w:r>
      <w:r w:rsidRPr="00174EF4">
        <w:rPr>
          <w:color w:val="000000" w:themeColor="text1"/>
        </w:rPr>
        <w:t>23:</w:t>
      </w:r>
      <w:r w:rsidRPr="00174EF4">
        <w:rPr>
          <w:color w:val="000000" w:themeColor="text1"/>
          <w:shd w:val="clear" w:color="auto" w:fill="FFFFFF"/>
        </w:rPr>
        <w:t> </w:t>
      </w:r>
      <w:r w:rsidRPr="00174EF4">
        <w:rPr>
          <w:color w:val="000000" w:themeColor="text1"/>
        </w:rPr>
        <w:t>506</w:t>
      </w:r>
      <w:r>
        <w:rPr>
          <w:color w:val="000000" w:themeColor="text1"/>
        </w:rPr>
        <w:t>–</w:t>
      </w:r>
      <w:r w:rsidRPr="00174EF4">
        <w:rPr>
          <w:color w:val="000000" w:themeColor="text1"/>
        </w:rPr>
        <w:t>20.</w:t>
      </w:r>
    </w:p>
    <w:p w14:paraId="05B2F6DA" w14:textId="77777777" w:rsidR="00ED6342" w:rsidRPr="00174EF4" w:rsidRDefault="00ED6342" w:rsidP="00ED6342">
      <w:pPr>
        <w:spacing w:line="480" w:lineRule="auto"/>
        <w:ind w:left="720" w:hanging="720"/>
      </w:pPr>
      <w:r w:rsidRPr="00560773">
        <w:rPr>
          <w:rStyle w:val="nlmgiven-names"/>
          <w:color w:val="000000" w:themeColor="text1"/>
        </w:rPr>
        <w:t>O’Brien</w:t>
      </w:r>
      <w:r w:rsidRPr="00174EF4">
        <w:rPr>
          <w:rStyle w:val="nlmgiven-names"/>
          <w:color w:val="000000" w:themeColor="text1"/>
        </w:rPr>
        <w:t>, G</w:t>
      </w:r>
      <w:r>
        <w:rPr>
          <w:rStyle w:val="nlmgiven-names"/>
          <w:color w:val="000000" w:themeColor="text1"/>
        </w:rPr>
        <w:t>.</w:t>
      </w:r>
      <w:r w:rsidRPr="00174EF4">
        <w:rPr>
          <w:rStyle w:val="nlmgiven-names"/>
          <w:color w:val="000000" w:themeColor="text1"/>
        </w:rPr>
        <w:t xml:space="preserve"> (2020). </w:t>
      </w:r>
      <w:r w:rsidRPr="00174EF4">
        <w:rPr>
          <w:rStyle w:val="nlmgiven-names"/>
          <w:i/>
          <w:iCs/>
          <w:color w:val="000000" w:themeColor="text1"/>
        </w:rPr>
        <w:t xml:space="preserve">The Darkness Echoing: Exploring Ireland’s Places of Famine, Death and Rebellion. </w:t>
      </w:r>
      <w:r w:rsidRPr="00174EF4">
        <w:rPr>
          <w:rStyle w:val="nlmgiven-names"/>
          <w:color w:val="000000" w:themeColor="text1"/>
        </w:rPr>
        <w:t>London: Doubleday Ireland.</w:t>
      </w:r>
    </w:p>
    <w:p w14:paraId="3DB4CF41" w14:textId="77777777" w:rsidR="00ED6342" w:rsidRPr="00174EF4" w:rsidRDefault="00ED6342" w:rsidP="00ED6342">
      <w:pPr>
        <w:spacing w:line="480" w:lineRule="auto"/>
        <w:ind w:left="720" w:hanging="720"/>
        <w:rPr>
          <w:color w:val="000000" w:themeColor="text1"/>
        </w:rPr>
      </w:pPr>
      <w:r w:rsidRPr="00560773">
        <w:rPr>
          <w:color w:val="000000" w:themeColor="text1"/>
        </w:rPr>
        <w:t>O’Connell</w:t>
      </w:r>
      <w:r w:rsidRPr="00174EF4">
        <w:rPr>
          <w:color w:val="000000" w:themeColor="text1"/>
        </w:rPr>
        <w:t>, S</w:t>
      </w:r>
      <w:r>
        <w:rPr>
          <w:color w:val="000000" w:themeColor="text1"/>
        </w:rPr>
        <w:t>.</w:t>
      </w:r>
      <w:r w:rsidRPr="00174EF4">
        <w:rPr>
          <w:color w:val="000000" w:themeColor="text1"/>
        </w:rPr>
        <w:t xml:space="preserve"> (2014). “Violence and Social Memory in Twentieth-</w:t>
      </w:r>
      <w:r>
        <w:rPr>
          <w:color w:val="000000" w:themeColor="text1"/>
        </w:rPr>
        <w:t>C</w:t>
      </w:r>
      <w:r w:rsidRPr="00174EF4">
        <w:rPr>
          <w:color w:val="000000" w:themeColor="text1"/>
        </w:rPr>
        <w:t xml:space="preserve">entury Belfast: Stories of Buck Alec.” </w:t>
      </w:r>
      <w:r w:rsidRPr="00174EF4">
        <w:rPr>
          <w:i/>
          <w:color w:val="000000" w:themeColor="text1"/>
        </w:rPr>
        <w:t>Journal of British Studies</w:t>
      </w:r>
      <w:r w:rsidRPr="00174EF4">
        <w:rPr>
          <w:color w:val="000000" w:themeColor="text1"/>
        </w:rPr>
        <w:t xml:space="preserve"> 53: 734</w:t>
      </w:r>
      <w:r>
        <w:rPr>
          <w:color w:val="000000" w:themeColor="text1"/>
        </w:rPr>
        <w:t>–</w:t>
      </w:r>
      <w:r w:rsidRPr="00174EF4">
        <w:rPr>
          <w:color w:val="000000" w:themeColor="text1"/>
        </w:rPr>
        <w:t>56.</w:t>
      </w:r>
    </w:p>
    <w:p w14:paraId="5C7FC415" w14:textId="77777777" w:rsidR="00ED6342" w:rsidRPr="00174EF4" w:rsidRDefault="00ED6342" w:rsidP="00ED6342">
      <w:pPr>
        <w:pStyle w:val="EndnoteText"/>
        <w:spacing w:line="480" w:lineRule="auto"/>
        <w:ind w:left="720" w:hanging="720"/>
        <w:rPr>
          <w:color w:val="000000" w:themeColor="text1"/>
        </w:rPr>
      </w:pPr>
      <w:r w:rsidRPr="00560773">
        <w:rPr>
          <w:color w:val="000000" w:themeColor="text1"/>
        </w:rPr>
        <w:t>O’Dowd</w:t>
      </w:r>
      <w:r w:rsidRPr="00174EF4">
        <w:rPr>
          <w:color w:val="000000" w:themeColor="text1"/>
        </w:rPr>
        <w:t>, M</w:t>
      </w:r>
      <w:r>
        <w:rPr>
          <w:color w:val="000000" w:themeColor="text1"/>
        </w:rPr>
        <w:t>.</w:t>
      </w:r>
      <w:r w:rsidRPr="00174EF4">
        <w:rPr>
          <w:color w:val="000000" w:themeColor="text1"/>
        </w:rPr>
        <w:t xml:space="preserve"> (2005). </w:t>
      </w:r>
      <w:r w:rsidRPr="00174EF4">
        <w:rPr>
          <w:i/>
          <w:iCs/>
          <w:color w:val="000000" w:themeColor="text1"/>
        </w:rPr>
        <w:t>A History of Women in Ireland, 1500</w:t>
      </w:r>
      <w:r>
        <w:rPr>
          <w:i/>
          <w:iCs/>
          <w:color w:val="000000" w:themeColor="text1"/>
        </w:rPr>
        <w:t>–</w:t>
      </w:r>
      <w:r w:rsidRPr="00174EF4">
        <w:rPr>
          <w:i/>
          <w:iCs/>
          <w:color w:val="000000" w:themeColor="text1"/>
        </w:rPr>
        <w:t>1800</w:t>
      </w:r>
      <w:r w:rsidRPr="00174EF4">
        <w:rPr>
          <w:color w:val="000000" w:themeColor="text1"/>
        </w:rPr>
        <w:t>. London: Routledge.</w:t>
      </w:r>
    </w:p>
    <w:p w14:paraId="2C9240CF" w14:textId="77777777" w:rsidR="00ED6342" w:rsidRPr="00174EF4" w:rsidRDefault="00ED6342" w:rsidP="00ED6342">
      <w:pPr>
        <w:spacing w:line="480" w:lineRule="auto"/>
        <w:ind w:left="720" w:hanging="720"/>
        <w:rPr>
          <w:color w:val="000000" w:themeColor="text1"/>
        </w:rPr>
      </w:pPr>
      <w:proofErr w:type="spellStart"/>
      <w:r w:rsidRPr="00560773">
        <w:rPr>
          <w:color w:val="000000" w:themeColor="text1"/>
        </w:rPr>
        <w:t>Purkiss</w:t>
      </w:r>
      <w:proofErr w:type="spellEnd"/>
      <w:r w:rsidRPr="00174EF4">
        <w:rPr>
          <w:color w:val="000000" w:themeColor="text1"/>
        </w:rPr>
        <w:t>, D</w:t>
      </w:r>
      <w:r>
        <w:rPr>
          <w:color w:val="000000" w:themeColor="text1"/>
        </w:rPr>
        <w:t>.</w:t>
      </w:r>
      <w:r w:rsidRPr="00174EF4">
        <w:rPr>
          <w:color w:val="000000" w:themeColor="text1"/>
        </w:rPr>
        <w:t xml:space="preserve"> (1996). </w:t>
      </w:r>
      <w:r w:rsidRPr="00174EF4">
        <w:rPr>
          <w:i/>
          <w:color w:val="000000" w:themeColor="text1"/>
        </w:rPr>
        <w:t>The Witch in History: Early Modern and Twentieth</w:t>
      </w:r>
      <w:r>
        <w:rPr>
          <w:i/>
          <w:color w:val="000000" w:themeColor="text1"/>
        </w:rPr>
        <w:t>-</w:t>
      </w:r>
      <w:r w:rsidRPr="00174EF4">
        <w:rPr>
          <w:i/>
          <w:color w:val="000000" w:themeColor="text1"/>
        </w:rPr>
        <w:t xml:space="preserve">Century Representations. </w:t>
      </w:r>
      <w:r w:rsidRPr="00174EF4">
        <w:rPr>
          <w:color w:val="000000" w:themeColor="text1"/>
        </w:rPr>
        <w:t>London: Routledge.</w:t>
      </w:r>
    </w:p>
    <w:p w14:paraId="01CCFD40" w14:textId="77777777" w:rsidR="00ED6342" w:rsidRPr="00174EF4" w:rsidRDefault="00ED6342" w:rsidP="00ED6342">
      <w:pPr>
        <w:pStyle w:val="NoSpacing"/>
        <w:spacing w:line="480" w:lineRule="auto"/>
        <w:ind w:left="720" w:hanging="720"/>
        <w:rPr>
          <w:rFonts w:ascii="Times New Roman" w:hAnsi="Times New Roman" w:cs="Times New Roman"/>
          <w:color w:val="000000" w:themeColor="text1"/>
          <w:sz w:val="24"/>
          <w:szCs w:val="24"/>
        </w:rPr>
      </w:pPr>
      <w:r w:rsidRPr="00560773">
        <w:rPr>
          <w:rFonts w:ascii="Times New Roman" w:hAnsi="Times New Roman" w:cs="Times New Roman"/>
          <w:color w:val="000000" w:themeColor="text1"/>
          <w:sz w:val="24"/>
          <w:szCs w:val="24"/>
        </w:rPr>
        <w:lastRenderedPageBreak/>
        <w:t>Rowlands</w:t>
      </w:r>
      <w:r w:rsidRPr="00174EF4">
        <w:rPr>
          <w:rFonts w:ascii="Times New Roman" w:hAnsi="Times New Roman" w:cs="Times New Roman"/>
          <w:color w:val="000000" w:themeColor="text1"/>
          <w:sz w:val="24"/>
          <w:szCs w:val="24"/>
        </w:rPr>
        <w:t>, A.</w:t>
      </w:r>
      <w:r>
        <w:rPr>
          <w:rFonts w:ascii="Times New Roman" w:hAnsi="Times New Roman" w:cs="Times New Roman"/>
          <w:color w:val="000000" w:themeColor="text1"/>
          <w:sz w:val="24"/>
          <w:szCs w:val="24"/>
        </w:rPr>
        <w:t>,</w:t>
      </w:r>
      <w:r w:rsidRPr="00174EF4">
        <w:rPr>
          <w:rFonts w:ascii="Times New Roman" w:hAnsi="Times New Roman" w:cs="Times New Roman"/>
          <w:color w:val="000000" w:themeColor="text1"/>
          <w:sz w:val="24"/>
          <w:szCs w:val="24"/>
        </w:rPr>
        <w:t xml:space="preserve"> ed. (2009). </w:t>
      </w:r>
      <w:r w:rsidRPr="00174EF4">
        <w:rPr>
          <w:rFonts w:ascii="Times New Roman" w:hAnsi="Times New Roman" w:cs="Times New Roman"/>
          <w:i/>
          <w:color w:val="000000" w:themeColor="text1"/>
          <w:sz w:val="24"/>
          <w:szCs w:val="24"/>
        </w:rPr>
        <w:t>Witchcraft and Masculinities in Early Modern Europe</w:t>
      </w:r>
      <w:r w:rsidRPr="00174EF4">
        <w:rPr>
          <w:rFonts w:ascii="Times New Roman" w:hAnsi="Times New Roman" w:cs="Times New Roman"/>
          <w:color w:val="000000" w:themeColor="text1"/>
          <w:sz w:val="24"/>
          <w:szCs w:val="24"/>
        </w:rPr>
        <w:t>. Basingstoke: Palgrave.</w:t>
      </w:r>
    </w:p>
    <w:p w14:paraId="301C2EA2" w14:textId="77777777" w:rsidR="00ED6342" w:rsidRPr="00174EF4" w:rsidRDefault="00ED6342" w:rsidP="00ED6342">
      <w:pPr>
        <w:pStyle w:val="EndnoteText"/>
        <w:spacing w:line="480" w:lineRule="auto"/>
        <w:ind w:left="720" w:hanging="720"/>
        <w:rPr>
          <w:color w:val="000000" w:themeColor="text1"/>
        </w:rPr>
      </w:pPr>
      <w:r w:rsidRPr="00560773">
        <w:rPr>
          <w:color w:val="000000" w:themeColor="text1"/>
        </w:rPr>
        <w:t>Seymour</w:t>
      </w:r>
      <w:r w:rsidRPr="00174EF4">
        <w:rPr>
          <w:color w:val="000000" w:themeColor="text1"/>
        </w:rPr>
        <w:t>, S. J</w:t>
      </w:r>
      <w:r>
        <w:rPr>
          <w:color w:val="000000" w:themeColor="text1"/>
        </w:rPr>
        <w:t>.</w:t>
      </w:r>
      <w:r w:rsidRPr="00174EF4">
        <w:rPr>
          <w:color w:val="000000" w:themeColor="text1"/>
        </w:rPr>
        <w:t xml:space="preserve"> D. (1913). </w:t>
      </w:r>
      <w:r w:rsidRPr="00174EF4">
        <w:rPr>
          <w:i/>
          <w:color w:val="000000" w:themeColor="text1"/>
        </w:rPr>
        <w:t>Irish Witchcraft and Demonology</w:t>
      </w:r>
      <w:r w:rsidRPr="00174EF4">
        <w:rPr>
          <w:color w:val="000000" w:themeColor="text1"/>
        </w:rPr>
        <w:t>. Dublin: Hodges Figgis.</w:t>
      </w:r>
    </w:p>
    <w:p w14:paraId="4435C10A" w14:textId="77777777" w:rsidR="00ED6342" w:rsidRPr="00174EF4" w:rsidRDefault="00ED6342" w:rsidP="00ED6342">
      <w:pPr>
        <w:spacing w:line="480" w:lineRule="auto"/>
        <w:ind w:left="720" w:hanging="720"/>
        <w:rPr>
          <w:color w:val="000000" w:themeColor="text1"/>
        </w:rPr>
      </w:pPr>
      <w:r w:rsidRPr="00560773">
        <w:rPr>
          <w:color w:val="000000" w:themeColor="text1"/>
        </w:rPr>
        <w:t>Sharpe</w:t>
      </w:r>
      <w:r w:rsidRPr="00174EF4">
        <w:rPr>
          <w:color w:val="000000" w:themeColor="text1"/>
        </w:rPr>
        <w:t>, J</w:t>
      </w:r>
      <w:r>
        <w:rPr>
          <w:color w:val="000000" w:themeColor="text1"/>
        </w:rPr>
        <w:t>.</w:t>
      </w:r>
      <w:r w:rsidRPr="00174EF4">
        <w:rPr>
          <w:color w:val="000000" w:themeColor="text1"/>
        </w:rPr>
        <w:t xml:space="preserve"> (1996). “Disruption in the Well-Ordered Household: Age, Authority and Possessed Young People.” In </w:t>
      </w:r>
      <w:r w:rsidRPr="00174EF4">
        <w:rPr>
          <w:i/>
          <w:color w:val="000000" w:themeColor="text1"/>
        </w:rPr>
        <w:t>The Experience of Authority in Early Modern England</w:t>
      </w:r>
      <w:r>
        <w:rPr>
          <w:color w:val="000000" w:themeColor="text1"/>
        </w:rPr>
        <w:t>.</w:t>
      </w:r>
      <w:r w:rsidRPr="00174EF4">
        <w:rPr>
          <w:color w:val="000000" w:themeColor="text1"/>
        </w:rPr>
        <w:t xml:space="preserve"> </w:t>
      </w:r>
      <w:r>
        <w:rPr>
          <w:color w:val="000000" w:themeColor="text1"/>
        </w:rPr>
        <w:t>Ed.</w:t>
      </w:r>
      <w:r w:rsidRPr="00174EF4">
        <w:rPr>
          <w:color w:val="000000" w:themeColor="text1"/>
        </w:rPr>
        <w:t xml:space="preserve"> P</w:t>
      </w:r>
      <w:r>
        <w:rPr>
          <w:color w:val="000000" w:themeColor="text1"/>
        </w:rPr>
        <w:t>.</w:t>
      </w:r>
      <w:r w:rsidRPr="00174EF4">
        <w:rPr>
          <w:color w:val="000000" w:themeColor="text1"/>
        </w:rPr>
        <w:t xml:space="preserve"> Griffiths, A</w:t>
      </w:r>
      <w:r>
        <w:rPr>
          <w:color w:val="000000" w:themeColor="text1"/>
        </w:rPr>
        <w:t>.</w:t>
      </w:r>
      <w:r w:rsidRPr="00174EF4">
        <w:rPr>
          <w:color w:val="000000" w:themeColor="text1"/>
        </w:rPr>
        <w:t xml:space="preserve"> Fox</w:t>
      </w:r>
      <w:r>
        <w:rPr>
          <w:color w:val="000000" w:themeColor="text1"/>
        </w:rPr>
        <w:t>,</w:t>
      </w:r>
      <w:r w:rsidRPr="00174EF4">
        <w:rPr>
          <w:color w:val="000000" w:themeColor="text1"/>
        </w:rPr>
        <w:t xml:space="preserve"> and S</w:t>
      </w:r>
      <w:r>
        <w:rPr>
          <w:color w:val="000000" w:themeColor="text1"/>
        </w:rPr>
        <w:t>.</w:t>
      </w:r>
      <w:r w:rsidRPr="00174EF4">
        <w:rPr>
          <w:color w:val="000000" w:themeColor="text1"/>
        </w:rPr>
        <w:t xml:space="preserve"> </w:t>
      </w:r>
      <w:proofErr w:type="spellStart"/>
      <w:r w:rsidRPr="00174EF4">
        <w:rPr>
          <w:color w:val="000000" w:themeColor="text1"/>
        </w:rPr>
        <w:t>Hindle</w:t>
      </w:r>
      <w:proofErr w:type="spellEnd"/>
      <w:r w:rsidRPr="00174EF4">
        <w:rPr>
          <w:color w:val="000000" w:themeColor="text1"/>
        </w:rPr>
        <w:t>, 187</w:t>
      </w:r>
      <w:r>
        <w:rPr>
          <w:color w:val="000000" w:themeColor="text1"/>
        </w:rPr>
        <w:t>–</w:t>
      </w:r>
      <w:r w:rsidRPr="00174EF4">
        <w:rPr>
          <w:color w:val="000000" w:themeColor="text1"/>
        </w:rPr>
        <w:t>212. London:</w:t>
      </w:r>
      <w:r w:rsidRPr="00174EF4">
        <w:rPr>
          <w:color w:val="000000" w:themeColor="text1"/>
          <w:shd w:val="clear" w:color="auto" w:fill="FFFFFF"/>
        </w:rPr>
        <w:t xml:space="preserve"> MacMillan</w:t>
      </w:r>
      <w:r w:rsidRPr="00174EF4">
        <w:rPr>
          <w:color w:val="000000" w:themeColor="text1"/>
        </w:rPr>
        <w:t xml:space="preserve">. </w:t>
      </w:r>
    </w:p>
    <w:p w14:paraId="5D3B7259" w14:textId="77777777" w:rsidR="00ED6342" w:rsidRPr="00174EF4" w:rsidRDefault="00ED6342" w:rsidP="00ED6342">
      <w:pPr>
        <w:pStyle w:val="EndnoteText"/>
        <w:spacing w:line="480" w:lineRule="auto"/>
        <w:ind w:left="720" w:hanging="720"/>
        <w:rPr>
          <w:color w:val="000000" w:themeColor="text1"/>
          <w:shd w:val="clear" w:color="auto" w:fill="FFFFFF"/>
        </w:rPr>
      </w:pPr>
      <w:r w:rsidRPr="00560773">
        <w:rPr>
          <w:color w:val="000000" w:themeColor="text1"/>
        </w:rPr>
        <w:t>Shepard</w:t>
      </w:r>
      <w:r w:rsidRPr="00174EF4">
        <w:rPr>
          <w:color w:val="000000" w:themeColor="text1"/>
        </w:rPr>
        <w:t>, A</w:t>
      </w:r>
      <w:r>
        <w:rPr>
          <w:color w:val="000000" w:themeColor="text1"/>
        </w:rPr>
        <w:t>.</w:t>
      </w:r>
      <w:r w:rsidRPr="00174EF4">
        <w:rPr>
          <w:color w:val="000000" w:themeColor="text1"/>
        </w:rPr>
        <w:t xml:space="preserve"> (2017). </w:t>
      </w:r>
      <w:r w:rsidRPr="00174EF4">
        <w:rPr>
          <w:color w:val="000000" w:themeColor="text1"/>
          <w:shd w:val="clear" w:color="auto" w:fill="FFFFFF"/>
        </w:rPr>
        <w:t>“Gender, the Body and Sexuality.” In </w:t>
      </w:r>
      <w:r w:rsidRPr="00174EF4">
        <w:rPr>
          <w:i/>
          <w:iCs/>
          <w:color w:val="000000" w:themeColor="text1"/>
          <w:bdr w:val="none" w:sz="0" w:space="0" w:color="auto" w:frame="1"/>
        </w:rPr>
        <w:t>A Social History of England, 1500</w:t>
      </w:r>
      <w:r>
        <w:rPr>
          <w:i/>
          <w:iCs/>
          <w:color w:val="000000" w:themeColor="text1"/>
          <w:bdr w:val="none" w:sz="0" w:space="0" w:color="auto" w:frame="1"/>
        </w:rPr>
        <w:t>–</w:t>
      </w:r>
      <w:r w:rsidRPr="00174EF4">
        <w:rPr>
          <w:i/>
          <w:iCs/>
          <w:color w:val="000000" w:themeColor="text1"/>
          <w:bdr w:val="none" w:sz="0" w:space="0" w:color="auto" w:frame="1"/>
        </w:rPr>
        <w:t>1750</w:t>
      </w:r>
      <w:r>
        <w:rPr>
          <w:color w:val="000000" w:themeColor="text1"/>
          <w:shd w:val="clear" w:color="auto" w:fill="FFFFFF"/>
        </w:rPr>
        <w:t>. Ed.</w:t>
      </w:r>
      <w:r w:rsidRPr="00174EF4">
        <w:rPr>
          <w:color w:val="000000" w:themeColor="text1"/>
          <w:shd w:val="clear" w:color="auto" w:fill="FFFFFF"/>
        </w:rPr>
        <w:t xml:space="preserve"> K</w:t>
      </w:r>
      <w:r>
        <w:rPr>
          <w:color w:val="000000" w:themeColor="text1"/>
          <w:shd w:val="clear" w:color="auto" w:fill="FFFFFF"/>
        </w:rPr>
        <w:t>.</w:t>
      </w:r>
      <w:r w:rsidRPr="00174EF4">
        <w:rPr>
          <w:color w:val="000000" w:themeColor="text1"/>
          <w:shd w:val="clear" w:color="auto" w:fill="FFFFFF"/>
        </w:rPr>
        <w:t xml:space="preserve"> </w:t>
      </w:r>
      <w:r w:rsidRPr="00174EF4">
        <w:rPr>
          <w:color w:val="000000" w:themeColor="text1"/>
        </w:rPr>
        <w:t xml:space="preserve">Wrightson, </w:t>
      </w:r>
      <w:r w:rsidRPr="00174EF4">
        <w:rPr>
          <w:color w:val="000000" w:themeColor="text1"/>
          <w:shd w:val="clear" w:color="auto" w:fill="FFFFFF"/>
        </w:rPr>
        <w:t>330</w:t>
      </w:r>
      <w:r>
        <w:rPr>
          <w:color w:val="000000" w:themeColor="text1"/>
          <w:shd w:val="clear" w:color="auto" w:fill="FFFFFF"/>
        </w:rPr>
        <w:t>–</w:t>
      </w:r>
      <w:r w:rsidRPr="00174EF4">
        <w:rPr>
          <w:color w:val="000000" w:themeColor="text1"/>
          <w:shd w:val="clear" w:color="auto" w:fill="FFFFFF"/>
        </w:rPr>
        <w:t xml:space="preserve">51. Cambridge: Cambridge University Press. </w:t>
      </w:r>
    </w:p>
    <w:p w14:paraId="4C9EB8BE" w14:textId="77777777" w:rsidR="00ED6342" w:rsidRPr="00174EF4" w:rsidRDefault="00ED6342" w:rsidP="00ED6342">
      <w:pPr>
        <w:spacing w:line="480" w:lineRule="auto"/>
        <w:ind w:left="720" w:hanging="720"/>
        <w:rPr>
          <w:color w:val="000000" w:themeColor="text1"/>
        </w:rPr>
      </w:pPr>
      <w:r w:rsidRPr="00560773">
        <w:rPr>
          <w:color w:val="000000" w:themeColor="text1"/>
        </w:rPr>
        <w:t>Sneddon</w:t>
      </w:r>
      <w:r w:rsidRPr="00174EF4">
        <w:rPr>
          <w:color w:val="000000" w:themeColor="text1"/>
        </w:rPr>
        <w:t>, A</w:t>
      </w:r>
      <w:r>
        <w:rPr>
          <w:color w:val="000000" w:themeColor="text1"/>
        </w:rPr>
        <w:t>.</w:t>
      </w:r>
      <w:r w:rsidRPr="00174EF4">
        <w:rPr>
          <w:color w:val="000000" w:themeColor="text1"/>
        </w:rPr>
        <w:t xml:space="preserve"> (2012). “Witchcraft Belief and Trials in Early Modern Ireland.” </w:t>
      </w:r>
      <w:r w:rsidRPr="00174EF4">
        <w:rPr>
          <w:i/>
          <w:color w:val="000000" w:themeColor="text1"/>
        </w:rPr>
        <w:t>Irish Economic and Social History</w:t>
      </w:r>
      <w:r w:rsidRPr="00174EF4">
        <w:rPr>
          <w:color w:val="000000" w:themeColor="text1"/>
        </w:rPr>
        <w:t xml:space="preserve"> 39: 1</w:t>
      </w:r>
      <w:r>
        <w:rPr>
          <w:color w:val="000000" w:themeColor="text1"/>
        </w:rPr>
        <w:t>–</w:t>
      </w:r>
      <w:r w:rsidRPr="00174EF4">
        <w:rPr>
          <w:color w:val="000000" w:themeColor="text1"/>
        </w:rPr>
        <w:t xml:space="preserve">25. </w:t>
      </w:r>
    </w:p>
    <w:p w14:paraId="002226E5" w14:textId="77777777" w:rsidR="00ED6342" w:rsidRPr="00174EF4" w:rsidRDefault="00ED6342" w:rsidP="00ED6342">
      <w:pPr>
        <w:pStyle w:val="EndnoteText"/>
        <w:spacing w:line="480" w:lineRule="auto"/>
        <w:ind w:left="720" w:hanging="720"/>
        <w:rPr>
          <w:color w:val="000000" w:themeColor="text1"/>
        </w:rPr>
      </w:pPr>
      <w:r w:rsidRPr="00560773">
        <w:rPr>
          <w:color w:val="000000" w:themeColor="text1"/>
        </w:rPr>
        <w:t>———</w:t>
      </w:r>
      <w:r w:rsidRPr="00174EF4">
        <w:rPr>
          <w:color w:val="000000" w:themeColor="text1"/>
        </w:rPr>
        <w:t xml:space="preserve"> (2013). </w:t>
      </w:r>
      <w:r w:rsidRPr="00174EF4">
        <w:rPr>
          <w:i/>
          <w:color w:val="000000" w:themeColor="text1"/>
        </w:rPr>
        <w:t>Possessed by the Devil</w:t>
      </w:r>
      <w:r w:rsidRPr="00174EF4">
        <w:rPr>
          <w:color w:val="000000" w:themeColor="text1"/>
        </w:rPr>
        <w:t xml:space="preserve">: </w:t>
      </w:r>
      <w:r w:rsidRPr="00174EF4">
        <w:rPr>
          <w:i/>
          <w:color w:val="000000" w:themeColor="text1"/>
        </w:rPr>
        <w:t xml:space="preserve">The Real History of the </w:t>
      </w:r>
      <w:proofErr w:type="spellStart"/>
      <w:r w:rsidRPr="00174EF4">
        <w:rPr>
          <w:i/>
          <w:color w:val="000000" w:themeColor="text1"/>
        </w:rPr>
        <w:t>Islandmagee</w:t>
      </w:r>
      <w:proofErr w:type="spellEnd"/>
      <w:r w:rsidRPr="00174EF4">
        <w:rPr>
          <w:i/>
          <w:color w:val="000000" w:themeColor="text1"/>
        </w:rPr>
        <w:t xml:space="preserve"> Witches</w:t>
      </w:r>
      <w:r>
        <w:rPr>
          <w:i/>
          <w:color w:val="000000" w:themeColor="text1"/>
        </w:rPr>
        <w:t xml:space="preserve"> and Ireland’s Only Mass Witchcraft Trial. </w:t>
      </w:r>
      <w:r w:rsidRPr="00174EF4">
        <w:rPr>
          <w:color w:val="000000" w:themeColor="text1"/>
        </w:rPr>
        <w:t>Dublin: History Press Ireland.</w:t>
      </w:r>
      <w:r w:rsidRPr="00174EF4">
        <w:rPr>
          <w:rFonts w:eastAsia="Calibri"/>
          <w:i/>
          <w:color w:val="000000" w:themeColor="text1"/>
        </w:rPr>
        <w:t xml:space="preserve"> </w:t>
      </w:r>
    </w:p>
    <w:p w14:paraId="393AD8D0" w14:textId="77777777" w:rsidR="00ED6342" w:rsidRPr="00174EF4" w:rsidRDefault="00ED6342" w:rsidP="00ED6342">
      <w:pPr>
        <w:spacing w:line="480" w:lineRule="auto"/>
        <w:ind w:left="720" w:hanging="720"/>
        <w:rPr>
          <w:color w:val="000000" w:themeColor="text1"/>
        </w:rPr>
      </w:pPr>
      <w:r w:rsidRPr="00560773">
        <w:rPr>
          <w:color w:val="000000" w:themeColor="text1"/>
        </w:rPr>
        <w:t>———</w:t>
      </w:r>
      <w:r w:rsidRPr="00174EF4">
        <w:rPr>
          <w:color w:val="000000" w:themeColor="text1"/>
        </w:rPr>
        <w:t xml:space="preserve"> (2015). </w:t>
      </w:r>
      <w:r w:rsidRPr="00174EF4">
        <w:rPr>
          <w:i/>
          <w:color w:val="000000" w:themeColor="text1"/>
        </w:rPr>
        <w:t>Witchcraft and Magic in Ireland</w:t>
      </w:r>
      <w:r w:rsidRPr="00174EF4">
        <w:rPr>
          <w:color w:val="000000" w:themeColor="text1"/>
        </w:rPr>
        <w:t>. Basingstoke: Palgrave.</w:t>
      </w:r>
    </w:p>
    <w:p w14:paraId="219C7131" w14:textId="77777777" w:rsidR="00ED6342" w:rsidRPr="00174EF4" w:rsidRDefault="00ED6342" w:rsidP="00ED6342">
      <w:pPr>
        <w:spacing w:line="480" w:lineRule="auto"/>
        <w:ind w:left="720" w:hanging="720"/>
        <w:rPr>
          <w:rStyle w:val="highwire-cite-metadata-pages"/>
          <w:color w:val="000000" w:themeColor="text1"/>
        </w:rPr>
      </w:pPr>
      <w:r w:rsidRPr="00560773">
        <w:rPr>
          <w:color w:val="000000" w:themeColor="text1"/>
        </w:rPr>
        <w:t>———</w:t>
      </w:r>
      <w:r>
        <w:rPr>
          <w:color w:val="000000" w:themeColor="text1"/>
        </w:rPr>
        <w:t xml:space="preserve"> </w:t>
      </w:r>
      <w:r w:rsidRPr="00174EF4">
        <w:rPr>
          <w:color w:val="000000" w:themeColor="text1"/>
        </w:rPr>
        <w:t xml:space="preserve">(2016). “Medicine, Belief, Witchcraft and Demonic Possession in </w:t>
      </w:r>
      <w:r>
        <w:rPr>
          <w:color w:val="000000" w:themeColor="text1"/>
        </w:rPr>
        <w:t>L</w:t>
      </w:r>
      <w:r w:rsidRPr="00174EF4">
        <w:rPr>
          <w:color w:val="000000" w:themeColor="text1"/>
        </w:rPr>
        <w:t>ate Seventeenth-</w:t>
      </w:r>
      <w:r>
        <w:rPr>
          <w:color w:val="000000" w:themeColor="text1"/>
        </w:rPr>
        <w:t>C</w:t>
      </w:r>
      <w:r w:rsidRPr="00174EF4">
        <w:rPr>
          <w:color w:val="000000" w:themeColor="text1"/>
        </w:rPr>
        <w:t xml:space="preserve">entury Ulster.” </w:t>
      </w:r>
      <w:r w:rsidRPr="00174EF4">
        <w:rPr>
          <w:rStyle w:val="highwire-cite-metadata-journal"/>
          <w:i/>
          <w:iCs/>
          <w:color w:val="000000" w:themeColor="text1"/>
        </w:rPr>
        <w:t>Medical Humanities</w:t>
      </w:r>
      <w:r w:rsidRPr="00174EF4">
        <w:rPr>
          <w:rStyle w:val="highwire-cite-metadata-journal"/>
          <w:color w:val="000000" w:themeColor="text1"/>
        </w:rPr>
        <w:t xml:space="preserve"> 42</w:t>
      </w:r>
      <w:r>
        <w:rPr>
          <w:rStyle w:val="highwire-cite-metadata-journal"/>
          <w:color w:val="000000" w:themeColor="text1"/>
        </w:rPr>
        <w:t>:</w:t>
      </w:r>
      <w:r w:rsidRPr="00174EF4">
        <w:rPr>
          <w:rStyle w:val="highwire-cite-metadata-volume"/>
          <w:b/>
          <w:bCs/>
          <w:color w:val="000000" w:themeColor="text1"/>
        </w:rPr>
        <w:t xml:space="preserve"> </w:t>
      </w:r>
      <w:r w:rsidRPr="00174EF4">
        <w:rPr>
          <w:rStyle w:val="highwire-cite-metadata-pages"/>
          <w:color w:val="000000" w:themeColor="text1"/>
        </w:rPr>
        <w:t>81</w:t>
      </w:r>
      <w:r>
        <w:rPr>
          <w:rStyle w:val="highwire-cite-metadata-pages"/>
          <w:color w:val="000000" w:themeColor="text1"/>
        </w:rPr>
        <w:t>–</w:t>
      </w:r>
      <w:r w:rsidRPr="00174EF4">
        <w:rPr>
          <w:rStyle w:val="highwire-cite-metadata-pages"/>
          <w:color w:val="000000" w:themeColor="text1"/>
        </w:rPr>
        <w:t>86.</w:t>
      </w:r>
    </w:p>
    <w:p w14:paraId="05F9A851" w14:textId="07BACEC9" w:rsidR="007F0DEB" w:rsidRDefault="00ED6342" w:rsidP="007F0DEB">
      <w:pPr>
        <w:pStyle w:val="EndnoteText"/>
        <w:spacing w:line="480" w:lineRule="auto"/>
        <w:ind w:left="720" w:hanging="720"/>
        <w:rPr>
          <w:rStyle w:val="normaltextrun"/>
          <w:color w:val="000000" w:themeColor="text1"/>
        </w:rPr>
      </w:pPr>
      <w:r w:rsidRPr="00560773">
        <w:rPr>
          <w:color w:val="000000" w:themeColor="text1"/>
        </w:rPr>
        <w:t>———</w:t>
      </w:r>
      <w:r w:rsidRPr="00270A2F">
        <w:rPr>
          <w:color w:val="000000" w:themeColor="text1"/>
        </w:rPr>
        <w:t xml:space="preserve"> </w:t>
      </w:r>
      <w:r w:rsidRPr="00270A2F">
        <w:rPr>
          <w:rStyle w:val="normaltextrun"/>
          <w:color w:val="000000" w:themeColor="text1"/>
        </w:rPr>
        <w:t>(2019).</w:t>
      </w:r>
      <w:r w:rsidRPr="00174EF4">
        <w:rPr>
          <w:rStyle w:val="normaltextrun"/>
          <w:color w:val="000000" w:themeColor="text1"/>
        </w:rPr>
        <w:t xml:space="preserve"> “Witchcraft Belief, Representation and Memory in Modern Ireland.” </w:t>
      </w:r>
      <w:r w:rsidRPr="00174EF4">
        <w:rPr>
          <w:rStyle w:val="normaltextrun"/>
          <w:i/>
          <w:iCs/>
          <w:color w:val="000000" w:themeColor="text1"/>
        </w:rPr>
        <w:t>Cultural and Social History</w:t>
      </w:r>
      <w:r w:rsidRPr="00174EF4">
        <w:rPr>
          <w:rStyle w:val="normaltextrun"/>
          <w:color w:val="000000" w:themeColor="text1"/>
        </w:rPr>
        <w:t xml:space="preserve"> 16: 251</w:t>
      </w:r>
      <w:r>
        <w:rPr>
          <w:rStyle w:val="normaltextrun"/>
          <w:color w:val="000000" w:themeColor="text1"/>
        </w:rPr>
        <w:t>–</w:t>
      </w:r>
      <w:r w:rsidRPr="00174EF4">
        <w:rPr>
          <w:rStyle w:val="normaltextrun"/>
          <w:color w:val="000000" w:themeColor="text1"/>
        </w:rPr>
        <w:t>70.</w:t>
      </w:r>
    </w:p>
    <w:p w14:paraId="1BCEF11D" w14:textId="77777777" w:rsidR="008578FC" w:rsidRDefault="004D11F7" w:rsidP="008578FC">
      <w:pPr>
        <w:pStyle w:val="EndnoteText"/>
        <w:spacing w:line="480" w:lineRule="auto"/>
        <w:ind w:left="720" w:hanging="720"/>
        <w:rPr>
          <w:rStyle w:val="normaltextrun"/>
          <w:color w:val="000000" w:themeColor="text1"/>
        </w:rPr>
      </w:pPr>
      <w:r w:rsidRPr="00560773">
        <w:rPr>
          <w:color w:val="000000" w:themeColor="text1"/>
        </w:rPr>
        <w:t>———</w:t>
      </w:r>
      <w:r w:rsidRPr="00270A2F">
        <w:rPr>
          <w:color w:val="000000" w:themeColor="text1"/>
        </w:rPr>
        <w:t xml:space="preserve"> </w:t>
      </w:r>
      <w:r w:rsidRPr="00270A2F">
        <w:rPr>
          <w:rStyle w:val="normaltextrun"/>
          <w:color w:val="000000" w:themeColor="text1"/>
        </w:rPr>
        <w:t>(2019).</w:t>
      </w:r>
      <w:r w:rsidRPr="00174EF4">
        <w:rPr>
          <w:rStyle w:val="normaltextrun"/>
          <w:color w:val="000000" w:themeColor="text1"/>
        </w:rPr>
        <w:t xml:space="preserve"> “Witchcraft Belief, Representation and Memory in Modern Ireland.” </w:t>
      </w:r>
      <w:r w:rsidRPr="00174EF4">
        <w:rPr>
          <w:rStyle w:val="normaltextrun"/>
          <w:i/>
          <w:iCs/>
          <w:color w:val="000000" w:themeColor="text1"/>
        </w:rPr>
        <w:t>Cultural and Social History</w:t>
      </w:r>
      <w:r w:rsidRPr="00174EF4">
        <w:rPr>
          <w:rStyle w:val="normaltextrun"/>
          <w:color w:val="000000" w:themeColor="text1"/>
        </w:rPr>
        <w:t xml:space="preserve"> 16: 251</w:t>
      </w:r>
      <w:r>
        <w:rPr>
          <w:rStyle w:val="normaltextrun"/>
          <w:color w:val="000000" w:themeColor="text1"/>
        </w:rPr>
        <w:t>–</w:t>
      </w:r>
      <w:r w:rsidRPr="00174EF4">
        <w:rPr>
          <w:rStyle w:val="normaltextrun"/>
          <w:color w:val="000000" w:themeColor="text1"/>
        </w:rPr>
        <w:t>70.</w:t>
      </w:r>
    </w:p>
    <w:p w14:paraId="78C47DCB" w14:textId="439C382C" w:rsidR="004D11F7" w:rsidRPr="00174EF4" w:rsidRDefault="008578FC" w:rsidP="00914343">
      <w:pPr>
        <w:pStyle w:val="EndnoteText"/>
        <w:spacing w:line="480" w:lineRule="auto"/>
        <w:rPr>
          <w:rStyle w:val="normaltextrun"/>
          <w:color w:val="000000" w:themeColor="text1"/>
        </w:rPr>
      </w:pPr>
      <w:r w:rsidRPr="00560773">
        <w:rPr>
          <w:color w:val="000000" w:themeColor="text1"/>
        </w:rPr>
        <w:t>———</w:t>
      </w:r>
      <w:r w:rsidRPr="00270A2F">
        <w:rPr>
          <w:color w:val="000000" w:themeColor="text1"/>
        </w:rPr>
        <w:t xml:space="preserve"> </w:t>
      </w:r>
      <w:r w:rsidRPr="00174EF4">
        <w:rPr>
          <w:color w:val="000000" w:themeColor="text1"/>
        </w:rPr>
        <w:t xml:space="preserve">(2022). </w:t>
      </w:r>
      <w:r w:rsidRPr="00174EF4">
        <w:rPr>
          <w:i/>
          <w:iCs/>
          <w:color w:val="000000" w:themeColor="text1"/>
        </w:rPr>
        <w:t>forthcoming.</w:t>
      </w:r>
      <w:r w:rsidRPr="00174EF4">
        <w:rPr>
          <w:b/>
          <w:bCs/>
          <w:i/>
          <w:iCs/>
          <w:color w:val="000000" w:themeColor="text1"/>
        </w:rPr>
        <w:t xml:space="preserve"> </w:t>
      </w:r>
      <w:r w:rsidRPr="00174EF4">
        <w:rPr>
          <w:i/>
          <w:iCs/>
          <w:color w:val="000000" w:themeColor="text1"/>
        </w:rPr>
        <w:t>Representing Magic in Modern Ireland: Belief, History, Culture</w:t>
      </w:r>
      <w:r w:rsidRPr="00174EF4">
        <w:rPr>
          <w:color w:val="000000" w:themeColor="text1"/>
        </w:rPr>
        <w:t>. Cambridge: Cambridge University Press.</w:t>
      </w:r>
    </w:p>
    <w:p w14:paraId="0B518092" w14:textId="77777777" w:rsidR="00ED6342" w:rsidRPr="00174EF4" w:rsidRDefault="00ED6342" w:rsidP="00ED6342">
      <w:pPr>
        <w:spacing w:line="480" w:lineRule="auto"/>
        <w:ind w:left="720" w:hanging="720"/>
        <w:rPr>
          <w:color w:val="000000" w:themeColor="text1"/>
        </w:rPr>
      </w:pPr>
      <w:r w:rsidRPr="00560773">
        <w:rPr>
          <w:color w:val="000000" w:themeColor="text1"/>
        </w:rPr>
        <w:t>Sneddon</w:t>
      </w:r>
      <w:r w:rsidRPr="00270A2F">
        <w:rPr>
          <w:color w:val="000000" w:themeColor="text1"/>
        </w:rPr>
        <w:t>, A., and J. Fulton (2019). “Witchcraft, the Press, and Crime in Ireland, 1822–</w:t>
      </w:r>
      <w:r w:rsidRPr="00174EF4">
        <w:rPr>
          <w:color w:val="000000" w:themeColor="text1"/>
        </w:rPr>
        <w:t>1922.” </w:t>
      </w:r>
      <w:r w:rsidRPr="00174EF4">
        <w:rPr>
          <w:i/>
          <w:iCs/>
          <w:color w:val="000000" w:themeColor="text1"/>
        </w:rPr>
        <w:t>The Historical Journal</w:t>
      </w:r>
      <w:r w:rsidRPr="00174EF4">
        <w:rPr>
          <w:color w:val="000000" w:themeColor="text1"/>
        </w:rPr>
        <w:t xml:space="preserve"> 62: 741</w:t>
      </w:r>
      <w:r>
        <w:rPr>
          <w:color w:val="000000" w:themeColor="text1"/>
        </w:rPr>
        <w:t>–</w:t>
      </w:r>
      <w:r w:rsidRPr="00174EF4">
        <w:rPr>
          <w:color w:val="000000" w:themeColor="text1"/>
        </w:rPr>
        <w:t>64.</w:t>
      </w:r>
    </w:p>
    <w:p w14:paraId="50BE2692" w14:textId="77777777" w:rsidR="00ED6342" w:rsidRPr="00174EF4" w:rsidRDefault="00ED6342" w:rsidP="00ED6342">
      <w:pPr>
        <w:spacing w:line="480" w:lineRule="auto"/>
        <w:ind w:left="720" w:hanging="720"/>
        <w:rPr>
          <w:color w:val="000000" w:themeColor="text1"/>
        </w:rPr>
      </w:pPr>
      <w:proofErr w:type="spellStart"/>
      <w:r w:rsidRPr="00560773">
        <w:rPr>
          <w:color w:val="000000" w:themeColor="text1"/>
        </w:rPr>
        <w:t>Stupart</w:t>
      </w:r>
      <w:proofErr w:type="spellEnd"/>
      <w:r w:rsidRPr="00174EF4">
        <w:rPr>
          <w:color w:val="000000" w:themeColor="text1"/>
        </w:rPr>
        <w:t>, C</w:t>
      </w:r>
      <w:r>
        <w:rPr>
          <w:color w:val="000000" w:themeColor="text1"/>
        </w:rPr>
        <w:t>.</w:t>
      </w:r>
      <w:r w:rsidRPr="00174EF4">
        <w:rPr>
          <w:color w:val="000000" w:themeColor="text1"/>
        </w:rPr>
        <w:t xml:space="preserve"> (2012). </w:t>
      </w:r>
      <w:r>
        <w:rPr>
          <w:color w:val="000000" w:themeColor="text1"/>
        </w:rPr>
        <w:t>“</w:t>
      </w:r>
      <w:r w:rsidRPr="00174EF4">
        <w:rPr>
          <w:color w:val="000000" w:themeColor="text1"/>
        </w:rPr>
        <w:t>The Development of Dark/Cultural Heritage as Attractions in Falmouth, Jamaica, West Indies.</w:t>
      </w:r>
      <w:r>
        <w:rPr>
          <w:color w:val="000000" w:themeColor="text1"/>
        </w:rPr>
        <w:t>”</w:t>
      </w:r>
      <w:r w:rsidRPr="00174EF4">
        <w:rPr>
          <w:color w:val="000000" w:themeColor="text1"/>
        </w:rPr>
        <w:t xml:space="preserve"> PhD </w:t>
      </w:r>
      <w:r>
        <w:rPr>
          <w:color w:val="000000" w:themeColor="text1"/>
        </w:rPr>
        <w:t>diss.</w:t>
      </w:r>
      <w:r w:rsidRPr="00174EF4">
        <w:rPr>
          <w:color w:val="000000" w:themeColor="text1"/>
        </w:rPr>
        <w:t xml:space="preserve">, University of Waterloo. </w:t>
      </w:r>
    </w:p>
    <w:p w14:paraId="29DA9E76" w14:textId="77777777" w:rsidR="00ED6342" w:rsidRPr="00174EF4" w:rsidRDefault="00ED6342" w:rsidP="00ED6342">
      <w:pPr>
        <w:spacing w:line="480" w:lineRule="auto"/>
        <w:ind w:left="720" w:hanging="720"/>
        <w:rPr>
          <w:color w:val="000000" w:themeColor="text1"/>
        </w:rPr>
      </w:pPr>
      <w:proofErr w:type="spellStart"/>
      <w:r w:rsidRPr="00560773">
        <w:rPr>
          <w:color w:val="000000" w:themeColor="text1"/>
        </w:rPr>
        <w:lastRenderedPageBreak/>
        <w:t>Suggett</w:t>
      </w:r>
      <w:proofErr w:type="spellEnd"/>
      <w:r w:rsidRPr="00174EF4">
        <w:rPr>
          <w:color w:val="000000" w:themeColor="text1"/>
        </w:rPr>
        <w:t>, R</w:t>
      </w:r>
      <w:r>
        <w:rPr>
          <w:color w:val="000000" w:themeColor="text1"/>
        </w:rPr>
        <w:t>.</w:t>
      </w:r>
      <w:r w:rsidRPr="00174EF4">
        <w:rPr>
          <w:color w:val="000000" w:themeColor="text1"/>
        </w:rPr>
        <w:t xml:space="preserve"> (2008). </w:t>
      </w:r>
      <w:r w:rsidRPr="00174EF4">
        <w:rPr>
          <w:i/>
          <w:color w:val="000000" w:themeColor="text1"/>
        </w:rPr>
        <w:t xml:space="preserve">A History of Magic and Witchcraft in Wales. </w:t>
      </w:r>
      <w:r w:rsidRPr="00174EF4">
        <w:rPr>
          <w:color w:val="000000" w:themeColor="text1"/>
        </w:rPr>
        <w:t>Stroud: History Press.</w:t>
      </w:r>
    </w:p>
    <w:p w14:paraId="42FDCC2A" w14:textId="77777777" w:rsidR="00ED6342" w:rsidRPr="00174EF4" w:rsidRDefault="00ED6342" w:rsidP="00ED6342">
      <w:pPr>
        <w:spacing w:line="480" w:lineRule="auto"/>
        <w:ind w:left="720" w:hanging="720"/>
        <w:rPr>
          <w:color w:val="000000" w:themeColor="text1"/>
        </w:rPr>
      </w:pPr>
      <w:proofErr w:type="spellStart"/>
      <w:r w:rsidRPr="00560773">
        <w:rPr>
          <w:color w:val="000000" w:themeColor="text1"/>
          <w:shd w:val="clear" w:color="auto" w:fill="FFFFFF"/>
        </w:rPr>
        <w:t>Tanović</w:t>
      </w:r>
      <w:proofErr w:type="spellEnd"/>
      <w:r w:rsidRPr="00174EF4">
        <w:rPr>
          <w:color w:val="000000" w:themeColor="text1"/>
          <w:shd w:val="clear" w:color="auto" w:fill="FFFFFF"/>
        </w:rPr>
        <w:t>, S</w:t>
      </w:r>
      <w:r>
        <w:rPr>
          <w:color w:val="000000" w:themeColor="text1"/>
          <w:shd w:val="clear" w:color="auto" w:fill="FFFFFF"/>
        </w:rPr>
        <w:t>.</w:t>
      </w:r>
      <w:r w:rsidRPr="00174EF4">
        <w:rPr>
          <w:color w:val="000000" w:themeColor="text1"/>
          <w:shd w:val="clear" w:color="auto" w:fill="FFFFFF"/>
        </w:rPr>
        <w:t xml:space="preserve"> (2019). “Space </w:t>
      </w:r>
      <w:r>
        <w:rPr>
          <w:color w:val="000000" w:themeColor="text1"/>
          <w:shd w:val="clear" w:color="auto" w:fill="FFFFFF"/>
        </w:rPr>
        <w:t>T</w:t>
      </w:r>
      <w:r w:rsidRPr="00174EF4">
        <w:rPr>
          <w:color w:val="000000" w:themeColor="text1"/>
          <w:shd w:val="clear" w:color="auto" w:fill="FFFFFF"/>
        </w:rPr>
        <w:t xml:space="preserve">hat Transcends Time: Narrating the Past in the </w:t>
      </w:r>
      <w:proofErr w:type="spellStart"/>
      <w:r w:rsidRPr="00174EF4">
        <w:rPr>
          <w:color w:val="000000" w:themeColor="text1"/>
          <w:shd w:val="clear" w:color="auto" w:fill="FFFFFF"/>
        </w:rPr>
        <w:t>Steilneset</w:t>
      </w:r>
      <w:proofErr w:type="spellEnd"/>
      <w:r w:rsidRPr="00174EF4">
        <w:rPr>
          <w:color w:val="000000" w:themeColor="text1"/>
          <w:shd w:val="clear" w:color="auto" w:fill="FFFFFF"/>
        </w:rPr>
        <w:t xml:space="preserve"> Memorial in </w:t>
      </w:r>
      <w:proofErr w:type="spellStart"/>
      <w:r w:rsidRPr="00174EF4">
        <w:rPr>
          <w:color w:val="000000" w:themeColor="text1"/>
          <w:shd w:val="clear" w:color="auto" w:fill="FFFFFF"/>
        </w:rPr>
        <w:t>Vardø</w:t>
      </w:r>
      <w:proofErr w:type="spellEnd"/>
      <w:r w:rsidRPr="00174EF4">
        <w:rPr>
          <w:color w:val="000000" w:themeColor="text1"/>
          <w:shd w:val="clear" w:color="auto" w:fill="FFFFFF"/>
        </w:rPr>
        <w:t xml:space="preserve">.” </w:t>
      </w:r>
      <w:r w:rsidRPr="00174EF4">
        <w:rPr>
          <w:i/>
          <w:iCs/>
          <w:color w:val="000000" w:themeColor="text1"/>
          <w:shd w:val="clear" w:color="auto" w:fill="FFFFFF"/>
        </w:rPr>
        <w:t>Journal of Interior Design</w:t>
      </w:r>
      <w:r w:rsidRPr="00174EF4">
        <w:rPr>
          <w:color w:val="000000" w:themeColor="text1"/>
          <w:shd w:val="clear" w:color="auto" w:fill="FFFFFF"/>
        </w:rPr>
        <w:t xml:space="preserve"> 44: 65</w:t>
      </w:r>
      <w:r>
        <w:rPr>
          <w:color w:val="000000" w:themeColor="text1"/>
          <w:shd w:val="clear" w:color="auto" w:fill="FFFFFF"/>
        </w:rPr>
        <w:t>–</w:t>
      </w:r>
      <w:r w:rsidRPr="00174EF4">
        <w:rPr>
          <w:color w:val="000000" w:themeColor="text1"/>
          <w:shd w:val="clear" w:color="auto" w:fill="FFFFFF"/>
        </w:rPr>
        <w:t>73.</w:t>
      </w:r>
    </w:p>
    <w:p w14:paraId="1D8E430C" w14:textId="77777777" w:rsidR="00ED6342" w:rsidRPr="00174EF4" w:rsidRDefault="00ED6342" w:rsidP="00ED6342">
      <w:pPr>
        <w:pStyle w:val="EndnoteText"/>
        <w:spacing w:line="480" w:lineRule="auto"/>
        <w:ind w:left="720" w:hanging="720"/>
        <w:rPr>
          <w:color w:val="000000" w:themeColor="text1"/>
        </w:rPr>
      </w:pPr>
      <w:proofErr w:type="spellStart"/>
      <w:r w:rsidRPr="00560773">
        <w:rPr>
          <w:color w:val="000000" w:themeColor="text1"/>
        </w:rPr>
        <w:t>Tisdall</w:t>
      </w:r>
      <w:proofErr w:type="spellEnd"/>
      <w:r w:rsidRPr="00174EF4">
        <w:rPr>
          <w:color w:val="000000" w:themeColor="text1"/>
        </w:rPr>
        <w:t>, W</w:t>
      </w:r>
      <w:r>
        <w:rPr>
          <w:color w:val="000000" w:themeColor="text1"/>
        </w:rPr>
        <w:t>.</w:t>
      </w:r>
      <w:r w:rsidRPr="00174EF4">
        <w:rPr>
          <w:color w:val="000000" w:themeColor="text1"/>
        </w:rPr>
        <w:t xml:space="preserve"> (</w:t>
      </w:r>
      <w:r>
        <w:rPr>
          <w:color w:val="000000" w:themeColor="text1"/>
        </w:rPr>
        <w:t>[</w:t>
      </w:r>
      <w:r w:rsidRPr="00174EF4">
        <w:rPr>
          <w:color w:val="000000" w:themeColor="text1"/>
        </w:rPr>
        <w:t>1711</w:t>
      </w:r>
      <w:r>
        <w:rPr>
          <w:color w:val="000000" w:themeColor="text1"/>
        </w:rPr>
        <w:t>]</w:t>
      </w:r>
      <w:r w:rsidRPr="00174EF4">
        <w:rPr>
          <w:color w:val="000000" w:themeColor="text1"/>
        </w:rPr>
        <w:t xml:space="preserve"> 1775</w:t>
      </w:r>
      <w:r>
        <w:rPr>
          <w:color w:val="000000" w:themeColor="text1"/>
        </w:rPr>
        <w:t>)</w:t>
      </w:r>
      <w:r w:rsidRPr="00174EF4">
        <w:rPr>
          <w:color w:val="000000" w:themeColor="text1"/>
        </w:rPr>
        <w:t xml:space="preserve">. “Account of the Trial of Eight Reputed Witches, 4 April 1711.” </w:t>
      </w:r>
      <w:r w:rsidRPr="00174EF4">
        <w:rPr>
          <w:i/>
          <w:color w:val="000000" w:themeColor="text1"/>
        </w:rPr>
        <w:t>Hibernian Magazine</w:t>
      </w:r>
      <w:r w:rsidRPr="00174EF4">
        <w:rPr>
          <w:color w:val="000000" w:themeColor="text1"/>
        </w:rPr>
        <w:t>: 47</w:t>
      </w:r>
      <w:r>
        <w:rPr>
          <w:color w:val="000000" w:themeColor="text1"/>
        </w:rPr>
        <w:t>–</w:t>
      </w:r>
      <w:r w:rsidRPr="00174EF4">
        <w:rPr>
          <w:color w:val="000000" w:themeColor="text1"/>
        </w:rPr>
        <w:t>51.</w:t>
      </w:r>
    </w:p>
    <w:p w14:paraId="75AEEA63" w14:textId="77777777" w:rsidR="00ED6342" w:rsidRPr="00560773" w:rsidRDefault="00ED6342" w:rsidP="00ED6342">
      <w:pPr>
        <w:pStyle w:val="EndnoteText"/>
        <w:spacing w:line="480" w:lineRule="auto"/>
        <w:ind w:left="720" w:hanging="720"/>
        <w:rPr>
          <w:color w:val="000000" w:themeColor="text1"/>
        </w:rPr>
      </w:pPr>
      <w:r w:rsidRPr="00560773">
        <w:rPr>
          <w:color w:val="000000" w:themeColor="text1"/>
        </w:rPr>
        <w:t xml:space="preserve">Trinity College Dublin (TCD) (March 1711). Samuel Molyneux Papers, </w:t>
      </w:r>
      <w:proofErr w:type="spellStart"/>
      <w:r w:rsidRPr="00560773">
        <w:rPr>
          <w:color w:val="000000" w:themeColor="text1"/>
        </w:rPr>
        <w:t>Ms</w:t>
      </w:r>
      <w:proofErr w:type="spellEnd"/>
      <w:r w:rsidRPr="00560773">
        <w:rPr>
          <w:color w:val="000000" w:themeColor="text1"/>
        </w:rPr>
        <w:t xml:space="preserve"> 883/2: 273–85. “Examinations and Depositions taken in the County Antrim Respecting Witches.”</w:t>
      </w:r>
    </w:p>
    <w:p w14:paraId="5262DFA9" w14:textId="77777777" w:rsidR="00ED6342" w:rsidRPr="00174EF4" w:rsidRDefault="00ED6342" w:rsidP="00ED6342">
      <w:pPr>
        <w:pStyle w:val="EndnoteText"/>
        <w:spacing w:line="480" w:lineRule="auto"/>
        <w:ind w:left="720" w:hanging="720"/>
        <w:rPr>
          <w:color w:val="000000" w:themeColor="text1"/>
        </w:rPr>
      </w:pPr>
      <w:r w:rsidRPr="00560773">
        <w:rPr>
          <w:color w:val="000000" w:themeColor="text1"/>
        </w:rPr>
        <w:t xml:space="preserve">——— (14 May 1711). Samuel Molyneux Papers, </w:t>
      </w:r>
      <w:proofErr w:type="spellStart"/>
      <w:r w:rsidRPr="00560773">
        <w:rPr>
          <w:color w:val="000000" w:themeColor="text1"/>
        </w:rPr>
        <w:t>Ms</w:t>
      </w:r>
      <w:proofErr w:type="spellEnd"/>
      <w:r w:rsidRPr="00560773">
        <w:rPr>
          <w:color w:val="000000" w:themeColor="text1"/>
        </w:rPr>
        <w:t xml:space="preserve"> 889, f. 31r–31v. Samuel Molyneux to Thomas Molyneux.</w:t>
      </w:r>
    </w:p>
    <w:p w14:paraId="362B2E70" w14:textId="77777777" w:rsidR="00ED6342" w:rsidRPr="00174EF4" w:rsidRDefault="00ED6342" w:rsidP="00ED6342">
      <w:pPr>
        <w:spacing w:line="480" w:lineRule="auto"/>
        <w:ind w:left="720" w:hanging="720"/>
        <w:rPr>
          <w:color w:val="000000" w:themeColor="text1"/>
        </w:rPr>
      </w:pPr>
      <w:r w:rsidRPr="00560773">
        <w:rPr>
          <w:color w:val="000000" w:themeColor="text1"/>
        </w:rPr>
        <w:t>Waters</w:t>
      </w:r>
      <w:r w:rsidRPr="00174EF4">
        <w:rPr>
          <w:color w:val="000000" w:themeColor="text1"/>
        </w:rPr>
        <w:t>, T</w:t>
      </w:r>
      <w:r>
        <w:rPr>
          <w:color w:val="000000" w:themeColor="text1"/>
        </w:rPr>
        <w:t>.</w:t>
      </w:r>
      <w:r w:rsidRPr="00174EF4">
        <w:rPr>
          <w:color w:val="000000" w:themeColor="text1"/>
        </w:rPr>
        <w:t xml:space="preserve"> (2009). “Belief in Witchcraft in Oxfordshire and Warwickshire, c. 1860</w:t>
      </w:r>
      <w:r>
        <w:rPr>
          <w:color w:val="000000" w:themeColor="text1"/>
        </w:rPr>
        <w:t>–</w:t>
      </w:r>
      <w:r w:rsidRPr="00174EF4">
        <w:rPr>
          <w:color w:val="000000" w:themeColor="text1"/>
        </w:rPr>
        <w:t xml:space="preserve">1900: </w:t>
      </w:r>
      <w:r>
        <w:rPr>
          <w:color w:val="000000" w:themeColor="text1"/>
        </w:rPr>
        <w:t>T</w:t>
      </w:r>
      <w:r w:rsidRPr="00174EF4">
        <w:rPr>
          <w:color w:val="000000" w:themeColor="text1"/>
        </w:rPr>
        <w:t xml:space="preserve">he Evidence of the Newspaper Archive.” </w:t>
      </w:r>
      <w:r w:rsidRPr="00174EF4">
        <w:rPr>
          <w:i/>
          <w:color w:val="000000" w:themeColor="text1"/>
        </w:rPr>
        <w:t>Midland History</w:t>
      </w:r>
      <w:r w:rsidRPr="00174EF4">
        <w:rPr>
          <w:color w:val="000000" w:themeColor="text1"/>
        </w:rPr>
        <w:t xml:space="preserve"> 34: 98</w:t>
      </w:r>
      <w:r>
        <w:rPr>
          <w:color w:val="000000" w:themeColor="text1"/>
        </w:rPr>
        <w:t>–</w:t>
      </w:r>
      <w:r w:rsidRPr="00174EF4">
        <w:rPr>
          <w:color w:val="000000" w:themeColor="text1"/>
        </w:rPr>
        <w:t>116.</w:t>
      </w:r>
    </w:p>
    <w:p w14:paraId="31A14293" w14:textId="77777777" w:rsidR="00ED6342" w:rsidRPr="00174EF4" w:rsidRDefault="00ED6342" w:rsidP="00ED6342">
      <w:pPr>
        <w:spacing w:line="480" w:lineRule="auto"/>
        <w:ind w:left="720" w:hanging="720"/>
        <w:rPr>
          <w:color w:val="000000" w:themeColor="text1"/>
        </w:rPr>
      </w:pPr>
      <w:r w:rsidRPr="00560773">
        <w:rPr>
          <w:color w:val="000000" w:themeColor="text1"/>
        </w:rPr>
        <w:t>———</w:t>
      </w:r>
      <w:r>
        <w:rPr>
          <w:color w:val="000000" w:themeColor="text1"/>
        </w:rPr>
        <w:t xml:space="preserve"> </w:t>
      </w:r>
      <w:r w:rsidRPr="00174EF4">
        <w:rPr>
          <w:color w:val="000000" w:themeColor="text1"/>
        </w:rPr>
        <w:t xml:space="preserve">(2015). “Maleficent Witchcraft in Britain since 1900.” </w:t>
      </w:r>
      <w:r w:rsidRPr="00174EF4">
        <w:rPr>
          <w:i/>
          <w:color w:val="000000" w:themeColor="text1"/>
        </w:rPr>
        <w:t>History Workshop</w:t>
      </w:r>
      <w:r w:rsidRPr="00174EF4">
        <w:rPr>
          <w:color w:val="000000" w:themeColor="text1"/>
        </w:rPr>
        <w:t xml:space="preserve"> </w:t>
      </w:r>
      <w:r w:rsidRPr="00174EF4">
        <w:rPr>
          <w:i/>
          <w:iCs/>
          <w:color w:val="000000" w:themeColor="text1"/>
        </w:rPr>
        <w:t>Journal</w:t>
      </w:r>
      <w:r w:rsidRPr="00174EF4">
        <w:rPr>
          <w:color w:val="000000" w:themeColor="text1"/>
        </w:rPr>
        <w:t xml:space="preserve"> 80: 99</w:t>
      </w:r>
      <w:r>
        <w:rPr>
          <w:color w:val="000000" w:themeColor="text1"/>
        </w:rPr>
        <w:t>–</w:t>
      </w:r>
      <w:r w:rsidRPr="00174EF4">
        <w:rPr>
          <w:color w:val="000000" w:themeColor="text1"/>
        </w:rPr>
        <w:t>122.</w:t>
      </w:r>
    </w:p>
    <w:p w14:paraId="1283CA9C" w14:textId="77777777" w:rsidR="00ED6342" w:rsidRPr="00174EF4" w:rsidRDefault="00ED6342" w:rsidP="00ED6342">
      <w:pPr>
        <w:spacing w:line="480" w:lineRule="auto"/>
        <w:ind w:left="720" w:hanging="720"/>
        <w:rPr>
          <w:color w:val="000000" w:themeColor="text1"/>
        </w:rPr>
      </w:pPr>
      <w:proofErr w:type="spellStart"/>
      <w:r w:rsidRPr="00560773">
        <w:rPr>
          <w:color w:val="000000" w:themeColor="text1"/>
        </w:rPr>
        <w:t>Wertsch</w:t>
      </w:r>
      <w:proofErr w:type="spellEnd"/>
      <w:r w:rsidRPr="00174EF4">
        <w:rPr>
          <w:color w:val="000000" w:themeColor="text1"/>
        </w:rPr>
        <w:t>, J</w:t>
      </w:r>
      <w:r>
        <w:rPr>
          <w:color w:val="000000" w:themeColor="text1"/>
        </w:rPr>
        <w:t>.</w:t>
      </w:r>
      <w:r w:rsidRPr="00174EF4">
        <w:rPr>
          <w:color w:val="000000" w:themeColor="text1"/>
        </w:rPr>
        <w:t xml:space="preserve"> V</w:t>
      </w:r>
      <w:r>
        <w:rPr>
          <w:color w:val="000000" w:themeColor="text1"/>
        </w:rPr>
        <w:t>.</w:t>
      </w:r>
      <w:r w:rsidRPr="00174EF4">
        <w:rPr>
          <w:color w:val="000000" w:themeColor="text1"/>
        </w:rPr>
        <w:t xml:space="preserve"> (2002). </w:t>
      </w:r>
      <w:r w:rsidRPr="00174EF4">
        <w:rPr>
          <w:i/>
          <w:color w:val="000000" w:themeColor="text1"/>
        </w:rPr>
        <w:t>Voices of Collective Remembering</w:t>
      </w:r>
      <w:r w:rsidRPr="00174EF4">
        <w:rPr>
          <w:color w:val="000000" w:themeColor="text1"/>
        </w:rPr>
        <w:t xml:space="preserve">. Cambridge: Cambridge University Press. </w:t>
      </w:r>
    </w:p>
    <w:p w14:paraId="650087E7" w14:textId="77777777" w:rsidR="00ED6342" w:rsidRPr="00174EF4" w:rsidRDefault="00ED6342" w:rsidP="00ED6342">
      <w:pPr>
        <w:pStyle w:val="EndnoteText"/>
        <w:spacing w:line="480" w:lineRule="auto"/>
        <w:ind w:left="720" w:hanging="720"/>
        <w:rPr>
          <w:color w:val="000000" w:themeColor="text1"/>
        </w:rPr>
      </w:pPr>
      <w:r w:rsidRPr="00560773">
        <w:rPr>
          <w:color w:val="000000" w:themeColor="text1"/>
        </w:rPr>
        <w:t>Young</w:t>
      </w:r>
      <w:r w:rsidRPr="00174EF4">
        <w:rPr>
          <w:color w:val="000000" w:themeColor="text1"/>
        </w:rPr>
        <w:t>, R</w:t>
      </w:r>
      <w:r>
        <w:rPr>
          <w:color w:val="000000" w:themeColor="text1"/>
        </w:rPr>
        <w:t>.</w:t>
      </w:r>
      <w:r w:rsidRPr="00174EF4">
        <w:rPr>
          <w:color w:val="000000" w:themeColor="text1"/>
        </w:rPr>
        <w:t xml:space="preserve"> M.</w:t>
      </w:r>
      <w:r>
        <w:rPr>
          <w:color w:val="000000" w:themeColor="text1"/>
        </w:rPr>
        <w:t>,</w:t>
      </w:r>
      <w:r w:rsidRPr="00174EF4">
        <w:rPr>
          <w:color w:val="000000" w:themeColor="text1"/>
        </w:rPr>
        <w:t xml:space="preserve"> ed. (1896). </w:t>
      </w:r>
      <w:r w:rsidRPr="00174EF4">
        <w:rPr>
          <w:i/>
          <w:color w:val="000000" w:themeColor="text1"/>
        </w:rPr>
        <w:t>Historical Notes of Old Belfast</w:t>
      </w:r>
      <w:r>
        <w:rPr>
          <w:i/>
          <w:color w:val="000000" w:themeColor="text1"/>
        </w:rPr>
        <w:t xml:space="preserve"> and Its Vicinity.</w:t>
      </w:r>
      <w:r w:rsidRPr="00174EF4">
        <w:rPr>
          <w:color w:val="000000" w:themeColor="text1"/>
        </w:rPr>
        <w:t xml:space="preserve"> Belfast: Ward.</w:t>
      </w:r>
    </w:p>
    <w:p w14:paraId="606AA2D3" w14:textId="77777777" w:rsidR="00ED6342" w:rsidRDefault="00ED6342" w:rsidP="00ED6342"/>
    <w:p w14:paraId="443AD46D" w14:textId="77777777" w:rsidR="00C0226A" w:rsidRPr="00F31DD1" w:rsidRDefault="00C0226A" w:rsidP="00C0226A">
      <w:pPr>
        <w:spacing w:line="480" w:lineRule="auto"/>
        <w:rPr>
          <w:color w:val="000000" w:themeColor="text1"/>
          <w:lang w:val="en-US"/>
        </w:rPr>
      </w:pPr>
    </w:p>
    <w:p w14:paraId="617FF43B" w14:textId="77777777" w:rsidR="00174EF4" w:rsidRPr="00F31DD1" w:rsidRDefault="00174EF4">
      <w:pPr>
        <w:spacing w:line="480" w:lineRule="auto"/>
        <w:rPr>
          <w:color w:val="000000" w:themeColor="text1"/>
          <w:lang w:val="en-US"/>
        </w:rPr>
      </w:pPr>
    </w:p>
    <w:p w14:paraId="6C901100" w14:textId="77777777" w:rsidR="00F31DD1" w:rsidRPr="00F31DD1" w:rsidRDefault="00F31DD1">
      <w:pPr>
        <w:spacing w:line="480" w:lineRule="auto"/>
        <w:rPr>
          <w:color w:val="000000" w:themeColor="text1"/>
          <w:lang w:val="en-US"/>
        </w:rPr>
      </w:pPr>
    </w:p>
    <w:sectPr w:rsidR="00F31DD1" w:rsidRPr="00F31DD1" w:rsidSect="00B94CF2">
      <w:headerReference w:type="even" r:id="rId8"/>
      <w:headerReference w:type="default" r:id="rId9"/>
      <w:footerReference w:type="even" r:id="rId10"/>
      <w:footerReference w:type="default" r:id="rId11"/>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268F" w14:textId="77777777" w:rsidR="001201CB" w:rsidRDefault="001201CB" w:rsidP="00F26E0F">
      <w:r>
        <w:separator/>
      </w:r>
    </w:p>
  </w:endnote>
  <w:endnote w:type="continuationSeparator" w:id="0">
    <w:p w14:paraId="3EBAB4F4" w14:textId="77777777" w:rsidR="001201CB" w:rsidRDefault="001201CB" w:rsidP="00F26E0F">
      <w:r>
        <w:continuationSeparator/>
      </w:r>
    </w:p>
  </w:endnote>
  <w:endnote w:id="1">
    <w:p w14:paraId="4997DCC2" w14:textId="626A1541" w:rsidR="00116239" w:rsidRPr="00174EF4" w:rsidRDefault="00116239" w:rsidP="00914343">
      <w:pPr>
        <w:pStyle w:val="EndnoteText"/>
        <w:spacing w:line="480" w:lineRule="auto"/>
        <w:rPr>
          <w:color w:val="000000" w:themeColor="text1"/>
          <w:lang w:val="en-GB"/>
        </w:rPr>
      </w:pPr>
      <w:r w:rsidRPr="00174EF4">
        <w:rPr>
          <w:rStyle w:val="EndnoteReference"/>
          <w:color w:val="000000" w:themeColor="text1"/>
        </w:rPr>
        <w:endnoteRef/>
      </w:r>
      <w:r w:rsidRPr="00174EF4">
        <w:rPr>
          <w:color w:val="000000" w:themeColor="text1"/>
        </w:rPr>
        <w:t xml:space="preserve"> The women were: Catherine </w:t>
      </w:r>
      <w:proofErr w:type="spellStart"/>
      <w:r w:rsidRPr="00174EF4">
        <w:rPr>
          <w:color w:val="000000" w:themeColor="text1"/>
        </w:rPr>
        <w:t>McCalmond</w:t>
      </w:r>
      <w:proofErr w:type="spellEnd"/>
      <w:r w:rsidR="00FD6747">
        <w:rPr>
          <w:color w:val="000000" w:themeColor="text1"/>
        </w:rPr>
        <w:t xml:space="preserve">, </w:t>
      </w:r>
      <w:r w:rsidRPr="00174EF4">
        <w:rPr>
          <w:color w:val="000000" w:themeColor="text1"/>
        </w:rPr>
        <w:t>Janet Liston</w:t>
      </w:r>
      <w:r w:rsidR="00FD6747">
        <w:rPr>
          <w:color w:val="000000" w:themeColor="text1"/>
        </w:rPr>
        <w:t>,</w:t>
      </w:r>
      <w:r w:rsidRPr="00174EF4">
        <w:rPr>
          <w:color w:val="000000" w:themeColor="text1"/>
        </w:rPr>
        <w:t xml:space="preserve"> Elizabeth Sellor</w:t>
      </w:r>
      <w:r w:rsidR="00FD6747">
        <w:rPr>
          <w:color w:val="000000" w:themeColor="text1"/>
        </w:rPr>
        <w:t>,</w:t>
      </w:r>
      <w:r w:rsidRPr="00174EF4">
        <w:rPr>
          <w:color w:val="000000" w:themeColor="text1"/>
        </w:rPr>
        <w:t xml:space="preserve"> Janet Carson</w:t>
      </w:r>
      <w:r w:rsidR="00FD6747">
        <w:rPr>
          <w:color w:val="000000" w:themeColor="text1"/>
        </w:rPr>
        <w:t>,</w:t>
      </w:r>
      <w:r w:rsidRPr="00174EF4">
        <w:rPr>
          <w:color w:val="000000" w:themeColor="text1"/>
        </w:rPr>
        <w:t xml:space="preserve"> Janet Main</w:t>
      </w:r>
      <w:r w:rsidR="00FD6747">
        <w:rPr>
          <w:color w:val="000000" w:themeColor="text1"/>
        </w:rPr>
        <w:t>,</w:t>
      </w:r>
      <w:r w:rsidRPr="00174EF4">
        <w:rPr>
          <w:color w:val="000000" w:themeColor="text1"/>
        </w:rPr>
        <w:t xml:space="preserve"> Janet Millar</w:t>
      </w:r>
      <w:r w:rsidR="00FD6747">
        <w:rPr>
          <w:color w:val="000000" w:themeColor="text1"/>
        </w:rPr>
        <w:t>,</w:t>
      </w:r>
      <w:r w:rsidRPr="00174EF4">
        <w:rPr>
          <w:color w:val="000000" w:themeColor="text1"/>
        </w:rPr>
        <w:t xml:space="preserve"> Janet Latimer</w:t>
      </w:r>
      <w:r w:rsidR="00FD6747">
        <w:rPr>
          <w:color w:val="000000" w:themeColor="text1"/>
        </w:rPr>
        <w:t>, and</w:t>
      </w:r>
      <w:r w:rsidRPr="00174EF4">
        <w:rPr>
          <w:color w:val="000000" w:themeColor="text1"/>
        </w:rPr>
        <w:t xml:space="preserve"> Margaret Mitchell.</w:t>
      </w:r>
    </w:p>
  </w:endnote>
  <w:endnote w:id="2">
    <w:p w14:paraId="5FF4BE6C" w14:textId="1356D477" w:rsidR="00857E8E" w:rsidRPr="00174EF4" w:rsidRDefault="00857E8E" w:rsidP="00914343">
      <w:pPr>
        <w:spacing w:line="480" w:lineRule="auto"/>
        <w:rPr>
          <w:color w:val="000000" w:themeColor="text1"/>
        </w:rPr>
      </w:pPr>
      <w:r w:rsidRPr="00174EF4">
        <w:rPr>
          <w:rStyle w:val="EndnoteReference"/>
          <w:color w:val="000000" w:themeColor="text1"/>
        </w:rPr>
        <w:endnoteRef/>
      </w:r>
      <w:r w:rsidRPr="00174EF4">
        <w:rPr>
          <w:color w:val="000000" w:themeColor="text1"/>
        </w:rPr>
        <w:t xml:space="preserve"> </w:t>
      </w:r>
      <w:r w:rsidRPr="00174EF4">
        <w:rPr>
          <w:color w:val="000000" w:themeColor="text1"/>
        </w:rPr>
        <w:t xml:space="preserve">See </w:t>
      </w:r>
      <w:r w:rsidR="00A94C4C">
        <w:rPr>
          <w:color w:val="000000" w:themeColor="text1"/>
        </w:rPr>
        <w:t>“</w:t>
      </w:r>
      <w:r w:rsidRPr="00174EF4">
        <w:rPr>
          <w:color w:val="000000" w:themeColor="text1"/>
        </w:rPr>
        <w:t>The Islandmagee Witches 300 Year Anniversary,</w:t>
      </w:r>
      <w:r w:rsidR="00A94C4C">
        <w:rPr>
          <w:color w:val="000000" w:themeColor="text1"/>
        </w:rPr>
        <w:t>”</w:t>
      </w:r>
      <w:r w:rsidRPr="00174EF4">
        <w:rPr>
          <w:color w:val="000000" w:themeColor="text1"/>
        </w:rPr>
        <w:t xml:space="preserve"> last modified 30 March 2011, </w:t>
      </w:r>
      <w:hyperlink r:id="rId1" w:history="1">
        <w:r w:rsidRPr="00174EF4">
          <w:rPr>
            <w:rStyle w:val="Hyperlink"/>
            <w:color w:val="000000" w:themeColor="text1"/>
          </w:rPr>
          <w:t>https://www.ulster.ac.uk/news/2011/march/the-islandmagee-witches-y-300-year-anniversary</w:t>
        </w:r>
      </w:hyperlink>
      <w:r w:rsidRPr="00174EF4">
        <w:rPr>
          <w:color w:val="000000" w:themeColor="text1"/>
        </w:rPr>
        <w:t>.</w:t>
      </w:r>
    </w:p>
  </w:endnote>
  <w:endnote w:id="3">
    <w:p w14:paraId="0EA8A5F4" w14:textId="461D818C" w:rsidR="00857E8E" w:rsidRPr="00174EF4" w:rsidRDefault="00857E8E" w:rsidP="00914343">
      <w:pPr>
        <w:spacing w:line="480" w:lineRule="auto"/>
        <w:rPr>
          <w:color w:val="000000" w:themeColor="text1"/>
        </w:rPr>
      </w:pPr>
      <w:r w:rsidRPr="00174EF4">
        <w:rPr>
          <w:rStyle w:val="EndnoteReference"/>
          <w:color w:val="000000" w:themeColor="text1"/>
        </w:rPr>
        <w:endnoteRef/>
      </w:r>
      <w:r w:rsidRPr="00174EF4">
        <w:rPr>
          <w:color w:val="000000" w:themeColor="text1"/>
        </w:rPr>
        <w:t xml:space="preserve"> For example: </w:t>
      </w:r>
      <w:r w:rsidRPr="00174EF4">
        <w:rPr>
          <w:i/>
          <w:iCs/>
          <w:color w:val="000000" w:themeColor="text1"/>
        </w:rPr>
        <w:t>Belfast Telegraph</w:t>
      </w:r>
      <w:r w:rsidRPr="00174EF4">
        <w:rPr>
          <w:color w:val="000000" w:themeColor="text1"/>
        </w:rPr>
        <w:t xml:space="preserve">, </w:t>
      </w:r>
      <w:r w:rsidRPr="00174EF4">
        <w:rPr>
          <w:i/>
          <w:iCs/>
          <w:color w:val="000000" w:themeColor="text1"/>
        </w:rPr>
        <w:t>Daily Mail</w:t>
      </w:r>
      <w:r w:rsidRPr="00174EF4">
        <w:rPr>
          <w:color w:val="000000" w:themeColor="text1"/>
        </w:rPr>
        <w:t xml:space="preserve">, 31 March 2011; </w:t>
      </w:r>
      <w:r w:rsidRPr="00174EF4">
        <w:rPr>
          <w:i/>
          <w:iCs/>
          <w:color w:val="000000" w:themeColor="text1"/>
        </w:rPr>
        <w:t>Irish Independent</w:t>
      </w:r>
      <w:r w:rsidRPr="00174EF4">
        <w:rPr>
          <w:color w:val="000000" w:themeColor="text1"/>
        </w:rPr>
        <w:t>, 28 May 2011.</w:t>
      </w:r>
    </w:p>
  </w:endnote>
  <w:endnote w:id="4">
    <w:p w14:paraId="421D2C15" w14:textId="05218D29" w:rsidR="00857E8E" w:rsidRPr="00174EF4" w:rsidRDefault="00857E8E" w:rsidP="00914343">
      <w:pPr>
        <w:pStyle w:val="EndnoteText"/>
        <w:spacing w:line="480" w:lineRule="auto"/>
        <w:rPr>
          <w:color w:val="000000" w:themeColor="text1"/>
        </w:rPr>
      </w:pPr>
      <w:r w:rsidRPr="00174EF4">
        <w:rPr>
          <w:rStyle w:val="EndnoteReference"/>
          <w:color w:val="000000" w:themeColor="text1"/>
        </w:rPr>
        <w:endnoteRef/>
      </w:r>
      <w:r w:rsidRPr="00174EF4">
        <w:rPr>
          <w:color w:val="000000" w:themeColor="text1"/>
        </w:rPr>
        <w:t xml:space="preserve"> For example: BBC Radio Ulster; </w:t>
      </w:r>
      <w:r w:rsidRPr="00174EF4">
        <w:rPr>
          <w:iCs/>
          <w:color w:val="000000" w:themeColor="text1"/>
        </w:rPr>
        <w:t>RTE, “Morning Show</w:t>
      </w:r>
      <w:r w:rsidR="00A94C4C">
        <w:rPr>
          <w:iCs/>
          <w:color w:val="000000" w:themeColor="text1"/>
        </w:rPr>
        <w:t>.</w:t>
      </w:r>
      <w:r w:rsidRPr="00174EF4">
        <w:rPr>
          <w:iCs/>
          <w:color w:val="000000" w:themeColor="text1"/>
        </w:rPr>
        <w:t>”</w:t>
      </w:r>
    </w:p>
  </w:endnote>
  <w:endnote w:id="5">
    <w:p w14:paraId="7C0D4078" w14:textId="73310CA6" w:rsidR="00857E8E" w:rsidRPr="00174EF4" w:rsidRDefault="00857E8E" w:rsidP="00914343">
      <w:pPr>
        <w:pStyle w:val="EndnoteText"/>
        <w:spacing w:line="480" w:lineRule="auto"/>
        <w:rPr>
          <w:color w:val="000000" w:themeColor="text1"/>
        </w:rPr>
      </w:pPr>
      <w:r w:rsidRPr="00174EF4">
        <w:rPr>
          <w:rStyle w:val="EndnoteReference"/>
          <w:color w:val="000000" w:themeColor="text1"/>
        </w:rPr>
        <w:endnoteRef/>
      </w:r>
      <w:r w:rsidRPr="00174EF4">
        <w:rPr>
          <w:color w:val="000000" w:themeColor="text1"/>
        </w:rPr>
        <w:t xml:space="preserve"> See Levack 2006: 124; Behringer 2008: 122, 144, 148; </w:t>
      </w:r>
      <w:r w:rsidRPr="00174EF4">
        <w:rPr>
          <w:color w:val="000000" w:themeColor="text1"/>
        </w:rPr>
        <w:t>Briggs 2002;</w:t>
      </w:r>
      <w:r w:rsidRPr="00174EF4">
        <w:rPr>
          <w:bCs/>
          <w:color w:val="000000" w:themeColor="text1"/>
        </w:rPr>
        <w:t xml:space="preserve"> and Ankarloo</w:t>
      </w:r>
      <w:r w:rsidR="001A573B">
        <w:rPr>
          <w:bCs/>
          <w:color w:val="000000" w:themeColor="text1"/>
        </w:rPr>
        <w:t xml:space="preserve"> and</w:t>
      </w:r>
      <w:r w:rsidRPr="00174EF4">
        <w:rPr>
          <w:bCs/>
          <w:color w:val="000000" w:themeColor="text1"/>
        </w:rPr>
        <w:t xml:space="preserve"> Henningsen 1990.</w:t>
      </w:r>
    </w:p>
  </w:endnote>
  <w:endnote w:id="6">
    <w:p w14:paraId="567FE3AE" w14:textId="613CED8D" w:rsidR="00857E8E" w:rsidRPr="00174EF4" w:rsidRDefault="00857E8E" w:rsidP="00914343">
      <w:pPr>
        <w:spacing w:line="480" w:lineRule="auto"/>
        <w:rPr>
          <w:color w:val="000000" w:themeColor="text1"/>
        </w:rPr>
      </w:pPr>
      <w:r w:rsidRPr="00174EF4">
        <w:rPr>
          <w:rStyle w:val="EndnoteReference"/>
          <w:color w:val="000000" w:themeColor="text1"/>
        </w:rPr>
        <w:endnoteRef/>
      </w:r>
      <w:r w:rsidRPr="00174EF4">
        <w:rPr>
          <w:color w:val="000000" w:themeColor="text1"/>
        </w:rPr>
        <w:t xml:space="preserve"> This research was published as: Sneddon 2015 and </w:t>
      </w:r>
      <w:r w:rsidR="00786544">
        <w:rPr>
          <w:rStyle w:val="nlm-surname"/>
          <w:color w:val="000000" w:themeColor="text1"/>
        </w:rPr>
        <w:t>Sneddon</w:t>
      </w:r>
      <w:r w:rsidR="00786544" w:rsidRPr="00174EF4">
        <w:rPr>
          <w:color w:val="000000" w:themeColor="text1"/>
        </w:rPr>
        <w:t xml:space="preserve"> </w:t>
      </w:r>
      <w:r w:rsidRPr="00174EF4">
        <w:rPr>
          <w:rStyle w:val="highwire-cite-metadata-year"/>
          <w:color w:val="000000" w:themeColor="text1"/>
        </w:rPr>
        <w:t>2016.</w:t>
      </w:r>
    </w:p>
  </w:endnote>
  <w:endnote w:id="7">
    <w:p w14:paraId="184A407E" w14:textId="2A3EA70D" w:rsidR="00857E8E" w:rsidRPr="00174EF4" w:rsidRDefault="00857E8E" w:rsidP="00914343">
      <w:pPr>
        <w:pStyle w:val="EndnoteText"/>
        <w:spacing w:line="480" w:lineRule="auto"/>
        <w:rPr>
          <w:color w:val="000000" w:themeColor="text1"/>
        </w:rPr>
      </w:pPr>
      <w:r w:rsidRPr="00174EF4">
        <w:rPr>
          <w:rStyle w:val="EndnoteReference"/>
          <w:color w:val="000000" w:themeColor="text1"/>
        </w:rPr>
        <w:endnoteRef/>
      </w:r>
      <w:r w:rsidRPr="00174EF4">
        <w:rPr>
          <w:color w:val="000000" w:themeColor="text1"/>
        </w:rPr>
        <w:t xml:space="preserve"> See </w:t>
      </w:r>
      <w:r w:rsidRPr="00174EF4">
        <w:rPr>
          <w:i/>
          <w:iCs/>
          <w:color w:val="000000" w:themeColor="text1"/>
        </w:rPr>
        <w:t>Dublin Intelligence</w:t>
      </w:r>
      <w:r w:rsidRPr="00174EF4">
        <w:rPr>
          <w:color w:val="000000" w:themeColor="text1"/>
        </w:rPr>
        <w:t>, 14 April 1711 and 24 April 1711.</w:t>
      </w:r>
    </w:p>
  </w:endnote>
  <w:endnote w:id="8">
    <w:p w14:paraId="7398E9C7" w14:textId="275D9FF4" w:rsidR="00857E8E" w:rsidRPr="00174EF4" w:rsidRDefault="00857E8E" w:rsidP="00914343">
      <w:pPr>
        <w:pStyle w:val="EndnoteText"/>
        <w:spacing w:line="480" w:lineRule="auto"/>
        <w:rPr>
          <w:color w:val="000000" w:themeColor="text1"/>
        </w:rPr>
      </w:pPr>
      <w:r w:rsidRPr="00174EF4">
        <w:rPr>
          <w:rStyle w:val="EndnoteReference"/>
          <w:color w:val="000000" w:themeColor="text1"/>
        </w:rPr>
        <w:endnoteRef/>
      </w:r>
      <w:r w:rsidRPr="00174EF4">
        <w:rPr>
          <w:color w:val="000000" w:themeColor="text1"/>
        </w:rPr>
        <w:t xml:space="preserve"> See </w:t>
      </w:r>
      <w:r w:rsidR="008E3601">
        <w:rPr>
          <w:color w:val="000000" w:themeColor="text1"/>
        </w:rPr>
        <w:t xml:space="preserve">Trinity </w:t>
      </w:r>
      <w:r w:rsidR="008E3601">
        <w:rPr>
          <w:color w:val="000000" w:themeColor="text1"/>
        </w:rPr>
        <w:t>College Dublin (</w:t>
      </w:r>
      <w:r w:rsidR="00080F52" w:rsidRPr="00174EF4">
        <w:rPr>
          <w:color w:val="000000" w:themeColor="text1"/>
        </w:rPr>
        <w:t>TCD</w:t>
      </w:r>
      <w:r w:rsidR="008E3601">
        <w:rPr>
          <w:color w:val="000000" w:themeColor="text1"/>
        </w:rPr>
        <w:t>)</w:t>
      </w:r>
      <w:r w:rsidR="00080F52" w:rsidRPr="00174EF4">
        <w:rPr>
          <w:color w:val="000000" w:themeColor="text1"/>
        </w:rPr>
        <w:t xml:space="preserve">, </w:t>
      </w:r>
      <w:r w:rsidRPr="00174EF4">
        <w:rPr>
          <w:color w:val="000000" w:themeColor="text1"/>
        </w:rPr>
        <w:t>Ms 883/2: 273</w:t>
      </w:r>
      <w:r w:rsidR="008E3601">
        <w:rPr>
          <w:color w:val="000000" w:themeColor="text1"/>
        </w:rPr>
        <w:t>–</w:t>
      </w:r>
      <w:r w:rsidRPr="00174EF4">
        <w:rPr>
          <w:color w:val="000000" w:themeColor="text1"/>
        </w:rPr>
        <w:t xml:space="preserve">85. These depositions were published in the late nineteenth century </w:t>
      </w:r>
      <w:r w:rsidR="00583EF5" w:rsidRPr="00174EF4">
        <w:rPr>
          <w:color w:val="000000" w:themeColor="text1"/>
        </w:rPr>
        <w:t>as</w:t>
      </w:r>
      <w:r w:rsidRPr="00174EF4">
        <w:rPr>
          <w:color w:val="000000" w:themeColor="text1"/>
        </w:rPr>
        <w:t xml:space="preserve"> Young 1896.</w:t>
      </w:r>
    </w:p>
  </w:endnote>
  <w:endnote w:id="9">
    <w:p w14:paraId="0F689A53" w14:textId="4DCE0C10" w:rsidR="00E02957" w:rsidRPr="00174EF4" w:rsidRDefault="00E02957" w:rsidP="00914343">
      <w:pPr>
        <w:pStyle w:val="EndnoteText"/>
        <w:spacing w:line="480" w:lineRule="auto"/>
        <w:rPr>
          <w:color w:val="000000" w:themeColor="text1"/>
          <w:lang w:val="en-GB"/>
        </w:rPr>
      </w:pPr>
      <w:r w:rsidRPr="00174EF4">
        <w:rPr>
          <w:rStyle w:val="EndnoteReference"/>
          <w:color w:val="000000" w:themeColor="text1"/>
        </w:rPr>
        <w:endnoteRef/>
      </w:r>
      <w:r w:rsidRPr="00174EF4">
        <w:rPr>
          <w:color w:val="000000" w:themeColor="text1"/>
        </w:rPr>
        <w:t xml:space="preserve"> </w:t>
      </w:r>
      <w:r w:rsidR="007D4319" w:rsidRPr="00174EF4">
        <w:rPr>
          <w:color w:val="000000" w:themeColor="text1"/>
        </w:rPr>
        <w:t xml:space="preserve">See </w:t>
      </w:r>
      <w:r w:rsidRPr="00174EF4">
        <w:rPr>
          <w:color w:val="000000" w:themeColor="text1"/>
        </w:rPr>
        <w:t>TCD</w:t>
      </w:r>
      <w:r w:rsidR="00080F52" w:rsidRPr="00174EF4">
        <w:rPr>
          <w:color w:val="000000" w:themeColor="text1"/>
        </w:rPr>
        <w:t xml:space="preserve">, </w:t>
      </w:r>
      <w:r w:rsidRPr="00174EF4">
        <w:rPr>
          <w:color w:val="000000" w:themeColor="text1"/>
        </w:rPr>
        <w:t>Ms 889, ff.31r</w:t>
      </w:r>
      <w:r w:rsidR="008E3601">
        <w:rPr>
          <w:color w:val="000000" w:themeColor="text1"/>
        </w:rPr>
        <w:t>–</w:t>
      </w:r>
      <w:r w:rsidRPr="00174EF4">
        <w:rPr>
          <w:color w:val="000000" w:themeColor="text1"/>
        </w:rPr>
        <w:t>31v; Tisdall</w:t>
      </w:r>
      <w:r w:rsidR="00933C4F">
        <w:rPr>
          <w:color w:val="000000" w:themeColor="text1"/>
        </w:rPr>
        <w:t xml:space="preserve"> (1711)</w:t>
      </w:r>
      <w:r w:rsidRPr="00174EF4">
        <w:rPr>
          <w:color w:val="000000" w:themeColor="text1"/>
        </w:rPr>
        <w:t xml:space="preserve"> 1775.</w:t>
      </w:r>
    </w:p>
  </w:endnote>
  <w:endnote w:id="10">
    <w:p w14:paraId="0184FEC9" w14:textId="70297CA4" w:rsidR="00857E8E" w:rsidRPr="00174EF4" w:rsidRDefault="00D52065" w:rsidP="00914343">
      <w:pPr>
        <w:autoSpaceDE w:val="0"/>
        <w:autoSpaceDN w:val="0"/>
        <w:adjustRightInd w:val="0"/>
        <w:spacing w:line="480" w:lineRule="auto"/>
        <w:rPr>
          <w:color w:val="000000" w:themeColor="text1"/>
        </w:rPr>
      </w:pPr>
      <w:r w:rsidRPr="00174EF4">
        <w:rPr>
          <w:rStyle w:val="EndnoteReference"/>
          <w:color w:val="000000" w:themeColor="text1"/>
        </w:rPr>
        <w:endnoteRef/>
      </w:r>
      <w:r w:rsidRPr="00174EF4">
        <w:rPr>
          <w:color w:val="000000" w:themeColor="text1"/>
        </w:rPr>
        <w:t xml:space="preserve"> </w:t>
      </w:r>
      <w:r w:rsidR="00857E8E" w:rsidRPr="00174EF4">
        <w:rPr>
          <w:color w:val="000000" w:themeColor="text1"/>
        </w:rPr>
        <w:t xml:space="preserve">For </w:t>
      </w:r>
      <w:r w:rsidR="0021423F" w:rsidRPr="00174EF4">
        <w:rPr>
          <w:color w:val="000000" w:themeColor="text1"/>
        </w:rPr>
        <w:t>microhistory</w:t>
      </w:r>
      <w:r w:rsidR="00857E8E" w:rsidRPr="00174EF4">
        <w:rPr>
          <w:color w:val="000000" w:themeColor="text1"/>
        </w:rPr>
        <w:t xml:space="preserve">, see </w:t>
      </w:r>
      <w:r w:rsidR="00857E8E" w:rsidRPr="00174EF4">
        <w:rPr>
          <w:color w:val="000000" w:themeColor="text1"/>
          <w:spacing w:val="-5"/>
          <w:shd w:val="clear" w:color="auto" w:fill="FFFFFF"/>
        </w:rPr>
        <w:t>Ginzburg, Tedeschi, and Tedeschi 1993: 22</w:t>
      </w:r>
      <w:r w:rsidR="0089446B">
        <w:rPr>
          <w:color w:val="000000" w:themeColor="text1"/>
          <w:spacing w:val="-5"/>
          <w:shd w:val="clear" w:color="auto" w:fill="FFFFFF"/>
        </w:rPr>
        <w:t>–</w:t>
      </w:r>
      <w:r w:rsidR="00857E8E" w:rsidRPr="00174EF4">
        <w:rPr>
          <w:color w:val="000000" w:themeColor="text1"/>
          <w:spacing w:val="-5"/>
          <w:shd w:val="clear" w:color="auto" w:fill="FFFFFF"/>
        </w:rPr>
        <w:t xml:space="preserve">32; </w:t>
      </w:r>
      <w:r w:rsidR="00857E8E" w:rsidRPr="00174EF4">
        <w:rPr>
          <w:color w:val="000000" w:themeColor="text1"/>
        </w:rPr>
        <w:t>Levi 2005.</w:t>
      </w:r>
    </w:p>
  </w:endnote>
  <w:endnote w:id="11">
    <w:p w14:paraId="32F5AFA0" w14:textId="03FBB452" w:rsidR="00857E8E" w:rsidRPr="00174EF4" w:rsidRDefault="00FB596E" w:rsidP="00914343">
      <w:pPr>
        <w:spacing w:line="480" w:lineRule="auto"/>
        <w:rPr>
          <w:color w:val="000000" w:themeColor="text1"/>
        </w:rPr>
      </w:pPr>
      <w:r w:rsidRPr="00174EF4">
        <w:rPr>
          <w:rStyle w:val="EndnoteReference"/>
          <w:color w:val="000000" w:themeColor="text1"/>
        </w:rPr>
        <w:endnoteRef/>
      </w:r>
      <w:r w:rsidRPr="00174EF4">
        <w:rPr>
          <w:color w:val="000000" w:themeColor="text1"/>
        </w:rPr>
        <w:t xml:space="preserve"> </w:t>
      </w:r>
      <w:r w:rsidR="00857E8E" w:rsidRPr="00174EF4">
        <w:rPr>
          <w:color w:val="000000" w:themeColor="text1"/>
        </w:rPr>
        <w:t>Sneddon 2013. See also, Sharpe 1996,</w:t>
      </w:r>
      <w:r w:rsidR="00701B2F" w:rsidRPr="00174EF4">
        <w:rPr>
          <w:color w:val="000000" w:themeColor="text1"/>
        </w:rPr>
        <w:t xml:space="preserve"> </w:t>
      </w:r>
      <w:r w:rsidR="00857E8E" w:rsidRPr="00174EF4">
        <w:rPr>
          <w:color w:val="000000" w:themeColor="text1"/>
        </w:rPr>
        <w:t xml:space="preserve">Almond </w:t>
      </w:r>
      <w:r w:rsidR="00857E8E" w:rsidRPr="00174EF4">
        <w:rPr>
          <w:color w:val="000000" w:themeColor="text1"/>
        </w:rPr>
        <w:t>2004:</w:t>
      </w:r>
      <w:r w:rsidR="008E1CC4" w:rsidRPr="00174EF4">
        <w:rPr>
          <w:color w:val="000000" w:themeColor="text1"/>
        </w:rPr>
        <w:t xml:space="preserve"> </w:t>
      </w:r>
      <w:r w:rsidR="00857E8E" w:rsidRPr="00174EF4">
        <w:rPr>
          <w:color w:val="000000" w:themeColor="text1"/>
        </w:rPr>
        <w:t>1</w:t>
      </w:r>
      <w:r w:rsidR="00282149">
        <w:rPr>
          <w:color w:val="000000" w:themeColor="text1"/>
        </w:rPr>
        <w:t>–</w:t>
      </w:r>
      <w:r w:rsidR="00857E8E" w:rsidRPr="00174EF4">
        <w:rPr>
          <w:color w:val="000000" w:themeColor="text1"/>
        </w:rPr>
        <w:t>41</w:t>
      </w:r>
      <w:r w:rsidR="00F014E5" w:rsidRPr="00174EF4">
        <w:rPr>
          <w:color w:val="000000" w:themeColor="text1"/>
        </w:rPr>
        <w:t>, and Levack 2007: 115</w:t>
      </w:r>
      <w:r w:rsidR="00282149">
        <w:rPr>
          <w:color w:val="000000" w:themeColor="text1"/>
        </w:rPr>
        <w:t>–</w:t>
      </w:r>
      <w:r w:rsidR="00F014E5" w:rsidRPr="00174EF4">
        <w:rPr>
          <w:color w:val="000000" w:themeColor="text1"/>
        </w:rPr>
        <w:t>30, 145</w:t>
      </w:r>
      <w:r w:rsidR="00282149">
        <w:rPr>
          <w:color w:val="000000" w:themeColor="text1"/>
        </w:rPr>
        <w:t>–</w:t>
      </w:r>
      <w:r w:rsidR="00F014E5" w:rsidRPr="00174EF4">
        <w:rPr>
          <w:color w:val="000000" w:themeColor="text1"/>
        </w:rPr>
        <w:t>61</w:t>
      </w:r>
      <w:r w:rsidR="00857E8E" w:rsidRPr="00174EF4">
        <w:rPr>
          <w:color w:val="000000" w:themeColor="text1"/>
        </w:rPr>
        <w:t>.</w:t>
      </w:r>
    </w:p>
  </w:endnote>
  <w:endnote w:id="12">
    <w:p w14:paraId="282A9E75" w14:textId="6871288E" w:rsidR="00857E8E" w:rsidRPr="00174EF4" w:rsidRDefault="00857E8E" w:rsidP="00914343">
      <w:pPr>
        <w:pStyle w:val="NoSpacing"/>
        <w:spacing w:line="480" w:lineRule="auto"/>
        <w:rPr>
          <w:rFonts w:ascii="Times New Roman" w:hAnsi="Times New Roman" w:cs="Times New Roman"/>
          <w:color w:val="000000" w:themeColor="text1"/>
          <w:sz w:val="24"/>
          <w:szCs w:val="24"/>
        </w:rPr>
      </w:pPr>
      <w:r w:rsidRPr="00174EF4">
        <w:rPr>
          <w:rStyle w:val="EndnoteReference"/>
          <w:rFonts w:ascii="Times New Roman" w:hAnsi="Times New Roman" w:cs="Times New Roman"/>
          <w:color w:val="000000" w:themeColor="text1"/>
          <w:sz w:val="24"/>
          <w:szCs w:val="24"/>
        </w:rPr>
        <w:endnoteRef/>
      </w:r>
      <w:r w:rsidRPr="00174EF4">
        <w:rPr>
          <w:rFonts w:ascii="Times New Roman" w:hAnsi="Times New Roman" w:cs="Times New Roman"/>
          <w:color w:val="000000" w:themeColor="text1"/>
          <w:sz w:val="24"/>
          <w:szCs w:val="24"/>
        </w:rPr>
        <w:t xml:space="preserve"> Sneddon 2013, chapters 4</w:t>
      </w:r>
      <w:r w:rsidR="00253CD5">
        <w:rPr>
          <w:rFonts w:ascii="Times New Roman" w:hAnsi="Times New Roman" w:cs="Times New Roman"/>
          <w:color w:val="000000" w:themeColor="text1"/>
          <w:sz w:val="24"/>
          <w:szCs w:val="24"/>
        </w:rPr>
        <w:t>–</w:t>
      </w:r>
      <w:r w:rsidRPr="00174EF4">
        <w:rPr>
          <w:rFonts w:ascii="Times New Roman" w:hAnsi="Times New Roman" w:cs="Times New Roman"/>
          <w:color w:val="000000" w:themeColor="text1"/>
          <w:sz w:val="24"/>
          <w:szCs w:val="24"/>
        </w:rPr>
        <w:t xml:space="preserve">6. For a recent study of how early modern English literature linked individuals with physical impairments to evil based on their appearance: </w:t>
      </w:r>
      <w:r w:rsidRPr="00174EF4">
        <w:rPr>
          <w:rStyle w:val="authors"/>
          <w:rFonts w:ascii="Times New Roman" w:hAnsi="Times New Roman" w:cs="Times New Roman"/>
          <w:color w:val="000000" w:themeColor="text1"/>
          <w:sz w:val="24"/>
          <w:szCs w:val="24"/>
        </w:rPr>
        <w:t xml:space="preserve">Eaton </w:t>
      </w:r>
      <w:r w:rsidRPr="00174EF4">
        <w:rPr>
          <w:rStyle w:val="Date2"/>
          <w:rFonts w:ascii="Times New Roman" w:hAnsi="Times New Roman" w:cs="Times New Roman"/>
          <w:color w:val="000000" w:themeColor="text1"/>
          <w:sz w:val="24"/>
          <w:szCs w:val="24"/>
        </w:rPr>
        <w:t>2020</w:t>
      </w:r>
      <w:r w:rsidRPr="00174EF4">
        <w:rPr>
          <w:rStyle w:val="pagerange"/>
          <w:rFonts w:ascii="Times New Roman" w:hAnsi="Times New Roman" w:cs="Times New Roman"/>
          <w:color w:val="000000" w:themeColor="text1"/>
          <w:sz w:val="24"/>
          <w:szCs w:val="24"/>
        </w:rPr>
        <w:t>. For male witches and the role masculinity</w:t>
      </w:r>
      <w:r w:rsidR="00583EF5" w:rsidRPr="00174EF4">
        <w:rPr>
          <w:rStyle w:val="pagerange"/>
          <w:rFonts w:ascii="Times New Roman" w:hAnsi="Times New Roman" w:cs="Times New Roman"/>
          <w:color w:val="000000" w:themeColor="text1"/>
          <w:sz w:val="24"/>
          <w:szCs w:val="24"/>
        </w:rPr>
        <w:t xml:space="preserve"> played</w:t>
      </w:r>
      <w:r w:rsidRPr="00174EF4">
        <w:rPr>
          <w:rStyle w:val="pagerange"/>
          <w:rFonts w:ascii="Times New Roman" w:hAnsi="Times New Roman" w:cs="Times New Roman"/>
          <w:color w:val="000000" w:themeColor="text1"/>
          <w:sz w:val="24"/>
          <w:szCs w:val="24"/>
        </w:rPr>
        <w:t xml:space="preserve"> in witchcraft accusations and trials: </w:t>
      </w:r>
      <w:r w:rsidRPr="00174EF4">
        <w:rPr>
          <w:rFonts w:ascii="Times New Roman" w:hAnsi="Times New Roman" w:cs="Times New Roman"/>
          <w:color w:val="000000" w:themeColor="text1"/>
          <w:sz w:val="24"/>
          <w:szCs w:val="24"/>
        </w:rPr>
        <w:t xml:space="preserve">Rowlands </w:t>
      </w:r>
      <w:r w:rsidRPr="00174EF4">
        <w:rPr>
          <w:rFonts w:ascii="Times New Roman" w:hAnsi="Times New Roman" w:cs="Times New Roman"/>
          <w:color w:val="000000" w:themeColor="text1"/>
          <w:sz w:val="24"/>
          <w:szCs w:val="24"/>
        </w:rPr>
        <w:t>2009; Apps</w:t>
      </w:r>
      <w:r w:rsidR="00253CD5">
        <w:rPr>
          <w:rFonts w:ascii="Times New Roman" w:hAnsi="Times New Roman" w:cs="Times New Roman"/>
          <w:color w:val="000000" w:themeColor="text1"/>
          <w:sz w:val="24"/>
          <w:szCs w:val="24"/>
        </w:rPr>
        <w:t xml:space="preserve"> and</w:t>
      </w:r>
      <w:r w:rsidRPr="00174EF4">
        <w:rPr>
          <w:rFonts w:ascii="Times New Roman" w:hAnsi="Times New Roman" w:cs="Times New Roman"/>
          <w:color w:val="000000" w:themeColor="text1"/>
          <w:sz w:val="24"/>
          <w:szCs w:val="24"/>
        </w:rPr>
        <w:t xml:space="preserve"> Gow 2003; Millar 2020.</w:t>
      </w:r>
    </w:p>
  </w:endnote>
  <w:endnote w:id="13">
    <w:p w14:paraId="5BB93517" w14:textId="25FE57D4" w:rsidR="00CA5D6D" w:rsidRPr="00174EF4" w:rsidRDefault="00CA5D6D" w:rsidP="00914343">
      <w:pPr>
        <w:spacing w:line="480" w:lineRule="auto"/>
        <w:rPr>
          <w:color w:val="000000" w:themeColor="text1"/>
        </w:rPr>
      </w:pPr>
      <w:r w:rsidRPr="00174EF4">
        <w:rPr>
          <w:rStyle w:val="EndnoteReference"/>
          <w:color w:val="000000" w:themeColor="text1"/>
        </w:rPr>
        <w:endnoteRef/>
      </w:r>
      <w:r w:rsidRPr="00174EF4">
        <w:rPr>
          <w:color w:val="000000" w:themeColor="text1"/>
        </w:rPr>
        <w:t xml:space="preserve"> </w:t>
      </w:r>
      <w:r w:rsidRPr="00174EF4">
        <w:rPr>
          <w:color w:val="000000" w:themeColor="text1"/>
        </w:rPr>
        <w:t>This research includes: Suggett 2008: 128</w:t>
      </w:r>
      <w:r w:rsidR="00253CD5">
        <w:rPr>
          <w:color w:val="000000" w:themeColor="text1"/>
        </w:rPr>
        <w:t>–</w:t>
      </w:r>
      <w:r w:rsidRPr="00174EF4">
        <w:rPr>
          <w:color w:val="000000" w:themeColor="text1"/>
        </w:rPr>
        <w:t>33, 142</w:t>
      </w:r>
      <w:r w:rsidR="00253CD5">
        <w:rPr>
          <w:color w:val="000000" w:themeColor="text1"/>
        </w:rPr>
        <w:t>–</w:t>
      </w:r>
      <w:r w:rsidRPr="00174EF4">
        <w:rPr>
          <w:color w:val="000000" w:themeColor="text1"/>
        </w:rPr>
        <w:t>54; Bell 2007; Hutton 2010; Davies 1999</w:t>
      </w:r>
      <w:r w:rsidR="00641F92">
        <w:rPr>
          <w:color w:val="000000" w:themeColor="text1"/>
        </w:rPr>
        <w:t>,</w:t>
      </w:r>
      <w:r w:rsidRPr="00174EF4">
        <w:rPr>
          <w:color w:val="000000" w:themeColor="text1"/>
        </w:rPr>
        <w:t xml:space="preserve"> 2013; De Blécourt 1996; Henderson 2016: 312</w:t>
      </w:r>
      <w:r w:rsidR="00641F92">
        <w:rPr>
          <w:color w:val="000000" w:themeColor="text1"/>
        </w:rPr>
        <w:t>–</w:t>
      </w:r>
      <w:r w:rsidRPr="00174EF4">
        <w:rPr>
          <w:color w:val="000000" w:themeColor="text1"/>
        </w:rPr>
        <w:t>13; Purkiss 1996</w:t>
      </w:r>
      <w:r w:rsidR="00641F92">
        <w:rPr>
          <w:color w:val="000000" w:themeColor="text1"/>
        </w:rPr>
        <w:t>:</w:t>
      </w:r>
      <w:r w:rsidRPr="00174EF4">
        <w:rPr>
          <w:color w:val="000000" w:themeColor="text1"/>
        </w:rPr>
        <w:t xml:space="preserve"> chs</w:t>
      </w:r>
      <w:r w:rsidR="00641F92">
        <w:rPr>
          <w:color w:val="000000" w:themeColor="text1"/>
        </w:rPr>
        <w:t>.</w:t>
      </w:r>
      <w:r w:rsidRPr="00174EF4">
        <w:rPr>
          <w:color w:val="000000" w:themeColor="text1"/>
        </w:rPr>
        <w:t xml:space="preserve"> 1</w:t>
      </w:r>
      <w:r w:rsidR="00641F92">
        <w:rPr>
          <w:color w:val="000000" w:themeColor="text1"/>
        </w:rPr>
        <w:t>–</w:t>
      </w:r>
      <w:r w:rsidRPr="00174EF4">
        <w:rPr>
          <w:color w:val="000000" w:themeColor="text1"/>
        </w:rPr>
        <w:t>2; Gibson 2007; Barry 2013; Waters 2009</w:t>
      </w:r>
      <w:r w:rsidR="00641F92">
        <w:rPr>
          <w:color w:val="000000" w:themeColor="text1"/>
        </w:rPr>
        <w:t>,</w:t>
      </w:r>
      <w:r w:rsidRPr="00174EF4">
        <w:rPr>
          <w:color w:val="000000" w:themeColor="text1"/>
        </w:rPr>
        <w:t xml:space="preserve"> 2015.</w:t>
      </w:r>
    </w:p>
  </w:endnote>
  <w:endnote w:id="14">
    <w:p w14:paraId="60D3D453" w14:textId="297C37E9" w:rsidR="00A00279" w:rsidRPr="00174EF4" w:rsidRDefault="00A00279" w:rsidP="00914343">
      <w:pPr>
        <w:pStyle w:val="EndnoteText"/>
        <w:spacing w:line="480" w:lineRule="auto"/>
        <w:rPr>
          <w:color w:val="000000" w:themeColor="text1"/>
        </w:rPr>
      </w:pPr>
      <w:r w:rsidRPr="00174EF4">
        <w:rPr>
          <w:rStyle w:val="EndnoteReference"/>
          <w:color w:val="000000" w:themeColor="text1"/>
        </w:rPr>
        <w:endnoteRef/>
      </w:r>
      <w:r w:rsidRPr="00174EF4">
        <w:rPr>
          <w:color w:val="000000" w:themeColor="text1"/>
        </w:rPr>
        <w:t xml:space="preserve"> For a discussion of this methodology, Davies 2018: 218</w:t>
      </w:r>
      <w:r w:rsidR="00641F92">
        <w:rPr>
          <w:color w:val="000000" w:themeColor="text1"/>
        </w:rPr>
        <w:t>–</w:t>
      </w:r>
      <w:r w:rsidRPr="00174EF4">
        <w:rPr>
          <w:color w:val="000000" w:themeColor="text1"/>
        </w:rPr>
        <w:t xml:space="preserve">31. </w:t>
      </w:r>
    </w:p>
  </w:endnote>
  <w:endnote w:id="15">
    <w:p w14:paraId="4F542A67" w14:textId="1D799B98" w:rsidR="00857E8E" w:rsidRPr="00174EF4" w:rsidRDefault="00857E8E" w:rsidP="00914343">
      <w:pPr>
        <w:spacing w:line="480" w:lineRule="auto"/>
        <w:rPr>
          <w:color w:val="000000" w:themeColor="text1"/>
        </w:rPr>
      </w:pPr>
      <w:r w:rsidRPr="00174EF4">
        <w:rPr>
          <w:rStyle w:val="EndnoteReference"/>
          <w:color w:val="000000" w:themeColor="text1"/>
        </w:rPr>
        <w:endnoteRef/>
      </w:r>
      <w:r w:rsidRPr="00174EF4">
        <w:rPr>
          <w:color w:val="000000" w:themeColor="text1"/>
          <w:shd w:val="clear" w:color="auto" w:fill="FFFFFF"/>
        </w:rPr>
        <w:t xml:space="preserve"> For social memory, </w:t>
      </w:r>
      <w:r w:rsidRPr="00174EF4">
        <w:rPr>
          <w:color w:val="000000" w:themeColor="text1"/>
          <w:shd w:val="clear" w:color="auto" w:fill="FFFFFF"/>
        </w:rPr>
        <w:t xml:space="preserve">see </w:t>
      </w:r>
      <w:r w:rsidRPr="00174EF4">
        <w:rPr>
          <w:color w:val="000000" w:themeColor="text1"/>
        </w:rPr>
        <w:t xml:space="preserve">O’Connell 2014; </w:t>
      </w:r>
      <w:r w:rsidRPr="00174EF4">
        <w:rPr>
          <w:color w:val="000000" w:themeColor="text1"/>
          <w:shd w:val="clear" w:color="auto" w:fill="FFFFFF"/>
        </w:rPr>
        <w:t>Beiner 2007: 28</w:t>
      </w:r>
      <w:r w:rsidRPr="00174EF4">
        <w:rPr>
          <w:color w:val="000000" w:themeColor="text1"/>
        </w:rPr>
        <w:t>; Connerton 1989; Wertsch 2002; Fentress</w:t>
      </w:r>
      <w:r w:rsidR="001A573B">
        <w:rPr>
          <w:color w:val="000000" w:themeColor="text1"/>
        </w:rPr>
        <w:t xml:space="preserve"> and</w:t>
      </w:r>
      <w:r w:rsidRPr="00174EF4">
        <w:rPr>
          <w:color w:val="000000" w:themeColor="text1"/>
        </w:rPr>
        <w:t xml:space="preserve"> Wickham 1992.</w:t>
      </w:r>
    </w:p>
  </w:endnote>
  <w:endnote w:id="16">
    <w:p w14:paraId="0BAAA96D" w14:textId="26E88ACA" w:rsidR="00857E8E" w:rsidRPr="00174EF4" w:rsidRDefault="00857E8E" w:rsidP="00914343">
      <w:pPr>
        <w:pStyle w:val="EndnoteText"/>
        <w:spacing w:line="480" w:lineRule="auto"/>
        <w:rPr>
          <w:color w:val="000000" w:themeColor="text1"/>
        </w:rPr>
      </w:pPr>
      <w:r w:rsidRPr="00174EF4">
        <w:rPr>
          <w:rStyle w:val="EndnoteReference"/>
          <w:color w:val="000000" w:themeColor="text1"/>
        </w:rPr>
        <w:endnoteRef/>
      </w:r>
      <w:r w:rsidRPr="00174EF4">
        <w:rPr>
          <w:color w:val="000000" w:themeColor="text1"/>
        </w:rPr>
        <w:t xml:space="preserve"> </w:t>
      </w:r>
      <w:r w:rsidR="00D605FE">
        <w:rPr>
          <w:color w:val="000000" w:themeColor="text1"/>
        </w:rPr>
        <w:t xml:space="preserve">For example, James Moore, </w:t>
      </w:r>
      <w:r w:rsidR="00D605FE" w:rsidRPr="00270A2F">
        <w:rPr>
          <w:color w:val="000000" w:themeColor="text1"/>
        </w:rPr>
        <w:t xml:space="preserve">“Rocking </w:t>
      </w:r>
      <w:r w:rsidR="00D605FE" w:rsidRPr="00270A2F">
        <w:rPr>
          <w:color w:val="000000" w:themeColor="text1"/>
        </w:rPr>
        <w:t>Stone, Brown’s Bay, Islandmagee</w:t>
      </w:r>
      <w:r w:rsidR="00D605FE">
        <w:rPr>
          <w:color w:val="000000" w:themeColor="text1"/>
        </w:rPr>
        <w:t>,</w:t>
      </w:r>
      <w:r w:rsidR="00D605FE" w:rsidRPr="00270A2F">
        <w:rPr>
          <w:color w:val="000000" w:themeColor="text1"/>
        </w:rPr>
        <w:t>”</w:t>
      </w:r>
      <w:r w:rsidR="00D605FE">
        <w:rPr>
          <w:color w:val="000000" w:themeColor="text1"/>
        </w:rPr>
        <w:t xml:space="preserve"> 1841, </w:t>
      </w:r>
      <w:r w:rsidR="00D605FE" w:rsidRPr="00270A2F">
        <w:rPr>
          <w:color w:val="000000" w:themeColor="text1"/>
        </w:rPr>
        <w:t>colored drawing</w:t>
      </w:r>
      <w:r w:rsidR="00D605FE">
        <w:rPr>
          <w:color w:val="000000" w:themeColor="text1"/>
        </w:rPr>
        <w:t>,</w:t>
      </w:r>
      <w:r w:rsidR="00D605FE" w:rsidRPr="00270A2F">
        <w:rPr>
          <w:color w:val="000000" w:themeColor="text1"/>
        </w:rPr>
        <w:t xml:space="preserve"> National Museums of Northern Ireland (NMNI)</w:t>
      </w:r>
      <w:r w:rsidR="00D605FE">
        <w:rPr>
          <w:color w:val="000000" w:themeColor="text1"/>
        </w:rPr>
        <w:t>;</w:t>
      </w:r>
      <w:r w:rsidR="00D605FE" w:rsidRPr="00174EF4">
        <w:rPr>
          <w:color w:val="000000" w:themeColor="text1"/>
        </w:rPr>
        <w:t xml:space="preserve"> </w:t>
      </w:r>
      <w:r w:rsidR="00D605FE">
        <w:rPr>
          <w:color w:val="000000" w:themeColor="text1"/>
        </w:rPr>
        <w:t xml:space="preserve">or the photograph of </w:t>
      </w:r>
      <w:r w:rsidRPr="00174EF4">
        <w:rPr>
          <w:color w:val="000000" w:themeColor="text1"/>
        </w:rPr>
        <w:t xml:space="preserve">“Four Boys at the Rocking Stone, Islandmagee”, 1879, last accessed 7 April 2021, </w:t>
      </w:r>
      <w:hyperlink r:id="rId2" w:history="1">
        <w:r w:rsidRPr="00174EF4">
          <w:rPr>
            <w:rStyle w:val="Hyperlink"/>
            <w:color w:val="000000" w:themeColor="text1"/>
          </w:rPr>
          <w:t>https://flashbak.com/great-portraits-of-ireland-and-the-irish-at-the-turn-of-the-19th-century-410697/four-boys-at-the-rocking-stone-at-islandmagee-county-antrim-1870/</w:t>
        </w:r>
      </w:hyperlink>
      <w:r w:rsidR="00D605FE">
        <w:rPr>
          <w:rStyle w:val="Hyperlink"/>
          <w:color w:val="000000" w:themeColor="text1"/>
        </w:rPr>
        <w:t>.</w:t>
      </w:r>
    </w:p>
  </w:endnote>
  <w:endnote w:id="17">
    <w:p w14:paraId="7458365C" w14:textId="5D52E7AA" w:rsidR="00857E8E" w:rsidRPr="00174EF4" w:rsidRDefault="00857E8E" w:rsidP="00914343">
      <w:pPr>
        <w:spacing w:line="480" w:lineRule="auto"/>
        <w:rPr>
          <w:color w:val="000000" w:themeColor="text1"/>
        </w:rPr>
      </w:pPr>
      <w:r w:rsidRPr="00174EF4">
        <w:rPr>
          <w:rStyle w:val="EndnoteReference"/>
          <w:color w:val="000000" w:themeColor="text1"/>
        </w:rPr>
        <w:endnoteRef/>
      </w:r>
      <w:r w:rsidRPr="00174EF4">
        <w:rPr>
          <w:color w:val="000000" w:themeColor="text1"/>
        </w:rPr>
        <w:t xml:space="preserve"> For tourism in Islandmagee in the later nineteenth and early twentieth century, Akenson 1979: 60</w:t>
      </w:r>
      <w:r w:rsidR="00D605FE">
        <w:rPr>
          <w:color w:val="000000" w:themeColor="text1"/>
        </w:rPr>
        <w:t>–6</w:t>
      </w:r>
      <w:r w:rsidRPr="00174EF4">
        <w:rPr>
          <w:color w:val="000000" w:themeColor="text1"/>
        </w:rPr>
        <w:t>2.</w:t>
      </w:r>
    </w:p>
  </w:endnote>
  <w:endnote w:id="18">
    <w:p w14:paraId="5D1B3329" w14:textId="6F2B4883" w:rsidR="00857E8E" w:rsidRPr="00174EF4" w:rsidRDefault="00857E8E" w:rsidP="00914343">
      <w:pPr>
        <w:pStyle w:val="EndnoteText"/>
        <w:spacing w:line="480" w:lineRule="auto"/>
        <w:rPr>
          <w:color w:val="000000" w:themeColor="text1"/>
        </w:rPr>
      </w:pPr>
      <w:r w:rsidRPr="00174EF4">
        <w:rPr>
          <w:rStyle w:val="EndnoteReference"/>
          <w:color w:val="000000" w:themeColor="text1"/>
        </w:rPr>
        <w:endnoteRef/>
      </w:r>
      <w:r w:rsidRPr="00174EF4">
        <w:rPr>
          <w:color w:val="000000" w:themeColor="text1"/>
        </w:rPr>
        <w:t xml:space="preserve"> For example</w:t>
      </w:r>
      <w:r w:rsidR="001A1FCC" w:rsidRPr="00174EF4">
        <w:rPr>
          <w:color w:val="000000" w:themeColor="text1"/>
        </w:rPr>
        <w:t>,</w:t>
      </w:r>
      <w:r w:rsidRPr="00174EF4">
        <w:rPr>
          <w:color w:val="000000" w:themeColor="text1"/>
        </w:rPr>
        <w:t xml:space="preserve"> </w:t>
      </w:r>
      <w:r w:rsidRPr="00174EF4">
        <w:rPr>
          <w:i/>
          <w:iCs/>
          <w:color w:val="000000" w:themeColor="text1"/>
        </w:rPr>
        <w:t>Belfast Telegraph</w:t>
      </w:r>
      <w:r w:rsidRPr="00174EF4">
        <w:rPr>
          <w:color w:val="000000" w:themeColor="text1"/>
        </w:rPr>
        <w:t xml:space="preserve">, </w:t>
      </w:r>
      <w:r w:rsidR="00106E47" w:rsidRPr="00174EF4">
        <w:rPr>
          <w:color w:val="000000" w:themeColor="text1"/>
        </w:rPr>
        <w:t>22 May</w:t>
      </w:r>
      <w:r w:rsidR="00106E47">
        <w:rPr>
          <w:color w:val="000000" w:themeColor="text1"/>
        </w:rPr>
        <w:t xml:space="preserve"> 2013, </w:t>
      </w:r>
      <w:r w:rsidR="00FB1C2F">
        <w:rPr>
          <w:color w:val="000000" w:themeColor="text1"/>
        </w:rPr>
        <w:t>“</w:t>
      </w:r>
      <w:r w:rsidR="00247D0A">
        <w:rPr>
          <w:color w:val="000000" w:themeColor="text1"/>
        </w:rPr>
        <w:t xml:space="preserve">Hubble, Bubble, Toil and </w:t>
      </w:r>
      <w:r w:rsidR="00247D0A">
        <w:rPr>
          <w:color w:val="000000" w:themeColor="text1"/>
        </w:rPr>
        <w:t>Trouble … in Islandmagee</w:t>
      </w:r>
      <w:r w:rsidR="00FB1C2F">
        <w:rPr>
          <w:color w:val="000000" w:themeColor="text1"/>
        </w:rPr>
        <w:t>”</w:t>
      </w:r>
      <w:r w:rsidR="00247D0A">
        <w:rPr>
          <w:color w:val="000000" w:themeColor="text1"/>
        </w:rPr>
        <w:t>;</w:t>
      </w:r>
      <w:r w:rsidR="00247D0A" w:rsidRPr="00247D0A">
        <w:rPr>
          <w:i/>
          <w:iCs/>
          <w:color w:val="000000" w:themeColor="text1"/>
        </w:rPr>
        <w:t xml:space="preserve"> </w:t>
      </w:r>
      <w:r w:rsidR="00247D0A" w:rsidRPr="00174EF4">
        <w:rPr>
          <w:i/>
          <w:iCs/>
          <w:color w:val="000000" w:themeColor="text1"/>
        </w:rPr>
        <w:t>Belfast Telegraph</w:t>
      </w:r>
      <w:r w:rsidR="00106E47">
        <w:rPr>
          <w:color w:val="000000" w:themeColor="text1"/>
        </w:rPr>
        <w:t xml:space="preserve">, </w:t>
      </w:r>
      <w:r w:rsidR="00106E47" w:rsidRPr="00174EF4">
        <w:rPr>
          <w:color w:val="000000" w:themeColor="text1"/>
        </w:rPr>
        <w:t>4 November 2013</w:t>
      </w:r>
      <w:r w:rsidR="00106E47">
        <w:rPr>
          <w:color w:val="000000" w:themeColor="text1"/>
        </w:rPr>
        <w:t xml:space="preserve">, </w:t>
      </w:r>
      <w:r w:rsidR="00FB1C2F">
        <w:rPr>
          <w:color w:val="000000" w:themeColor="text1"/>
        </w:rPr>
        <w:t>‘</w:t>
      </w:r>
      <w:r w:rsidR="006A547E">
        <w:rPr>
          <w:color w:val="000000" w:themeColor="text1"/>
        </w:rPr>
        <w:t>Mark Twain’s Ancestor was ‘Witchfinder General’ during Isla</w:t>
      </w:r>
      <w:r w:rsidR="00385130">
        <w:rPr>
          <w:color w:val="000000" w:themeColor="text1"/>
        </w:rPr>
        <w:t>nd</w:t>
      </w:r>
      <w:r w:rsidR="006A547E">
        <w:rPr>
          <w:color w:val="000000" w:themeColor="text1"/>
        </w:rPr>
        <w:t>magee Witch Trial</w:t>
      </w:r>
      <w:r w:rsidR="00106E47">
        <w:rPr>
          <w:color w:val="000000" w:themeColor="text1"/>
        </w:rPr>
        <w:t>.</w:t>
      </w:r>
      <w:r w:rsidR="00FB1C2F">
        <w:rPr>
          <w:color w:val="000000" w:themeColor="text1"/>
        </w:rPr>
        <w:t>”</w:t>
      </w:r>
      <w:r w:rsidRPr="00174EF4">
        <w:rPr>
          <w:color w:val="000000" w:themeColor="text1"/>
        </w:rPr>
        <w:t xml:space="preserve"> </w:t>
      </w:r>
    </w:p>
  </w:endnote>
  <w:endnote w:id="19">
    <w:p w14:paraId="65DDD07E" w14:textId="6A89C764" w:rsidR="00857E8E" w:rsidRPr="00174EF4" w:rsidRDefault="00857E8E" w:rsidP="00914343">
      <w:pPr>
        <w:pStyle w:val="EndnoteText"/>
        <w:spacing w:line="480" w:lineRule="auto"/>
        <w:rPr>
          <w:color w:val="000000" w:themeColor="text1"/>
        </w:rPr>
      </w:pPr>
      <w:r w:rsidRPr="00174EF4">
        <w:rPr>
          <w:rStyle w:val="EndnoteReference"/>
          <w:color w:val="000000" w:themeColor="text1"/>
        </w:rPr>
        <w:endnoteRef/>
      </w:r>
      <w:r w:rsidRPr="00174EF4">
        <w:rPr>
          <w:color w:val="000000" w:themeColor="text1"/>
        </w:rPr>
        <w:t xml:space="preserve"> </w:t>
      </w:r>
      <w:r w:rsidRPr="00174EF4">
        <w:rPr>
          <w:color w:val="000000" w:themeColor="text1"/>
        </w:rPr>
        <w:t>For example</w:t>
      </w:r>
      <w:r w:rsidR="0028336E" w:rsidRPr="00174EF4">
        <w:rPr>
          <w:color w:val="000000" w:themeColor="text1"/>
        </w:rPr>
        <w:t>,</w:t>
      </w:r>
      <w:r w:rsidRPr="00174EF4">
        <w:rPr>
          <w:color w:val="000000" w:themeColor="text1"/>
        </w:rPr>
        <w:t xml:space="preserve"> “The Islandmagee Witches</w:t>
      </w:r>
      <w:r w:rsidR="00E208D0">
        <w:rPr>
          <w:color w:val="000000" w:themeColor="text1"/>
        </w:rPr>
        <w:t>,</w:t>
      </w:r>
      <w:r w:rsidRPr="00174EF4">
        <w:rPr>
          <w:color w:val="000000" w:themeColor="text1"/>
        </w:rPr>
        <w:t>” 27 May 2016, Ballyclare May Fair, Co</w:t>
      </w:r>
      <w:r w:rsidR="00493ECD" w:rsidRPr="00174EF4">
        <w:rPr>
          <w:color w:val="000000" w:themeColor="text1"/>
        </w:rPr>
        <w:t>unty</w:t>
      </w:r>
      <w:r w:rsidRPr="00174EF4">
        <w:rPr>
          <w:color w:val="000000" w:themeColor="text1"/>
        </w:rPr>
        <w:t xml:space="preserve"> Antrim.</w:t>
      </w:r>
      <w:r w:rsidR="006A547E" w:rsidRPr="006A547E">
        <w:rPr>
          <w:color w:val="000000" w:themeColor="text1"/>
        </w:rPr>
        <w:t xml:space="preserve"> </w:t>
      </w:r>
    </w:p>
  </w:endnote>
  <w:endnote w:id="20">
    <w:p w14:paraId="09946DDC" w14:textId="42B346A2" w:rsidR="00857E8E" w:rsidRPr="00174EF4" w:rsidRDefault="00857E8E" w:rsidP="00914343">
      <w:pPr>
        <w:spacing w:line="480" w:lineRule="auto"/>
        <w:rPr>
          <w:color w:val="000000" w:themeColor="text1"/>
        </w:rPr>
      </w:pPr>
      <w:r w:rsidRPr="00174EF4">
        <w:rPr>
          <w:rStyle w:val="EndnoteReference"/>
          <w:color w:val="000000" w:themeColor="text1"/>
        </w:rPr>
        <w:endnoteRef/>
      </w:r>
      <w:r w:rsidRPr="00174EF4">
        <w:rPr>
          <w:color w:val="000000" w:themeColor="text1"/>
        </w:rPr>
        <w:t xml:space="preserve"> For example</w:t>
      </w:r>
      <w:r w:rsidR="0028336E" w:rsidRPr="00174EF4">
        <w:rPr>
          <w:color w:val="000000" w:themeColor="text1"/>
        </w:rPr>
        <w:t>,</w:t>
      </w:r>
      <w:r w:rsidRPr="00174EF4">
        <w:rPr>
          <w:color w:val="000000" w:themeColor="text1"/>
        </w:rPr>
        <w:t xml:space="preserve"> </w:t>
      </w:r>
      <w:r w:rsidRPr="00174EF4">
        <w:rPr>
          <w:color w:val="000000" w:themeColor="text1"/>
        </w:rPr>
        <w:t>“The Witches of Islandmagee</w:t>
      </w:r>
      <w:r w:rsidR="00E208D0">
        <w:rPr>
          <w:color w:val="000000" w:themeColor="text1"/>
        </w:rPr>
        <w:t>,</w:t>
      </w:r>
      <w:r w:rsidRPr="00174EF4">
        <w:rPr>
          <w:color w:val="000000" w:themeColor="text1"/>
        </w:rPr>
        <w:t>” 14 July 2016, Larne Library, Co</w:t>
      </w:r>
      <w:r w:rsidR="00493ECD" w:rsidRPr="00174EF4">
        <w:rPr>
          <w:color w:val="000000" w:themeColor="text1"/>
        </w:rPr>
        <w:t>unty</w:t>
      </w:r>
      <w:r w:rsidRPr="00174EF4">
        <w:rPr>
          <w:color w:val="000000" w:themeColor="text1"/>
        </w:rPr>
        <w:t xml:space="preserve"> Antrim, last modified 12 April 2021, </w:t>
      </w:r>
      <w:hyperlink r:id="rId3" w:history="1">
        <w:r w:rsidRPr="00174EF4">
          <w:rPr>
            <w:rStyle w:val="Hyperlink"/>
            <w:color w:val="000000" w:themeColor="text1"/>
          </w:rPr>
          <w:t>https://www.youtube.com/watch?v=z2WkyeS0oxU</w:t>
        </w:r>
      </w:hyperlink>
      <w:r w:rsidRPr="00174EF4">
        <w:rPr>
          <w:color w:val="000000" w:themeColor="text1"/>
        </w:rPr>
        <w:t>.</w:t>
      </w:r>
    </w:p>
  </w:endnote>
  <w:endnote w:id="21">
    <w:p w14:paraId="1E473C9C" w14:textId="7A1612E7" w:rsidR="00857E8E" w:rsidRPr="00174EF4" w:rsidRDefault="00857E8E" w:rsidP="00914343">
      <w:pPr>
        <w:spacing w:line="480" w:lineRule="auto"/>
        <w:rPr>
          <w:color w:val="000000" w:themeColor="text1"/>
        </w:rPr>
      </w:pPr>
      <w:r w:rsidRPr="00174EF4">
        <w:rPr>
          <w:rStyle w:val="EndnoteReference"/>
          <w:color w:val="000000" w:themeColor="text1"/>
        </w:rPr>
        <w:endnoteRef/>
      </w:r>
      <w:r w:rsidRPr="00174EF4">
        <w:rPr>
          <w:color w:val="000000" w:themeColor="text1"/>
        </w:rPr>
        <w:t xml:space="preserve"> For example</w:t>
      </w:r>
      <w:r w:rsidR="0028336E" w:rsidRPr="00174EF4">
        <w:rPr>
          <w:color w:val="000000" w:themeColor="text1"/>
        </w:rPr>
        <w:t>,</w:t>
      </w:r>
      <w:r w:rsidRPr="00174EF4">
        <w:rPr>
          <w:color w:val="000000" w:themeColor="text1"/>
        </w:rPr>
        <w:t xml:space="preserve"> Talk and Tours of Islandmagee, Co</w:t>
      </w:r>
      <w:r w:rsidR="00493ECD" w:rsidRPr="00174EF4">
        <w:rPr>
          <w:color w:val="000000" w:themeColor="text1"/>
        </w:rPr>
        <w:t>unty</w:t>
      </w:r>
      <w:r w:rsidRPr="00174EF4">
        <w:rPr>
          <w:color w:val="000000" w:themeColor="text1"/>
        </w:rPr>
        <w:t xml:space="preserve"> Antrim, Herstory Project, 4 December 2019, Foyle Women’s Information Network, Derry/Londonderry. </w:t>
      </w:r>
    </w:p>
  </w:endnote>
  <w:endnote w:id="22">
    <w:p w14:paraId="2DECDC2E" w14:textId="2F00432F" w:rsidR="00857E8E" w:rsidRPr="00174EF4" w:rsidRDefault="00857E8E" w:rsidP="00914343">
      <w:pPr>
        <w:spacing w:line="480" w:lineRule="auto"/>
        <w:rPr>
          <w:color w:val="000000" w:themeColor="text1"/>
        </w:rPr>
      </w:pPr>
      <w:r w:rsidRPr="00174EF4">
        <w:rPr>
          <w:rStyle w:val="EndnoteReference"/>
          <w:color w:val="000000" w:themeColor="text1"/>
        </w:rPr>
        <w:endnoteRef/>
      </w:r>
      <w:r w:rsidRPr="00174EF4">
        <w:rPr>
          <w:color w:val="000000" w:themeColor="text1"/>
        </w:rPr>
        <w:t xml:space="preserve"> For example</w:t>
      </w:r>
      <w:r w:rsidR="0028336E" w:rsidRPr="00174EF4">
        <w:rPr>
          <w:color w:val="000000" w:themeColor="text1"/>
        </w:rPr>
        <w:t>,</w:t>
      </w:r>
      <w:r w:rsidRPr="00174EF4">
        <w:rPr>
          <w:color w:val="000000" w:themeColor="text1"/>
        </w:rPr>
        <w:t xml:space="preserve"> “Identity, Place and Representation: Witches and Modernity</w:t>
      </w:r>
      <w:r w:rsidR="00992509" w:rsidRPr="00174EF4">
        <w:rPr>
          <w:color w:val="000000" w:themeColor="text1"/>
        </w:rPr>
        <w:t>,</w:t>
      </w:r>
      <w:r w:rsidRPr="00174EF4">
        <w:rPr>
          <w:color w:val="000000" w:themeColor="text1"/>
        </w:rPr>
        <w:t>”</w:t>
      </w:r>
      <w:r w:rsidR="00992509" w:rsidRPr="00174EF4">
        <w:rPr>
          <w:color w:val="000000" w:themeColor="text1"/>
        </w:rPr>
        <w:t xml:space="preserve"> </w:t>
      </w:r>
      <w:r w:rsidRPr="00174EF4">
        <w:rPr>
          <w:color w:val="000000" w:themeColor="text1"/>
        </w:rPr>
        <w:t>30 June 2017, Canadian Association for Irish Studies, Annual Conference, June 2017</w:t>
      </w:r>
      <w:r w:rsidR="00B62795" w:rsidRPr="00174EF4">
        <w:rPr>
          <w:color w:val="000000" w:themeColor="text1"/>
        </w:rPr>
        <w:t>.</w:t>
      </w:r>
    </w:p>
  </w:endnote>
  <w:endnote w:id="23">
    <w:p w14:paraId="479058E7" w14:textId="5BF2343F" w:rsidR="00857E8E" w:rsidRPr="00174EF4" w:rsidRDefault="00857E8E" w:rsidP="00914343">
      <w:pPr>
        <w:pStyle w:val="EndnoteText"/>
        <w:spacing w:line="480" w:lineRule="auto"/>
        <w:rPr>
          <w:color w:val="000000" w:themeColor="text1"/>
        </w:rPr>
      </w:pPr>
      <w:r w:rsidRPr="00174EF4">
        <w:rPr>
          <w:rStyle w:val="EndnoteReference"/>
          <w:color w:val="000000" w:themeColor="text1"/>
        </w:rPr>
        <w:endnoteRef/>
      </w:r>
      <w:r w:rsidRPr="00174EF4">
        <w:rPr>
          <w:color w:val="000000" w:themeColor="text1"/>
        </w:rPr>
        <w:t xml:space="preserve"> For </w:t>
      </w:r>
      <w:r w:rsidRPr="00174EF4">
        <w:rPr>
          <w:color w:val="000000" w:themeColor="text1"/>
        </w:rPr>
        <w:t>example</w:t>
      </w:r>
      <w:r w:rsidR="0028336E" w:rsidRPr="00174EF4">
        <w:rPr>
          <w:color w:val="000000" w:themeColor="text1"/>
        </w:rPr>
        <w:t>,</w:t>
      </w:r>
      <w:r w:rsidRPr="00174EF4">
        <w:rPr>
          <w:color w:val="000000" w:themeColor="text1"/>
        </w:rPr>
        <w:t xml:space="preserve"> “Representing the Islandmagee Witches in </w:t>
      </w:r>
      <w:r w:rsidR="00E208D0">
        <w:rPr>
          <w:color w:val="000000" w:themeColor="text1"/>
        </w:rPr>
        <w:t>‘</w:t>
      </w:r>
      <w:r w:rsidRPr="00174EF4">
        <w:rPr>
          <w:color w:val="000000" w:themeColor="text1"/>
        </w:rPr>
        <w:t>fact</w:t>
      </w:r>
      <w:r w:rsidR="00E208D0">
        <w:rPr>
          <w:color w:val="000000" w:themeColor="text1"/>
        </w:rPr>
        <w:t>’</w:t>
      </w:r>
      <w:r w:rsidRPr="00174EF4">
        <w:rPr>
          <w:color w:val="000000" w:themeColor="text1"/>
        </w:rPr>
        <w:t xml:space="preserve"> and </w:t>
      </w:r>
      <w:r w:rsidR="00E208D0">
        <w:rPr>
          <w:color w:val="000000" w:themeColor="text1"/>
        </w:rPr>
        <w:t>‘</w:t>
      </w:r>
      <w:r w:rsidRPr="00174EF4">
        <w:rPr>
          <w:color w:val="000000" w:themeColor="text1"/>
        </w:rPr>
        <w:t>fiction</w:t>
      </w:r>
      <w:r w:rsidR="00992509" w:rsidRPr="00174EF4">
        <w:rPr>
          <w:color w:val="000000" w:themeColor="text1"/>
        </w:rPr>
        <w:t>,</w:t>
      </w:r>
      <w:r w:rsidR="00E208D0">
        <w:rPr>
          <w:color w:val="000000" w:themeColor="text1"/>
        </w:rPr>
        <w:t>’”</w:t>
      </w:r>
      <w:r w:rsidRPr="00174EF4">
        <w:rPr>
          <w:color w:val="000000" w:themeColor="text1"/>
        </w:rPr>
        <w:t xml:space="preserve"> 28 October 2020, Carrickfergus and District Historical Society and Carrickfergus Museum, last modified 16 April 2021, </w:t>
      </w:r>
      <w:hyperlink r:id="rId4" w:history="1">
        <w:r w:rsidRPr="00174EF4">
          <w:rPr>
            <w:rStyle w:val="Hyperlink"/>
            <w:color w:val="000000" w:themeColor="text1"/>
          </w:rPr>
          <w:t>https://www.youtube.com/watch?v=z2WkyeS0oxU</w:t>
        </w:r>
      </w:hyperlink>
      <w:r w:rsidRPr="00174EF4">
        <w:rPr>
          <w:color w:val="000000" w:themeColor="text1"/>
        </w:rPr>
        <w:t xml:space="preserve">. </w:t>
      </w:r>
    </w:p>
  </w:endnote>
  <w:endnote w:id="24">
    <w:p w14:paraId="2BA8A73D" w14:textId="6445934C" w:rsidR="00857E8E" w:rsidRPr="00174EF4" w:rsidRDefault="00857E8E" w:rsidP="00914343">
      <w:pPr>
        <w:pStyle w:val="EndnoteText"/>
        <w:spacing w:line="480" w:lineRule="auto"/>
        <w:rPr>
          <w:color w:val="000000" w:themeColor="text1"/>
        </w:rPr>
      </w:pPr>
      <w:r w:rsidRPr="00174EF4">
        <w:rPr>
          <w:rStyle w:val="EndnoteReference"/>
          <w:color w:val="000000" w:themeColor="text1"/>
        </w:rPr>
        <w:endnoteRef/>
      </w:r>
      <w:r w:rsidRPr="00174EF4">
        <w:rPr>
          <w:color w:val="000000" w:themeColor="text1"/>
        </w:rPr>
        <w:t xml:space="preserve"> “The History, of the Devil, Magic and Witchcraft</w:t>
      </w:r>
      <w:r w:rsidR="00992509" w:rsidRPr="00174EF4">
        <w:rPr>
          <w:color w:val="000000" w:themeColor="text1"/>
        </w:rPr>
        <w:t>,</w:t>
      </w:r>
      <w:r w:rsidRPr="00174EF4">
        <w:rPr>
          <w:color w:val="000000" w:themeColor="text1"/>
        </w:rPr>
        <w:t>”</w:t>
      </w:r>
      <w:r w:rsidR="00992509" w:rsidRPr="00174EF4">
        <w:rPr>
          <w:color w:val="000000" w:themeColor="text1"/>
        </w:rPr>
        <w:t xml:space="preserve"> </w:t>
      </w:r>
      <w:r w:rsidRPr="00174EF4">
        <w:rPr>
          <w:color w:val="000000" w:themeColor="text1"/>
        </w:rPr>
        <w:t xml:space="preserve">25 April 2014, </w:t>
      </w:r>
      <w:r w:rsidR="00992509" w:rsidRPr="00174EF4">
        <w:rPr>
          <w:color w:val="000000" w:themeColor="text1"/>
        </w:rPr>
        <w:t xml:space="preserve">Public Record Office of Northern Ireland, </w:t>
      </w:r>
      <w:r w:rsidRPr="00174EF4">
        <w:rPr>
          <w:color w:val="000000" w:themeColor="text1"/>
        </w:rPr>
        <w:t>last modified 15 April 2021,</w:t>
      </w:r>
      <w:r w:rsidR="00992509" w:rsidRPr="00174EF4">
        <w:rPr>
          <w:color w:val="000000" w:themeColor="text1"/>
        </w:rPr>
        <w:t xml:space="preserve"> </w:t>
      </w:r>
      <w:hyperlink r:id="rId5" w:history="1">
        <w:r w:rsidR="00992509" w:rsidRPr="00174EF4">
          <w:rPr>
            <w:rStyle w:val="Hyperlink"/>
            <w:color w:val="000000" w:themeColor="text1"/>
          </w:rPr>
          <w:t>https://www.youtube.com/watch?v=e9Bw1xzbrFw</w:t>
        </w:r>
      </w:hyperlink>
      <w:r w:rsidRPr="00174EF4">
        <w:rPr>
          <w:color w:val="000000" w:themeColor="text1"/>
        </w:rPr>
        <w:t xml:space="preserve">. </w:t>
      </w:r>
    </w:p>
  </w:endnote>
  <w:endnote w:id="25">
    <w:p w14:paraId="25B5645E" w14:textId="0FB53CC5" w:rsidR="003A519B" w:rsidRPr="00174EF4" w:rsidRDefault="003A519B" w:rsidP="00914343">
      <w:pPr>
        <w:pStyle w:val="EndnoteText"/>
        <w:spacing w:line="480" w:lineRule="auto"/>
        <w:rPr>
          <w:color w:val="000000" w:themeColor="text1"/>
        </w:rPr>
      </w:pPr>
      <w:r w:rsidRPr="00174EF4">
        <w:rPr>
          <w:rStyle w:val="EndnoteReference"/>
          <w:color w:val="000000" w:themeColor="text1"/>
        </w:rPr>
        <w:endnoteRef/>
      </w:r>
      <w:r w:rsidRPr="00174EF4">
        <w:rPr>
          <w:color w:val="000000" w:themeColor="text1"/>
        </w:rPr>
        <w:t xml:space="preserve"> </w:t>
      </w:r>
      <w:r w:rsidRPr="00174EF4">
        <w:rPr>
          <w:rStyle w:val="nlmgiven-names"/>
          <w:color w:val="000000" w:themeColor="text1"/>
        </w:rPr>
        <w:t>O’Brien 2020: 302</w:t>
      </w:r>
      <w:r w:rsidR="00E208D0">
        <w:rPr>
          <w:rStyle w:val="nlmgiven-names"/>
          <w:color w:val="000000" w:themeColor="text1"/>
        </w:rPr>
        <w:t>–</w:t>
      </w:r>
      <w:r w:rsidRPr="00174EF4">
        <w:rPr>
          <w:rStyle w:val="nlmgiven-names"/>
          <w:color w:val="000000" w:themeColor="text1"/>
        </w:rPr>
        <w:t xml:space="preserve">6. For a history of Dunluce </w:t>
      </w:r>
      <w:r w:rsidR="00DB355C">
        <w:rPr>
          <w:rStyle w:val="nlmgiven-names"/>
          <w:color w:val="000000" w:themeColor="text1"/>
        </w:rPr>
        <w:t>C</w:t>
      </w:r>
      <w:r w:rsidRPr="00174EF4">
        <w:rPr>
          <w:rStyle w:val="nlmgiven-names"/>
          <w:color w:val="000000" w:themeColor="text1"/>
        </w:rPr>
        <w:t>astle: Breen 2012.</w:t>
      </w:r>
    </w:p>
  </w:endnote>
  <w:endnote w:id="26">
    <w:p w14:paraId="56180D19" w14:textId="2163A4CF" w:rsidR="00857E8E" w:rsidRPr="00174EF4" w:rsidRDefault="00857E8E" w:rsidP="00914343">
      <w:pPr>
        <w:spacing w:line="480" w:lineRule="auto"/>
        <w:rPr>
          <w:color w:val="000000" w:themeColor="text1"/>
          <w:shd w:val="clear" w:color="auto" w:fill="FFFFFF"/>
        </w:rPr>
      </w:pPr>
      <w:r w:rsidRPr="00174EF4">
        <w:rPr>
          <w:rStyle w:val="EndnoteReference"/>
          <w:color w:val="000000" w:themeColor="text1"/>
        </w:rPr>
        <w:endnoteRef/>
      </w:r>
      <w:r w:rsidRPr="00174EF4">
        <w:rPr>
          <w:color w:val="000000" w:themeColor="text1"/>
        </w:rPr>
        <w:t xml:space="preserve"> For example</w:t>
      </w:r>
      <w:r w:rsidR="0028336E" w:rsidRPr="00174EF4">
        <w:rPr>
          <w:color w:val="000000" w:themeColor="text1"/>
        </w:rPr>
        <w:t>,</w:t>
      </w:r>
      <w:r w:rsidRPr="00174EF4">
        <w:rPr>
          <w:color w:val="000000" w:themeColor="text1"/>
        </w:rPr>
        <w:t xml:space="preserve"> </w:t>
      </w:r>
      <w:r w:rsidRPr="00174EF4">
        <w:rPr>
          <w:color w:val="000000" w:themeColor="text1"/>
          <w:shd w:val="clear" w:color="auto" w:fill="FFFFFF"/>
        </w:rPr>
        <w:t>BBC Radio Ulster</w:t>
      </w:r>
      <w:r w:rsidRPr="00174EF4">
        <w:rPr>
          <w:color w:val="000000" w:themeColor="text1"/>
        </w:rPr>
        <w:t>, “</w:t>
      </w:r>
      <w:r w:rsidRPr="00174EF4">
        <w:rPr>
          <w:color w:val="000000" w:themeColor="text1"/>
          <w:shd w:val="clear" w:color="auto" w:fill="FFFFFF"/>
        </w:rPr>
        <w:t>A Kist O' Words</w:t>
      </w:r>
      <w:r w:rsidR="00B91CAF">
        <w:rPr>
          <w:color w:val="000000" w:themeColor="text1"/>
          <w:shd w:val="clear" w:color="auto" w:fill="FFFFFF"/>
        </w:rPr>
        <w:t>,</w:t>
      </w:r>
      <w:r w:rsidRPr="00174EF4">
        <w:rPr>
          <w:color w:val="000000" w:themeColor="text1"/>
          <w:shd w:val="clear" w:color="auto" w:fill="FFFFFF"/>
        </w:rPr>
        <w:t>” series 33, episode 15,</w:t>
      </w:r>
      <w:r w:rsidR="00ED3061" w:rsidRPr="00174EF4">
        <w:rPr>
          <w:color w:val="000000" w:themeColor="text1"/>
          <w:shd w:val="clear" w:color="auto" w:fill="FFFFFF"/>
        </w:rPr>
        <w:t xml:space="preserve"> October 2013,</w:t>
      </w:r>
      <w:r w:rsidRPr="00174EF4">
        <w:rPr>
          <w:color w:val="000000" w:themeColor="text1"/>
          <w:shd w:val="clear" w:color="auto" w:fill="FFFFFF"/>
        </w:rPr>
        <w:t xml:space="preserve"> last modified 10 April 2021, </w:t>
      </w:r>
      <w:hyperlink r:id="rId6" w:history="1">
        <w:r w:rsidRPr="00174EF4">
          <w:rPr>
            <w:rStyle w:val="Hyperlink"/>
            <w:color w:val="000000" w:themeColor="text1"/>
            <w:shd w:val="clear" w:color="auto" w:fill="FFFFFF"/>
          </w:rPr>
          <w:t>https://www.bbc.co.uk/programmes/p01lmcfy/p01lmc70</w:t>
        </w:r>
      </w:hyperlink>
      <w:r w:rsidRPr="00174EF4">
        <w:rPr>
          <w:color w:val="000000" w:themeColor="text1"/>
          <w:shd w:val="clear" w:color="auto" w:fill="FFFFFF"/>
        </w:rPr>
        <w:t xml:space="preserve">; BBC Radio Ulster, </w:t>
      </w:r>
      <w:r w:rsidR="00C43915">
        <w:rPr>
          <w:color w:val="000000" w:themeColor="text1"/>
          <w:shd w:val="clear" w:color="auto" w:fill="FFFFFF"/>
        </w:rPr>
        <w:t>“</w:t>
      </w:r>
      <w:r w:rsidRPr="00174EF4">
        <w:rPr>
          <w:color w:val="000000" w:themeColor="text1"/>
          <w:shd w:val="clear" w:color="auto" w:fill="FFFFFF"/>
        </w:rPr>
        <w:t>Your Place or Mine</w:t>
      </w:r>
      <w:r w:rsidR="00B91CAF">
        <w:rPr>
          <w:color w:val="000000" w:themeColor="text1"/>
          <w:shd w:val="clear" w:color="auto" w:fill="FFFFFF"/>
        </w:rPr>
        <w:t>,</w:t>
      </w:r>
      <w:r w:rsidR="00C43915">
        <w:rPr>
          <w:color w:val="000000" w:themeColor="text1"/>
          <w:shd w:val="clear" w:color="auto" w:fill="FFFFFF"/>
        </w:rPr>
        <w:t>”</w:t>
      </w:r>
      <w:r w:rsidRPr="00174EF4">
        <w:rPr>
          <w:color w:val="000000" w:themeColor="text1"/>
          <w:shd w:val="clear" w:color="auto" w:fill="FFFFFF"/>
        </w:rPr>
        <w:t xml:space="preserve"> 25 October 2013,</w:t>
      </w:r>
      <w:r w:rsidRPr="00174EF4">
        <w:rPr>
          <w:color w:val="000000" w:themeColor="text1"/>
        </w:rPr>
        <w:t xml:space="preserve"> last modified 10 April 2021, </w:t>
      </w:r>
      <w:hyperlink r:id="rId7" w:history="1">
        <w:r w:rsidRPr="00174EF4">
          <w:rPr>
            <w:rStyle w:val="Hyperlink"/>
            <w:color w:val="000000" w:themeColor="text1"/>
          </w:rPr>
          <w:t>https://www.bbc.co.uk/programmes/p01kc102</w:t>
        </w:r>
      </w:hyperlink>
      <w:r w:rsidRPr="00174EF4">
        <w:rPr>
          <w:color w:val="000000" w:themeColor="text1"/>
        </w:rPr>
        <w:t xml:space="preserve">; </w:t>
      </w:r>
      <w:r w:rsidR="00846BBD" w:rsidRPr="00174EF4">
        <w:rPr>
          <w:color w:val="000000" w:themeColor="text1"/>
          <w:shd w:val="clear" w:color="auto" w:fill="FFFFFF"/>
        </w:rPr>
        <w:t xml:space="preserve">Radio Ulster, </w:t>
      </w:r>
      <w:r w:rsidR="00846BBD">
        <w:rPr>
          <w:color w:val="000000" w:themeColor="text1"/>
          <w:shd w:val="clear" w:color="auto" w:fill="FFFFFF"/>
        </w:rPr>
        <w:t>“</w:t>
      </w:r>
      <w:r w:rsidR="00846BBD" w:rsidRPr="00174EF4">
        <w:rPr>
          <w:color w:val="000000" w:themeColor="text1"/>
          <w:shd w:val="clear" w:color="auto" w:fill="FFFFFF"/>
        </w:rPr>
        <w:t>Your Place or Mine</w:t>
      </w:r>
      <w:r w:rsidR="00AF16C1">
        <w:rPr>
          <w:color w:val="000000" w:themeColor="text1"/>
          <w:shd w:val="clear" w:color="auto" w:fill="FFFFFF"/>
        </w:rPr>
        <w:t>,</w:t>
      </w:r>
      <w:r w:rsidR="00846BBD">
        <w:rPr>
          <w:color w:val="000000" w:themeColor="text1"/>
          <w:shd w:val="clear" w:color="auto" w:fill="FFFFFF"/>
        </w:rPr>
        <w:t>”</w:t>
      </w:r>
      <w:r w:rsidR="00846BBD" w:rsidRPr="00174EF4">
        <w:rPr>
          <w:color w:val="000000" w:themeColor="text1"/>
          <w:shd w:val="clear" w:color="auto" w:fill="FFFFFF"/>
        </w:rPr>
        <w:t xml:space="preserve"> </w:t>
      </w:r>
      <w:r w:rsidRPr="00174EF4">
        <w:rPr>
          <w:color w:val="000000" w:themeColor="text1"/>
        </w:rPr>
        <w:t>31 October 2020</w:t>
      </w:r>
      <w:r w:rsidR="00846BBD">
        <w:rPr>
          <w:color w:val="000000" w:themeColor="text1"/>
        </w:rPr>
        <w:t>.</w:t>
      </w:r>
    </w:p>
  </w:endnote>
  <w:endnote w:id="27">
    <w:p w14:paraId="124129C4" w14:textId="420BB68D" w:rsidR="00857E8E" w:rsidRPr="00174EF4" w:rsidRDefault="00857E8E" w:rsidP="00914343">
      <w:pPr>
        <w:spacing w:line="480" w:lineRule="auto"/>
        <w:rPr>
          <w:color w:val="000000" w:themeColor="text1"/>
          <w:shd w:val="clear" w:color="auto" w:fill="FFFFFF"/>
        </w:rPr>
      </w:pPr>
      <w:r w:rsidRPr="00174EF4">
        <w:rPr>
          <w:rStyle w:val="EndnoteReference"/>
          <w:color w:val="000000" w:themeColor="text1"/>
        </w:rPr>
        <w:endnoteRef/>
      </w:r>
      <w:r w:rsidRPr="00174EF4">
        <w:rPr>
          <w:color w:val="000000" w:themeColor="text1"/>
        </w:rPr>
        <w:t xml:space="preserve"> For example</w:t>
      </w:r>
      <w:r w:rsidR="0028336E" w:rsidRPr="00174EF4">
        <w:rPr>
          <w:color w:val="000000" w:themeColor="text1"/>
        </w:rPr>
        <w:t>,</w:t>
      </w:r>
      <w:r w:rsidRPr="00174EF4">
        <w:rPr>
          <w:color w:val="000000" w:themeColor="text1"/>
        </w:rPr>
        <w:t xml:space="preserve"> BBC1, Ulster Scots Language and </w:t>
      </w:r>
      <w:r w:rsidRPr="00174EF4">
        <w:rPr>
          <w:color w:val="000000" w:themeColor="text1"/>
        </w:rPr>
        <w:t xml:space="preserve">Culture program, </w:t>
      </w:r>
      <w:r w:rsidR="00174EF4">
        <w:rPr>
          <w:color w:val="000000" w:themeColor="text1"/>
        </w:rPr>
        <w:t>“</w:t>
      </w:r>
      <w:r w:rsidRPr="00174EF4">
        <w:rPr>
          <w:color w:val="000000" w:themeColor="text1"/>
        </w:rPr>
        <w:t>The Gaitherin</w:t>
      </w:r>
      <w:r w:rsidR="00B91CAF">
        <w:rPr>
          <w:color w:val="000000" w:themeColor="text1"/>
        </w:rPr>
        <w:t>,</w:t>
      </w:r>
      <w:r w:rsidR="00174EF4">
        <w:rPr>
          <w:color w:val="000000" w:themeColor="text1"/>
        </w:rPr>
        <w:t>”</w:t>
      </w:r>
      <w:r w:rsidRPr="00174EF4">
        <w:rPr>
          <w:color w:val="000000" w:themeColor="text1"/>
        </w:rPr>
        <w:t xml:space="preserve"> October 2014; BBC2 Irish language program, </w:t>
      </w:r>
      <w:r w:rsidR="00174EF4">
        <w:rPr>
          <w:color w:val="000000" w:themeColor="text1"/>
        </w:rPr>
        <w:t>“</w:t>
      </w:r>
      <w:r w:rsidRPr="00174EF4">
        <w:rPr>
          <w:color w:val="000000" w:themeColor="text1"/>
        </w:rPr>
        <w:t>I Lár Aonaigh</w:t>
      </w:r>
      <w:r w:rsidR="00B91CAF">
        <w:rPr>
          <w:color w:val="000000" w:themeColor="text1"/>
        </w:rPr>
        <w:t>,</w:t>
      </w:r>
      <w:r w:rsidR="00174EF4">
        <w:rPr>
          <w:color w:val="000000" w:themeColor="text1"/>
        </w:rPr>
        <w:t>”</w:t>
      </w:r>
      <w:r w:rsidRPr="00174EF4">
        <w:rPr>
          <w:color w:val="000000" w:themeColor="text1"/>
        </w:rPr>
        <w:t xml:space="preserve"> Below the Radar TV, November 2016; BBC1, </w:t>
      </w:r>
      <w:r w:rsidR="00174EF4">
        <w:rPr>
          <w:color w:val="000000" w:themeColor="text1"/>
        </w:rPr>
        <w:t>“</w:t>
      </w:r>
      <w:r w:rsidRPr="00174EF4">
        <w:rPr>
          <w:color w:val="000000" w:themeColor="text1"/>
        </w:rPr>
        <w:t>The One Show</w:t>
      </w:r>
      <w:r w:rsidR="00B91CAF">
        <w:rPr>
          <w:color w:val="000000" w:themeColor="text1"/>
        </w:rPr>
        <w:t>,</w:t>
      </w:r>
      <w:r w:rsidR="00174EF4">
        <w:rPr>
          <w:color w:val="000000" w:themeColor="text1"/>
        </w:rPr>
        <w:t>”</w:t>
      </w:r>
      <w:r w:rsidRPr="00174EF4">
        <w:rPr>
          <w:color w:val="000000" w:themeColor="text1"/>
        </w:rPr>
        <w:t xml:space="preserve"> short film on Islandmagee witchcraft trial, October 2016;</w:t>
      </w:r>
      <w:r w:rsidRPr="00174EF4">
        <w:rPr>
          <w:color w:val="000000" w:themeColor="text1"/>
          <w:shd w:val="clear" w:color="auto" w:fill="FFFFFF"/>
        </w:rPr>
        <w:t xml:space="preserve"> BBCNI, </w:t>
      </w:r>
      <w:r w:rsidR="00174EF4">
        <w:rPr>
          <w:color w:val="000000" w:themeColor="text1"/>
          <w:shd w:val="clear" w:color="auto" w:fill="FFFFFF"/>
        </w:rPr>
        <w:t>“</w:t>
      </w:r>
      <w:r w:rsidRPr="00174EF4">
        <w:rPr>
          <w:color w:val="000000" w:themeColor="text1"/>
          <w:shd w:val="clear" w:color="auto" w:fill="FFFFFF"/>
        </w:rPr>
        <w:t>Family Footsteps</w:t>
      </w:r>
      <w:r w:rsidR="00B91CAF">
        <w:rPr>
          <w:color w:val="000000" w:themeColor="text1"/>
          <w:shd w:val="clear" w:color="auto" w:fill="FFFFFF"/>
        </w:rPr>
        <w:t>,</w:t>
      </w:r>
      <w:r w:rsidR="00174EF4">
        <w:rPr>
          <w:color w:val="000000" w:themeColor="text1"/>
          <w:shd w:val="clear" w:color="auto" w:fill="FFFFFF"/>
        </w:rPr>
        <w:t>”</w:t>
      </w:r>
      <w:r w:rsidRPr="00174EF4">
        <w:rPr>
          <w:color w:val="000000" w:themeColor="text1"/>
          <w:shd w:val="clear" w:color="auto" w:fill="FFFFFF"/>
        </w:rPr>
        <w:t xml:space="preserve"> series 2, episode 3, November 2019, Wadell Media.</w:t>
      </w:r>
      <w:r w:rsidR="00BA5F49" w:rsidRPr="00BA5F49">
        <w:t xml:space="preserve"> </w:t>
      </w:r>
    </w:p>
  </w:endnote>
  <w:endnote w:id="28">
    <w:p w14:paraId="15856213" w14:textId="6820147B" w:rsidR="00AD3C41" w:rsidRPr="00174EF4" w:rsidRDefault="00AD3C41" w:rsidP="00914343">
      <w:pPr>
        <w:pStyle w:val="EndnoteText"/>
        <w:spacing w:line="480" w:lineRule="auto"/>
        <w:rPr>
          <w:rFonts w:eastAsia="Calibri"/>
          <w:iCs/>
          <w:color w:val="000000" w:themeColor="text1"/>
        </w:rPr>
      </w:pPr>
      <w:r w:rsidRPr="00174EF4">
        <w:rPr>
          <w:rStyle w:val="EndnoteReference"/>
          <w:color w:val="000000" w:themeColor="text1"/>
        </w:rPr>
        <w:endnoteRef/>
      </w:r>
      <w:r w:rsidRPr="00174EF4">
        <w:rPr>
          <w:color w:val="000000" w:themeColor="text1"/>
        </w:rPr>
        <w:t xml:space="preserve"> </w:t>
      </w:r>
      <w:r w:rsidRPr="00174EF4">
        <w:rPr>
          <w:rFonts w:eastAsia="Calibri"/>
          <w:iCs/>
          <w:color w:val="000000" w:themeColor="text1"/>
        </w:rPr>
        <w:t>TG4</w:t>
      </w:r>
      <w:r w:rsidR="00846BBD">
        <w:rPr>
          <w:rFonts w:eastAsia="Calibri"/>
          <w:iCs/>
          <w:color w:val="000000" w:themeColor="text1"/>
        </w:rPr>
        <w:t>/BBCNI</w:t>
      </w:r>
      <w:r w:rsidRPr="00174EF4">
        <w:rPr>
          <w:rFonts w:eastAsia="Calibri"/>
          <w:iCs/>
          <w:color w:val="000000" w:themeColor="text1"/>
        </w:rPr>
        <w:t>,</w:t>
      </w:r>
      <w:r w:rsidRPr="00174EF4">
        <w:rPr>
          <w:rFonts w:eastAsia="Calibri"/>
          <w:i/>
          <w:color w:val="000000" w:themeColor="text1"/>
        </w:rPr>
        <w:t xml:space="preserve"> </w:t>
      </w:r>
      <w:r w:rsidRPr="00174EF4">
        <w:rPr>
          <w:color w:val="000000" w:themeColor="text1"/>
        </w:rPr>
        <w:t>“</w:t>
      </w:r>
      <w:r w:rsidR="00BA5F49" w:rsidRPr="00BA5F49">
        <w:rPr>
          <w:color w:val="000000" w:themeColor="text1"/>
          <w:shd w:val="clear" w:color="auto" w:fill="FFFFFF"/>
        </w:rPr>
        <w:t>An Diabhal Inti - The Devil’s in He</w:t>
      </w:r>
      <w:r w:rsidR="00BA5F49">
        <w:rPr>
          <w:color w:val="000000" w:themeColor="text1"/>
          <w:shd w:val="clear" w:color="auto" w:fill="FFFFFF"/>
        </w:rPr>
        <w:t>r,</w:t>
      </w:r>
      <w:r w:rsidRPr="00174EF4">
        <w:rPr>
          <w:rFonts w:eastAsia="Calibri"/>
          <w:i/>
          <w:color w:val="000000" w:themeColor="text1"/>
        </w:rPr>
        <w:t xml:space="preserve">” </w:t>
      </w:r>
      <w:r w:rsidRPr="00174EF4">
        <w:rPr>
          <w:rFonts w:eastAsia="Calibri"/>
          <w:iCs/>
          <w:color w:val="000000" w:themeColor="text1"/>
        </w:rPr>
        <w:t>Lagan Media, to be broadcast</w:t>
      </w:r>
      <w:r w:rsidR="00DC58C0">
        <w:rPr>
          <w:rFonts w:eastAsia="Calibri"/>
          <w:iCs/>
          <w:color w:val="000000" w:themeColor="text1"/>
        </w:rPr>
        <w:t xml:space="preserve"> in</w:t>
      </w:r>
      <w:r w:rsidRPr="00174EF4">
        <w:rPr>
          <w:rFonts w:eastAsia="Calibri"/>
          <w:iCs/>
          <w:color w:val="000000" w:themeColor="text1"/>
        </w:rPr>
        <w:t xml:space="preserve"> </w:t>
      </w:r>
      <w:r w:rsidR="00AF16C1">
        <w:rPr>
          <w:rFonts w:eastAsia="Calibri"/>
          <w:iCs/>
          <w:color w:val="000000" w:themeColor="text1"/>
        </w:rPr>
        <w:t xml:space="preserve">early </w:t>
      </w:r>
      <w:r w:rsidRPr="00174EF4">
        <w:rPr>
          <w:rFonts w:eastAsia="Calibri"/>
          <w:iCs/>
          <w:color w:val="000000" w:themeColor="text1"/>
        </w:rPr>
        <w:t xml:space="preserve">2022. </w:t>
      </w:r>
      <w:r w:rsidR="002A4989" w:rsidRPr="00174EF4">
        <w:rPr>
          <w:rFonts w:eastAsia="Calibri"/>
          <w:iCs/>
          <w:color w:val="000000" w:themeColor="text1"/>
        </w:rPr>
        <w:t xml:space="preserve">For the killing of an elderly woman in County Antrim in 1698, see </w:t>
      </w:r>
      <w:r w:rsidR="002A4989" w:rsidRPr="00174EF4">
        <w:rPr>
          <w:color w:val="000000" w:themeColor="text1"/>
        </w:rPr>
        <w:t>Sneddon 2016.</w:t>
      </w:r>
    </w:p>
  </w:endnote>
  <w:endnote w:id="29">
    <w:p w14:paraId="761315D7" w14:textId="221C7927" w:rsidR="00052086" w:rsidRPr="00174EF4" w:rsidRDefault="00052086" w:rsidP="00914343">
      <w:pPr>
        <w:pStyle w:val="EndnoteText"/>
        <w:spacing w:line="480" w:lineRule="auto"/>
        <w:rPr>
          <w:color w:val="000000" w:themeColor="text1"/>
          <w:lang w:val="en-GB"/>
        </w:rPr>
      </w:pPr>
      <w:r w:rsidRPr="00174EF4">
        <w:rPr>
          <w:rStyle w:val="EndnoteReference"/>
          <w:color w:val="000000" w:themeColor="text1"/>
        </w:rPr>
        <w:endnoteRef/>
      </w:r>
      <w:r w:rsidRPr="00174EF4">
        <w:rPr>
          <w:color w:val="000000" w:themeColor="text1"/>
        </w:rPr>
        <w:t xml:space="preserve"> </w:t>
      </w:r>
      <w:r w:rsidR="00BA5F49" w:rsidRPr="00174EF4">
        <w:rPr>
          <w:color w:val="000000" w:themeColor="text1"/>
        </w:rPr>
        <w:t>“</w:t>
      </w:r>
      <w:r w:rsidR="00BA5F49" w:rsidRPr="00BA5F49">
        <w:rPr>
          <w:color w:val="000000" w:themeColor="text1"/>
          <w:shd w:val="clear" w:color="auto" w:fill="FFFFFF"/>
        </w:rPr>
        <w:t>An Diabhal Inti - The Devil’s in He</w:t>
      </w:r>
      <w:r w:rsidR="00BA5F49">
        <w:rPr>
          <w:color w:val="000000" w:themeColor="text1"/>
          <w:shd w:val="clear" w:color="auto" w:fill="FFFFFF"/>
        </w:rPr>
        <w:t>r,</w:t>
      </w:r>
      <w:r w:rsidR="00BA5F49" w:rsidRPr="00174EF4">
        <w:rPr>
          <w:rFonts w:eastAsia="Calibri"/>
          <w:i/>
          <w:color w:val="000000" w:themeColor="text1"/>
        </w:rPr>
        <w:t>”</w:t>
      </w:r>
      <w:r w:rsidR="00BA5F49">
        <w:rPr>
          <w:rFonts w:eastAsia="Calibri"/>
          <w:i/>
          <w:color w:val="000000" w:themeColor="text1"/>
        </w:rPr>
        <w:t xml:space="preserve"> </w:t>
      </w:r>
      <w:hyperlink r:id="rId8" w:history="1">
        <w:r w:rsidR="00DC58C0" w:rsidRPr="00267349">
          <w:rPr>
            <w:rStyle w:val="Hyperlink"/>
            <w:rFonts w:eastAsia="Calibri"/>
            <w:i/>
          </w:rPr>
          <w:t>http://paulamkehoe.com/witches-ireland/</w:t>
        </w:r>
      </w:hyperlink>
      <w:r w:rsidR="00DC58C0">
        <w:rPr>
          <w:rFonts w:eastAsia="Calibri"/>
          <w:iCs/>
          <w:color w:val="000000" w:themeColor="text1"/>
        </w:rPr>
        <w:t xml:space="preserve">, </w:t>
      </w:r>
      <w:r w:rsidR="00DC58C0" w:rsidRPr="00174EF4">
        <w:rPr>
          <w:color w:val="000000" w:themeColor="text1"/>
        </w:rPr>
        <w:t xml:space="preserve">last modified </w:t>
      </w:r>
      <w:r w:rsidR="0011466A">
        <w:rPr>
          <w:color w:val="000000" w:themeColor="text1"/>
        </w:rPr>
        <w:t>16 November</w:t>
      </w:r>
      <w:r w:rsidR="00DC58C0" w:rsidRPr="00174EF4">
        <w:rPr>
          <w:color w:val="000000" w:themeColor="text1"/>
        </w:rPr>
        <w:t xml:space="preserve"> 2021.</w:t>
      </w:r>
    </w:p>
  </w:endnote>
  <w:endnote w:id="30">
    <w:p w14:paraId="3DE9A99B" w14:textId="483F5FA6" w:rsidR="00857E8E" w:rsidRPr="00174EF4" w:rsidRDefault="00857E8E" w:rsidP="00914343">
      <w:pPr>
        <w:pStyle w:val="EndnoteText"/>
        <w:spacing w:line="480" w:lineRule="auto"/>
        <w:rPr>
          <w:color w:val="000000" w:themeColor="text1"/>
        </w:rPr>
      </w:pPr>
      <w:r w:rsidRPr="00174EF4">
        <w:rPr>
          <w:rStyle w:val="EndnoteReference"/>
          <w:color w:val="000000" w:themeColor="text1"/>
        </w:rPr>
        <w:endnoteRef/>
      </w:r>
      <w:r w:rsidRPr="00174EF4">
        <w:rPr>
          <w:color w:val="000000" w:themeColor="text1"/>
        </w:rPr>
        <w:t xml:space="preserve"> </w:t>
      </w:r>
      <w:hyperlink r:id="rId9" w:history="1">
        <w:r w:rsidRPr="00174EF4">
          <w:rPr>
            <w:rStyle w:val="Hyperlink"/>
            <w:color w:val="000000" w:themeColor="text1"/>
          </w:rPr>
          <w:t>https://www.atlasobscura.com/places/carrickfergus-pillory-last-witchcraft-trial-ireland</w:t>
        </w:r>
      </w:hyperlink>
      <w:r w:rsidRPr="00174EF4">
        <w:rPr>
          <w:color w:val="000000" w:themeColor="text1"/>
        </w:rPr>
        <w:t>,</w:t>
      </w:r>
      <w:r w:rsidR="002D2F6F">
        <w:rPr>
          <w:color w:val="000000" w:themeColor="text1"/>
        </w:rPr>
        <w:t xml:space="preserve"> </w:t>
      </w:r>
      <w:r w:rsidRPr="00174EF4">
        <w:rPr>
          <w:color w:val="000000" w:themeColor="text1"/>
        </w:rPr>
        <w:t>last modified 13 April 2021.</w:t>
      </w:r>
    </w:p>
  </w:endnote>
  <w:endnote w:id="31">
    <w:p w14:paraId="0613DE3A" w14:textId="731E0390" w:rsidR="00857E8E" w:rsidRPr="00914343" w:rsidRDefault="00857E8E" w:rsidP="00D008B4">
      <w:pPr>
        <w:spacing w:line="480" w:lineRule="auto"/>
      </w:pPr>
      <w:r w:rsidRPr="00174EF4">
        <w:rPr>
          <w:rStyle w:val="EndnoteReference"/>
          <w:color w:val="000000" w:themeColor="text1"/>
        </w:rPr>
        <w:endnoteRef/>
      </w:r>
      <w:r w:rsidRPr="00174EF4">
        <w:rPr>
          <w:color w:val="000000" w:themeColor="text1"/>
        </w:rPr>
        <w:t xml:space="preserve"> </w:t>
      </w:r>
      <w:r w:rsidRPr="00174EF4">
        <w:rPr>
          <w:i/>
          <w:color w:val="000000" w:themeColor="text1"/>
        </w:rPr>
        <w:t>Belfast Newsletter</w:t>
      </w:r>
      <w:r w:rsidRPr="00174EF4">
        <w:rPr>
          <w:color w:val="000000" w:themeColor="text1"/>
        </w:rPr>
        <w:t>, 7 February 2015</w:t>
      </w:r>
      <w:r w:rsidR="00106E47">
        <w:rPr>
          <w:color w:val="000000" w:themeColor="text1"/>
        </w:rPr>
        <w:t>,</w:t>
      </w:r>
      <w:r w:rsidR="00106E47">
        <w:t xml:space="preserve"> </w:t>
      </w:r>
      <w:r w:rsidR="00106E47" w:rsidRPr="00E37C98">
        <w:t xml:space="preserve">“Unholy </w:t>
      </w:r>
      <w:r w:rsidR="00106E47">
        <w:t>R</w:t>
      </w:r>
      <w:r w:rsidR="00106E47" w:rsidRPr="00E37C98">
        <w:t xml:space="preserve">ow as Larne </w:t>
      </w:r>
      <w:r w:rsidR="00106E47">
        <w:t>P</w:t>
      </w:r>
      <w:r w:rsidR="00106E47" w:rsidRPr="00E37C98">
        <w:t xml:space="preserve">lans </w:t>
      </w:r>
      <w:r w:rsidR="00106E47">
        <w:t>P</w:t>
      </w:r>
      <w:r w:rsidR="00106E47" w:rsidRPr="00E37C98">
        <w:t xml:space="preserve">laque to </w:t>
      </w:r>
      <w:r w:rsidR="00106E47">
        <w:t>M</w:t>
      </w:r>
      <w:r w:rsidR="00106E47" w:rsidRPr="00E37C98">
        <w:t xml:space="preserve">ark 1711 </w:t>
      </w:r>
      <w:r w:rsidR="00106E47">
        <w:t>W</w:t>
      </w:r>
      <w:r w:rsidR="00106E47" w:rsidRPr="00E37C98">
        <w:t xml:space="preserve">itch </w:t>
      </w:r>
      <w:r w:rsidR="00106E47">
        <w:t>T</w:t>
      </w:r>
      <w:r w:rsidR="00106E47" w:rsidRPr="00E37C98">
        <w:t>rial.”</w:t>
      </w:r>
      <w:r w:rsidR="00C979EA">
        <w:t xml:space="preserve"> </w:t>
      </w:r>
      <w:r w:rsidRPr="00174EF4">
        <w:rPr>
          <w:color w:val="000000" w:themeColor="text1"/>
        </w:rPr>
        <w:t>See also</w:t>
      </w:r>
      <w:r w:rsidR="00446A64">
        <w:rPr>
          <w:color w:val="000000" w:themeColor="text1"/>
        </w:rPr>
        <w:t>,</w:t>
      </w:r>
      <w:r w:rsidRPr="00174EF4">
        <w:rPr>
          <w:color w:val="000000" w:themeColor="text1"/>
        </w:rPr>
        <w:t xml:space="preserve"> BBC News, 5 February </w:t>
      </w:r>
      <w:r w:rsidRPr="00174EF4">
        <w:rPr>
          <w:color w:val="000000" w:themeColor="text1"/>
        </w:rPr>
        <w:t xml:space="preserve">2015, “Witches of Islandmagee: Toil and Trouble over Memorial </w:t>
      </w:r>
      <w:r w:rsidR="00CD3A9F">
        <w:rPr>
          <w:color w:val="000000" w:themeColor="text1"/>
        </w:rPr>
        <w:t>P</w:t>
      </w:r>
      <w:r w:rsidRPr="00174EF4">
        <w:rPr>
          <w:color w:val="000000" w:themeColor="text1"/>
        </w:rPr>
        <w:t xml:space="preserve">lans”, last accessed 14 April 2021, </w:t>
      </w:r>
      <w:hyperlink r:id="rId10" w:history="1">
        <w:r w:rsidRPr="00174EF4">
          <w:rPr>
            <w:rStyle w:val="Hyperlink"/>
            <w:color w:val="000000" w:themeColor="text1"/>
          </w:rPr>
          <w:t>https://www.bbc.co.uk/news/uk-northern-ireland-31148230</w:t>
        </w:r>
      </w:hyperlink>
      <w:r w:rsidR="008F0395" w:rsidRPr="00174EF4">
        <w:rPr>
          <w:color w:val="000000" w:themeColor="text1"/>
        </w:rPr>
        <w:t>; Sneddon 2019: 258.</w:t>
      </w:r>
    </w:p>
  </w:endnote>
  <w:endnote w:id="32">
    <w:p w14:paraId="1234BF92" w14:textId="705091FE" w:rsidR="00857E8E" w:rsidRPr="00914343" w:rsidRDefault="00857E8E" w:rsidP="00D008B4">
      <w:pPr>
        <w:spacing w:line="480" w:lineRule="auto"/>
      </w:pPr>
      <w:r w:rsidRPr="00174EF4">
        <w:rPr>
          <w:rStyle w:val="EndnoteReference"/>
          <w:color w:val="000000" w:themeColor="text1"/>
        </w:rPr>
        <w:endnoteRef/>
      </w:r>
      <w:r w:rsidRPr="00174EF4">
        <w:rPr>
          <w:color w:val="000000" w:themeColor="text1"/>
        </w:rPr>
        <w:t xml:space="preserve"> </w:t>
      </w:r>
      <w:r w:rsidR="00446A64">
        <w:rPr>
          <w:i/>
          <w:iCs/>
          <w:color w:val="000000" w:themeColor="text1"/>
        </w:rPr>
        <w:t>The G</w:t>
      </w:r>
      <w:r w:rsidRPr="00174EF4">
        <w:rPr>
          <w:i/>
          <w:iCs/>
          <w:color w:val="000000" w:themeColor="text1"/>
        </w:rPr>
        <w:t>uardian</w:t>
      </w:r>
      <w:r w:rsidRPr="00174EF4">
        <w:rPr>
          <w:color w:val="000000" w:themeColor="text1"/>
        </w:rPr>
        <w:t>, 5 February 2015</w:t>
      </w:r>
      <w:r w:rsidR="00446A64">
        <w:rPr>
          <w:color w:val="000000" w:themeColor="text1"/>
        </w:rPr>
        <w:t xml:space="preserve">, </w:t>
      </w:r>
      <w:r w:rsidR="00446A64">
        <w:t>“</w:t>
      </w:r>
      <w:r w:rsidR="00446A64" w:rsidRPr="00E37C98">
        <w:t xml:space="preserve">Christian </w:t>
      </w:r>
      <w:r w:rsidR="00446A64">
        <w:t>C</w:t>
      </w:r>
      <w:r w:rsidR="00446A64" w:rsidRPr="00E37C98">
        <w:t xml:space="preserve">ouncillor </w:t>
      </w:r>
      <w:r w:rsidR="00446A64">
        <w:t>O</w:t>
      </w:r>
      <w:r w:rsidR="00446A64" w:rsidRPr="00E37C98">
        <w:t>bjects to Islandmagee ‘</w:t>
      </w:r>
      <w:r w:rsidR="00446A64">
        <w:t>W</w:t>
      </w:r>
      <w:r w:rsidR="00446A64" w:rsidRPr="00E37C98">
        <w:t xml:space="preserve">itches’ </w:t>
      </w:r>
      <w:r w:rsidR="00446A64">
        <w:t>P</w:t>
      </w:r>
      <w:r w:rsidR="00446A64" w:rsidRPr="00E37C98">
        <w:t>laque</w:t>
      </w:r>
      <w:r w:rsidR="0088423D">
        <w:t>.”</w:t>
      </w:r>
    </w:p>
  </w:endnote>
  <w:endnote w:id="33">
    <w:p w14:paraId="21F3DAE8" w14:textId="65BD5825" w:rsidR="00857E8E" w:rsidRPr="00174EF4" w:rsidRDefault="00857E8E" w:rsidP="00914343">
      <w:pPr>
        <w:pStyle w:val="EndnoteText"/>
        <w:spacing w:line="480" w:lineRule="auto"/>
        <w:rPr>
          <w:color w:val="000000" w:themeColor="text1"/>
        </w:rPr>
      </w:pPr>
      <w:r w:rsidRPr="00174EF4">
        <w:rPr>
          <w:rStyle w:val="EndnoteReference"/>
          <w:color w:val="000000" w:themeColor="text1"/>
        </w:rPr>
        <w:endnoteRef/>
      </w:r>
      <w:r w:rsidRPr="00174EF4">
        <w:rPr>
          <w:color w:val="000000" w:themeColor="text1"/>
        </w:rPr>
        <w:t xml:space="preserve"> Sneddon 2019: 258</w:t>
      </w:r>
      <w:r w:rsidR="00CD3A9F">
        <w:rPr>
          <w:color w:val="000000" w:themeColor="text1"/>
        </w:rPr>
        <w:t>–5</w:t>
      </w:r>
      <w:r w:rsidRPr="00174EF4">
        <w:rPr>
          <w:color w:val="000000" w:themeColor="text1"/>
        </w:rPr>
        <w:t>9. See also Longley 2001.</w:t>
      </w:r>
    </w:p>
  </w:endnote>
  <w:endnote w:id="34">
    <w:p w14:paraId="588C1E16" w14:textId="3F288C68" w:rsidR="00857E8E" w:rsidRPr="00174EF4" w:rsidRDefault="00857E8E" w:rsidP="00914343">
      <w:pPr>
        <w:spacing w:line="480" w:lineRule="auto"/>
        <w:rPr>
          <w:color w:val="000000" w:themeColor="text1"/>
        </w:rPr>
      </w:pPr>
      <w:r w:rsidRPr="00174EF4">
        <w:rPr>
          <w:rStyle w:val="EndnoteReference"/>
          <w:color w:val="000000" w:themeColor="text1"/>
        </w:rPr>
        <w:endnoteRef/>
      </w:r>
      <w:r w:rsidRPr="00174EF4">
        <w:rPr>
          <w:color w:val="000000" w:themeColor="text1"/>
        </w:rPr>
        <w:t xml:space="preserve"> For a discussion of the political and social implications of the Decade of Centenaries in Northern Ireland and the Republic of Ireland: </w:t>
      </w:r>
      <w:r w:rsidRPr="00174EF4">
        <w:rPr>
          <w:color w:val="000000" w:themeColor="text1"/>
          <w:spacing w:val="-5"/>
          <w:shd w:val="clear" w:color="auto" w:fill="FFFFFF"/>
        </w:rPr>
        <w:t>Bryan et al</w:t>
      </w:r>
      <w:r w:rsidR="001C732C">
        <w:rPr>
          <w:color w:val="000000" w:themeColor="text1"/>
          <w:spacing w:val="-5"/>
          <w:shd w:val="clear" w:color="auto" w:fill="FFFFFF"/>
        </w:rPr>
        <w:t>.</w:t>
      </w:r>
      <w:r w:rsidRPr="00174EF4">
        <w:rPr>
          <w:color w:val="000000" w:themeColor="text1"/>
          <w:spacing w:val="-5"/>
          <w:shd w:val="clear" w:color="auto" w:fill="FFFFFF"/>
        </w:rPr>
        <w:t xml:space="preserve"> 2013; Mullen 2018: 34</w:t>
      </w:r>
      <w:r w:rsidR="000341C3">
        <w:rPr>
          <w:color w:val="000000" w:themeColor="text1"/>
          <w:spacing w:val="-5"/>
          <w:shd w:val="clear" w:color="auto" w:fill="FFFFFF"/>
        </w:rPr>
        <w:t>–</w:t>
      </w:r>
      <w:r w:rsidRPr="00174EF4">
        <w:rPr>
          <w:color w:val="000000" w:themeColor="text1"/>
          <w:spacing w:val="-5"/>
          <w:shd w:val="clear" w:color="auto" w:fill="FFFFFF"/>
        </w:rPr>
        <w:t>48.</w:t>
      </w:r>
    </w:p>
  </w:endnote>
  <w:endnote w:id="35">
    <w:p w14:paraId="5552C3D8" w14:textId="119F3811" w:rsidR="0053287A" w:rsidRPr="00174EF4" w:rsidRDefault="00857E8E" w:rsidP="00914343">
      <w:pPr>
        <w:pStyle w:val="EndnoteText"/>
        <w:spacing w:line="480" w:lineRule="auto"/>
        <w:rPr>
          <w:color w:val="000000" w:themeColor="text1"/>
        </w:rPr>
      </w:pPr>
      <w:r w:rsidRPr="00174EF4">
        <w:rPr>
          <w:rStyle w:val="EndnoteReference"/>
          <w:color w:val="000000" w:themeColor="text1"/>
        </w:rPr>
        <w:endnoteRef/>
      </w:r>
      <w:r w:rsidRPr="00174EF4">
        <w:rPr>
          <w:color w:val="000000" w:themeColor="text1"/>
        </w:rPr>
        <w:t xml:space="preserve"> </w:t>
      </w:r>
      <w:r w:rsidRPr="00174EF4">
        <w:rPr>
          <w:color w:val="000000" w:themeColor="text1"/>
        </w:rPr>
        <w:t>“The Witches of Islandmagee</w:t>
      </w:r>
      <w:r w:rsidR="0003416E">
        <w:rPr>
          <w:color w:val="000000" w:themeColor="text1"/>
        </w:rPr>
        <w:t>,</w:t>
      </w:r>
      <w:r w:rsidRPr="00174EF4">
        <w:rPr>
          <w:color w:val="000000" w:themeColor="text1"/>
        </w:rPr>
        <w:t xml:space="preserve">” </w:t>
      </w:r>
      <w:hyperlink r:id="rId11" w:history="1">
        <w:r w:rsidRPr="00174EF4">
          <w:rPr>
            <w:rStyle w:val="Hyperlink"/>
            <w:color w:val="000000" w:themeColor="text1"/>
          </w:rPr>
          <w:t>https://shapedbyseaandstone.com/editorials/witches-islandmagee</w:t>
        </w:r>
      </w:hyperlink>
      <w:r w:rsidR="001C732C">
        <w:rPr>
          <w:rStyle w:val="Hyperlink"/>
          <w:color w:val="000000" w:themeColor="text1"/>
        </w:rPr>
        <w:t xml:space="preserve">, </w:t>
      </w:r>
      <w:r w:rsidR="001C732C" w:rsidRPr="00174EF4">
        <w:rPr>
          <w:color w:val="000000" w:themeColor="text1"/>
        </w:rPr>
        <w:t>last modified 12 April 2021</w:t>
      </w:r>
      <w:r w:rsidRPr="00174EF4">
        <w:rPr>
          <w:color w:val="000000" w:themeColor="text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9678722"/>
      <w:docPartObj>
        <w:docPartGallery w:val="Page Numbers (Bottom of Page)"/>
        <w:docPartUnique/>
      </w:docPartObj>
    </w:sdtPr>
    <w:sdtEndPr>
      <w:rPr>
        <w:rStyle w:val="PageNumber"/>
      </w:rPr>
    </w:sdtEndPr>
    <w:sdtContent>
      <w:p w14:paraId="0B61A55F" w14:textId="1624ADBF" w:rsidR="005F3319" w:rsidRDefault="005F3319" w:rsidP="00E245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E49CD7" w14:textId="77777777" w:rsidR="005F3319" w:rsidRDefault="005F3319" w:rsidP="00D204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4814111"/>
      <w:docPartObj>
        <w:docPartGallery w:val="Page Numbers (Bottom of Page)"/>
        <w:docPartUnique/>
      </w:docPartObj>
    </w:sdtPr>
    <w:sdtEndPr>
      <w:rPr>
        <w:rStyle w:val="PageNumber"/>
      </w:rPr>
    </w:sdtEndPr>
    <w:sdtContent>
      <w:p w14:paraId="7CCF6A67" w14:textId="77777777" w:rsidR="005F3319" w:rsidRDefault="005F3319" w:rsidP="004D363A">
        <w:pPr>
          <w:pStyle w:val="Footer"/>
          <w:framePr w:wrap="none" w:vAnchor="text" w:hAnchor="margin" w:xAlign="right" w:y="1"/>
          <w:rPr>
            <w:rStyle w:val="PageNumber"/>
          </w:rPr>
        </w:pPr>
      </w:p>
      <w:p w14:paraId="3B53D26A" w14:textId="10392F11" w:rsidR="005F3319" w:rsidRDefault="001201CB" w:rsidP="004D363A">
        <w:pPr>
          <w:pStyle w:val="Footer"/>
          <w:framePr w:wrap="none" w:vAnchor="text" w:hAnchor="margin" w:xAlign="right" w:y="1"/>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6692" w14:textId="77777777" w:rsidR="001201CB" w:rsidRDefault="001201CB" w:rsidP="00F26E0F">
      <w:r>
        <w:separator/>
      </w:r>
    </w:p>
  </w:footnote>
  <w:footnote w:type="continuationSeparator" w:id="0">
    <w:p w14:paraId="7C9853EC" w14:textId="77777777" w:rsidR="001201CB" w:rsidRDefault="001201CB" w:rsidP="00F26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2681460"/>
      <w:docPartObj>
        <w:docPartGallery w:val="Page Numbers (Top of Page)"/>
        <w:docPartUnique/>
      </w:docPartObj>
    </w:sdtPr>
    <w:sdtEndPr>
      <w:rPr>
        <w:rStyle w:val="PageNumber"/>
      </w:rPr>
    </w:sdtEndPr>
    <w:sdtContent>
      <w:p w14:paraId="071B4006" w14:textId="65F07985" w:rsidR="005F3319" w:rsidRDefault="005F3319" w:rsidP="00205B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7BBC4" w14:textId="77777777" w:rsidR="005F3319" w:rsidRDefault="005F3319" w:rsidP="004D36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907D" w14:textId="4E18B4FA" w:rsidR="005F3319" w:rsidRDefault="005F3319" w:rsidP="00205B3A">
    <w:pPr>
      <w:pStyle w:val="Header"/>
      <w:framePr w:wrap="none" w:vAnchor="text" w:hAnchor="margin" w:xAlign="right" w:y="1"/>
      <w:rPr>
        <w:rStyle w:val="PageNumber"/>
      </w:rPr>
    </w:pPr>
  </w:p>
  <w:sdt>
    <w:sdtPr>
      <w:rPr>
        <w:rStyle w:val="PageNumber"/>
      </w:rPr>
      <w:id w:val="134140920"/>
      <w:docPartObj>
        <w:docPartGallery w:val="Page Numbers (Top of Page)"/>
        <w:docPartUnique/>
      </w:docPartObj>
    </w:sdtPr>
    <w:sdtEndPr>
      <w:rPr>
        <w:rStyle w:val="PageNumber"/>
      </w:rPr>
    </w:sdtEndPr>
    <w:sdtContent>
      <w:p w14:paraId="1D43EF6B" w14:textId="77777777" w:rsidR="006D7B4C" w:rsidRDefault="006D7B4C" w:rsidP="006D7B4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sdtContent>
  </w:sdt>
  <w:p w14:paraId="5D54232E" w14:textId="77777777" w:rsidR="005F3319" w:rsidRDefault="005F33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302B7"/>
    <w:multiLevelType w:val="hybridMultilevel"/>
    <w:tmpl w:val="AC28F05E"/>
    <w:lvl w:ilvl="0" w:tplc="BC6851F6">
      <w:start w:val="779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D4658"/>
    <w:multiLevelType w:val="hybridMultilevel"/>
    <w:tmpl w:val="CCD82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32689"/>
    <w:multiLevelType w:val="hybridMultilevel"/>
    <w:tmpl w:val="0262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117BC"/>
    <w:multiLevelType w:val="hybridMultilevel"/>
    <w:tmpl w:val="B0E24F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01A12"/>
    <w:multiLevelType w:val="hybridMultilevel"/>
    <w:tmpl w:val="9E46919E"/>
    <w:lvl w:ilvl="0" w:tplc="4170B2CA">
      <w:start w:val="779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8622758">
    <w:abstractNumId w:val="1"/>
  </w:num>
  <w:num w:numId="2" w16cid:durableId="1256204525">
    <w:abstractNumId w:val="2"/>
  </w:num>
  <w:num w:numId="3" w16cid:durableId="1532649456">
    <w:abstractNumId w:val="3"/>
  </w:num>
  <w:num w:numId="4" w16cid:durableId="1889296646">
    <w:abstractNumId w:val="4"/>
  </w:num>
  <w:num w:numId="5" w16cid:durableId="563105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1F1"/>
    <w:rsid w:val="00002BC6"/>
    <w:rsid w:val="00003643"/>
    <w:rsid w:val="00004147"/>
    <w:rsid w:val="00010C9F"/>
    <w:rsid w:val="00011442"/>
    <w:rsid w:val="0001178F"/>
    <w:rsid w:val="00013131"/>
    <w:rsid w:val="000142D1"/>
    <w:rsid w:val="00014F71"/>
    <w:rsid w:val="00015E55"/>
    <w:rsid w:val="000161E5"/>
    <w:rsid w:val="0001740C"/>
    <w:rsid w:val="000200EF"/>
    <w:rsid w:val="00020FC3"/>
    <w:rsid w:val="0002196E"/>
    <w:rsid w:val="0002299A"/>
    <w:rsid w:val="00023B73"/>
    <w:rsid w:val="00024210"/>
    <w:rsid w:val="00026D41"/>
    <w:rsid w:val="00031169"/>
    <w:rsid w:val="0003230D"/>
    <w:rsid w:val="00032820"/>
    <w:rsid w:val="0003416E"/>
    <w:rsid w:val="000341C3"/>
    <w:rsid w:val="000352ED"/>
    <w:rsid w:val="00035437"/>
    <w:rsid w:val="00035DD0"/>
    <w:rsid w:val="00036366"/>
    <w:rsid w:val="00036558"/>
    <w:rsid w:val="00036AE9"/>
    <w:rsid w:val="000370B9"/>
    <w:rsid w:val="0003794F"/>
    <w:rsid w:val="00040FCE"/>
    <w:rsid w:val="000422B0"/>
    <w:rsid w:val="00042B63"/>
    <w:rsid w:val="00043206"/>
    <w:rsid w:val="000464B7"/>
    <w:rsid w:val="00050508"/>
    <w:rsid w:val="00050C1D"/>
    <w:rsid w:val="00050F07"/>
    <w:rsid w:val="000519C0"/>
    <w:rsid w:val="00052086"/>
    <w:rsid w:val="0005374B"/>
    <w:rsid w:val="00054145"/>
    <w:rsid w:val="0005414A"/>
    <w:rsid w:val="0005465E"/>
    <w:rsid w:val="00060B22"/>
    <w:rsid w:val="00060F79"/>
    <w:rsid w:val="0006100F"/>
    <w:rsid w:val="0006110C"/>
    <w:rsid w:val="00062F40"/>
    <w:rsid w:val="000641DF"/>
    <w:rsid w:val="00064C04"/>
    <w:rsid w:val="00064E76"/>
    <w:rsid w:val="00065865"/>
    <w:rsid w:val="000700D3"/>
    <w:rsid w:val="00070BEC"/>
    <w:rsid w:val="00070EE2"/>
    <w:rsid w:val="000717A9"/>
    <w:rsid w:val="0007287E"/>
    <w:rsid w:val="00072DDF"/>
    <w:rsid w:val="00074A5A"/>
    <w:rsid w:val="0007539D"/>
    <w:rsid w:val="000753B0"/>
    <w:rsid w:val="00075C27"/>
    <w:rsid w:val="00080F52"/>
    <w:rsid w:val="00081906"/>
    <w:rsid w:val="00085B8E"/>
    <w:rsid w:val="00085D2A"/>
    <w:rsid w:val="00091195"/>
    <w:rsid w:val="0009146F"/>
    <w:rsid w:val="00091B69"/>
    <w:rsid w:val="000935E1"/>
    <w:rsid w:val="00093702"/>
    <w:rsid w:val="00094374"/>
    <w:rsid w:val="00096080"/>
    <w:rsid w:val="00097053"/>
    <w:rsid w:val="00097D92"/>
    <w:rsid w:val="000A12B5"/>
    <w:rsid w:val="000A139A"/>
    <w:rsid w:val="000A1599"/>
    <w:rsid w:val="000A1E46"/>
    <w:rsid w:val="000A5A4C"/>
    <w:rsid w:val="000A5DB5"/>
    <w:rsid w:val="000A7215"/>
    <w:rsid w:val="000A7CE1"/>
    <w:rsid w:val="000B02CE"/>
    <w:rsid w:val="000B02E8"/>
    <w:rsid w:val="000B0A98"/>
    <w:rsid w:val="000B0BD6"/>
    <w:rsid w:val="000B0F4B"/>
    <w:rsid w:val="000B1DA7"/>
    <w:rsid w:val="000B1F40"/>
    <w:rsid w:val="000B2520"/>
    <w:rsid w:val="000B2750"/>
    <w:rsid w:val="000B3DE0"/>
    <w:rsid w:val="000B52C2"/>
    <w:rsid w:val="000C140A"/>
    <w:rsid w:val="000C281F"/>
    <w:rsid w:val="000C2EC3"/>
    <w:rsid w:val="000C5414"/>
    <w:rsid w:val="000C580F"/>
    <w:rsid w:val="000C60C1"/>
    <w:rsid w:val="000C6B3A"/>
    <w:rsid w:val="000C7E8A"/>
    <w:rsid w:val="000D032D"/>
    <w:rsid w:val="000D30C5"/>
    <w:rsid w:val="000D3781"/>
    <w:rsid w:val="000D472F"/>
    <w:rsid w:val="000D4B63"/>
    <w:rsid w:val="000D539E"/>
    <w:rsid w:val="000D77EE"/>
    <w:rsid w:val="000E1B9B"/>
    <w:rsid w:val="000E28DB"/>
    <w:rsid w:val="000E41C3"/>
    <w:rsid w:val="000E43B5"/>
    <w:rsid w:val="000E45D1"/>
    <w:rsid w:val="000E4B05"/>
    <w:rsid w:val="000E5F95"/>
    <w:rsid w:val="000E7517"/>
    <w:rsid w:val="000F03F3"/>
    <w:rsid w:val="000F0447"/>
    <w:rsid w:val="000F2551"/>
    <w:rsid w:val="000F2C4C"/>
    <w:rsid w:val="000F3E4D"/>
    <w:rsid w:val="000F3F88"/>
    <w:rsid w:val="000F4146"/>
    <w:rsid w:val="000F6F4A"/>
    <w:rsid w:val="000F7197"/>
    <w:rsid w:val="00100320"/>
    <w:rsid w:val="00100C90"/>
    <w:rsid w:val="00100DD7"/>
    <w:rsid w:val="00100ECC"/>
    <w:rsid w:val="0010116B"/>
    <w:rsid w:val="00101A6E"/>
    <w:rsid w:val="00101EC3"/>
    <w:rsid w:val="001034B3"/>
    <w:rsid w:val="00104EAF"/>
    <w:rsid w:val="00105F35"/>
    <w:rsid w:val="00106E47"/>
    <w:rsid w:val="00112471"/>
    <w:rsid w:val="0011287B"/>
    <w:rsid w:val="001128B8"/>
    <w:rsid w:val="00112C9B"/>
    <w:rsid w:val="00114489"/>
    <w:rsid w:val="0011466A"/>
    <w:rsid w:val="00114999"/>
    <w:rsid w:val="0011505E"/>
    <w:rsid w:val="00115E0B"/>
    <w:rsid w:val="00116239"/>
    <w:rsid w:val="00116F0A"/>
    <w:rsid w:val="001201CB"/>
    <w:rsid w:val="0012261D"/>
    <w:rsid w:val="0012273D"/>
    <w:rsid w:val="00124B3A"/>
    <w:rsid w:val="00127862"/>
    <w:rsid w:val="00127DD3"/>
    <w:rsid w:val="001308CD"/>
    <w:rsid w:val="00131054"/>
    <w:rsid w:val="00131971"/>
    <w:rsid w:val="00132144"/>
    <w:rsid w:val="00132B7A"/>
    <w:rsid w:val="0013357C"/>
    <w:rsid w:val="001340B0"/>
    <w:rsid w:val="0013411B"/>
    <w:rsid w:val="0013457A"/>
    <w:rsid w:val="00136660"/>
    <w:rsid w:val="00136662"/>
    <w:rsid w:val="00142873"/>
    <w:rsid w:val="00143ED5"/>
    <w:rsid w:val="00144B24"/>
    <w:rsid w:val="00145468"/>
    <w:rsid w:val="00146AEB"/>
    <w:rsid w:val="0014712E"/>
    <w:rsid w:val="00147416"/>
    <w:rsid w:val="00147A03"/>
    <w:rsid w:val="00150804"/>
    <w:rsid w:val="00150E82"/>
    <w:rsid w:val="001519CB"/>
    <w:rsid w:val="00155726"/>
    <w:rsid w:val="00156074"/>
    <w:rsid w:val="00156A8A"/>
    <w:rsid w:val="00156AF1"/>
    <w:rsid w:val="00156CCB"/>
    <w:rsid w:val="00156EBB"/>
    <w:rsid w:val="00157110"/>
    <w:rsid w:val="00157C67"/>
    <w:rsid w:val="00160566"/>
    <w:rsid w:val="00161035"/>
    <w:rsid w:val="001618DA"/>
    <w:rsid w:val="00162874"/>
    <w:rsid w:val="00162D61"/>
    <w:rsid w:val="00162FB2"/>
    <w:rsid w:val="0016373A"/>
    <w:rsid w:val="0016433C"/>
    <w:rsid w:val="00166726"/>
    <w:rsid w:val="00167321"/>
    <w:rsid w:val="00167FE2"/>
    <w:rsid w:val="0017033F"/>
    <w:rsid w:val="001703AF"/>
    <w:rsid w:val="00170504"/>
    <w:rsid w:val="001705E0"/>
    <w:rsid w:val="00170814"/>
    <w:rsid w:val="00171020"/>
    <w:rsid w:val="001724D9"/>
    <w:rsid w:val="00172590"/>
    <w:rsid w:val="00174635"/>
    <w:rsid w:val="00174EF4"/>
    <w:rsid w:val="00174F51"/>
    <w:rsid w:val="00175F9F"/>
    <w:rsid w:val="00177E56"/>
    <w:rsid w:val="00180E66"/>
    <w:rsid w:val="00181512"/>
    <w:rsid w:val="00184199"/>
    <w:rsid w:val="00184F3E"/>
    <w:rsid w:val="0018571A"/>
    <w:rsid w:val="00186B50"/>
    <w:rsid w:val="001917C0"/>
    <w:rsid w:val="0019223F"/>
    <w:rsid w:val="00193008"/>
    <w:rsid w:val="001942D1"/>
    <w:rsid w:val="00194C0D"/>
    <w:rsid w:val="001955C5"/>
    <w:rsid w:val="001965B7"/>
    <w:rsid w:val="001966CD"/>
    <w:rsid w:val="0019696C"/>
    <w:rsid w:val="00197240"/>
    <w:rsid w:val="001972C1"/>
    <w:rsid w:val="001A1065"/>
    <w:rsid w:val="001A1652"/>
    <w:rsid w:val="001A1FCC"/>
    <w:rsid w:val="001A23FF"/>
    <w:rsid w:val="001A540C"/>
    <w:rsid w:val="001A548D"/>
    <w:rsid w:val="001A573B"/>
    <w:rsid w:val="001A5827"/>
    <w:rsid w:val="001B0240"/>
    <w:rsid w:val="001B401A"/>
    <w:rsid w:val="001B4BD8"/>
    <w:rsid w:val="001B550F"/>
    <w:rsid w:val="001B5B79"/>
    <w:rsid w:val="001B770B"/>
    <w:rsid w:val="001C0BD2"/>
    <w:rsid w:val="001C124E"/>
    <w:rsid w:val="001C15EF"/>
    <w:rsid w:val="001C175A"/>
    <w:rsid w:val="001C1CD0"/>
    <w:rsid w:val="001C2FB1"/>
    <w:rsid w:val="001C3583"/>
    <w:rsid w:val="001C4D26"/>
    <w:rsid w:val="001C642C"/>
    <w:rsid w:val="001C732C"/>
    <w:rsid w:val="001D0AD4"/>
    <w:rsid w:val="001D1BB2"/>
    <w:rsid w:val="001D2E23"/>
    <w:rsid w:val="001D2E5F"/>
    <w:rsid w:val="001D4A29"/>
    <w:rsid w:val="001D4B25"/>
    <w:rsid w:val="001D5231"/>
    <w:rsid w:val="001D6C6B"/>
    <w:rsid w:val="001D6D34"/>
    <w:rsid w:val="001D7C6F"/>
    <w:rsid w:val="001D7CF4"/>
    <w:rsid w:val="001D7E68"/>
    <w:rsid w:val="001E315D"/>
    <w:rsid w:val="001E4B4C"/>
    <w:rsid w:val="001E51F7"/>
    <w:rsid w:val="001E60A4"/>
    <w:rsid w:val="001E6441"/>
    <w:rsid w:val="001E649A"/>
    <w:rsid w:val="001E6775"/>
    <w:rsid w:val="001E777C"/>
    <w:rsid w:val="001F2C9D"/>
    <w:rsid w:val="001F405F"/>
    <w:rsid w:val="001F4FEF"/>
    <w:rsid w:val="001F657C"/>
    <w:rsid w:val="001F662C"/>
    <w:rsid w:val="002012B4"/>
    <w:rsid w:val="00201F85"/>
    <w:rsid w:val="00203132"/>
    <w:rsid w:val="00203431"/>
    <w:rsid w:val="00203614"/>
    <w:rsid w:val="00203A7D"/>
    <w:rsid w:val="00204B6B"/>
    <w:rsid w:val="00205222"/>
    <w:rsid w:val="00205B3A"/>
    <w:rsid w:val="002106F6"/>
    <w:rsid w:val="00210B14"/>
    <w:rsid w:val="0021246C"/>
    <w:rsid w:val="002125F7"/>
    <w:rsid w:val="002128F8"/>
    <w:rsid w:val="00212A4E"/>
    <w:rsid w:val="00213F8E"/>
    <w:rsid w:val="0021423F"/>
    <w:rsid w:val="00214456"/>
    <w:rsid w:val="002152D3"/>
    <w:rsid w:val="00215987"/>
    <w:rsid w:val="002168FF"/>
    <w:rsid w:val="0021730A"/>
    <w:rsid w:val="00217A08"/>
    <w:rsid w:val="00217B9F"/>
    <w:rsid w:val="0022017B"/>
    <w:rsid w:val="00220E7D"/>
    <w:rsid w:val="00220F23"/>
    <w:rsid w:val="002234F4"/>
    <w:rsid w:val="00223C3C"/>
    <w:rsid w:val="002243F0"/>
    <w:rsid w:val="00227753"/>
    <w:rsid w:val="0023033E"/>
    <w:rsid w:val="00230C04"/>
    <w:rsid w:val="00231ECC"/>
    <w:rsid w:val="002346ED"/>
    <w:rsid w:val="00234A5F"/>
    <w:rsid w:val="00234FE6"/>
    <w:rsid w:val="00237E1D"/>
    <w:rsid w:val="00247042"/>
    <w:rsid w:val="002470D2"/>
    <w:rsid w:val="00247B1D"/>
    <w:rsid w:val="00247C4A"/>
    <w:rsid w:val="00247CC8"/>
    <w:rsid w:val="00247D0A"/>
    <w:rsid w:val="002503A2"/>
    <w:rsid w:val="002536C4"/>
    <w:rsid w:val="00253CD5"/>
    <w:rsid w:val="00253E29"/>
    <w:rsid w:val="002542A6"/>
    <w:rsid w:val="0025468F"/>
    <w:rsid w:val="002547FF"/>
    <w:rsid w:val="00254D60"/>
    <w:rsid w:val="00254E69"/>
    <w:rsid w:val="002550C0"/>
    <w:rsid w:val="00256368"/>
    <w:rsid w:val="00257105"/>
    <w:rsid w:val="002571A4"/>
    <w:rsid w:val="0025793E"/>
    <w:rsid w:val="00257EBC"/>
    <w:rsid w:val="00260759"/>
    <w:rsid w:val="00260EEA"/>
    <w:rsid w:val="00262648"/>
    <w:rsid w:val="002628C3"/>
    <w:rsid w:val="002628DE"/>
    <w:rsid w:val="0026295B"/>
    <w:rsid w:val="00262FA0"/>
    <w:rsid w:val="00263E4A"/>
    <w:rsid w:val="00263ECA"/>
    <w:rsid w:val="00264D12"/>
    <w:rsid w:val="0026592D"/>
    <w:rsid w:val="00266BA9"/>
    <w:rsid w:val="0026747C"/>
    <w:rsid w:val="002728FD"/>
    <w:rsid w:val="00274F7A"/>
    <w:rsid w:val="00275B94"/>
    <w:rsid w:val="00276173"/>
    <w:rsid w:val="002802AE"/>
    <w:rsid w:val="002809E4"/>
    <w:rsid w:val="00280F25"/>
    <w:rsid w:val="00282149"/>
    <w:rsid w:val="0028336E"/>
    <w:rsid w:val="0028376F"/>
    <w:rsid w:val="00284B10"/>
    <w:rsid w:val="00286229"/>
    <w:rsid w:val="00286B06"/>
    <w:rsid w:val="0028742B"/>
    <w:rsid w:val="00290B05"/>
    <w:rsid w:val="00291BDB"/>
    <w:rsid w:val="002922D1"/>
    <w:rsid w:val="00292983"/>
    <w:rsid w:val="002969FB"/>
    <w:rsid w:val="00296C77"/>
    <w:rsid w:val="002A42A3"/>
    <w:rsid w:val="002A45E7"/>
    <w:rsid w:val="002A4989"/>
    <w:rsid w:val="002A6E7B"/>
    <w:rsid w:val="002A6F12"/>
    <w:rsid w:val="002B0AC1"/>
    <w:rsid w:val="002B0F98"/>
    <w:rsid w:val="002B0F9B"/>
    <w:rsid w:val="002B1FEF"/>
    <w:rsid w:val="002B2457"/>
    <w:rsid w:val="002B680D"/>
    <w:rsid w:val="002B74A2"/>
    <w:rsid w:val="002C0354"/>
    <w:rsid w:val="002C148C"/>
    <w:rsid w:val="002C289B"/>
    <w:rsid w:val="002C3FB2"/>
    <w:rsid w:val="002C41AA"/>
    <w:rsid w:val="002C462D"/>
    <w:rsid w:val="002C4DA5"/>
    <w:rsid w:val="002C6161"/>
    <w:rsid w:val="002C757C"/>
    <w:rsid w:val="002D011D"/>
    <w:rsid w:val="002D0927"/>
    <w:rsid w:val="002D21EB"/>
    <w:rsid w:val="002D2F6F"/>
    <w:rsid w:val="002D3571"/>
    <w:rsid w:val="002D5398"/>
    <w:rsid w:val="002D6740"/>
    <w:rsid w:val="002D7902"/>
    <w:rsid w:val="002D7AE2"/>
    <w:rsid w:val="002E07B2"/>
    <w:rsid w:val="002E2509"/>
    <w:rsid w:val="002E338A"/>
    <w:rsid w:val="002E42B0"/>
    <w:rsid w:val="002E454D"/>
    <w:rsid w:val="002E682D"/>
    <w:rsid w:val="002F1F1B"/>
    <w:rsid w:val="002F2035"/>
    <w:rsid w:val="002F256D"/>
    <w:rsid w:val="002F2AE7"/>
    <w:rsid w:val="002F2F51"/>
    <w:rsid w:val="002F346B"/>
    <w:rsid w:val="002F3E69"/>
    <w:rsid w:val="002F4800"/>
    <w:rsid w:val="002F5005"/>
    <w:rsid w:val="002F6327"/>
    <w:rsid w:val="002F6613"/>
    <w:rsid w:val="002F7AC2"/>
    <w:rsid w:val="003011CE"/>
    <w:rsid w:val="0030212E"/>
    <w:rsid w:val="00302B34"/>
    <w:rsid w:val="00303991"/>
    <w:rsid w:val="0030470F"/>
    <w:rsid w:val="00304CB4"/>
    <w:rsid w:val="00305690"/>
    <w:rsid w:val="003057E3"/>
    <w:rsid w:val="003103D9"/>
    <w:rsid w:val="00310E16"/>
    <w:rsid w:val="00312B1F"/>
    <w:rsid w:val="0031357B"/>
    <w:rsid w:val="00313D6D"/>
    <w:rsid w:val="00313E14"/>
    <w:rsid w:val="003145E3"/>
    <w:rsid w:val="00314E1A"/>
    <w:rsid w:val="0031587C"/>
    <w:rsid w:val="0032076A"/>
    <w:rsid w:val="00321605"/>
    <w:rsid w:val="00321EF4"/>
    <w:rsid w:val="00323178"/>
    <w:rsid w:val="00323CD6"/>
    <w:rsid w:val="00325882"/>
    <w:rsid w:val="00327F5C"/>
    <w:rsid w:val="003321E0"/>
    <w:rsid w:val="003327A0"/>
    <w:rsid w:val="003331B4"/>
    <w:rsid w:val="00334184"/>
    <w:rsid w:val="00334230"/>
    <w:rsid w:val="00335A28"/>
    <w:rsid w:val="003370FC"/>
    <w:rsid w:val="003377DA"/>
    <w:rsid w:val="00340B37"/>
    <w:rsid w:val="00344809"/>
    <w:rsid w:val="00346D46"/>
    <w:rsid w:val="003471F1"/>
    <w:rsid w:val="003475E7"/>
    <w:rsid w:val="003479FD"/>
    <w:rsid w:val="003506B5"/>
    <w:rsid w:val="00351014"/>
    <w:rsid w:val="0035246D"/>
    <w:rsid w:val="00353976"/>
    <w:rsid w:val="003540AB"/>
    <w:rsid w:val="003553F3"/>
    <w:rsid w:val="00355648"/>
    <w:rsid w:val="00355811"/>
    <w:rsid w:val="00357C0E"/>
    <w:rsid w:val="003605A5"/>
    <w:rsid w:val="003606C8"/>
    <w:rsid w:val="00360E20"/>
    <w:rsid w:val="00361A99"/>
    <w:rsid w:val="00362126"/>
    <w:rsid w:val="00362678"/>
    <w:rsid w:val="00362D67"/>
    <w:rsid w:val="00362F45"/>
    <w:rsid w:val="003633E0"/>
    <w:rsid w:val="00363954"/>
    <w:rsid w:val="00364479"/>
    <w:rsid w:val="003645AB"/>
    <w:rsid w:val="00365D25"/>
    <w:rsid w:val="00366475"/>
    <w:rsid w:val="00367867"/>
    <w:rsid w:val="00367E92"/>
    <w:rsid w:val="0037024D"/>
    <w:rsid w:val="0037068C"/>
    <w:rsid w:val="0037075F"/>
    <w:rsid w:val="003718B5"/>
    <w:rsid w:val="003719A1"/>
    <w:rsid w:val="00372E6C"/>
    <w:rsid w:val="00374EA0"/>
    <w:rsid w:val="00376B9C"/>
    <w:rsid w:val="00382418"/>
    <w:rsid w:val="00382849"/>
    <w:rsid w:val="0038333A"/>
    <w:rsid w:val="00383737"/>
    <w:rsid w:val="0038404B"/>
    <w:rsid w:val="00385130"/>
    <w:rsid w:val="00385579"/>
    <w:rsid w:val="003858BA"/>
    <w:rsid w:val="00386322"/>
    <w:rsid w:val="00386C9C"/>
    <w:rsid w:val="00387DC5"/>
    <w:rsid w:val="00392277"/>
    <w:rsid w:val="00392966"/>
    <w:rsid w:val="00396361"/>
    <w:rsid w:val="00396485"/>
    <w:rsid w:val="00396829"/>
    <w:rsid w:val="0039736E"/>
    <w:rsid w:val="003A0AEE"/>
    <w:rsid w:val="003A1704"/>
    <w:rsid w:val="003A2819"/>
    <w:rsid w:val="003A2DD2"/>
    <w:rsid w:val="003A381A"/>
    <w:rsid w:val="003A3BB1"/>
    <w:rsid w:val="003A519B"/>
    <w:rsid w:val="003A53B0"/>
    <w:rsid w:val="003A60A0"/>
    <w:rsid w:val="003B043E"/>
    <w:rsid w:val="003B1A7B"/>
    <w:rsid w:val="003B2537"/>
    <w:rsid w:val="003B25B8"/>
    <w:rsid w:val="003B2A6E"/>
    <w:rsid w:val="003B3CFA"/>
    <w:rsid w:val="003B471A"/>
    <w:rsid w:val="003B4954"/>
    <w:rsid w:val="003B607F"/>
    <w:rsid w:val="003B78A3"/>
    <w:rsid w:val="003C0C18"/>
    <w:rsid w:val="003C0EDC"/>
    <w:rsid w:val="003C1ED0"/>
    <w:rsid w:val="003C4C01"/>
    <w:rsid w:val="003C4F75"/>
    <w:rsid w:val="003C751A"/>
    <w:rsid w:val="003C75FC"/>
    <w:rsid w:val="003C7FC1"/>
    <w:rsid w:val="003D08E0"/>
    <w:rsid w:val="003D2842"/>
    <w:rsid w:val="003D51EF"/>
    <w:rsid w:val="003D64CB"/>
    <w:rsid w:val="003D735A"/>
    <w:rsid w:val="003D7623"/>
    <w:rsid w:val="003D7679"/>
    <w:rsid w:val="003E0087"/>
    <w:rsid w:val="003E0FE5"/>
    <w:rsid w:val="003E1B94"/>
    <w:rsid w:val="003E3399"/>
    <w:rsid w:val="003E449E"/>
    <w:rsid w:val="003E46A6"/>
    <w:rsid w:val="003E5B44"/>
    <w:rsid w:val="003E6CED"/>
    <w:rsid w:val="003E702B"/>
    <w:rsid w:val="003F1BA8"/>
    <w:rsid w:val="003F3120"/>
    <w:rsid w:val="003F34EC"/>
    <w:rsid w:val="003F54F9"/>
    <w:rsid w:val="003F5C98"/>
    <w:rsid w:val="003F5D8D"/>
    <w:rsid w:val="003F68A6"/>
    <w:rsid w:val="003F7248"/>
    <w:rsid w:val="00403E0C"/>
    <w:rsid w:val="00403FF2"/>
    <w:rsid w:val="0040484A"/>
    <w:rsid w:val="0040497F"/>
    <w:rsid w:val="00404AED"/>
    <w:rsid w:val="00404FFC"/>
    <w:rsid w:val="0040653B"/>
    <w:rsid w:val="0040680C"/>
    <w:rsid w:val="00407AE3"/>
    <w:rsid w:val="004124FA"/>
    <w:rsid w:val="004129DB"/>
    <w:rsid w:val="00413770"/>
    <w:rsid w:val="0041422C"/>
    <w:rsid w:val="004150EE"/>
    <w:rsid w:val="00415967"/>
    <w:rsid w:val="00416212"/>
    <w:rsid w:val="00416FB4"/>
    <w:rsid w:val="00417C42"/>
    <w:rsid w:val="00421343"/>
    <w:rsid w:val="0042329E"/>
    <w:rsid w:val="00423626"/>
    <w:rsid w:val="0042477A"/>
    <w:rsid w:val="004250C5"/>
    <w:rsid w:val="00425789"/>
    <w:rsid w:val="00430380"/>
    <w:rsid w:val="004304CB"/>
    <w:rsid w:val="00431508"/>
    <w:rsid w:val="00432369"/>
    <w:rsid w:val="00433A76"/>
    <w:rsid w:val="00434505"/>
    <w:rsid w:val="00434A99"/>
    <w:rsid w:val="004353A0"/>
    <w:rsid w:val="0044004A"/>
    <w:rsid w:val="004405D0"/>
    <w:rsid w:val="00441726"/>
    <w:rsid w:val="0044183C"/>
    <w:rsid w:val="00441B0D"/>
    <w:rsid w:val="00441B80"/>
    <w:rsid w:val="00442AF2"/>
    <w:rsid w:val="00442BE2"/>
    <w:rsid w:val="0044418B"/>
    <w:rsid w:val="00445A2A"/>
    <w:rsid w:val="00446A64"/>
    <w:rsid w:val="004472DC"/>
    <w:rsid w:val="00447341"/>
    <w:rsid w:val="0045126A"/>
    <w:rsid w:val="0045212C"/>
    <w:rsid w:val="004575A2"/>
    <w:rsid w:val="00461545"/>
    <w:rsid w:val="004619A3"/>
    <w:rsid w:val="0046229E"/>
    <w:rsid w:val="00463F41"/>
    <w:rsid w:val="00464062"/>
    <w:rsid w:val="004649BE"/>
    <w:rsid w:val="00465722"/>
    <w:rsid w:val="00466850"/>
    <w:rsid w:val="00467BA2"/>
    <w:rsid w:val="00470B2F"/>
    <w:rsid w:val="00470F81"/>
    <w:rsid w:val="004722A2"/>
    <w:rsid w:val="00472ABA"/>
    <w:rsid w:val="00473014"/>
    <w:rsid w:val="00473044"/>
    <w:rsid w:val="0047337C"/>
    <w:rsid w:val="00473F88"/>
    <w:rsid w:val="004745EC"/>
    <w:rsid w:val="0047554E"/>
    <w:rsid w:val="004758CC"/>
    <w:rsid w:val="00477713"/>
    <w:rsid w:val="0048434E"/>
    <w:rsid w:val="0048576A"/>
    <w:rsid w:val="00487387"/>
    <w:rsid w:val="004878EF"/>
    <w:rsid w:val="00492401"/>
    <w:rsid w:val="00492F3A"/>
    <w:rsid w:val="004934E1"/>
    <w:rsid w:val="00493ECD"/>
    <w:rsid w:val="00493F13"/>
    <w:rsid w:val="0049400D"/>
    <w:rsid w:val="00494934"/>
    <w:rsid w:val="0049545D"/>
    <w:rsid w:val="004A1342"/>
    <w:rsid w:val="004A25D0"/>
    <w:rsid w:val="004A2DE2"/>
    <w:rsid w:val="004A2E64"/>
    <w:rsid w:val="004A584D"/>
    <w:rsid w:val="004B0F6C"/>
    <w:rsid w:val="004B3128"/>
    <w:rsid w:val="004B42A0"/>
    <w:rsid w:val="004C5539"/>
    <w:rsid w:val="004C6345"/>
    <w:rsid w:val="004C6C56"/>
    <w:rsid w:val="004D11F7"/>
    <w:rsid w:val="004D19C4"/>
    <w:rsid w:val="004D35D8"/>
    <w:rsid w:val="004D363A"/>
    <w:rsid w:val="004D3987"/>
    <w:rsid w:val="004D3CD7"/>
    <w:rsid w:val="004D546F"/>
    <w:rsid w:val="004D6E0F"/>
    <w:rsid w:val="004E0C3B"/>
    <w:rsid w:val="004E11E6"/>
    <w:rsid w:val="004E16E8"/>
    <w:rsid w:val="004E45F8"/>
    <w:rsid w:val="004E7DB8"/>
    <w:rsid w:val="004E7EFB"/>
    <w:rsid w:val="004F0569"/>
    <w:rsid w:val="004F35B5"/>
    <w:rsid w:val="004F3D7A"/>
    <w:rsid w:val="004F40F0"/>
    <w:rsid w:val="004F4162"/>
    <w:rsid w:val="004F43BA"/>
    <w:rsid w:val="004F6367"/>
    <w:rsid w:val="004F6705"/>
    <w:rsid w:val="004F6780"/>
    <w:rsid w:val="004F6F70"/>
    <w:rsid w:val="004F730D"/>
    <w:rsid w:val="005013F4"/>
    <w:rsid w:val="00501A7D"/>
    <w:rsid w:val="0050381E"/>
    <w:rsid w:val="00504852"/>
    <w:rsid w:val="00504B52"/>
    <w:rsid w:val="00504D2F"/>
    <w:rsid w:val="005068D2"/>
    <w:rsid w:val="00506F2F"/>
    <w:rsid w:val="005114CF"/>
    <w:rsid w:val="005122CC"/>
    <w:rsid w:val="0051284A"/>
    <w:rsid w:val="00512C83"/>
    <w:rsid w:val="0051366A"/>
    <w:rsid w:val="00513BE3"/>
    <w:rsid w:val="00515D4B"/>
    <w:rsid w:val="00515FA9"/>
    <w:rsid w:val="005178D1"/>
    <w:rsid w:val="005222BB"/>
    <w:rsid w:val="00526AB2"/>
    <w:rsid w:val="005274C4"/>
    <w:rsid w:val="00527B8F"/>
    <w:rsid w:val="005304E1"/>
    <w:rsid w:val="00531DB7"/>
    <w:rsid w:val="00532623"/>
    <w:rsid w:val="0053287A"/>
    <w:rsid w:val="00533151"/>
    <w:rsid w:val="00535BBF"/>
    <w:rsid w:val="00536670"/>
    <w:rsid w:val="005400B7"/>
    <w:rsid w:val="00540D69"/>
    <w:rsid w:val="00541D12"/>
    <w:rsid w:val="0054241D"/>
    <w:rsid w:val="00543446"/>
    <w:rsid w:val="00543D4A"/>
    <w:rsid w:val="00545E4D"/>
    <w:rsid w:val="00546F24"/>
    <w:rsid w:val="0055019B"/>
    <w:rsid w:val="005515C9"/>
    <w:rsid w:val="005527DF"/>
    <w:rsid w:val="00552ECF"/>
    <w:rsid w:val="00553899"/>
    <w:rsid w:val="00555B01"/>
    <w:rsid w:val="00555E80"/>
    <w:rsid w:val="005574C9"/>
    <w:rsid w:val="00561332"/>
    <w:rsid w:val="005621B1"/>
    <w:rsid w:val="00562D19"/>
    <w:rsid w:val="00562D3A"/>
    <w:rsid w:val="00563547"/>
    <w:rsid w:val="00565ACB"/>
    <w:rsid w:val="00565C30"/>
    <w:rsid w:val="00566CC0"/>
    <w:rsid w:val="00567716"/>
    <w:rsid w:val="00573D6E"/>
    <w:rsid w:val="00573D73"/>
    <w:rsid w:val="0057467B"/>
    <w:rsid w:val="0057572F"/>
    <w:rsid w:val="00575C28"/>
    <w:rsid w:val="00575F19"/>
    <w:rsid w:val="00576AB8"/>
    <w:rsid w:val="005810C3"/>
    <w:rsid w:val="00582BB9"/>
    <w:rsid w:val="00582CB3"/>
    <w:rsid w:val="0058339E"/>
    <w:rsid w:val="00583EF5"/>
    <w:rsid w:val="00584623"/>
    <w:rsid w:val="00584A5C"/>
    <w:rsid w:val="0058637A"/>
    <w:rsid w:val="00586F20"/>
    <w:rsid w:val="00590BC5"/>
    <w:rsid w:val="0059126F"/>
    <w:rsid w:val="005915B3"/>
    <w:rsid w:val="00591DDF"/>
    <w:rsid w:val="00591E7D"/>
    <w:rsid w:val="005924E0"/>
    <w:rsid w:val="005932BC"/>
    <w:rsid w:val="0059493D"/>
    <w:rsid w:val="005960D4"/>
    <w:rsid w:val="00596C7C"/>
    <w:rsid w:val="00596F70"/>
    <w:rsid w:val="005A2CAF"/>
    <w:rsid w:val="005A32D1"/>
    <w:rsid w:val="005A45AD"/>
    <w:rsid w:val="005A4A8E"/>
    <w:rsid w:val="005A5352"/>
    <w:rsid w:val="005B0341"/>
    <w:rsid w:val="005B13ED"/>
    <w:rsid w:val="005B2034"/>
    <w:rsid w:val="005B3BDF"/>
    <w:rsid w:val="005B5184"/>
    <w:rsid w:val="005B5D11"/>
    <w:rsid w:val="005B6067"/>
    <w:rsid w:val="005B6687"/>
    <w:rsid w:val="005B6E6F"/>
    <w:rsid w:val="005B7385"/>
    <w:rsid w:val="005B7D0E"/>
    <w:rsid w:val="005C17AC"/>
    <w:rsid w:val="005C1B87"/>
    <w:rsid w:val="005C28AA"/>
    <w:rsid w:val="005C360A"/>
    <w:rsid w:val="005D1FFF"/>
    <w:rsid w:val="005D273B"/>
    <w:rsid w:val="005D3317"/>
    <w:rsid w:val="005D4480"/>
    <w:rsid w:val="005D536D"/>
    <w:rsid w:val="005D5EB7"/>
    <w:rsid w:val="005D6DD0"/>
    <w:rsid w:val="005D6ED6"/>
    <w:rsid w:val="005E0CF2"/>
    <w:rsid w:val="005E23DD"/>
    <w:rsid w:val="005E49F2"/>
    <w:rsid w:val="005E4F91"/>
    <w:rsid w:val="005E5D6A"/>
    <w:rsid w:val="005E5D6F"/>
    <w:rsid w:val="005F032E"/>
    <w:rsid w:val="005F159C"/>
    <w:rsid w:val="005F3319"/>
    <w:rsid w:val="005F35BC"/>
    <w:rsid w:val="005F3E91"/>
    <w:rsid w:val="005F4F87"/>
    <w:rsid w:val="005F7625"/>
    <w:rsid w:val="00600379"/>
    <w:rsid w:val="006006AE"/>
    <w:rsid w:val="00602900"/>
    <w:rsid w:val="0060317E"/>
    <w:rsid w:val="00605C3D"/>
    <w:rsid w:val="00605C62"/>
    <w:rsid w:val="00607F38"/>
    <w:rsid w:val="006102C5"/>
    <w:rsid w:val="00611E9B"/>
    <w:rsid w:val="00612076"/>
    <w:rsid w:val="00613B1E"/>
    <w:rsid w:val="0061460E"/>
    <w:rsid w:val="006160D2"/>
    <w:rsid w:val="00616BFD"/>
    <w:rsid w:val="006171C3"/>
    <w:rsid w:val="0062051C"/>
    <w:rsid w:val="00621736"/>
    <w:rsid w:val="00621B02"/>
    <w:rsid w:val="006220AB"/>
    <w:rsid w:val="00622633"/>
    <w:rsid w:val="0062497E"/>
    <w:rsid w:val="00627ED7"/>
    <w:rsid w:val="0063093C"/>
    <w:rsid w:val="00630ED0"/>
    <w:rsid w:val="00631CAB"/>
    <w:rsid w:val="006343BB"/>
    <w:rsid w:val="00634F2C"/>
    <w:rsid w:val="00635642"/>
    <w:rsid w:val="00635682"/>
    <w:rsid w:val="006358DE"/>
    <w:rsid w:val="0063679D"/>
    <w:rsid w:val="00637BD9"/>
    <w:rsid w:val="00641F92"/>
    <w:rsid w:val="006432CF"/>
    <w:rsid w:val="00644AAA"/>
    <w:rsid w:val="006509F4"/>
    <w:rsid w:val="00656770"/>
    <w:rsid w:val="00656E06"/>
    <w:rsid w:val="006571DB"/>
    <w:rsid w:val="006604FC"/>
    <w:rsid w:val="00661136"/>
    <w:rsid w:val="00661898"/>
    <w:rsid w:val="00662FD1"/>
    <w:rsid w:val="006647EC"/>
    <w:rsid w:val="0066602C"/>
    <w:rsid w:val="00667A8E"/>
    <w:rsid w:val="00670122"/>
    <w:rsid w:val="00670327"/>
    <w:rsid w:val="006704CC"/>
    <w:rsid w:val="00673C82"/>
    <w:rsid w:val="006772EB"/>
    <w:rsid w:val="006776EA"/>
    <w:rsid w:val="00677D5D"/>
    <w:rsid w:val="0068130F"/>
    <w:rsid w:val="006814EF"/>
    <w:rsid w:val="0068178D"/>
    <w:rsid w:val="00682046"/>
    <w:rsid w:val="00682865"/>
    <w:rsid w:val="00682B41"/>
    <w:rsid w:val="00682CAF"/>
    <w:rsid w:val="00682FA2"/>
    <w:rsid w:val="00683C16"/>
    <w:rsid w:val="00683FAB"/>
    <w:rsid w:val="00686301"/>
    <w:rsid w:val="00687A73"/>
    <w:rsid w:val="00687BBA"/>
    <w:rsid w:val="00690033"/>
    <w:rsid w:val="00690282"/>
    <w:rsid w:val="006913FB"/>
    <w:rsid w:val="00692D39"/>
    <w:rsid w:val="00693063"/>
    <w:rsid w:val="00694703"/>
    <w:rsid w:val="00695B17"/>
    <w:rsid w:val="006A005D"/>
    <w:rsid w:val="006A01E8"/>
    <w:rsid w:val="006A1163"/>
    <w:rsid w:val="006A2253"/>
    <w:rsid w:val="006A29AE"/>
    <w:rsid w:val="006A3605"/>
    <w:rsid w:val="006A46BE"/>
    <w:rsid w:val="006A547E"/>
    <w:rsid w:val="006A5EFA"/>
    <w:rsid w:val="006B041D"/>
    <w:rsid w:val="006B27B8"/>
    <w:rsid w:val="006B2950"/>
    <w:rsid w:val="006B66B6"/>
    <w:rsid w:val="006B6867"/>
    <w:rsid w:val="006B77EB"/>
    <w:rsid w:val="006B7DF6"/>
    <w:rsid w:val="006C2521"/>
    <w:rsid w:val="006C38AA"/>
    <w:rsid w:val="006C3A8C"/>
    <w:rsid w:val="006C580B"/>
    <w:rsid w:val="006C5A85"/>
    <w:rsid w:val="006C5A97"/>
    <w:rsid w:val="006C5EA7"/>
    <w:rsid w:val="006D07DC"/>
    <w:rsid w:val="006D0A3E"/>
    <w:rsid w:val="006D0BC8"/>
    <w:rsid w:val="006D1620"/>
    <w:rsid w:val="006D1E87"/>
    <w:rsid w:val="006D392D"/>
    <w:rsid w:val="006D5243"/>
    <w:rsid w:val="006D7316"/>
    <w:rsid w:val="006D7B4C"/>
    <w:rsid w:val="006E020A"/>
    <w:rsid w:val="006E11B4"/>
    <w:rsid w:val="006E2234"/>
    <w:rsid w:val="006E3C85"/>
    <w:rsid w:val="006E4300"/>
    <w:rsid w:val="006E650A"/>
    <w:rsid w:val="006E6B3B"/>
    <w:rsid w:val="006E7DAF"/>
    <w:rsid w:val="006F3005"/>
    <w:rsid w:val="006F4016"/>
    <w:rsid w:val="006F5867"/>
    <w:rsid w:val="006F667F"/>
    <w:rsid w:val="006F6E2D"/>
    <w:rsid w:val="00701B2F"/>
    <w:rsid w:val="00702647"/>
    <w:rsid w:val="00703105"/>
    <w:rsid w:val="0070376B"/>
    <w:rsid w:val="00703AEF"/>
    <w:rsid w:val="007047C2"/>
    <w:rsid w:val="007061BE"/>
    <w:rsid w:val="007064F0"/>
    <w:rsid w:val="0070665E"/>
    <w:rsid w:val="00706C8A"/>
    <w:rsid w:val="007074D7"/>
    <w:rsid w:val="00707758"/>
    <w:rsid w:val="00710A8A"/>
    <w:rsid w:val="00712298"/>
    <w:rsid w:val="00712483"/>
    <w:rsid w:val="00712633"/>
    <w:rsid w:val="007136B9"/>
    <w:rsid w:val="00721210"/>
    <w:rsid w:val="00721BED"/>
    <w:rsid w:val="00722CE7"/>
    <w:rsid w:val="0072300F"/>
    <w:rsid w:val="0072377C"/>
    <w:rsid w:val="007247A5"/>
    <w:rsid w:val="0072558B"/>
    <w:rsid w:val="00725808"/>
    <w:rsid w:val="00725897"/>
    <w:rsid w:val="00733922"/>
    <w:rsid w:val="0073535D"/>
    <w:rsid w:val="0073538D"/>
    <w:rsid w:val="007354B2"/>
    <w:rsid w:val="007379BF"/>
    <w:rsid w:val="00737BF4"/>
    <w:rsid w:val="00740A16"/>
    <w:rsid w:val="00741357"/>
    <w:rsid w:val="007417B4"/>
    <w:rsid w:val="00741B38"/>
    <w:rsid w:val="00741F8F"/>
    <w:rsid w:val="0074509D"/>
    <w:rsid w:val="00745BE8"/>
    <w:rsid w:val="00746A03"/>
    <w:rsid w:val="0075266F"/>
    <w:rsid w:val="00752B79"/>
    <w:rsid w:val="0075488A"/>
    <w:rsid w:val="00760601"/>
    <w:rsid w:val="007619DC"/>
    <w:rsid w:val="00764EF2"/>
    <w:rsid w:val="00767646"/>
    <w:rsid w:val="00767E5F"/>
    <w:rsid w:val="00772609"/>
    <w:rsid w:val="007730F8"/>
    <w:rsid w:val="00774D46"/>
    <w:rsid w:val="00774E63"/>
    <w:rsid w:val="0077638A"/>
    <w:rsid w:val="00776A25"/>
    <w:rsid w:val="007776C4"/>
    <w:rsid w:val="00777D60"/>
    <w:rsid w:val="00777DB2"/>
    <w:rsid w:val="00780489"/>
    <w:rsid w:val="00780951"/>
    <w:rsid w:val="0078216B"/>
    <w:rsid w:val="0078375D"/>
    <w:rsid w:val="00785BE0"/>
    <w:rsid w:val="00785C58"/>
    <w:rsid w:val="00785FA6"/>
    <w:rsid w:val="00786343"/>
    <w:rsid w:val="00786544"/>
    <w:rsid w:val="00790C03"/>
    <w:rsid w:val="007912B5"/>
    <w:rsid w:val="00791C10"/>
    <w:rsid w:val="0079511B"/>
    <w:rsid w:val="007952F6"/>
    <w:rsid w:val="0079640A"/>
    <w:rsid w:val="007A14F6"/>
    <w:rsid w:val="007A24F8"/>
    <w:rsid w:val="007A25E6"/>
    <w:rsid w:val="007A2C39"/>
    <w:rsid w:val="007A4DCC"/>
    <w:rsid w:val="007A5897"/>
    <w:rsid w:val="007A6559"/>
    <w:rsid w:val="007A6F4F"/>
    <w:rsid w:val="007A75FE"/>
    <w:rsid w:val="007A7E83"/>
    <w:rsid w:val="007B00CE"/>
    <w:rsid w:val="007B236E"/>
    <w:rsid w:val="007B4245"/>
    <w:rsid w:val="007B4B48"/>
    <w:rsid w:val="007B5165"/>
    <w:rsid w:val="007B56A7"/>
    <w:rsid w:val="007B6DC9"/>
    <w:rsid w:val="007B7C2D"/>
    <w:rsid w:val="007C0608"/>
    <w:rsid w:val="007C13D8"/>
    <w:rsid w:val="007C23E5"/>
    <w:rsid w:val="007C49C9"/>
    <w:rsid w:val="007C56BB"/>
    <w:rsid w:val="007C63BC"/>
    <w:rsid w:val="007C7ED4"/>
    <w:rsid w:val="007D0366"/>
    <w:rsid w:val="007D1890"/>
    <w:rsid w:val="007D1F8D"/>
    <w:rsid w:val="007D2174"/>
    <w:rsid w:val="007D3C87"/>
    <w:rsid w:val="007D4319"/>
    <w:rsid w:val="007D5952"/>
    <w:rsid w:val="007D6168"/>
    <w:rsid w:val="007E3C48"/>
    <w:rsid w:val="007E60E4"/>
    <w:rsid w:val="007E64D7"/>
    <w:rsid w:val="007E6ECC"/>
    <w:rsid w:val="007E7E98"/>
    <w:rsid w:val="007F0B86"/>
    <w:rsid w:val="007F0DEB"/>
    <w:rsid w:val="007F3CCA"/>
    <w:rsid w:val="007F4B37"/>
    <w:rsid w:val="007F61E6"/>
    <w:rsid w:val="00801F36"/>
    <w:rsid w:val="008022C6"/>
    <w:rsid w:val="00802F20"/>
    <w:rsid w:val="0080335A"/>
    <w:rsid w:val="008047EC"/>
    <w:rsid w:val="00805066"/>
    <w:rsid w:val="0080661B"/>
    <w:rsid w:val="0080723F"/>
    <w:rsid w:val="00807A78"/>
    <w:rsid w:val="00807CAF"/>
    <w:rsid w:val="0081593C"/>
    <w:rsid w:val="0081769E"/>
    <w:rsid w:val="00820BA1"/>
    <w:rsid w:val="00820C7B"/>
    <w:rsid w:val="00820EB3"/>
    <w:rsid w:val="00822622"/>
    <w:rsid w:val="008240B1"/>
    <w:rsid w:val="008245E2"/>
    <w:rsid w:val="00824994"/>
    <w:rsid w:val="0082531F"/>
    <w:rsid w:val="0082573E"/>
    <w:rsid w:val="0082664E"/>
    <w:rsid w:val="00827A36"/>
    <w:rsid w:val="00827DF9"/>
    <w:rsid w:val="00831AF8"/>
    <w:rsid w:val="00833A32"/>
    <w:rsid w:val="00835C9B"/>
    <w:rsid w:val="00837624"/>
    <w:rsid w:val="00837A41"/>
    <w:rsid w:val="00837D7D"/>
    <w:rsid w:val="00837D7F"/>
    <w:rsid w:val="00840084"/>
    <w:rsid w:val="00840A1D"/>
    <w:rsid w:val="00841787"/>
    <w:rsid w:val="00842046"/>
    <w:rsid w:val="0084330C"/>
    <w:rsid w:val="00844191"/>
    <w:rsid w:val="00844C42"/>
    <w:rsid w:val="00845DDA"/>
    <w:rsid w:val="00846384"/>
    <w:rsid w:val="00846BBD"/>
    <w:rsid w:val="00846DDC"/>
    <w:rsid w:val="008500EA"/>
    <w:rsid w:val="00852082"/>
    <w:rsid w:val="0085214B"/>
    <w:rsid w:val="0085280F"/>
    <w:rsid w:val="008578FC"/>
    <w:rsid w:val="00857CDE"/>
    <w:rsid w:val="00857E8E"/>
    <w:rsid w:val="008606CB"/>
    <w:rsid w:val="00860949"/>
    <w:rsid w:val="008620B3"/>
    <w:rsid w:val="00862CC4"/>
    <w:rsid w:val="00862DC0"/>
    <w:rsid w:val="008630D4"/>
    <w:rsid w:val="008636E8"/>
    <w:rsid w:val="00864A66"/>
    <w:rsid w:val="00865158"/>
    <w:rsid w:val="008653C4"/>
    <w:rsid w:val="00870493"/>
    <w:rsid w:val="00871746"/>
    <w:rsid w:val="00872452"/>
    <w:rsid w:val="008729CD"/>
    <w:rsid w:val="00873FEB"/>
    <w:rsid w:val="008740BB"/>
    <w:rsid w:val="00877A94"/>
    <w:rsid w:val="00877F35"/>
    <w:rsid w:val="00881B48"/>
    <w:rsid w:val="008824B6"/>
    <w:rsid w:val="0088387D"/>
    <w:rsid w:val="008841CC"/>
    <w:rsid w:val="0088423D"/>
    <w:rsid w:val="00884278"/>
    <w:rsid w:val="00885EB1"/>
    <w:rsid w:val="008873E7"/>
    <w:rsid w:val="008876F4"/>
    <w:rsid w:val="00890A03"/>
    <w:rsid w:val="0089120C"/>
    <w:rsid w:val="0089135D"/>
    <w:rsid w:val="008924C9"/>
    <w:rsid w:val="0089446B"/>
    <w:rsid w:val="008946D4"/>
    <w:rsid w:val="00894A63"/>
    <w:rsid w:val="00895D06"/>
    <w:rsid w:val="0089677C"/>
    <w:rsid w:val="008A0767"/>
    <w:rsid w:val="008A0B5F"/>
    <w:rsid w:val="008A357E"/>
    <w:rsid w:val="008A37DB"/>
    <w:rsid w:val="008A3989"/>
    <w:rsid w:val="008A4AF3"/>
    <w:rsid w:val="008A4F8B"/>
    <w:rsid w:val="008A7F0C"/>
    <w:rsid w:val="008B046F"/>
    <w:rsid w:val="008B0CEA"/>
    <w:rsid w:val="008B13E9"/>
    <w:rsid w:val="008B183F"/>
    <w:rsid w:val="008B184A"/>
    <w:rsid w:val="008B1C47"/>
    <w:rsid w:val="008B1D80"/>
    <w:rsid w:val="008B1F73"/>
    <w:rsid w:val="008B21C5"/>
    <w:rsid w:val="008B3FDE"/>
    <w:rsid w:val="008B44AB"/>
    <w:rsid w:val="008B5B2C"/>
    <w:rsid w:val="008B7A0B"/>
    <w:rsid w:val="008B7FA7"/>
    <w:rsid w:val="008C078A"/>
    <w:rsid w:val="008C0F43"/>
    <w:rsid w:val="008C1669"/>
    <w:rsid w:val="008C17CB"/>
    <w:rsid w:val="008C2360"/>
    <w:rsid w:val="008C2E97"/>
    <w:rsid w:val="008C3052"/>
    <w:rsid w:val="008C3169"/>
    <w:rsid w:val="008C423F"/>
    <w:rsid w:val="008C5084"/>
    <w:rsid w:val="008C6269"/>
    <w:rsid w:val="008C6ED2"/>
    <w:rsid w:val="008C71B1"/>
    <w:rsid w:val="008C79A8"/>
    <w:rsid w:val="008D0CA0"/>
    <w:rsid w:val="008D0CC1"/>
    <w:rsid w:val="008D0F5E"/>
    <w:rsid w:val="008D2864"/>
    <w:rsid w:val="008D2E67"/>
    <w:rsid w:val="008D32A2"/>
    <w:rsid w:val="008D4231"/>
    <w:rsid w:val="008D6274"/>
    <w:rsid w:val="008D62CF"/>
    <w:rsid w:val="008D6F7C"/>
    <w:rsid w:val="008E0A51"/>
    <w:rsid w:val="008E0F9A"/>
    <w:rsid w:val="008E1CC4"/>
    <w:rsid w:val="008E20F6"/>
    <w:rsid w:val="008E22A4"/>
    <w:rsid w:val="008E3601"/>
    <w:rsid w:val="008E3F9E"/>
    <w:rsid w:val="008E40D5"/>
    <w:rsid w:val="008E41EF"/>
    <w:rsid w:val="008E4323"/>
    <w:rsid w:val="008E5B2E"/>
    <w:rsid w:val="008E6703"/>
    <w:rsid w:val="008E6E0C"/>
    <w:rsid w:val="008E6FD9"/>
    <w:rsid w:val="008E775A"/>
    <w:rsid w:val="008F0395"/>
    <w:rsid w:val="008F3ECA"/>
    <w:rsid w:val="008F4B38"/>
    <w:rsid w:val="008F4CB8"/>
    <w:rsid w:val="008F4F30"/>
    <w:rsid w:val="008F62E5"/>
    <w:rsid w:val="008F67E0"/>
    <w:rsid w:val="008F792B"/>
    <w:rsid w:val="00901197"/>
    <w:rsid w:val="00901D0A"/>
    <w:rsid w:val="009028BE"/>
    <w:rsid w:val="00903E17"/>
    <w:rsid w:val="00907C9F"/>
    <w:rsid w:val="00911DBF"/>
    <w:rsid w:val="00914343"/>
    <w:rsid w:val="009146E8"/>
    <w:rsid w:val="00914704"/>
    <w:rsid w:val="00914ADE"/>
    <w:rsid w:val="00915DA0"/>
    <w:rsid w:val="0091713C"/>
    <w:rsid w:val="009213BB"/>
    <w:rsid w:val="0092394A"/>
    <w:rsid w:val="00925ADD"/>
    <w:rsid w:val="00925C6E"/>
    <w:rsid w:val="0093031F"/>
    <w:rsid w:val="0093076A"/>
    <w:rsid w:val="009311B6"/>
    <w:rsid w:val="0093152F"/>
    <w:rsid w:val="00933C4F"/>
    <w:rsid w:val="009348B7"/>
    <w:rsid w:val="00940CD4"/>
    <w:rsid w:val="00941237"/>
    <w:rsid w:val="00943B9C"/>
    <w:rsid w:val="00943F73"/>
    <w:rsid w:val="00944033"/>
    <w:rsid w:val="0094617C"/>
    <w:rsid w:val="00946BFC"/>
    <w:rsid w:val="009473B7"/>
    <w:rsid w:val="00953F9D"/>
    <w:rsid w:val="009540F8"/>
    <w:rsid w:val="009546F9"/>
    <w:rsid w:val="00954BD3"/>
    <w:rsid w:val="00955AFB"/>
    <w:rsid w:val="00956FCA"/>
    <w:rsid w:val="00962F3C"/>
    <w:rsid w:val="0096622B"/>
    <w:rsid w:val="00966BAE"/>
    <w:rsid w:val="00966E81"/>
    <w:rsid w:val="0097043D"/>
    <w:rsid w:val="009709C0"/>
    <w:rsid w:val="00971508"/>
    <w:rsid w:val="00981569"/>
    <w:rsid w:val="00982B3B"/>
    <w:rsid w:val="0098361A"/>
    <w:rsid w:val="009841FB"/>
    <w:rsid w:val="00985EB0"/>
    <w:rsid w:val="00985F64"/>
    <w:rsid w:val="00987A84"/>
    <w:rsid w:val="00987F23"/>
    <w:rsid w:val="00990FA8"/>
    <w:rsid w:val="00992509"/>
    <w:rsid w:val="009934E6"/>
    <w:rsid w:val="009963E9"/>
    <w:rsid w:val="0099659B"/>
    <w:rsid w:val="009A14BE"/>
    <w:rsid w:val="009A3CED"/>
    <w:rsid w:val="009A4070"/>
    <w:rsid w:val="009A40F3"/>
    <w:rsid w:val="009A692C"/>
    <w:rsid w:val="009A7E27"/>
    <w:rsid w:val="009B2B74"/>
    <w:rsid w:val="009B31C9"/>
    <w:rsid w:val="009B346E"/>
    <w:rsid w:val="009B3724"/>
    <w:rsid w:val="009B63A9"/>
    <w:rsid w:val="009B6416"/>
    <w:rsid w:val="009B72EA"/>
    <w:rsid w:val="009B7A11"/>
    <w:rsid w:val="009C0494"/>
    <w:rsid w:val="009C3244"/>
    <w:rsid w:val="009C4410"/>
    <w:rsid w:val="009C4BEB"/>
    <w:rsid w:val="009C552E"/>
    <w:rsid w:val="009C6127"/>
    <w:rsid w:val="009C7E13"/>
    <w:rsid w:val="009C7FA3"/>
    <w:rsid w:val="009D1BD6"/>
    <w:rsid w:val="009D245B"/>
    <w:rsid w:val="009D261E"/>
    <w:rsid w:val="009D2A6A"/>
    <w:rsid w:val="009D33B8"/>
    <w:rsid w:val="009D3952"/>
    <w:rsid w:val="009D45C5"/>
    <w:rsid w:val="009D4EFB"/>
    <w:rsid w:val="009D5E52"/>
    <w:rsid w:val="009E1568"/>
    <w:rsid w:val="009E1C3B"/>
    <w:rsid w:val="009E246B"/>
    <w:rsid w:val="009E34B9"/>
    <w:rsid w:val="009E353D"/>
    <w:rsid w:val="009E42E4"/>
    <w:rsid w:val="009E439A"/>
    <w:rsid w:val="009E43A6"/>
    <w:rsid w:val="009E63E1"/>
    <w:rsid w:val="009E693B"/>
    <w:rsid w:val="009E7FC8"/>
    <w:rsid w:val="009F16DF"/>
    <w:rsid w:val="009F1DD7"/>
    <w:rsid w:val="009F22BF"/>
    <w:rsid w:val="009F2F06"/>
    <w:rsid w:val="009F5F00"/>
    <w:rsid w:val="009F6C1B"/>
    <w:rsid w:val="009F7990"/>
    <w:rsid w:val="00A00279"/>
    <w:rsid w:val="00A0032C"/>
    <w:rsid w:val="00A01F0C"/>
    <w:rsid w:val="00A026FF"/>
    <w:rsid w:val="00A02B60"/>
    <w:rsid w:val="00A077C1"/>
    <w:rsid w:val="00A077E5"/>
    <w:rsid w:val="00A07800"/>
    <w:rsid w:val="00A106A0"/>
    <w:rsid w:val="00A133B4"/>
    <w:rsid w:val="00A13FC7"/>
    <w:rsid w:val="00A152B2"/>
    <w:rsid w:val="00A16CD1"/>
    <w:rsid w:val="00A2203D"/>
    <w:rsid w:val="00A232C7"/>
    <w:rsid w:val="00A23519"/>
    <w:rsid w:val="00A23BCD"/>
    <w:rsid w:val="00A242C5"/>
    <w:rsid w:val="00A24595"/>
    <w:rsid w:val="00A25187"/>
    <w:rsid w:val="00A25250"/>
    <w:rsid w:val="00A25795"/>
    <w:rsid w:val="00A25C9F"/>
    <w:rsid w:val="00A32208"/>
    <w:rsid w:val="00A344E3"/>
    <w:rsid w:val="00A3504A"/>
    <w:rsid w:val="00A36275"/>
    <w:rsid w:val="00A37C91"/>
    <w:rsid w:val="00A41149"/>
    <w:rsid w:val="00A41930"/>
    <w:rsid w:val="00A424DA"/>
    <w:rsid w:val="00A42C7A"/>
    <w:rsid w:val="00A44D4B"/>
    <w:rsid w:val="00A4601D"/>
    <w:rsid w:val="00A525C6"/>
    <w:rsid w:val="00A527E8"/>
    <w:rsid w:val="00A54666"/>
    <w:rsid w:val="00A562AD"/>
    <w:rsid w:val="00A56D10"/>
    <w:rsid w:val="00A56E30"/>
    <w:rsid w:val="00A57551"/>
    <w:rsid w:val="00A575F5"/>
    <w:rsid w:val="00A613AD"/>
    <w:rsid w:val="00A6194A"/>
    <w:rsid w:val="00A63E1F"/>
    <w:rsid w:val="00A7142E"/>
    <w:rsid w:val="00A71B6D"/>
    <w:rsid w:val="00A73726"/>
    <w:rsid w:val="00A7595D"/>
    <w:rsid w:val="00A75BD0"/>
    <w:rsid w:val="00A765B8"/>
    <w:rsid w:val="00A76D83"/>
    <w:rsid w:val="00A773F4"/>
    <w:rsid w:val="00A80ED8"/>
    <w:rsid w:val="00A824E9"/>
    <w:rsid w:val="00A828AB"/>
    <w:rsid w:val="00A82D01"/>
    <w:rsid w:val="00A85155"/>
    <w:rsid w:val="00A85A39"/>
    <w:rsid w:val="00A87E6F"/>
    <w:rsid w:val="00A9002D"/>
    <w:rsid w:val="00A90053"/>
    <w:rsid w:val="00A917A7"/>
    <w:rsid w:val="00A93339"/>
    <w:rsid w:val="00A94C4C"/>
    <w:rsid w:val="00A95350"/>
    <w:rsid w:val="00A96CC9"/>
    <w:rsid w:val="00A973BF"/>
    <w:rsid w:val="00AA01A9"/>
    <w:rsid w:val="00AA10B5"/>
    <w:rsid w:val="00AA1A35"/>
    <w:rsid w:val="00AA1F3F"/>
    <w:rsid w:val="00AA32B9"/>
    <w:rsid w:val="00AA444B"/>
    <w:rsid w:val="00AA4D25"/>
    <w:rsid w:val="00AA63B6"/>
    <w:rsid w:val="00AA6449"/>
    <w:rsid w:val="00AA64CE"/>
    <w:rsid w:val="00AB0219"/>
    <w:rsid w:val="00AB0B70"/>
    <w:rsid w:val="00AB1103"/>
    <w:rsid w:val="00AB23FD"/>
    <w:rsid w:val="00AB2600"/>
    <w:rsid w:val="00AB3E29"/>
    <w:rsid w:val="00AB46E6"/>
    <w:rsid w:val="00AC0C4B"/>
    <w:rsid w:val="00AC260E"/>
    <w:rsid w:val="00AC27D8"/>
    <w:rsid w:val="00AC3672"/>
    <w:rsid w:val="00AC47A0"/>
    <w:rsid w:val="00AC5039"/>
    <w:rsid w:val="00AC7845"/>
    <w:rsid w:val="00AC7937"/>
    <w:rsid w:val="00AD08DA"/>
    <w:rsid w:val="00AD209A"/>
    <w:rsid w:val="00AD2D39"/>
    <w:rsid w:val="00AD33A7"/>
    <w:rsid w:val="00AD3C41"/>
    <w:rsid w:val="00AD3D1B"/>
    <w:rsid w:val="00AD3E4A"/>
    <w:rsid w:val="00AD5889"/>
    <w:rsid w:val="00AD5996"/>
    <w:rsid w:val="00AE0522"/>
    <w:rsid w:val="00AE1511"/>
    <w:rsid w:val="00AE1904"/>
    <w:rsid w:val="00AE1D1C"/>
    <w:rsid w:val="00AE44E1"/>
    <w:rsid w:val="00AE4D07"/>
    <w:rsid w:val="00AE5B48"/>
    <w:rsid w:val="00AE632B"/>
    <w:rsid w:val="00AE67FC"/>
    <w:rsid w:val="00AE6D20"/>
    <w:rsid w:val="00AE7DBC"/>
    <w:rsid w:val="00AF0355"/>
    <w:rsid w:val="00AF16C1"/>
    <w:rsid w:val="00AF3C11"/>
    <w:rsid w:val="00AF3CB3"/>
    <w:rsid w:val="00AF3FBE"/>
    <w:rsid w:val="00AF539C"/>
    <w:rsid w:val="00AF5A47"/>
    <w:rsid w:val="00AF79A0"/>
    <w:rsid w:val="00AF7B27"/>
    <w:rsid w:val="00B001F5"/>
    <w:rsid w:val="00B0051E"/>
    <w:rsid w:val="00B01667"/>
    <w:rsid w:val="00B01CDF"/>
    <w:rsid w:val="00B04892"/>
    <w:rsid w:val="00B10108"/>
    <w:rsid w:val="00B105EB"/>
    <w:rsid w:val="00B119C7"/>
    <w:rsid w:val="00B125E5"/>
    <w:rsid w:val="00B140D1"/>
    <w:rsid w:val="00B14164"/>
    <w:rsid w:val="00B141F6"/>
    <w:rsid w:val="00B142CD"/>
    <w:rsid w:val="00B15EDB"/>
    <w:rsid w:val="00B1649B"/>
    <w:rsid w:val="00B16A79"/>
    <w:rsid w:val="00B16BDC"/>
    <w:rsid w:val="00B16CE8"/>
    <w:rsid w:val="00B2131F"/>
    <w:rsid w:val="00B21648"/>
    <w:rsid w:val="00B231AB"/>
    <w:rsid w:val="00B24DD8"/>
    <w:rsid w:val="00B2525D"/>
    <w:rsid w:val="00B2644E"/>
    <w:rsid w:val="00B2778C"/>
    <w:rsid w:val="00B3115F"/>
    <w:rsid w:val="00B319E6"/>
    <w:rsid w:val="00B31FF7"/>
    <w:rsid w:val="00B32283"/>
    <w:rsid w:val="00B34452"/>
    <w:rsid w:val="00B3501A"/>
    <w:rsid w:val="00B359F8"/>
    <w:rsid w:val="00B35C4B"/>
    <w:rsid w:val="00B360FE"/>
    <w:rsid w:val="00B36F6B"/>
    <w:rsid w:val="00B374CB"/>
    <w:rsid w:val="00B378DC"/>
    <w:rsid w:val="00B41FA7"/>
    <w:rsid w:val="00B4260C"/>
    <w:rsid w:val="00B42F1A"/>
    <w:rsid w:val="00B43B01"/>
    <w:rsid w:val="00B45638"/>
    <w:rsid w:val="00B47C38"/>
    <w:rsid w:val="00B51086"/>
    <w:rsid w:val="00B53BFF"/>
    <w:rsid w:val="00B54441"/>
    <w:rsid w:val="00B54901"/>
    <w:rsid w:val="00B549BF"/>
    <w:rsid w:val="00B5693F"/>
    <w:rsid w:val="00B61667"/>
    <w:rsid w:val="00B62795"/>
    <w:rsid w:val="00B62F87"/>
    <w:rsid w:val="00B635CB"/>
    <w:rsid w:val="00B64309"/>
    <w:rsid w:val="00B65D02"/>
    <w:rsid w:val="00B66DB3"/>
    <w:rsid w:val="00B67591"/>
    <w:rsid w:val="00B701C6"/>
    <w:rsid w:val="00B716E2"/>
    <w:rsid w:val="00B72A0E"/>
    <w:rsid w:val="00B72D51"/>
    <w:rsid w:val="00B732B1"/>
    <w:rsid w:val="00B74035"/>
    <w:rsid w:val="00B755EE"/>
    <w:rsid w:val="00B76FD4"/>
    <w:rsid w:val="00B77453"/>
    <w:rsid w:val="00B8053E"/>
    <w:rsid w:val="00B814FF"/>
    <w:rsid w:val="00B82762"/>
    <w:rsid w:val="00B8316F"/>
    <w:rsid w:val="00B83948"/>
    <w:rsid w:val="00B83E2D"/>
    <w:rsid w:val="00B84462"/>
    <w:rsid w:val="00B86D1E"/>
    <w:rsid w:val="00B870C3"/>
    <w:rsid w:val="00B91CAF"/>
    <w:rsid w:val="00B92CF7"/>
    <w:rsid w:val="00B9351D"/>
    <w:rsid w:val="00B93ED0"/>
    <w:rsid w:val="00B94CF2"/>
    <w:rsid w:val="00BA0727"/>
    <w:rsid w:val="00BA0AE2"/>
    <w:rsid w:val="00BA10E5"/>
    <w:rsid w:val="00BA320B"/>
    <w:rsid w:val="00BA34EF"/>
    <w:rsid w:val="00BA366D"/>
    <w:rsid w:val="00BA3698"/>
    <w:rsid w:val="00BA518D"/>
    <w:rsid w:val="00BA59A8"/>
    <w:rsid w:val="00BA5F49"/>
    <w:rsid w:val="00BA7325"/>
    <w:rsid w:val="00BB0E71"/>
    <w:rsid w:val="00BB1A8C"/>
    <w:rsid w:val="00BB4CE5"/>
    <w:rsid w:val="00BB5C25"/>
    <w:rsid w:val="00BB7A67"/>
    <w:rsid w:val="00BC053C"/>
    <w:rsid w:val="00BC226B"/>
    <w:rsid w:val="00BC248E"/>
    <w:rsid w:val="00BC322F"/>
    <w:rsid w:val="00BC3A6C"/>
    <w:rsid w:val="00BC5512"/>
    <w:rsid w:val="00BC5903"/>
    <w:rsid w:val="00BC5AED"/>
    <w:rsid w:val="00BC677A"/>
    <w:rsid w:val="00BC6C87"/>
    <w:rsid w:val="00BD173D"/>
    <w:rsid w:val="00BD1E82"/>
    <w:rsid w:val="00BD2530"/>
    <w:rsid w:val="00BD6D94"/>
    <w:rsid w:val="00BE0853"/>
    <w:rsid w:val="00BE090E"/>
    <w:rsid w:val="00BE09FD"/>
    <w:rsid w:val="00BE0ECA"/>
    <w:rsid w:val="00BE0EFB"/>
    <w:rsid w:val="00BE1EA5"/>
    <w:rsid w:val="00BE327B"/>
    <w:rsid w:val="00BE34DF"/>
    <w:rsid w:val="00BE3BE1"/>
    <w:rsid w:val="00BE523F"/>
    <w:rsid w:val="00BE5E02"/>
    <w:rsid w:val="00BE7044"/>
    <w:rsid w:val="00BE70CB"/>
    <w:rsid w:val="00BE73D1"/>
    <w:rsid w:val="00BF0BA9"/>
    <w:rsid w:val="00BF0D18"/>
    <w:rsid w:val="00BF2009"/>
    <w:rsid w:val="00BF43B4"/>
    <w:rsid w:val="00BF6462"/>
    <w:rsid w:val="00BF77B2"/>
    <w:rsid w:val="00C004C6"/>
    <w:rsid w:val="00C017EC"/>
    <w:rsid w:val="00C0226A"/>
    <w:rsid w:val="00C0369D"/>
    <w:rsid w:val="00C04427"/>
    <w:rsid w:val="00C04DF3"/>
    <w:rsid w:val="00C070E5"/>
    <w:rsid w:val="00C10E2F"/>
    <w:rsid w:val="00C117A7"/>
    <w:rsid w:val="00C13A7D"/>
    <w:rsid w:val="00C14123"/>
    <w:rsid w:val="00C14C52"/>
    <w:rsid w:val="00C1519D"/>
    <w:rsid w:val="00C15E45"/>
    <w:rsid w:val="00C16364"/>
    <w:rsid w:val="00C16A4E"/>
    <w:rsid w:val="00C175C5"/>
    <w:rsid w:val="00C20B28"/>
    <w:rsid w:val="00C20C27"/>
    <w:rsid w:val="00C22633"/>
    <w:rsid w:val="00C22EE5"/>
    <w:rsid w:val="00C23300"/>
    <w:rsid w:val="00C23873"/>
    <w:rsid w:val="00C24BD8"/>
    <w:rsid w:val="00C25645"/>
    <w:rsid w:val="00C267F7"/>
    <w:rsid w:val="00C304E1"/>
    <w:rsid w:val="00C30F66"/>
    <w:rsid w:val="00C31C2C"/>
    <w:rsid w:val="00C34B0C"/>
    <w:rsid w:val="00C35984"/>
    <w:rsid w:val="00C35C96"/>
    <w:rsid w:val="00C41736"/>
    <w:rsid w:val="00C41BC4"/>
    <w:rsid w:val="00C43915"/>
    <w:rsid w:val="00C50A22"/>
    <w:rsid w:val="00C51697"/>
    <w:rsid w:val="00C51E5D"/>
    <w:rsid w:val="00C53224"/>
    <w:rsid w:val="00C54982"/>
    <w:rsid w:val="00C57D3F"/>
    <w:rsid w:val="00C60D7F"/>
    <w:rsid w:val="00C6304E"/>
    <w:rsid w:val="00C63A04"/>
    <w:rsid w:val="00C64B67"/>
    <w:rsid w:val="00C65D65"/>
    <w:rsid w:val="00C663A1"/>
    <w:rsid w:val="00C66487"/>
    <w:rsid w:val="00C66670"/>
    <w:rsid w:val="00C66959"/>
    <w:rsid w:val="00C72AEB"/>
    <w:rsid w:val="00C739AC"/>
    <w:rsid w:val="00C7464D"/>
    <w:rsid w:val="00C74AE8"/>
    <w:rsid w:val="00C74D32"/>
    <w:rsid w:val="00C76030"/>
    <w:rsid w:val="00C765D2"/>
    <w:rsid w:val="00C80BF9"/>
    <w:rsid w:val="00C81420"/>
    <w:rsid w:val="00C81AC6"/>
    <w:rsid w:val="00C8314E"/>
    <w:rsid w:val="00C857B1"/>
    <w:rsid w:val="00C902B7"/>
    <w:rsid w:val="00C9047A"/>
    <w:rsid w:val="00C944B4"/>
    <w:rsid w:val="00C94ADA"/>
    <w:rsid w:val="00C979EA"/>
    <w:rsid w:val="00C97D14"/>
    <w:rsid w:val="00CA2009"/>
    <w:rsid w:val="00CA2F8E"/>
    <w:rsid w:val="00CA3C68"/>
    <w:rsid w:val="00CA5D6D"/>
    <w:rsid w:val="00CA7273"/>
    <w:rsid w:val="00CA7FF0"/>
    <w:rsid w:val="00CB056C"/>
    <w:rsid w:val="00CB06A4"/>
    <w:rsid w:val="00CB09DD"/>
    <w:rsid w:val="00CB17D8"/>
    <w:rsid w:val="00CB3DD5"/>
    <w:rsid w:val="00CB438D"/>
    <w:rsid w:val="00CB5103"/>
    <w:rsid w:val="00CB51A8"/>
    <w:rsid w:val="00CB5FC7"/>
    <w:rsid w:val="00CC140D"/>
    <w:rsid w:val="00CC147F"/>
    <w:rsid w:val="00CC22E7"/>
    <w:rsid w:val="00CC2536"/>
    <w:rsid w:val="00CC2A4E"/>
    <w:rsid w:val="00CC3CA6"/>
    <w:rsid w:val="00CC544E"/>
    <w:rsid w:val="00CC62EA"/>
    <w:rsid w:val="00CC664C"/>
    <w:rsid w:val="00CC7217"/>
    <w:rsid w:val="00CC7B24"/>
    <w:rsid w:val="00CC7EDD"/>
    <w:rsid w:val="00CD0411"/>
    <w:rsid w:val="00CD07D0"/>
    <w:rsid w:val="00CD0F0C"/>
    <w:rsid w:val="00CD1654"/>
    <w:rsid w:val="00CD219B"/>
    <w:rsid w:val="00CD2465"/>
    <w:rsid w:val="00CD2DCC"/>
    <w:rsid w:val="00CD32F9"/>
    <w:rsid w:val="00CD330E"/>
    <w:rsid w:val="00CD3A9F"/>
    <w:rsid w:val="00CD3AA3"/>
    <w:rsid w:val="00CD3E5E"/>
    <w:rsid w:val="00CD4382"/>
    <w:rsid w:val="00CD43FB"/>
    <w:rsid w:val="00CD4A55"/>
    <w:rsid w:val="00CD70B7"/>
    <w:rsid w:val="00CD758A"/>
    <w:rsid w:val="00CD7A1A"/>
    <w:rsid w:val="00CE151C"/>
    <w:rsid w:val="00CE1E80"/>
    <w:rsid w:val="00CE6FE3"/>
    <w:rsid w:val="00CE7724"/>
    <w:rsid w:val="00CF0279"/>
    <w:rsid w:val="00CF1700"/>
    <w:rsid w:val="00CF189E"/>
    <w:rsid w:val="00CF212F"/>
    <w:rsid w:val="00CF46F5"/>
    <w:rsid w:val="00CF567E"/>
    <w:rsid w:val="00CF57C7"/>
    <w:rsid w:val="00CF59D0"/>
    <w:rsid w:val="00CF646A"/>
    <w:rsid w:val="00CF6E93"/>
    <w:rsid w:val="00CF7B2C"/>
    <w:rsid w:val="00CF7C33"/>
    <w:rsid w:val="00D0078F"/>
    <w:rsid w:val="00D008B4"/>
    <w:rsid w:val="00D01AA0"/>
    <w:rsid w:val="00D04E2E"/>
    <w:rsid w:val="00D0770D"/>
    <w:rsid w:val="00D1010A"/>
    <w:rsid w:val="00D10F93"/>
    <w:rsid w:val="00D11102"/>
    <w:rsid w:val="00D12454"/>
    <w:rsid w:val="00D12A5B"/>
    <w:rsid w:val="00D13D78"/>
    <w:rsid w:val="00D16BF3"/>
    <w:rsid w:val="00D20468"/>
    <w:rsid w:val="00D206C8"/>
    <w:rsid w:val="00D21005"/>
    <w:rsid w:val="00D215D7"/>
    <w:rsid w:val="00D2180D"/>
    <w:rsid w:val="00D21B97"/>
    <w:rsid w:val="00D22407"/>
    <w:rsid w:val="00D23D95"/>
    <w:rsid w:val="00D24048"/>
    <w:rsid w:val="00D25542"/>
    <w:rsid w:val="00D2677C"/>
    <w:rsid w:val="00D26B15"/>
    <w:rsid w:val="00D27D3D"/>
    <w:rsid w:val="00D31364"/>
    <w:rsid w:val="00D31A54"/>
    <w:rsid w:val="00D34439"/>
    <w:rsid w:val="00D36289"/>
    <w:rsid w:val="00D41DB5"/>
    <w:rsid w:val="00D4222D"/>
    <w:rsid w:val="00D439C9"/>
    <w:rsid w:val="00D44507"/>
    <w:rsid w:val="00D45750"/>
    <w:rsid w:val="00D47075"/>
    <w:rsid w:val="00D47DAB"/>
    <w:rsid w:val="00D47FA4"/>
    <w:rsid w:val="00D50E76"/>
    <w:rsid w:val="00D5131E"/>
    <w:rsid w:val="00D52065"/>
    <w:rsid w:val="00D5359A"/>
    <w:rsid w:val="00D53C4A"/>
    <w:rsid w:val="00D54CF9"/>
    <w:rsid w:val="00D54F94"/>
    <w:rsid w:val="00D556E6"/>
    <w:rsid w:val="00D55D2A"/>
    <w:rsid w:val="00D56324"/>
    <w:rsid w:val="00D56988"/>
    <w:rsid w:val="00D605FE"/>
    <w:rsid w:val="00D612DC"/>
    <w:rsid w:val="00D615B3"/>
    <w:rsid w:val="00D6371F"/>
    <w:rsid w:val="00D65578"/>
    <w:rsid w:val="00D65628"/>
    <w:rsid w:val="00D66B77"/>
    <w:rsid w:val="00D671B3"/>
    <w:rsid w:val="00D676C6"/>
    <w:rsid w:val="00D67BB8"/>
    <w:rsid w:val="00D71B47"/>
    <w:rsid w:val="00D71CD8"/>
    <w:rsid w:val="00D74AC1"/>
    <w:rsid w:val="00D74DA5"/>
    <w:rsid w:val="00D7569C"/>
    <w:rsid w:val="00D75A7A"/>
    <w:rsid w:val="00D75B25"/>
    <w:rsid w:val="00D75C07"/>
    <w:rsid w:val="00D761E5"/>
    <w:rsid w:val="00D8038F"/>
    <w:rsid w:val="00D82CE5"/>
    <w:rsid w:val="00D83C6A"/>
    <w:rsid w:val="00D853A3"/>
    <w:rsid w:val="00D85775"/>
    <w:rsid w:val="00D907E1"/>
    <w:rsid w:val="00D9107F"/>
    <w:rsid w:val="00D918E8"/>
    <w:rsid w:val="00D92157"/>
    <w:rsid w:val="00D92203"/>
    <w:rsid w:val="00D94467"/>
    <w:rsid w:val="00D95D41"/>
    <w:rsid w:val="00D97EB4"/>
    <w:rsid w:val="00D97EFD"/>
    <w:rsid w:val="00DA00CA"/>
    <w:rsid w:val="00DA0287"/>
    <w:rsid w:val="00DA058F"/>
    <w:rsid w:val="00DA22F6"/>
    <w:rsid w:val="00DA327F"/>
    <w:rsid w:val="00DA3A7E"/>
    <w:rsid w:val="00DA4D23"/>
    <w:rsid w:val="00DA51F2"/>
    <w:rsid w:val="00DA75C8"/>
    <w:rsid w:val="00DA7C64"/>
    <w:rsid w:val="00DB266D"/>
    <w:rsid w:val="00DB355C"/>
    <w:rsid w:val="00DB4F89"/>
    <w:rsid w:val="00DC0339"/>
    <w:rsid w:val="00DC0656"/>
    <w:rsid w:val="00DC1B67"/>
    <w:rsid w:val="00DC1B9D"/>
    <w:rsid w:val="00DC31B6"/>
    <w:rsid w:val="00DC3457"/>
    <w:rsid w:val="00DC4962"/>
    <w:rsid w:val="00DC4B0D"/>
    <w:rsid w:val="00DC525B"/>
    <w:rsid w:val="00DC58C0"/>
    <w:rsid w:val="00DC7434"/>
    <w:rsid w:val="00DD2FE0"/>
    <w:rsid w:val="00DD3400"/>
    <w:rsid w:val="00DD4825"/>
    <w:rsid w:val="00DE389A"/>
    <w:rsid w:val="00DE3B86"/>
    <w:rsid w:val="00DE435C"/>
    <w:rsid w:val="00DE6114"/>
    <w:rsid w:val="00DE6787"/>
    <w:rsid w:val="00DE7011"/>
    <w:rsid w:val="00DF0E2D"/>
    <w:rsid w:val="00DF2029"/>
    <w:rsid w:val="00DF2C56"/>
    <w:rsid w:val="00DF373C"/>
    <w:rsid w:val="00DF4270"/>
    <w:rsid w:val="00DF5040"/>
    <w:rsid w:val="00DF5453"/>
    <w:rsid w:val="00DF785A"/>
    <w:rsid w:val="00DF7F68"/>
    <w:rsid w:val="00E002DF"/>
    <w:rsid w:val="00E002E3"/>
    <w:rsid w:val="00E0095E"/>
    <w:rsid w:val="00E01D27"/>
    <w:rsid w:val="00E02957"/>
    <w:rsid w:val="00E032DE"/>
    <w:rsid w:val="00E0722A"/>
    <w:rsid w:val="00E07D2C"/>
    <w:rsid w:val="00E07FF2"/>
    <w:rsid w:val="00E10BB2"/>
    <w:rsid w:val="00E130EB"/>
    <w:rsid w:val="00E13544"/>
    <w:rsid w:val="00E140AF"/>
    <w:rsid w:val="00E1672F"/>
    <w:rsid w:val="00E20067"/>
    <w:rsid w:val="00E20854"/>
    <w:rsid w:val="00E208D0"/>
    <w:rsid w:val="00E22C8E"/>
    <w:rsid w:val="00E2450E"/>
    <w:rsid w:val="00E24754"/>
    <w:rsid w:val="00E24D2F"/>
    <w:rsid w:val="00E276AE"/>
    <w:rsid w:val="00E27D44"/>
    <w:rsid w:val="00E27DF5"/>
    <w:rsid w:val="00E27E78"/>
    <w:rsid w:val="00E3175B"/>
    <w:rsid w:val="00E31E42"/>
    <w:rsid w:val="00E3252D"/>
    <w:rsid w:val="00E3427C"/>
    <w:rsid w:val="00E36785"/>
    <w:rsid w:val="00E37415"/>
    <w:rsid w:val="00E400E1"/>
    <w:rsid w:val="00E40ACB"/>
    <w:rsid w:val="00E41780"/>
    <w:rsid w:val="00E428C9"/>
    <w:rsid w:val="00E43069"/>
    <w:rsid w:val="00E444C7"/>
    <w:rsid w:val="00E44B72"/>
    <w:rsid w:val="00E453C2"/>
    <w:rsid w:val="00E46AB8"/>
    <w:rsid w:val="00E47908"/>
    <w:rsid w:val="00E50983"/>
    <w:rsid w:val="00E51083"/>
    <w:rsid w:val="00E5176F"/>
    <w:rsid w:val="00E51EDA"/>
    <w:rsid w:val="00E53FE7"/>
    <w:rsid w:val="00E541B5"/>
    <w:rsid w:val="00E55554"/>
    <w:rsid w:val="00E55D71"/>
    <w:rsid w:val="00E60990"/>
    <w:rsid w:val="00E6215A"/>
    <w:rsid w:val="00E6231B"/>
    <w:rsid w:val="00E6299A"/>
    <w:rsid w:val="00E63660"/>
    <w:rsid w:val="00E70588"/>
    <w:rsid w:val="00E712A3"/>
    <w:rsid w:val="00E720F3"/>
    <w:rsid w:val="00E73943"/>
    <w:rsid w:val="00E74707"/>
    <w:rsid w:val="00E74E80"/>
    <w:rsid w:val="00E76789"/>
    <w:rsid w:val="00E779CE"/>
    <w:rsid w:val="00E81773"/>
    <w:rsid w:val="00E8270B"/>
    <w:rsid w:val="00E84AE8"/>
    <w:rsid w:val="00E85066"/>
    <w:rsid w:val="00E86DFE"/>
    <w:rsid w:val="00E87163"/>
    <w:rsid w:val="00E87A8D"/>
    <w:rsid w:val="00E87DA3"/>
    <w:rsid w:val="00E90D7D"/>
    <w:rsid w:val="00E912CA"/>
    <w:rsid w:val="00E92BC1"/>
    <w:rsid w:val="00E92C23"/>
    <w:rsid w:val="00E942C5"/>
    <w:rsid w:val="00E94D91"/>
    <w:rsid w:val="00E9521F"/>
    <w:rsid w:val="00E960BB"/>
    <w:rsid w:val="00E96374"/>
    <w:rsid w:val="00EA00B4"/>
    <w:rsid w:val="00EA09B5"/>
    <w:rsid w:val="00EA0B66"/>
    <w:rsid w:val="00EA1234"/>
    <w:rsid w:val="00EA26E9"/>
    <w:rsid w:val="00EA2D09"/>
    <w:rsid w:val="00EA2D6E"/>
    <w:rsid w:val="00EA3D45"/>
    <w:rsid w:val="00EA472C"/>
    <w:rsid w:val="00EA49F1"/>
    <w:rsid w:val="00EA7E87"/>
    <w:rsid w:val="00EB03EA"/>
    <w:rsid w:val="00EB04A4"/>
    <w:rsid w:val="00EB0DAE"/>
    <w:rsid w:val="00EB0DB4"/>
    <w:rsid w:val="00EB10D1"/>
    <w:rsid w:val="00EB3853"/>
    <w:rsid w:val="00EB4B1C"/>
    <w:rsid w:val="00EB5CDB"/>
    <w:rsid w:val="00EB7F50"/>
    <w:rsid w:val="00EC0105"/>
    <w:rsid w:val="00EC0906"/>
    <w:rsid w:val="00EC115A"/>
    <w:rsid w:val="00EC11F9"/>
    <w:rsid w:val="00EC2071"/>
    <w:rsid w:val="00EC28DA"/>
    <w:rsid w:val="00EC2C35"/>
    <w:rsid w:val="00EC31F2"/>
    <w:rsid w:val="00EC35F6"/>
    <w:rsid w:val="00EC4EBE"/>
    <w:rsid w:val="00EC7176"/>
    <w:rsid w:val="00EC7837"/>
    <w:rsid w:val="00ED115D"/>
    <w:rsid w:val="00ED1D9F"/>
    <w:rsid w:val="00ED1EFF"/>
    <w:rsid w:val="00ED1F91"/>
    <w:rsid w:val="00ED3061"/>
    <w:rsid w:val="00ED6342"/>
    <w:rsid w:val="00ED6E48"/>
    <w:rsid w:val="00EE0860"/>
    <w:rsid w:val="00EE2200"/>
    <w:rsid w:val="00EE3EEC"/>
    <w:rsid w:val="00EE402E"/>
    <w:rsid w:val="00EE462F"/>
    <w:rsid w:val="00EE4C31"/>
    <w:rsid w:val="00EE53A0"/>
    <w:rsid w:val="00EE6763"/>
    <w:rsid w:val="00EE68D6"/>
    <w:rsid w:val="00EE6AAF"/>
    <w:rsid w:val="00EF1344"/>
    <w:rsid w:val="00EF1502"/>
    <w:rsid w:val="00EF46F4"/>
    <w:rsid w:val="00EF5B8F"/>
    <w:rsid w:val="00EF5BDA"/>
    <w:rsid w:val="00EF77DC"/>
    <w:rsid w:val="00F01175"/>
    <w:rsid w:val="00F014E5"/>
    <w:rsid w:val="00F01B1A"/>
    <w:rsid w:val="00F021B8"/>
    <w:rsid w:val="00F025C7"/>
    <w:rsid w:val="00F02C04"/>
    <w:rsid w:val="00F0778F"/>
    <w:rsid w:val="00F108CD"/>
    <w:rsid w:val="00F10CC6"/>
    <w:rsid w:val="00F11476"/>
    <w:rsid w:val="00F1206B"/>
    <w:rsid w:val="00F13326"/>
    <w:rsid w:val="00F13438"/>
    <w:rsid w:val="00F14699"/>
    <w:rsid w:val="00F176E0"/>
    <w:rsid w:val="00F17CF3"/>
    <w:rsid w:val="00F17FFA"/>
    <w:rsid w:val="00F22CC4"/>
    <w:rsid w:val="00F2462F"/>
    <w:rsid w:val="00F2541F"/>
    <w:rsid w:val="00F26E0F"/>
    <w:rsid w:val="00F300D9"/>
    <w:rsid w:val="00F30A94"/>
    <w:rsid w:val="00F30AB9"/>
    <w:rsid w:val="00F31DD1"/>
    <w:rsid w:val="00F340EC"/>
    <w:rsid w:val="00F34D23"/>
    <w:rsid w:val="00F34D78"/>
    <w:rsid w:val="00F36407"/>
    <w:rsid w:val="00F37C14"/>
    <w:rsid w:val="00F47B78"/>
    <w:rsid w:val="00F51401"/>
    <w:rsid w:val="00F5147B"/>
    <w:rsid w:val="00F518C0"/>
    <w:rsid w:val="00F53137"/>
    <w:rsid w:val="00F547D7"/>
    <w:rsid w:val="00F54900"/>
    <w:rsid w:val="00F564D8"/>
    <w:rsid w:val="00F600E6"/>
    <w:rsid w:val="00F605F7"/>
    <w:rsid w:val="00F60AEC"/>
    <w:rsid w:val="00F6247E"/>
    <w:rsid w:val="00F63D82"/>
    <w:rsid w:val="00F648D0"/>
    <w:rsid w:val="00F65727"/>
    <w:rsid w:val="00F65CA6"/>
    <w:rsid w:val="00F6637B"/>
    <w:rsid w:val="00F716F9"/>
    <w:rsid w:val="00F72D9B"/>
    <w:rsid w:val="00F74B9E"/>
    <w:rsid w:val="00F7573D"/>
    <w:rsid w:val="00F75B8C"/>
    <w:rsid w:val="00F75BF5"/>
    <w:rsid w:val="00F767D4"/>
    <w:rsid w:val="00F80B8B"/>
    <w:rsid w:val="00F828E5"/>
    <w:rsid w:val="00F83445"/>
    <w:rsid w:val="00F858BF"/>
    <w:rsid w:val="00F90A58"/>
    <w:rsid w:val="00F90D39"/>
    <w:rsid w:val="00F91CA1"/>
    <w:rsid w:val="00F92F5B"/>
    <w:rsid w:val="00F934CA"/>
    <w:rsid w:val="00F93685"/>
    <w:rsid w:val="00F93C75"/>
    <w:rsid w:val="00F94A16"/>
    <w:rsid w:val="00F956DE"/>
    <w:rsid w:val="00F964C2"/>
    <w:rsid w:val="00F96DBA"/>
    <w:rsid w:val="00FA00F3"/>
    <w:rsid w:val="00FA0223"/>
    <w:rsid w:val="00FA0ACA"/>
    <w:rsid w:val="00FA0C0C"/>
    <w:rsid w:val="00FA13C6"/>
    <w:rsid w:val="00FA29A6"/>
    <w:rsid w:val="00FA458E"/>
    <w:rsid w:val="00FA4E84"/>
    <w:rsid w:val="00FA5756"/>
    <w:rsid w:val="00FA58AB"/>
    <w:rsid w:val="00FB021A"/>
    <w:rsid w:val="00FB031B"/>
    <w:rsid w:val="00FB05F2"/>
    <w:rsid w:val="00FB168C"/>
    <w:rsid w:val="00FB18CD"/>
    <w:rsid w:val="00FB1C2F"/>
    <w:rsid w:val="00FB215C"/>
    <w:rsid w:val="00FB2318"/>
    <w:rsid w:val="00FB2823"/>
    <w:rsid w:val="00FB3C31"/>
    <w:rsid w:val="00FB52D3"/>
    <w:rsid w:val="00FB596E"/>
    <w:rsid w:val="00FB6AFB"/>
    <w:rsid w:val="00FC0009"/>
    <w:rsid w:val="00FC26A4"/>
    <w:rsid w:val="00FC350C"/>
    <w:rsid w:val="00FC41DB"/>
    <w:rsid w:val="00FC459C"/>
    <w:rsid w:val="00FC4BA7"/>
    <w:rsid w:val="00FC5EF4"/>
    <w:rsid w:val="00FC6195"/>
    <w:rsid w:val="00FC7C9D"/>
    <w:rsid w:val="00FD255D"/>
    <w:rsid w:val="00FD3DD4"/>
    <w:rsid w:val="00FD3FF4"/>
    <w:rsid w:val="00FD55FB"/>
    <w:rsid w:val="00FD570A"/>
    <w:rsid w:val="00FD63EB"/>
    <w:rsid w:val="00FD6747"/>
    <w:rsid w:val="00FD6F5D"/>
    <w:rsid w:val="00FD73AE"/>
    <w:rsid w:val="00FE1178"/>
    <w:rsid w:val="00FE307E"/>
    <w:rsid w:val="00FE3F09"/>
    <w:rsid w:val="00FE41BD"/>
    <w:rsid w:val="00FE60B3"/>
    <w:rsid w:val="00FE661E"/>
    <w:rsid w:val="00FE750A"/>
    <w:rsid w:val="00FF0861"/>
    <w:rsid w:val="00FF3EC9"/>
    <w:rsid w:val="00FF4F98"/>
    <w:rsid w:val="00FF675B"/>
    <w:rsid w:val="00FF6D3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FE99"/>
  <w15:chartTrackingRefBased/>
  <w15:docId w15:val="{00BF233A-6244-344F-B858-ABB09288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6366"/>
    <w:rPr>
      <w:rFonts w:ascii="Times New Roman" w:eastAsia="Times New Roman" w:hAnsi="Times New Roman" w:cs="Times New Roman"/>
      <w:lang w:eastAsia="en-GB"/>
    </w:rPr>
  </w:style>
  <w:style w:type="paragraph" w:styleId="Heading1">
    <w:name w:val="heading 1"/>
    <w:basedOn w:val="Normal"/>
    <w:link w:val="Heading1Char"/>
    <w:uiPriority w:val="9"/>
    <w:qFormat/>
    <w:rsid w:val="00C51E5D"/>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513BE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E0F"/>
    <w:rPr>
      <w:sz w:val="18"/>
      <w:szCs w:val="18"/>
    </w:rPr>
  </w:style>
  <w:style w:type="character" w:customStyle="1" w:styleId="BalloonTextChar">
    <w:name w:val="Balloon Text Char"/>
    <w:basedOn w:val="DefaultParagraphFont"/>
    <w:link w:val="BalloonText"/>
    <w:uiPriority w:val="99"/>
    <w:semiHidden/>
    <w:rsid w:val="00F26E0F"/>
    <w:rPr>
      <w:rFonts w:ascii="Times New Roman" w:hAnsi="Times New Roman" w:cs="Times New Roman"/>
      <w:sz w:val="18"/>
      <w:szCs w:val="18"/>
    </w:rPr>
  </w:style>
  <w:style w:type="paragraph" w:styleId="EndnoteText">
    <w:name w:val="endnote text"/>
    <w:basedOn w:val="Normal"/>
    <w:link w:val="EndnoteTextChar"/>
    <w:uiPriority w:val="99"/>
    <w:unhideWhenUsed/>
    <w:rsid w:val="00F26E0F"/>
    <w:rPr>
      <w:lang w:val="en-US"/>
    </w:rPr>
  </w:style>
  <w:style w:type="character" w:customStyle="1" w:styleId="EndnoteTextChar">
    <w:name w:val="Endnote Text Char"/>
    <w:basedOn w:val="DefaultParagraphFont"/>
    <w:link w:val="EndnoteText"/>
    <w:uiPriority w:val="99"/>
    <w:rsid w:val="00F26E0F"/>
    <w:rPr>
      <w:lang w:val="en-US"/>
    </w:rPr>
  </w:style>
  <w:style w:type="character" w:styleId="EndnoteReference">
    <w:name w:val="endnote reference"/>
    <w:basedOn w:val="DefaultParagraphFont"/>
    <w:uiPriority w:val="99"/>
    <w:unhideWhenUsed/>
    <w:rsid w:val="00F26E0F"/>
    <w:rPr>
      <w:vertAlign w:val="superscript"/>
    </w:rPr>
  </w:style>
  <w:style w:type="character" w:styleId="FootnoteReference">
    <w:name w:val="footnote reference"/>
    <w:basedOn w:val="DefaultParagraphFont"/>
    <w:uiPriority w:val="99"/>
    <w:unhideWhenUsed/>
    <w:rsid w:val="004B42A0"/>
    <w:rPr>
      <w:vertAlign w:val="superscript"/>
    </w:rPr>
  </w:style>
  <w:style w:type="paragraph" w:styleId="Header">
    <w:name w:val="header"/>
    <w:basedOn w:val="Normal"/>
    <w:link w:val="HeaderChar"/>
    <w:uiPriority w:val="99"/>
    <w:unhideWhenUsed/>
    <w:rsid w:val="0040497F"/>
    <w:pPr>
      <w:tabs>
        <w:tab w:val="center" w:pos="4513"/>
        <w:tab w:val="right" w:pos="9026"/>
      </w:tabs>
    </w:pPr>
  </w:style>
  <w:style w:type="character" w:customStyle="1" w:styleId="HeaderChar">
    <w:name w:val="Header Char"/>
    <w:basedOn w:val="DefaultParagraphFont"/>
    <w:link w:val="Header"/>
    <w:uiPriority w:val="99"/>
    <w:rsid w:val="0040497F"/>
  </w:style>
  <w:style w:type="paragraph" w:styleId="Footer">
    <w:name w:val="footer"/>
    <w:basedOn w:val="Normal"/>
    <w:link w:val="FooterChar"/>
    <w:uiPriority w:val="99"/>
    <w:unhideWhenUsed/>
    <w:rsid w:val="0040497F"/>
    <w:pPr>
      <w:tabs>
        <w:tab w:val="center" w:pos="4513"/>
        <w:tab w:val="right" w:pos="9026"/>
      </w:tabs>
    </w:pPr>
  </w:style>
  <w:style w:type="character" w:customStyle="1" w:styleId="FooterChar">
    <w:name w:val="Footer Char"/>
    <w:basedOn w:val="DefaultParagraphFont"/>
    <w:link w:val="Footer"/>
    <w:uiPriority w:val="99"/>
    <w:rsid w:val="0040497F"/>
  </w:style>
  <w:style w:type="paragraph" w:styleId="FootnoteText">
    <w:name w:val="footnote text"/>
    <w:basedOn w:val="Normal"/>
    <w:link w:val="FootnoteTextChar"/>
    <w:uiPriority w:val="99"/>
    <w:unhideWhenUsed/>
    <w:rsid w:val="00CA2F8E"/>
    <w:rPr>
      <w:sz w:val="20"/>
      <w:szCs w:val="20"/>
    </w:rPr>
  </w:style>
  <w:style w:type="character" w:customStyle="1" w:styleId="FootnoteTextChar">
    <w:name w:val="Footnote Text Char"/>
    <w:basedOn w:val="DefaultParagraphFont"/>
    <w:link w:val="FootnoteText"/>
    <w:uiPriority w:val="99"/>
    <w:rsid w:val="00CA2F8E"/>
    <w:rPr>
      <w:sz w:val="20"/>
      <w:szCs w:val="20"/>
    </w:rPr>
  </w:style>
  <w:style w:type="character" w:customStyle="1" w:styleId="normaltextrun">
    <w:name w:val="normaltextrun"/>
    <w:basedOn w:val="DefaultParagraphFont"/>
    <w:rsid w:val="00AB0219"/>
  </w:style>
  <w:style w:type="character" w:customStyle="1" w:styleId="apple-converted-space">
    <w:name w:val="apple-converted-space"/>
    <w:basedOn w:val="DefaultParagraphFont"/>
    <w:rsid w:val="00AB0219"/>
  </w:style>
  <w:style w:type="paragraph" w:customStyle="1" w:styleId="paragraph">
    <w:name w:val="paragraph"/>
    <w:basedOn w:val="Normal"/>
    <w:rsid w:val="00AB0219"/>
    <w:pPr>
      <w:spacing w:before="100" w:beforeAutospacing="1" w:after="100" w:afterAutospacing="1"/>
    </w:pPr>
  </w:style>
  <w:style w:type="character" w:customStyle="1" w:styleId="eop">
    <w:name w:val="eop"/>
    <w:basedOn w:val="DefaultParagraphFont"/>
    <w:rsid w:val="00AB0219"/>
  </w:style>
  <w:style w:type="character" w:styleId="Hyperlink">
    <w:name w:val="Hyperlink"/>
    <w:basedOn w:val="DefaultParagraphFont"/>
    <w:uiPriority w:val="99"/>
    <w:unhideWhenUsed/>
    <w:rsid w:val="00AB0219"/>
    <w:rPr>
      <w:color w:val="0563C1" w:themeColor="hyperlink"/>
      <w:u w:val="single"/>
    </w:rPr>
  </w:style>
  <w:style w:type="character" w:styleId="UnresolvedMention">
    <w:name w:val="Unresolved Mention"/>
    <w:basedOn w:val="DefaultParagraphFont"/>
    <w:uiPriority w:val="99"/>
    <w:rsid w:val="001E4B4C"/>
    <w:rPr>
      <w:color w:val="605E5C"/>
      <w:shd w:val="clear" w:color="auto" w:fill="E1DFDD"/>
    </w:rPr>
  </w:style>
  <w:style w:type="character" w:styleId="FollowedHyperlink">
    <w:name w:val="FollowedHyperlink"/>
    <w:basedOn w:val="DefaultParagraphFont"/>
    <w:uiPriority w:val="99"/>
    <w:semiHidden/>
    <w:unhideWhenUsed/>
    <w:rsid w:val="006A2253"/>
    <w:rPr>
      <w:color w:val="954F72" w:themeColor="followedHyperlink"/>
      <w:u w:val="single"/>
    </w:rPr>
  </w:style>
  <w:style w:type="character" w:styleId="CommentReference">
    <w:name w:val="annotation reference"/>
    <w:basedOn w:val="DefaultParagraphFont"/>
    <w:uiPriority w:val="99"/>
    <w:semiHidden/>
    <w:unhideWhenUsed/>
    <w:rsid w:val="001D6D34"/>
    <w:rPr>
      <w:sz w:val="16"/>
      <w:szCs w:val="16"/>
    </w:rPr>
  </w:style>
  <w:style w:type="paragraph" w:styleId="CommentText">
    <w:name w:val="annotation text"/>
    <w:basedOn w:val="Normal"/>
    <w:link w:val="CommentTextChar"/>
    <w:uiPriority w:val="99"/>
    <w:semiHidden/>
    <w:unhideWhenUsed/>
    <w:rsid w:val="001D6D34"/>
    <w:rPr>
      <w:sz w:val="20"/>
      <w:szCs w:val="20"/>
    </w:rPr>
  </w:style>
  <w:style w:type="character" w:customStyle="1" w:styleId="CommentTextChar">
    <w:name w:val="Comment Text Char"/>
    <w:basedOn w:val="DefaultParagraphFont"/>
    <w:link w:val="CommentText"/>
    <w:uiPriority w:val="99"/>
    <w:semiHidden/>
    <w:rsid w:val="001D6D34"/>
    <w:rPr>
      <w:sz w:val="20"/>
      <w:szCs w:val="20"/>
    </w:rPr>
  </w:style>
  <w:style w:type="paragraph" w:styleId="CommentSubject">
    <w:name w:val="annotation subject"/>
    <w:basedOn w:val="CommentText"/>
    <w:next w:val="CommentText"/>
    <w:link w:val="CommentSubjectChar"/>
    <w:uiPriority w:val="99"/>
    <w:semiHidden/>
    <w:unhideWhenUsed/>
    <w:rsid w:val="001D6D34"/>
    <w:rPr>
      <w:b/>
      <w:bCs/>
    </w:rPr>
  </w:style>
  <w:style w:type="character" w:customStyle="1" w:styleId="CommentSubjectChar">
    <w:name w:val="Comment Subject Char"/>
    <w:basedOn w:val="CommentTextChar"/>
    <w:link w:val="CommentSubject"/>
    <w:uiPriority w:val="99"/>
    <w:semiHidden/>
    <w:rsid w:val="001D6D34"/>
    <w:rPr>
      <w:b/>
      <w:bCs/>
      <w:sz w:val="20"/>
      <w:szCs w:val="20"/>
    </w:rPr>
  </w:style>
  <w:style w:type="paragraph" w:styleId="NoSpacing">
    <w:name w:val="No Spacing"/>
    <w:uiPriority w:val="1"/>
    <w:qFormat/>
    <w:rsid w:val="00584A5C"/>
    <w:rPr>
      <w:sz w:val="22"/>
      <w:szCs w:val="22"/>
    </w:rPr>
  </w:style>
  <w:style w:type="character" w:customStyle="1" w:styleId="hlfld-contribauthor">
    <w:name w:val="hlfld-contribauthor"/>
    <w:basedOn w:val="DefaultParagraphFont"/>
    <w:rsid w:val="00862DC0"/>
  </w:style>
  <w:style w:type="character" w:customStyle="1" w:styleId="nlmgiven-names">
    <w:name w:val="nlm_given-names"/>
    <w:basedOn w:val="DefaultParagraphFont"/>
    <w:rsid w:val="00862DC0"/>
  </w:style>
  <w:style w:type="character" w:customStyle="1" w:styleId="nlmyear">
    <w:name w:val="nlm_year"/>
    <w:basedOn w:val="DefaultParagraphFont"/>
    <w:rsid w:val="00862DC0"/>
  </w:style>
  <w:style w:type="character" w:customStyle="1" w:styleId="nlmarticle-title">
    <w:name w:val="nlm_article-title"/>
    <w:basedOn w:val="DefaultParagraphFont"/>
    <w:rsid w:val="00862DC0"/>
  </w:style>
  <w:style w:type="character" w:customStyle="1" w:styleId="nlmfpage">
    <w:name w:val="nlm_fpage"/>
    <w:basedOn w:val="DefaultParagraphFont"/>
    <w:rsid w:val="00862DC0"/>
  </w:style>
  <w:style w:type="character" w:customStyle="1" w:styleId="nlmlpage">
    <w:name w:val="nlm_lpage"/>
    <w:basedOn w:val="DefaultParagraphFont"/>
    <w:rsid w:val="00862DC0"/>
  </w:style>
  <w:style w:type="paragraph" w:styleId="NormalWeb">
    <w:name w:val="Normal (Web)"/>
    <w:basedOn w:val="Normal"/>
    <w:uiPriority w:val="99"/>
    <w:unhideWhenUsed/>
    <w:rsid w:val="00DC0656"/>
    <w:pPr>
      <w:spacing w:before="100" w:beforeAutospacing="1" w:after="100" w:afterAutospacing="1"/>
    </w:pPr>
  </w:style>
  <w:style w:type="character" w:customStyle="1" w:styleId="authors">
    <w:name w:val="authors"/>
    <w:basedOn w:val="DefaultParagraphFont"/>
    <w:rsid w:val="005E5D6A"/>
  </w:style>
  <w:style w:type="character" w:customStyle="1" w:styleId="Date1">
    <w:name w:val="Date1"/>
    <w:basedOn w:val="DefaultParagraphFont"/>
    <w:rsid w:val="005E5D6A"/>
  </w:style>
  <w:style w:type="character" w:customStyle="1" w:styleId="arttitle">
    <w:name w:val="art_title"/>
    <w:basedOn w:val="DefaultParagraphFont"/>
    <w:rsid w:val="005E5D6A"/>
  </w:style>
  <w:style w:type="character" w:customStyle="1" w:styleId="serialtitle">
    <w:name w:val="serial_title"/>
    <w:basedOn w:val="DefaultParagraphFont"/>
    <w:rsid w:val="005E5D6A"/>
  </w:style>
  <w:style w:type="character" w:customStyle="1" w:styleId="volumeissue">
    <w:name w:val="volume_issue"/>
    <w:basedOn w:val="DefaultParagraphFont"/>
    <w:rsid w:val="005E5D6A"/>
  </w:style>
  <w:style w:type="character" w:customStyle="1" w:styleId="pagerange">
    <w:name w:val="page_range"/>
    <w:basedOn w:val="DefaultParagraphFont"/>
    <w:rsid w:val="005E5D6A"/>
  </w:style>
  <w:style w:type="character" w:styleId="Emphasis">
    <w:name w:val="Emphasis"/>
    <w:basedOn w:val="DefaultParagraphFont"/>
    <w:uiPriority w:val="20"/>
    <w:qFormat/>
    <w:rsid w:val="00464062"/>
    <w:rPr>
      <w:i/>
      <w:iCs/>
    </w:rPr>
  </w:style>
  <w:style w:type="character" w:customStyle="1" w:styleId="Heading1Char">
    <w:name w:val="Heading 1 Char"/>
    <w:basedOn w:val="DefaultParagraphFont"/>
    <w:link w:val="Heading1"/>
    <w:uiPriority w:val="9"/>
    <w:rsid w:val="00C51E5D"/>
    <w:rPr>
      <w:rFonts w:ascii="Times New Roman" w:eastAsia="Times New Roman" w:hAnsi="Times New Roman" w:cs="Times New Roman"/>
      <w:b/>
      <w:bCs/>
      <w:kern w:val="36"/>
      <w:sz w:val="48"/>
      <w:szCs w:val="48"/>
      <w:lang w:eastAsia="en-GB"/>
    </w:rPr>
  </w:style>
  <w:style w:type="character" w:customStyle="1" w:styleId="italic">
    <w:name w:val="italic"/>
    <w:basedOn w:val="DefaultParagraphFont"/>
    <w:rsid w:val="00C51E5D"/>
  </w:style>
  <w:style w:type="character" w:customStyle="1" w:styleId="highwire-citation-author">
    <w:name w:val="highwire-citation-author"/>
    <w:basedOn w:val="DefaultParagraphFont"/>
    <w:rsid w:val="00BE0853"/>
  </w:style>
  <w:style w:type="character" w:customStyle="1" w:styleId="nlm-surname">
    <w:name w:val="nlm-surname"/>
    <w:basedOn w:val="DefaultParagraphFont"/>
    <w:rsid w:val="00BE0853"/>
  </w:style>
  <w:style w:type="character" w:customStyle="1" w:styleId="highwire-cite-metadata-journal">
    <w:name w:val="highwire-cite-metadata-journal"/>
    <w:basedOn w:val="DefaultParagraphFont"/>
    <w:rsid w:val="00BE0853"/>
  </w:style>
  <w:style w:type="character" w:customStyle="1" w:styleId="highwire-cite-metadata-year">
    <w:name w:val="highwire-cite-metadata-year"/>
    <w:basedOn w:val="DefaultParagraphFont"/>
    <w:rsid w:val="00BE0853"/>
  </w:style>
  <w:style w:type="character" w:customStyle="1" w:styleId="highwire-cite-metadata-volume">
    <w:name w:val="highwire-cite-metadata-volume"/>
    <w:basedOn w:val="DefaultParagraphFont"/>
    <w:rsid w:val="00BE0853"/>
  </w:style>
  <w:style w:type="character" w:customStyle="1" w:styleId="highwire-cite-metadata-pages">
    <w:name w:val="highwire-cite-metadata-pages"/>
    <w:basedOn w:val="DefaultParagraphFont"/>
    <w:rsid w:val="00BE0853"/>
  </w:style>
  <w:style w:type="character" w:styleId="PageNumber">
    <w:name w:val="page number"/>
    <w:basedOn w:val="DefaultParagraphFont"/>
    <w:uiPriority w:val="99"/>
    <w:semiHidden/>
    <w:unhideWhenUsed/>
    <w:rsid w:val="00D20468"/>
  </w:style>
  <w:style w:type="character" w:customStyle="1" w:styleId="Heading3Char">
    <w:name w:val="Heading 3 Char"/>
    <w:basedOn w:val="DefaultParagraphFont"/>
    <w:link w:val="Heading3"/>
    <w:uiPriority w:val="9"/>
    <w:semiHidden/>
    <w:rsid w:val="00513BE3"/>
    <w:rPr>
      <w:rFonts w:asciiTheme="majorHAnsi" w:eastAsiaTheme="majorEastAsia" w:hAnsiTheme="majorHAnsi" w:cstheme="majorBidi"/>
      <w:color w:val="1F3763" w:themeColor="accent1" w:themeShade="7F"/>
      <w:lang w:eastAsia="en-GB"/>
    </w:rPr>
  </w:style>
  <w:style w:type="character" w:customStyle="1" w:styleId="a-size-extra-large">
    <w:name w:val="a-size-extra-large"/>
    <w:basedOn w:val="DefaultParagraphFont"/>
    <w:rsid w:val="00367867"/>
  </w:style>
  <w:style w:type="character" w:customStyle="1" w:styleId="Date2">
    <w:name w:val="Date2"/>
    <w:basedOn w:val="DefaultParagraphFont"/>
    <w:rsid w:val="00166726"/>
  </w:style>
  <w:style w:type="character" w:customStyle="1" w:styleId="doilink">
    <w:name w:val="doi_link"/>
    <w:basedOn w:val="DefaultParagraphFont"/>
    <w:rsid w:val="00166726"/>
  </w:style>
  <w:style w:type="character" w:customStyle="1" w:styleId="personname">
    <w:name w:val="person_name"/>
    <w:basedOn w:val="DefaultParagraphFont"/>
    <w:rsid w:val="006A5EFA"/>
  </w:style>
  <w:style w:type="paragraph" w:styleId="ListParagraph">
    <w:name w:val="List Paragraph"/>
    <w:basedOn w:val="Normal"/>
    <w:uiPriority w:val="34"/>
    <w:qFormat/>
    <w:rsid w:val="0010116B"/>
    <w:pPr>
      <w:ind w:left="720"/>
      <w:contextualSpacing/>
    </w:pPr>
    <w:rPr>
      <w:rFonts w:ascii="Calibri" w:eastAsia="Calibri" w:hAnsi="Calibri"/>
      <w:lang w:eastAsia="en-US"/>
    </w:rPr>
  </w:style>
  <w:style w:type="character" w:customStyle="1" w:styleId="nochildren">
    <w:name w:val="nochildren"/>
    <w:basedOn w:val="DefaultParagraphFont"/>
    <w:rsid w:val="005F35BC"/>
  </w:style>
  <w:style w:type="character" w:customStyle="1" w:styleId="tooltip">
    <w:name w:val="tooltip"/>
    <w:basedOn w:val="DefaultParagraphFont"/>
    <w:rsid w:val="005F35BC"/>
  </w:style>
  <w:style w:type="paragraph" w:styleId="Revision">
    <w:name w:val="Revision"/>
    <w:hidden/>
    <w:uiPriority w:val="99"/>
    <w:semiHidden/>
    <w:rsid w:val="004934E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7089">
      <w:bodyDiv w:val="1"/>
      <w:marLeft w:val="0"/>
      <w:marRight w:val="0"/>
      <w:marTop w:val="0"/>
      <w:marBottom w:val="0"/>
      <w:divBdr>
        <w:top w:val="none" w:sz="0" w:space="0" w:color="auto"/>
        <w:left w:val="none" w:sz="0" w:space="0" w:color="auto"/>
        <w:bottom w:val="none" w:sz="0" w:space="0" w:color="auto"/>
        <w:right w:val="none" w:sz="0" w:space="0" w:color="auto"/>
      </w:divBdr>
      <w:divsChild>
        <w:div w:id="41171358">
          <w:marLeft w:val="0"/>
          <w:marRight w:val="0"/>
          <w:marTop w:val="0"/>
          <w:marBottom w:val="0"/>
          <w:divBdr>
            <w:top w:val="none" w:sz="0" w:space="0" w:color="auto"/>
            <w:left w:val="none" w:sz="0" w:space="0" w:color="auto"/>
            <w:bottom w:val="none" w:sz="0" w:space="0" w:color="auto"/>
            <w:right w:val="none" w:sz="0" w:space="0" w:color="auto"/>
          </w:divBdr>
          <w:divsChild>
            <w:div w:id="645083690">
              <w:marLeft w:val="0"/>
              <w:marRight w:val="0"/>
              <w:marTop w:val="0"/>
              <w:marBottom w:val="0"/>
              <w:divBdr>
                <w:top w:val="none" w:sz="0" w:space="0" w:color="auto"/>
                <w:left w:val="none" w:sz="0" w:space="0" w:color="auto"/>
                <w:bottom w:val="none" w:sz="0" w:space="0" w:color="auto"/>
                <w:right w:val="none" w:sz="0" w:space="0" w:color="auto"/>
              </w:divBdr>
              <w:divsChild>
                <w:div w:id="11380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9119">
      <w:bodyDiv w:val="1"/>
      <w:marLeft w:val="0"/>
      <w:marRight w:val="0"/>
      <w:marTop w:val="0"/>
      <w:marBottom w:val="0"/>
      <w:divBdr>
        <w:top w:val="none" w:sz="0" w:space="0" w:color="auto"/>
        <w:left w:val="none" w:sz="0" w:space="0" w:color="auto"/>
        <w:bottom w:val="none" w:sz="0" w:space="0" w:color="auto"/>
        <w:right w:val="none" w:sz="0" w:space="0" w:color="auto"/>
      </w:divBdr>
    </w:div>
    <w:div w:id="84307202">
      <w:bodyDiv w:val="1"/>
      <w:marLeft w:val="0"/>
      <w:marRight w:val="0"/>
      <w:marTop w:val="0"/>
      <w:marBottom w:val="0"/>
      <w:divBdr>
        <w:top w:val="none" w:sz="0" w:space="0" w:color="auto"/>
        <w:left w:val="none" w:sz="0" w:space="0" w:color="auto"/>
        <w:bottom w:val="none" w:sz="0" w:space="0" w:color="auto"/>
        <w:right w:val="none" w:sz="0" w:space="0" w:color="auto"/>
      </w:divBdr>
    </w:div>
    <w:div w:id="127674565">
      <w:bodyDiv w:val="1"/>
      <w:marLeft w:val="0"/>
      <w:marRight w:val="0"/>
      <w:marTop w:val="0"/>
      <w:marBottom w:val="0"/>
      <w:divBdr>
        <w:top w:val="none" w:sz="0" w:space="0" w:color="auto"/>
        <w:left w:val="none" w:sz="0" w:space="0" w:color="auto"/>
        <w:bottom w:val="none" w:sz="0" w:space="0" w:color="auto"/>
        <w:right w:val="none" w:sz="0" w:space="0" w:color="auto"/>
      </w:divBdr>
    </w:div>
    <w:div w:id="135994629">
      <w:bodyDiv w:val="1"/>
      <w:marLeft w:val="0"/>
      <w:marRight w:val="0"/>
      <w:marTop w:val="0"/>
      <w:marBottom w:val="0"/>
      <w:divBdr>
        <w:top w:val="none" w:sz="0" w:space="0" w:color="auto"/>
        <w:left w:val="none" w:sz="0" w:space="0" w:color="auto"/>
        <w:bottom w:val="none" w:sz="0" w:space="0" w:color="auto"/>
        <w:right w:val="none" w:sz="0" w:space="0" w:color="auto"/>
      </w:divBdr>
    </w:div>
    <w:div w:id="146213019">
      <w:bodyDiv w:val="1"/>
      <w:marLeft w:val="0"/>
      <w:marRight w:val="0"/>
      <w:marTop w:val="0"/>
      <w:marBottom w:val="0"/>
      <w:divBdr>
        <w:top w:val="none" w:sz="0" w:space="0" w:color="auto"/>
        <w:left w:val="none" w:sz="0" w:space="0" w:color="auto"/>
        <w:bottom w:val="none" w:sz="0" w:space="0" w:color="auto"/>
        <w:right w:val="none" w:sz="0" w:space="0" w:color="auto"/>
      </w:divBdr>
    </w:div>
    <w:div w:id="150298680">
      <w:bodyDiv w:val="1"/>
      <w:marLeft w:val="0"/>
      <w:marRight w:val="0"/>
      <w:marTop w:val="0"/>
      <w:marBottom w:val="0"/>
      <w:divBdr>
        <w:top w:val="none" w:sz="0" w:space="0" w:color="auto"/>
        <w:left w:val="none" w:sz="0" w:space="0" w:color="auto"/>
        <w:bottom w:val="none" w:sz="0" w:space="0" w:color="auto"/>
        <w:right w:val="none" w:sz="0" w:space="0" w:color="auto"/>
      </w:divBdr>
    </w:div>
    <w:div w:id="157429670">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
    <w:div w:id="201601377">
      <w:bodyDiv w:val="1"/>
      <w:marLeft w:val="0"/>
      <w:marRight w:val="0"/>
      <w:marTop w:val="0"/>
      <w:marBottom w:val="0"/>
      <w:divBdr>
        <w:top w:val="none" w:sz="0" w:space="0" w:color="auto"/>
        <w:left w:val="none" w:sz="0" w:space="0" w:color="auto"/>
        <w:bottom w:val="none" w:sz="0" w:space="0" w:color="auto"/>
        <w:right w:val="none" w:sz="0" w:space="0" w:color="auto"/>
      </w:divBdr>
    </w:div>
    <w:div w:id="273177113">
      <w:bodyDiv w:val="1"/>
      <w:marLeft w:val="0"/>
      <w:marRight w:val="0"/>
      <w:marTop w:val="0"/>
      <w:marBottom w:val="0"/>
      <w:divBdr>
        <w:top w:val="none" w:sz="0" w:space="0" w:color="auto"/>
        <w:left w:val="none" w:sz="0" w:space="0" w:color="auto"/>
        <w:bottom w:val="none" w:sz="0" w:space="0" w:color="auto"/>
        <w:right w:val="none" w:sz="0" w:space="0" w:color="auto"/>
      </w:divBdr>
    </w:div>
    <w:div w:id="274219421">
      <w:bodyDiv w:val="1"/>
      <w:marLeft w:val="0"/>
      <w:marRight w:val="0"/>
      <w:marTop w:val="0"/>
      <w:marBottom w:val="0"/>
      <w:divBdr>
        <w:top w:val="none" w:sz="0" w:space="0" w:color="auto"/>
        <w:left w:val="none" w:sz="0" w:space="0" w:color="auto"/>
        <w:bottom w:val="none" w:sz="0" w:space="0" w:color="auto"/>
        <w:right w:val="none" w:sz="0" w:space="0" w:color="auto"/>
      </w:divBdr>
    </w:div>
    <w:div w:id="293415605">
      <w:bodyDiv w:val="1"/>
      <w:marLeft w:val="0"/>
      <w:marRight w:val="0"/>
      <w:marTop w:val="0"/>
      <w:marBottom w:val="0"/>
      <w:divBdr>
        <w:top w:val="none" w:sz="0" w:space="0" w:color="auto"/>
        <w:left w:val="none" w:sz="0" w:space="0" w:color="auto"/>
        <w:bottom w:val="none" w:sz="0" w:space="0" w:color="auto"/>
        <w:right w:val="none" w:sz="0" w:space="0" w:color="auto"/>
      </w:divBdr>
    </w:div>
    <w:div w:id="302272281">
      <w:bodyDiv w:val="1"/>
      <w:marLeft w:val="0"/>
      <w:marRight w:val="0"/>
      <w:marTop w:val="0"/>
      <w:marBottom w:val="0"/>
      <w:divBdr>
        <w:top w:val="none" w:sz="0" w:space="0" w:color="auto"/>
        <w:left w:val="none" w:sz="0" w:space="0" w:color="auto"/>
        <w:bottom w:val="none" w:sz="0" w:space="0" w:color="auto"/>
        <w:right w:val="none" w:sz="0" w:space="0" w:color="auto"/>
      </w:divBdr>
    </w:div>
    <w:div w:id="347294946">
      <w:bodyDiv w:val="1"/>
      <w:marLeft w:val="0"/>
      <w:marRight w:val="0"/>
      <w:marTop w:val="0"/>
      <w:marBottom w:val="0"/>
      <w:divBdr>
        <w:top w:val="none" w:sz="0" w:space="0" w:color="auto"/>
        <w:left w:val="none" w:sz="0" w:space="0" w:color="auto"/>
        <w:bottom w:val="none" w:sz="0" w:space="0" w:color="auto"/>
        <w:right w:val="none" w:sz="0" w:space="0" w:color="auto"/>
      </w:divBdr>
    </w:div>
    <w:div w:id="390735167">
      <w:bodyDiv w:val="1"/>
      <w:marLeft w:val="0"/>
      <w:marRight w:val="0"/>
      <w:marTop w:val="0"/>
      <w:marBottom w:val="0"/>
      <w:divBdr>
        <w:top w:val="none" w:sz="0" w:space="0" w:color="auto"/>
        <w:left w:val="none" w:sz="0" w:space="0" w:color="auto"/>
        <w:bottom w:val="none" w:sz="0" w:space="0" w:color="auto"/>
        <w:right w:val="none" w:sz="0" w:space="0" w:color="auto"/>
      </w:divBdr>
      <w:divsChild>
        <w:div w:id="760417598">
          <w:marLeft w:val="0"/>
          <w:marRight w:val="0"/>
          <w:marTop w:val="0"/>
          <w:marBottom w:val="0"/>
          <w:divBdr>
            <w:top w:val="none" w:sz="0" w:space="0" w:color="auto"/>
            <w:left w:val="none" w:sz="0" w:space="0" w:color="auto"/>
            <w:bottom w:val="none" w:sz="0" w:space="0" w:color="auto"/>
            <w:right w:val="none" w:sz="0" w:space="0" w:color="auto"/>
          </w:divBdr>
          <w:divsChild>
            <w:div w:id="1576435258">
              <w:marLeft w:val="0"/>
              <w:marRight w:val="0"/>
              <w:marTop w:val="0"/>
              <w:marBottom w:val="0"/>
              <w:divBdr>
                <w:top w:val="none" w:sz="0" w:space="0" w:color="auto"/>
                <w:left w:val="none" w:sz="0" w:space="0" w:color="auto"/>
                <w:bottom w:val="none" w:sz="0" w:space="0" w:color="auto"/>
                <w:right w:val="none" w:sz="0" w:space="0" w:color="auto"/>
              </w:divBdr>
              <w:divsChild>
                <w:div w:id="17414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695">
      <w:bodyDiv w:val="1"/>
      <w:marLeft w:val="0"/>
      <w:marRight w:val="0"/>
      <w:marTop w:val="0"/>
      <w:marBottom w:val="0"/>
      <w:divBdr>
        <w:top w:val="none" w:sz="0" w:space="0" w:color="auto"/>
        <w:left w:val="none" w:sz="0" w:space="0" w:color="auto"/>
        <w:bottom w:val="none" w:sz="0" w:space="0" w:color="auto"/>
        <w:right w:val="none" w:sz="0" w:space="0" w:color="auto"/>
      </w:divBdr>
    </w:div>
    <w:div w:id="429662481">
      <w:bodyDiv w:val="1"/>
      <w:marLeft w:val="0"/>
      <w:marRight w:val="0"/>
      <w:marTop w:val="0"/>
      <w:marBottom w:val="0"/>
      <w:divBdr>
        <w:top w:val="none" w:sz="0" w:space="0" w:color="auto"/>
        <w:left w:val="none" w:sz="0" w:space="0" w:color="auto"/>
        <w:bottom w:val="none" w:sz="0" w:space="0" w:color="auto"/>
        <w:right w:val="none" w:sz="0" w:space="0" w:color="auto"/>
      </w:divBdr>
    </w:div>
    <w:div w:id="443185628">
      <w:bodyDiv w:val="1"/>
      <w:marLeft w:val="0"/>
      <w:marRight w:val="0"/>
      <w:marTop w:val="0"/>
      <w:marBottom w:val="0"/>
      <w:divBdr>
        <w:top w:val="none" w:sz="0" w:space="0" w:color="auto"/>
        <w:left w:val="none" w:sz="0" w:space="0" w:color="auto"/>
        <w:bottom w:val="none" w:sz="0" w:space="0" w:color="auto"/>
        <w:right w:val="none" w:sz="0" w:space="0" w:color="auto"/>
      </w:divBdr>
    </w:div>
    <w:div w:id="461074626">
      <w:bodyDiv w:val="1"/>
      <w:marLeft w:val="0"/>
      <w:marRight w:val="0"/>
      <w:marTop w:val="0"/>
      <w:marBottom w:val="0"/>
      <w:divBdr>
        <w:top w:val="none" w:sz="0" w:space="0" w:color="auto"/>
        <w:left w:val="none" w:sz="0" w:space="0" w:color="auto"/>
        <w:bottom w:val="none" w:sz="0" w:space="0" w:color="auto"/>
        <w:right w:val="none" w:sz="0" w:space="0" w:color="auto"/>
      </w:divBdr>
    </w:div>
    <w:div w:id="506596912">
      <w:bodyDiv w:val="1"/>
      <w:marLeft w:val="0"/>
      <w:marRight w:val="0"/>
      <w:marTop w:val="0"/>
      <w:marBottom w:val="0"/>
      <w:divBdr>
        <w:top w:val="none" w:sz="0" w:space="0" w:color="auto"/>
        <w:left w:val="none" w:sz="0" w:space="0" w:color="auto"/>
        <w:bottom w:val="none" w:sz="0" w:space="0" w:color="auto"/>
        <w:right w:val="none" w:sz="0" w:space="0" w:color="auto"/>
      </w:divBdr>
    </w:div>
    <w:div w:id="528226968">
      <w:bodyDiv w:val="1"/>
      <w:marLeft w:val="0"/>
      <w:marRight w:val="0"/>
      <w:marTop w:val="0"/>
      <w:marBottom w:val="0"/>
      <w:divBdr>
        <w:top w:val="none" w:sz="0" w:space="0" w:color="auto"/>
        <w:left w:val="none" w:sz="0" w:space="0" w:color="auto"/>
        <w:bottom w:val="none" w:sz="0" w:space="0" w:color="auto"/>
        <w:right w:val="none" w:sz="0" w:space="0" w:color="auto"/>
      </w:divBdr>
    </w:div>
    <w:div w:id="534395099">
      <w:bodyDiv w:val="1"/>
      <w:marLeft w:val="0"/>
      <w:marRight w:val="0"/>
      <w:marTop w:val="0"/>
      <w:marBottom w:val="0"/>
      <w:divBdr>
        <w:top w:val="none" w:sz="0" w:space="0" w:color="auto"/>
        <w:left w:val="none" w:sz="0" w:space="0" w:color="auto"/>
        <w:bottom w:val="none" w:sz="0" w:space="0" w:color="auto"/>
        <w:right w:val="none" w:sz="0" w:space="0" w:color="auto"/>
      </w:divBdr>
    </w:div>
    <w:div w:id="557253276">
      <w:bodyDiv w:val="1"/>
      <w:marLeft w:val="0"/>
      <w:marRight w:val="0"/>
      <w:marTop w:val="0"/>
      <w:marBottom w:val="0"/>
      <w:divBdr>
        <w:top w:val="none" w:sz="0" w:space="0" w:color="auto"/>
        <w:left w:val="none" w:sz="0" w:space="0" w:color="auto"/>
        <w:bottom w:val="none" w:sz="0" w:space="0" w:color="auto"/>
        <w:right w:val="none" w:sz="0" w:space="0" w:color="auto"/>
      </w:divBdr>
    </w:div>
    <w:div w:id="618486431">
      <w:bodyDiv w:val="1"/>
      <w:marLeft w:val="0"/>
      <w:marRight w:val="0"/>
      <w:marTop w:val="0"/>
      <w:marBottom w:val="0"/>
      <w:divBdr>
        <w:top w:val="none" w:sz="0" w:space="0" w:color="auto"/>
        <w:left w:val="none" w:sz="0" w:space="0" w:color="auto"/>
        <w:bottom w:val="none" w:sz="0" w:space="0" w:color="auto"/>
        <w:right w:val="none" w:sz="0" w:space="0" w:color="auto"/>
      </w:divBdr>
    </w:div>
    <w:div w:id="691033080">
      <w:bodyDiv w:val="1"/>
      <w:marLeft w:val="0"/>
      <w:marRight w:val="0"/>
      <w:marTop w:val="0"/>
      <w:marBottom w:val="0"/>
      <w:divBdr>
        <w:top w:val="none" w:sz="0" w:space="0" w:color="auto"/>
        <w:left w:val="none" w:sz="0" w:space="0" w:color="auto"/>
        <w:bottom w:val="none" w:sz="0" w:space="0" w:color="auto"/>
        <w:right w:val="none" w:sz="0" w:space="0" w:color="auto"/>
      </w:divBdr>
    </w:div>
    <w:div w:id="711080117">
      <w:bodyDiv w:val="1"/>
      <w:marLeft w:val="0"/>
      <w:marRight w:val="0"/>
      <w:marTop w:val="0"/>
      <w:marBottom w:val="0"/>
      <w:divBdr>
        <w:top w:val="none" w:sz="0" w:space="0" w:color="auto"/>
        <w:left w:val="none" w:sz="0" w:space="0" w:color="auto"/>
        <w:bottom w:val="none" w:sz="0" w:space="0" w:color="auto"/>
        <w:right w:val="none" w:sz="0" w:space="0" w:color="auto"/>
      </w:divBdr>
    </w:div>
    <w:div w:id="721055811">
      <w:bodyDiv w:val="1"/>
      <w:marLeft w:val="0"/>
      <w:marRight w:val="0"/>
      <w:marTop w:val="0"/>
      <w:marBottom w:val="0"/>
      <w:divBdr>
        <w:top w:val="none" w:sz="0" w:space="0" w:color="auto"/>
        <w:left w:val="none" w:sz="0" w:space="0" w:color="auto"/>
        <w:bottom w:val="none" w:sz="0" w:space="0" w:color="auto"/>
        <w:right w:val="none" w:sz="0" w:space="0" w:color="auto"/>
      </w:divBdr>
    </w:div>
    <w:div w:id="737674358">
      <w:bodyDiv w:val="1"/>
      <w:marLeft w:val="0"/>
      <w:marRight w:val="0"/>
      <w:marTop w:val="0"/>
      <w:marBottom w:val="0"/>
      <w:divBdr>
        <w:top w:val="none" w:sz="0" w:space="0" w:color="auto"/>
        <w:left w:val="none" w:sz="0" w:space="0" w:color="auto"/>
        <w:bottom w:val="none" w:sz="0" w:space="0" w:color="auto"/>
        <w:right w:val="none" w:sz="0" w:space="0" w:color="auto"/>
      </w:divBdr>
      <w:divsChild>
        <w:div w:id="1925408726">
          <w:marLeft w:val="0"/>
          <w:marRight w:val="0"/>
          <w:marTop w:val="0"/>
          <w:marBottom w:val="0"/>
          <w:divBdr>
            <w:top w:val="none" w:sz="0" w:space="0" w:color="auto"/>
            <w:left w:val="none" w:sz="0" w:space="0" w:color="auto"/>
            <w:bottom w:val="none" w:sz="0" w:space="0" w:color="auto"/>
            <w:right w:val="none" w:sz="0" w:space="0" w:color="auto"/>
          </w:divBdr>
          <w:divsChild>
            <w:div w:id="319890491">
              <w:marLeft w:val="0"/>
              <w:marRight w:val="0"/>
              <w:marTop w:val="0"/>
              <w:marBottom w:val="0"/>
              <w:divBdr>
                <w:top w:val="none" w:sz="0" w:space="0" w:color="auto"/>
                <w:left w:val="none" w:sz="0" w:space="0" w:color="auto"/>
                <w:bottom w:val="none" w:sz="0" w:space="0" w:color="auto"/>
                <w:right w:val="none" w:sz="0" w:space="0" w:color="auto"/>
              </w:divBdr>
              <w:divsChild>
                <w:div w:id="19011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2925">
      <w:bodyDiv w:val="1"/>
      <w:marLeft w:val="0"/>
      <w:marRight w:val="0"/>
      <w:marTop w:val="0"/>
      <w:marBottom w:val="0"/>
      <w:divBdr>
        <w:top w:val="none" w:sz="0" w:space="0" w:color="auto"/>
        <w:left w:val="none" w:sz="0" w:space="0" w:color="auto"/>
        <w:bottom w:val="none" w:sz="0" w:space="0" w:color="auto"/>
        <w:right w:val="none" w:sz="0" w:space="0" w:color="auto"/>
      </w:divBdr>
    </w:div>
    <w:div w:id="899093180">
      <w:bodyDiv w:val="1"/>
      <w:marLeft w:val="0"/>
      <w:marRight w:val="0"/>
      <w:marTop w:val="0"/>
      <w:marBottom w:val="0"/>
      <w:divBdr>
        <w:top w:val="none" w:sz="0" w:space="0" w:color="auto"/>
        <w:left w:val="none" w:sz="0" w:space="0" w:color="auto"/>
        <w:bottom w:val="none" w:sz="0" w:space="0" w:color="auto"/>
        <w:right w:val="none" w:sz="0" w:space="0" w:color="auto"/>
      </w:divBdr>
    </w:div>
    <w:div w:id="913465774">
      <w:bodyDiv w:val="1"/>
      <w:marLeft w:val="0"/>
      <w:marRight w:val="0"/>
      <w:marTop w:val="0"/>
      <w:marBottom w:val="0"/>
      <w:divBdr>
        <w:top w:val="none" w:sz="0" w:space="0" w:color="auto"/>
        <w:left w:val="none" w:sz="0" w:space="0" w:color="auto"/>
        <w:bottom w:val="none" w:sz="0" w:space="0" w:color="auto"/>
        <w:right w:val="none" w:sz="0" w:space="0" w:color="auto"/>
      </w:divBdr>
    </w:div>
    <w:div w:id="934019779">
      <w:bodyDiv w:val="1"/>
      <w:marLeft w:val="0"/>
      <w:marRight w:val="0"/>
      <w:marTop w:val="0"/>
      <w:marBottom w:val="0"/>
      <w:divBdr>
        <w:top w:val="none" w:sz="0" w:space="0" w:color="auto"/>
        <w:left w:val="none" w:sz="0" w:space="0" w:color="auto"/>
        <w:bottom w:val="none" w:sz="0" w:space="0" w:color="auto"/>
        <w:right w:val="none" w:sz="0" w:space="0" w:color="auto"/>
      </w:divBdr>
    </w:div>
    <w:div w:id="936324966">
      <w:bodyDiv w:val="1"/>
      <w:marLeft w:val="0"/>
      <w:marRight w:val="0"/>
      <w:marTop w:val="0"/>
      <w:marBottom w:val="0"/>
      <w:divBdr>
        <w:top w:val="none" w:sz="0" w:space="0" w:color="auto"/>
        <w:left w:val="none" w:sz="0" w:space="0" w:color="auto"/>
        <w:bottom w:val="none" w:sz="0" w:space="0" w:color="auto"/>
        <w:right w:val="none" w:sz="0" w:space="0" w:color="auto"/>
      </w:divBdr>
    </w:div>
    <w:div w:id="957489104">
      <w:bodyDiv w:val="1"/>
      <w:marLeft w:val="0"/>
      <w:marRight w:val="0"/>
      <w:marTop w:val="0"/>
      <w:marBottom w:val="0"/>
      <w:divBdr>
        <w:top w:val="none" w:sz="0" w:space="0" w:color="auto"/>
        <w:left w:val="none" w:sz="0" w:space="0" w:color="auto"/>
        <w:bottom w:val="none" w:sz="0" w:space="0" w:color="auto"/>
        <w:right w:val="none" w:sz="0" w:space="0" w:color="auto"/>
      </w:divBdr>
    </w:div>
    <w:div w:id="987199978">
      <w:bodyDiv w:val="1"/>
      <w:marLeft w:val="0"/>
      <w:marRight w:val="0"/>
      <w:marTop w:val="0"/>
      <w:marBottom w:val="0"/>
      <w:divBdr>
        <w:top w:val="none" w:sz="0" w:space="0" w:color="auto"/>
        <w:left w:val="none" w:sz="0" w:space="0" w:color="auto"/>
        <w:bottom w:val="none" w:sz="0" w:space="0" w:color="auto"/>
        <w:right w:val="none" w:sz="0" w:space="0" w:color="auto"/>
      </w:divBdr>
    </w:div>
    <w:div w:id="989334903">
      <w:bodyDiv w:val="1"/>
      <w:marLeft w:val="0"/>
      <w:marRight w:val="0"/>
      <w:marTop w:val="0"/>
      <w:marBottom w:val="0"/>
      <w:divBdr>
        <w:top w:val="none" w:sz="0" w:space="0" w:color="auto"/>
        <w:left w:val="none" w:sz="0" w:space="0" w:color="auto"/>
        <w:bottom w:val="none" w:sz="0" w:space="0" w:color="auto"/>
        <w:right w:val="none" w:sz="0" w:space="0" w:color="auto"/>
      </w:divBdr>
    </w:div>
    <w:div w:id="991566939">
      <w:bodyDiv w:val="1"/>
      <w:marLeft w:val="0"/>
      <w:marRight w:val="0"/>
      <w:marTop w:val="0"/>
      <w:marBottom w:val="0"/>
      <w:divBdr>
        <w:top w:val="none" w:sz="0" w:space="0" w:color="auto"/>
        <w:left w:val="none" w:sz="0" w:space="0" w:color="auto"/>
        <w:bottom w:val="none" w:sz="0" w:space="0" w:color="auto"/>
        <w:right w:val="none" w:sz="0" w:space="0" w:color="auto"/>
      </w:divBdr>
    </w:div>
    <w:div w:id="1024550634">
      <w:bodyDiv w:val="1"/>
      <w:marLeft w:val="0"/>
      <w:marRight w:val="0"/>
      <w:marTop w:val="0"/>
      <w:marBottom w:val="0"/>
      <w:divBdr>
        <w:top w:val="none" w:sz="0" w:space="0" w:color="auto"/>
        <w:left w:val="none" w:sz="0" w:space="0" w:color="auto"/>
        <w:bottom w:val="none" w:sz="0" w:space="0" w:color="auto"/>
        <w:right w:val="none" w:sz="0" w:space="0" w:color="auto"/>
      </w:divBdr>
      <w:divsChild>
        <w:div w:id="1937127186">
          <w:marLeft w:val="0"/>
          <w:marRight w:val="0"/>
          <w:marTop w:val="0"/>
          <w:marBottom w:val="0"/>
          <w:divBdr>
            <w:top w:val="none" w:sz="0" w:space="0" w:color="auto"/>
            <w:left w:val="none" w:sz="0" w:space="0" w:color="auto"/>
            <w:bottom w:val="none" w:sz="0" w:space="0" w:color="auto"/>
            <w:right w:val="none" w:sz="0" w:space="0" w:color="auto"/>
          </w:divBdr>
        </w:div>
        <w:div w:id="1493058335">
          <w:marLeft w:val="0"/>
          <w:marRight w:val="0"/>
          <w:marTop w:val="0"/>
          <w:marBottom w:val="0"/>
          <w:divBdr>
            <w:top w:val="none" w:sz="0" w:space="0" w:color="auto"/>
            <w:left w:val="none" w:sz="0" w:space="0" w:color="auto"/>
            <w:bottom w:val="none" w:sz="0" w:space="0" w:color="auto"/>
            <w:right w:val="none" w:sz="0" w:space="0" w:color="auto"/>
          </w:divBdr>
        </w:div>
        <w:div w:id="376902075">
          <w:marLeft w:val="0"/>
          <w:marRight w:val="0"/>
          <w:marTop w:val="0"/>
          <w:marBottom w:val="0"/>
          <w:divBdr>
            <w:top w:val="none" w:sz="0" w:space="0" w:color="auto"/>
            <w:left w:val="none" w:sz="0" w:space="0" w:color="auto"/>
            <w:bottom w:val="none" w:sz="0" w:space="0" w:color="auto"/>
            <w:right w:val="none" w:sz="0" w:space="0" w:color="auto"/>
          </w:divBdr>
        </w:div>
      </w:divsChild>
    </w:div>
    <w:div w:id="1105538827">
      <w:bodyDiv w:val="1"/>
      <w:marLeft w:val="0"/>
      <w:marRight w:val="0"/>
      <w:marTop w:val="0"/>
      <w:marBottom w:val="0"/>
      <w:divBdr>
        <w:top w:val="none" w:sz="0" w:space="0" w:color="auto"/>
        <w:left w:val="none" w:sz="0" w:space="0" w:color="auto"/>
        <w:bottom w:val="none" w:sz="0" w:space="0" w:color="auto"/>
        <w:right w:val="none" w:sz="0" w:space="0" w:color="auto"/>
      </w:divBdr>
    </w:div>
    <w:div w:id="1119296251">
      <w:bodyDiv w:val="1"/>
      <w:marLeft w:val="0"/>
      <w:marRight w:val="0"/>
      <w:marTop w:val="0"/>
      <w:marBottom w:val="0"/>
      <w:divBdr>
        <w:top w:val="none" w:sz="0" w:space="0" w:color="auto"/>
        <w:left w:val="none" w:sz="0" w:space="0" w:color="auto"/>
        <w:bottom w:val="none" w:sz="0" w:space="0" w:color="auto"/>
        <w:right w:val="none" w:sz="0" w:space="0" w:color="auto"/>
      </w:divBdr>
    </w:div>
    <w:div w:id="1142963282">
      <w:bodyDiv w:val="1"/>
      <w:marLeft w:val="0"/>
      <w:marRight w:val="0"/>
      <w:marTop w:val="0"/>
      <w:marBottom w:val="0"/>
      <w:divBdr>
        <w:top w:val="none" w:sz="0" w:space="0" w:color="auto"/>
        <w:left w:val="none" w:sz="0" w:space="0" w:color="auto"/>
        <w:bottom w:val="none" w:sz="0" w:space="0" w:color="auto"/>
        <w:right w:val="none" w:sz="0" w:space="0" w:color="auto"/>
      </w:divBdr>
    </w:div>
    <w:div w:id="1178421913">
      <w:bodyDiv w:val="1"/>
      <w:marLeft w:val="0"/>
      <w:marRight w:val="0"/>
      <w:marTop w:val="0"/>
      <w:marBottom w:val="0"/>
      <w:divBdr>
        <w:top w:val="none" w:sz="0" w:space="0" w:color="auto"/>
        <w:left w:val="none" w:sz="0" w:space="0" w:color="auto"/>
        <w:bottom w:val="none" w:sz="0" w:space="0" w:color="auto"/>
        <w:right w:val="none" w:sz="0" w:space="0" w:color="auto"/>
      </w:divBdr>
    </w:div>
    <w:div w:id="1210729256">
      <w:bodyDiv w:val="1"/>
      <w:marLeft w:val="0"/>
      <w:marRight w:val="0"/>
      <w:marTop w:val="0"/>
      <w:marBottom w:val="0"/>
      <w:divBdr>
        <w:top w:val="none" w:sz="0" w:space="0" w:color="auto"/>
        <w:left w:val="none" w:sz="0" w:space="0" w:color="auto"/>
        <w:bottom w:val="none" w:sz="0" w:space="0" w:color="auto"/>
        <w:right w:val="none" w:sz="0" w:space="0" w:color="auto"/>
      </w:divBdr>
    </w:div>
    <w:div w:id="1237209975">
      <w:bodyDiv w:val="1"/>
      <w:marLeft w:val="0"/>
      <w:marRight w:val="0"/>
      <w:marTop w:val="0"/>
      <w:marBottom w:val="0"/>
      <w:divBdr>
        <w:top w:val="none" w:sz="0" w:space="0" w:color="auto"/>
        <w:left w:val="none" w:sz="0" w:space="0" w:color="auto"/>
        <w:bottom w:val="none" w:sz="0" w:space="0" w:color="auto"/>
        <w:right w:val="none" w:sz="0" w:space="0" w:color="auto"/>
      </w:divBdr>
    </w:div>
    <w:div w:id="1295016665">
      <w:bodyDiv w:val="1"/>
      <w:marLeft w:val="0"/>
      <w:marRight w:val="0"/>
      <w:marTop w:val="0"/>
      <w:marBottom w:val="0"/>
      <w:divBdr>
        <w:top w:val="none" w:sz="0" w:space="0" w:color="auto"/>
        <w:left w:val="none" w:sz="0" w:space="0" w:color="auto"/>
        <w:bottom w:val="none" w:sz="0" w:space="0" w:color="auto"/>
        <w:right w:val="none" w:sz="0" w:space="0" w:color="auto"/>
      </w:divBdr>
    </w:div>
    <w:div w:id="1297446408">
      <w:bodyDiv w:val="1"/>
      <w:marLeft w:val="0"/>
      <w:marRight w:val="0"/>
      <w:marTop w:val="0"/>
      <w:marBottom w:val="0"/>
      <w:divBdr>
        <w:top w:val="none" w:sz="0" w:space="0" w:color="auto"/>
        <w:left w:val="none" w:sz="0" w:space="0" w:color="auto"/>
        <w:bottom w:val="none" w:sz="0" w:space="0" w:color="auto"/>
        <w:right w:val="none" w:sz="0" w:space="0" w:color="auto"/>
      </w:divBdr>
    </w:div>
    <w:div w:id="1334069642">
      <w:bodyDiv w:val="1"/>
      <w:marLeft w:val="0"/>
      <w:marRight w:val="0"/>
      <w:marTop w:val="0"/>
      <w:marBottom w:val="0"/>
      <w:divBdr>
        <w:top w:val="none" w:sz="0" w:space="0" w:color="auto"/>
        <w:left w:val="none" w:sz="0" w:space="0" w:color="auto"/>
        <w:bottom w:val="none" w:sz="0" w:space="0" w:color="auto"/>
        <w:right w:val="none" w:sz="0" w:space="0" w:color="auto"/>
      </w:divBdr>
    </w:div>
    <w:div w:id="1409839817">
      <w:bodyDiv w:val="1"/>
      <w:marLeft w:val="0"/>
      <w:marRight w:val="0"/>
      <w:marTop w:val="0"/>
      <w:marBottom w:val="0"/>
      <w:divBdr>
        <w:top w:val="none" w:sz="0" w:space="0" w:color="auto"/>
        <w:left w:val="none" w:sz="0" w:space="0" w:color="auto"/>
        <w:bottom w:val="none" w:sz="0" w:space="0" w:color="auto"/>
        <w:right w:val="none" w:sz="0" w:space="0" w:color="auto"/>
      </w:divBdr>
    </w:div>
    <w:div w:id="1413500997">
      <w:bodyDiv w:val="1"/>
      <w:marLeft w:val="0"/>
      <w:marRight w:val="0"/>
      <w:marTop w:val="0"/>
      <w:marBottom w:val="0"/>
      <w:divBdr>
        <w:top w:val="none" w:sz="0" w:space="0" w:color="auto"/>
        <w:left w:val="none" w:sz="0" w:space="0" w:color="auto"/>
        <w:bottom w:val="none" w:sz="0" w:space="0" w:color="auto"/>
        <w:right w:val="none" w:sz="0" w:space="0" w:color="auto"/>
      </w:divBdr>
    </w:div>
    <w:div w:id="1454330492">
      <w:bodyDiv w:val="1"/>
      <w:marLeft w:val="0"/>
      <w:marRight w:val="0"/>
      <w:marTop w:val="0"/>
      <w:marBottom w:val="0"/>
      <w:divBdr>
        <w:top w:val="none" w:sz="0" w:space="0" w:color="auto"/>
        <w:left w:val="none" w:sz="0" w:space="0" w:color="auto"/>
        <w:bottom w:val="none" w:sz="0" w:space="0" w:color="auto"/>
        <w:right w:val="none" w:sz="0" w:space="0" w:color="auto"/>
      </w:divBdr>
    </w:div>
    <w:div w:id="1471442259">
      <w:bodyDiv w:val="1"/>
      <w:marLeft w:val="0"/>
      <w:marRight w:val="0"/>
      <w:marTop w:val="0"/>
      <w:marBottom w:val="0"/>
      <w:divBdr>
        <w:top w:val="none" w:sz="0" w:space="0" w:color="auto"/>
        <w:left w:val="none" w:sz="0" w:space="0" w:color="auto"/>
        <w:bottom w:val="none" w:sz="0" w:space="0" w:color="auto"/>
        <w:right w:val="none" w:sz="0" w:space="0" w:color="auto"/>
      </w:divBdr>
    </w:div>
    <w:div w:id="1498156774">
      <w:bodyDiv w:val="1"/>
      <w:marLeft w:val="0"/>
      <w:marRight w:val="0"/>
      <w:marTop w:val="0"/>
      <w:marBottom w:val="0"/>
      <w:divBdr>
        <w:top w:val="none" w:sz="0" w:space="0" w:color="auto"/>
        <w:left w:val="none" w:sz="0" w:space="0" w:color="auto"/>
        <w:bottom w:val="none" w:sz="0" w:space="0" w:color="auto"/>
        <w:right w:val="none" w:sz="0" w:space="0" w:color="auto"/>
      </w:divBdr>
    </w:div>
    <w:div w:id="1522670515">
      <w:bodyDiv w:val="1"/>
      <w:marLeft w:val="0"/>
      <w:marRight w:val="0"/>
      <w:marTop w:val="0"/>
      <w:marBottom w:val="0"/>
      <w:divBdr>
        <w:top w:val="none" w:sz="0" w:space="0" w:color="auto"/>
        <w:left w:val="none" w:sz="0" w:space="0" w:color="auto"/>
        <w:bottom w:val="none" w:sz="0" w:space="0" w:color="auto"/>
        <w:right w:val="none" w:sz="0" w:space="0" w:color="auto"/>
      </w:divBdr>
    </w:div>
    <w:div w:id="1527792042">
      <w:bodyDiv w:val="1"/>
      <w:marLeft w:val="0"/>
      <w:marRight w:val="0"/>
      <w:marTop w:val="0"/>
      <w:marBottom w:val="0"/>
      <w:divBdr>
        <w:top w:val="none" w:sz="0" w:space="0" w:color="auto"/>
        <w:left w:val="none" w:sz="0" w:space="0" w:color="auto"/>
        <w:bottom w:val="none" w:sz="0" w:space="0" w:color="auto"/>
        <w:right w:val="none" w:sz="0" w:space="0" w:color="auto"/>
      </w:divBdr>
    </w:div>
    <w:div w:id="1623802294">
      <w:bodyDiv w:val="1"/>
      <w:marLeft w:val="0"/>
      <w:marRight w:val="0"/>
      <w:marTop w:val="0"/>
      <w:marBottom w:val="0"/>
      <w:divBdr>
        <w:top w:val="none" w:sz="0" w:space="0" w:color="auto"/>
        <w:left w:val="none" w:sz="0" w:space="0" w:color="auto"/>
        <w:bottom w:val="none" w:sz="0" w:space="0" w:color="auto"/>
        <w:right w:val="none" w:sz="0" w:space="0" w:color="auto"/>
      </w:divBdr>
    </w:div>
    <w:div w:id="1642886292">
      <w:bodyDiv w:val="1"/>
      <w:marLeft w:val="0"/>
      <w:marRight w:val="0"/>
      <w:marTop w:val="0"/>
      <w:marBottom w:val="0"/>
      <w:divBdr>
        <w:top w:val="none" w:sz="0" w:space="0" w:color="auto"/>
        <w:left w:val="none" w:sz="0" w:space="0" w:color="auto"/>
        <w:bottom w:val="none" w:sz="0" w:space="0" w:color="auto"/>
        <w:right w:val="none" w:sz="0" w:space="0" w:color="auto"/>
      </w:divBdr>
    </w:div>
    <w:div w:id="1643383033">
      <w:bodyDiv w:val="1"/>
      <w:marLeft w:val="0"/>
      <w:marRight w:val="0"/>
      <w:marTop w:val="0"/>
      <w:marBottom w:val="0"/>
      <w:divBdr>
        <w:top w:val="none" w:sz="0" w:space="0" w:color="auto"/>
        <w:left w:val="none" w:sz="0" w:space="0" w:color="auto"/>
        <w:bottom w:val="none" w:sz="0" w:space="0" w:color="auto"/>
        <w:right w:val="none" w:sz="0" w:space="0" w:color="auto"/>
      </w:divBdr>
    </w:div>
    <w:div w:id="1689403549">
      <w:bodyDiv w:val="1"/>
      <w:marLeft w:val="0"/>
      <w:marRight w:val="0"/>
      <w:marTop w:val="0"/>
      <w:marBottom w:val="0"/>
      <w:divBdr>
        <w:top w:val="none" w:sz="0" w:space="0" w:color="auto"/>
        <w:left w:val="none" w:sz="0" w:space="0" w:color="auto"/>
        <w:bottom w:val="none" w:sz="0" w:space="0" w:color="auto"/>
        <w:right w:val="none" w:sz="0" w:space="0" w:color="auto"/>
      </w:divBdr>
    </w:div>
    <w:div w:id="1749186790">
      <w:bodyDiv w:val="1"/>
      <w:marLeft w:val="0"/>
      <w:marRight w:val="0"/>
      <w:marTop w:val="0"/>
      <w:marBottom w:val="0"/>
      <w:divBdr>
        <w:top w:val="none" w:sz="0" w:space="0" w:color="auto"/>
        <w:left w:val="none" w:sz="0" w:space="0" w:color="auto"/>
        <w:bottom w:val="none" w:sz="0" w:space="0" w:color="auto"/>
        <w:right w:val="none" w:sz="0" w:space="0" w:color="auto"/>
      </w:divBdr>
    </w:div>
    <w:div w:id="1788694121">
      <w:bodyDiv w:val="1"/>
      <w:marLeft w:val="0"/>
      <w:marRight w:val="0"/>
      <w:marTop w:val="0"/>
      <w:marBottom w:val="0"/>
      <w:divBdr>
        <w:top w:val="none" w:sz="0" w:space="0" w:color="auto"/>
        <w:left w:val="none" w:sz="0" w:space="0" w:color="auto"/>
        <w:bottom w:val="none" w:sz="0" w:space="0" w:color="auto"/>
        <w:right w:val="none" w:sz="0" w:space="0" w:color="auto"/>
      </w:divBdr>
    </w:div>
    <w:div w:id="1803887427">
      <w:bodyDiv w:val="1"/>
      <w:marLeft w:val="0"/>
      <w:marRight w:val="0"/>
      <w:marTop w:val="0"/>
      <w:marBottom w:val="0"/>
      <w:divBdr>
        <w:top w:val="none" w:sz="0" w:space="0" w:color="auto"/>
        <w:left w:val="none" w:sz="0" w:space="0" w:color="auto"/>
        <w:bottom w:val="none" w:sz="0" w:space="0" w:color="auto"/>
        <w:right w:val="none" w:sz="0" w:space="0" w:color="auto"/>
      </w:divBdr>
    </w:div>
    <w:div w:id="1808087547">
      <w:bodyDiv w:val="1"/>
      <w:marLeft w:val="0"/>
      <w:marRight w:val="0"/>
      <w:marTop w:val="0"/>
      <w:marBottom w:val="0"/>
      <w:divBdr>
        <w:top w:val="none" w:sz="0" w:space="0" w:color="auto"/>
        <w:left w:val="none" w:sz="0" w:space="0" w:color="auto"/>
        <w:bottom w:val="none" w:sz="0" w:space="0" w:color="auto"/>
        <w:right w:val="none" w:sz="0" w:space="0" w:color="auto"/>
      </w:divBdr>
    </w:div>
    <w:div w:id="1814172378">
      <w:bodyDiv w:val="1"/>
      <w:marLeft w:val="0"/>
      <w:marRight w:val="0"/>
      <w:marTop w:val="0"/>
      <w:marBottom w:val="0"/>
      <w:divBdr>
        <w:top w:val="none" w:sz="0" w:space="0" w:color="auto"/>
        <w:left w:val="none" w:sz="0" w:space="0" w:color="auto"/>
        <w:bottom w:val="none" w:sz="0" w:space="0" w:color="auto"/>
        <w:right w:val="none" w:sz="0" w:space="0" w:color="auto"/>
      </w:divBdr>
    </w:div>
    <w:div w:id="1834176461">
      <w:bodyDiv w:val="1"/>
      <w:marLeft w:val="0"/>
      <w:marRight w:val="0"/>
      <w:marTop w:val="0"/>
      <w:marBottom w:val="0"/>
      <w:divBdr>
        <w:top w:val="none" w:sz="0" w:space="0" w:color="auto"/>
        <w:left w:val="none" w:sz="0" w:space="0" w:color="auto"/>
        <w:bottom w:val="none" w:sz="0" w:space="0" w:color="auto"/>
        <w:right w:val="none" w:sz="0" w:space="0" w:color="auto"/>
      </w:divBdr>
    </w:div>
    <w:div w:id="1891073407">
      <w:bodyDiv w:val="1"/>
      <w:marLeft w:val="0"/>
      <w:marRight w:val="0"/>
      <w:marTop w:val="0"/>
      <w:marBottom w:val="0"/>
      <w:divBdr>
        <w:top w:val="none" w:sz="0" w:space="0" w:color="auto"/>
        <w:left w:val="none" w:sz="0" w:space="0" w:color="auto"/>
        <w:bottom w:val="none" w:sz="0" w:space="0" w:color="auto"/>
        <w:right w:val="none" w:sz="0" w:space="0" w:color="auto"/>
      </w:divBdr>
      <w:divsChild>
        <w:div w:id="1669333455">
          <w:marLeft w:val="0"/>
          <w:marRight w:val="0"/>
          <w:marTop w:val="0"/>
          <w:marBottom w:val="0"/>
          <w:divBdr>
            <w:top w:val="none" w:sz="0" w:space="0" w:color="auto"/>
            <w:left w:val="none" w:sz="0" w:space="0" w:color="auto"/>
            <w:bottom w:val="none" w:sz="0" w:space="0" w:color="auto"/>
            <w:right w:val="none" w:sz="0" w:space="0" w:color="auto"/>
          </w:divBdr>
          <w:divsChild>
            <w:div w:id="15579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0829">
      <w:bodyDiv w:val="1"/>
      <w:marLeft w:val="0"/>
      <w:marRight w:val="0"/>
      <w:marTop w:val="0"/>
      <w:marBottom w:val="0"/>
      <w:divBdr>
        <w:top w:val="none" w:sz="0" w:space="0" w:color="auto"/>
        <w:left w:val="none" w:sz="0" w:space="0" w:color="auto"/>
        <w:bottom w:val="none" w:sz="0" w:space="0" w:color="auto"/>
        <w:right w:val="none" w:sz="0" w:space="0" w:color="auto"/>
      </w:divBdr>
    </w:div>
    <w:div w:id="1894736692">
      <w:bodyDiv w:val="1"/>
      <w:marLeft w:val="0"/>
      <w:marRight w:val="0"/>
      <w:marTop w:val="0"/>
      <w:marBottom w:val="0"/>
      <w:divBdr>
        <w:top w:val="none" w:sz="0" w:space="0" w:color="auto"/>
        <w:left w:val="none" w:sz="0" w:space="0" w:color="auto"/>
        <w:bottom w:val="none" w:sz="0" w:space="0" w:color="auto"/>
        <w:right w:val="none" w:sz="0" w:space="0" w:color="auto"/>
      </w:divBdr>
    </w:div>
    <w:div w:id="1902129459">
      <w:bodyDiv w:val="1"/>
      <w:marLeft w:val="0"/>
      <w:marRight w:val="0"/>
      <w:marTop w:val="0"/>
      <w:marBottom w:val="0"/>
      <w:divBdr>
        <w:top w:val="none" w:sz="0" w:space="0" w:color="auto"/>
        <w:left w:val="none" w:sz="0" w:space="0" w:color="auto"/>
        <w:bottom w:val="none" w:sz="0" w:space="0" w:color="auto"/>
        <w:right w:val="none" w:sz="0" w:space="0" w:color="auto"/>
      </w:divBdr>
    </w:div>
    <w:div w:id="1922526101">
      <w:bodyDiv w:val="1"/>
      <w:marLeft w:val="0"/>
      <w:marRight w:val="0"/>
      <w:marTop w:val="0"/>
      <w:marBottom w:val="0"/>
      <w:divBdr>
        <w:top w:val="none" w:sz="0" w:space="0" w:color="auto"/>
        <w:left w:val="none" w:sz="0" w:space="0" w:color="auto"/>
        <w:bottom w:val="none" w:sz="0" w:space="0" w:color="auto"/>
        <w:right w:val="none" w:sz="0" w:space="0" w:color="auto"/>
      </w:divBdr>
    </w:div>
    <w:div w:id="1923830821">
      <w:bodyDiv w:val="1"/>
      <w:marLeft w:val="0"/>
      <w:marRight w:val="0"/>
      <w:marTop w:val="0"/>
      <w:marBottom w:val="0"/>
      <w:divBdr>
        <w:top w:val="none" w:sz="0" w:space="0" w:color="auto"/>
        <w:left w:val="none" w:sz="0" w:space="0" w:color="auto"/>
        <w:bottom w:val="none" w:sz="0" w:space="0" w:color="auto"/>
        <w:right w:val="none" w:sz="0" w:space="0" w:color="auto"/>
      </w:divBdr>
    </w:div>
    <w:div w:id="1936278578">
      <w:bodyDiv w:val="1"/>
      <w:marLeft w:val="0"/>
      <w:marRight w:val="0"/>
      <w:marTop w:val="0"/>
      <w:marBottom w:val="0"/>
      <w:divBdr>
        <w:top w:val="none" w:sz="0" w:space="0" w:color="auto"/>
        <w:left w:val="none" w:sz="0" w:space="0" w:color="auto"/>
        <w:bottom w:val="none" w:sz="0" w:space="0" w:color="auto"/>
        <w:right w:val="none" w:sz="0" w:space="0" w:color="auto"/>
      </w:divBdr>
    </w:div>
    <w:div w:id="1947424333">
      <w:bodyDiv w:val="1"/>
      <w:marLeft w:val="0"/>
      <w:marRight w:val="0"/>
      <w:marTop w:val="0"/>
      <w:marBottom w:val="0"/>
      <w:divBdr>
        <w:top w:val="none" w:sz="0" w:space="0" w:color="auto"/>
        <w:left w:val="none" w:sz="0" w:space="0" w:color="auto"/>
        <w:bottom w:val="none" w:sz="0" w:space="0" w:color="auto"/>
        <w:right w:val="none" w:sz="0" w:space="0" w:color="auto"/>
      </w:divBdr>
    </w:div>
    <w:div w:id="1969168112">
      <w:bodyDiv w:val="1"/>
      <w:marLeft w:val="0"/>
      <w:marRight w:val="0"/>
      <w:marTop w:val="0"/>
      <w:marBottom w:val="0"/>
      <w:divBdr>
        <w:top w:val="none" w:sz="0" w:space="0" w:color="auto"/>
        <w:left w:val="none" w:sz="0" w:space="0" w:color="auto"/>
        <w:bottom w:val="none" w:sz="0" w:space="0" w:color="auto"/>
        <w:right w:val="none" w:sz="0" w:space="0" w:color="auto"/>
      </w:divBdr>
    </w:div>
    <w:div w:id="1981955523">
      <w:bodyDiv w:val="1"/>
      <w:marLeft w:val="0"/>
      <w:marRight w:val="0"/>
      <w:marTop w:val="0"/>
      <w:marBottom w:val="0"/>
      <w:divBdr>
        <w:top w:val="none" w:sz="0" w:space="0" w:color="auto"/>
        <w:left w:val="none" w:sz="0" w:space="0" w:color="auto"/>
        <w:bottom w:val="none" w:sz="0" w:space="0" w:color="auto"/>
        <w:right w:val="none" w:sz="0" w:space="0" w:color="auto"/>
      </w:divBdr>
    </w:div>
    <w:div w:id="1993216902">
      <w:bodyDiv w:val="1"/>
      <w:marLeft w:val="0"/>
      <w:marRight w:val="0"/>
      <w:marTop w:val="0"/>
      <w:marBottom w:val="0"/>
      <w:divBdr>
        <w:top w:val="none" w:sz="0" w:space="0" w:color="auto"/>
        <w:left w:val="none" w:sz="0" w:space="0" w:color="auto"/>
        <w:bottom w:val="none" w:sz="0" w:space="0" w:color="auto"/>
        <w:right w:val="none" w:sz="0" w:space="0" w:color="auto"/>
      </w:divBdr>
    </w:div>
    <w:div w:id="2017339911">
      <w:bodyDiv w:val="1"/>
      <w:marLeft w:val="0"/>
      <w:marRight w:val="0"/>
      <w:marTop w:val="0"/>
      <w:marBottom w:val="0"/>
      <w:divBdr>
        <w:top w:val="none" w:sz="0" w:space="0" w:color="auto"/>
        <w:left w:val="none" w:sz="0" w:space="0" w:color="auto"/>
        <w:bottom w:val="none" w:sz="0" w:space="0" w:color="auto"/>
        <w:right w:val="none" w:sz="0" w:space="0" w:color="auto"/>
      </w:divBdr>
    </w:div>
    <w:div w:id="2054428141">
      <w:bodyDiv w:val="1"/>
      <w:marLeft w:val="0"/>
      <w:marRight w:val="0"/>
      <w:marTop w:val="0"/>
      <w:marBottom w:val="0"/>
      <w:divBdr>
        <w:top w:val="none" w:sz="0" w:space="0" w:color="auto"/>
        <w:left w:val="none" w:sz="0" w:space="0" w:color="auto"/>
        <w:bottom w:val="none" w:sz="0" w:space="0" w:color="auto"/>
        <w:right w:val="none" w:sz="0" w:space="0" w:color="auto"/>
      </w:divBdr>
    </w:div>
    <w:div w:id="2085642682">
      <w:bodyDiv w:val="1"/>
      <w:marLeft w:val="0"/>
      <w:marRight w:val="0"/>
      <w:marTop w:val="0"/>
      <w:marBottom w:val="0"/>
      <w:divBdr>
        <w:top w:val="none" w:sz="0" w:space="0" w:color="auto"/>
        <w:left w:val="none" w:sz="0" w:space="0" w:color="auto"/>
        <w:bottom w:val="none" w:sz="0" w:space="0" w:color="auto"/>
        <w:right w:val="none" w:sz="0" w:space="0" w:color="auto"/>
      </w:divBdr>
    </w:div>
    <w:div w:id="2110082670">
      <w:bodyDiv w:val="1"/>
      <w:marLeft w:val="0"/>
      <w:marRight w:val="0"/>
      <w:marTop w:val="0"/>
      <w:marBottom w:val="0"/>
      <w:divBdr>
        <w:top w:val="none" w:sz="0" w:space="0" w:color="auto"/>
        <w:left w:val="none" w:sz="0" w:space="0" w:color="auto"/>
        <w:bottom w:val="none" w:sz="0" w:space="0" w:color="auto"/>
        <w:right w:val="none" w:sz="0" w:space="0" w:color="auto"/>
      </w:divBdr>
    </w:div>
    <w:div w:id="211107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80/0268117X.2020.18389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paulamkehoe.com/witches-ireland/" TargetMode="External"/><Relationship Id="rId3" Type="http://schemas.openxmlformats.org/officeDocument/2006/relationships/hyperlink" Target="https://www.youtube.com/watch?v=z2WkyeS0oxU" TargetMode="External"/><Relationship Id="rId7" Type="http://schemas.openxmlformats.org/officeDocument/2006/relationships/hyperlink" Target="https://www.bbc.co.uk/programmes/p01kc102" TargetMode="External"/><Relationship Id="rId2" Type="http://schemas.openxmlformats.org/officeDocument/2006/relationships/hyperlink" Target="https://flashbak.com/great-portraits-of-ireland-and-the-irish-at-the-turn-of-the-19th-century-410697/four-boys-at-the-rocking-stone-at-islandmagee-county-antrim-1870/" TargetMode="External"/><Relationship Id="rId1" Type="http://schemas.openxmlformats.org/officeDocument/2006/relationships/hyperlink" Target="https://www.ulster.ac.uk/news/2011/march/the-islandmagee-witches-y-300-year-anniversary" TargetMode="External"/><Relationship Id="rId6" Type="http://schemas.openxmlformats.org/officeDocument/2006/relationships/hyperlink" Target="https://www.bbc.co.uk/programmes/p01lmcfy/p01lmc70" TargetMode="External"/><Relationship Id="rId11" Type="http://schemas.openxmlformats.org/officeDocument/2006/relationships/hyperlink" Target="https://shapedbyseaandstone.com/editorials/witches-islandmagee" TargetMode="External"/><Relationship Id="rId5" Type="http://schemas.openxmlformats.org/officeDocument/2006/relationships/hyperlink" Target="https://www.youtube.com/watch?v=e9Bw1xzbrFw" TargetMode="External"/><Relationship Id="rId10" Type="http://schemas.openxmlformats.org/officeDocument/2006/relationships/hyperlink" Target="https://www.bbc.co.uk/news/uk-northern-ireland-31148230" TargetMode="External"/><Relationship Id="rId4" Type="http://schemas.openxmlformats.org/officeDocument/2006/relationships/hyperlink" Target="https://www.youtube.com/watch?v=z2WkyeS0oxU" TargetMode="External"/><Relationship Id="rId9" Type="http://schemas.openxmlformats.org/officeDocument/2006/relationships/hyperlink" Target="https://www.atlasobscura.com/places/carrickfergus-pillory-last-witchcraft-trial-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8053</Words>
  <Characters>45903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Sneddon, Andrew</dc:creator>
  <cp:keywords/>
  <dc:description/>
  <cp:lastModifiedBy>Sneddon, Andrew</cp:lastModifiedBy>
  <cp:revision>3</cp:revision>
  <cp:lastPrinted>2021-10-22T14:25:00Z</cp:lastPrinted>
  <dcterms:created xsi:type="dcterms:W3CDTF">2022-04-13T08:48:00Z</dcterms:created>
  <dcterms:modified xsi:type="dcterms:W3CDTF">2022-04-13T08:51:00Z</dcterms:modified>
</cp:coreProperties>
</file>